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212725</wp:posOffset>
            </wp:positionV>
            <wp:extent cx="6610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237490</wp:posOffset>
            </wp:positionV>
            <wp:extent cx="6610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098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09" w:lineRule="exact"/>
        <w:rPr>
          <w:sz w:val="24"/>
          <w:szCs w:val="24"/>
          <w:color w:val="auto"/>
        </w:rPr>
      </w:pPr>
    </w:p>
    <w:p>
      <w:pPr>
        <w:ind w:left="3840" w:right="1980" w:hanging="3831"/>
        <w:spacing w:after="0" w:line="365" w:lineRule="auto"/>
        <w:tabs>
          <w:tab w:leader="none" w:pos="208"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 (d) OF THE SECURITIES EXCHANGE ACT OF 1934 For the year ended December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96" w:lineRule="exact"/>
        <w:rPr>
          <w:sz w:val="24"/>
          <w:szCs w:val="24"/>
          <w:color w:val="auto"/>
        </w:rPr>
      </w:pPr>
    </w:p>
    <w:p>
      <w:pPr>
        <w:ind w:left="220" w:hanging="211"/>
        <w:spacing w:after="0"/>
        <w:tabs>
          <w:tab w:leader="none" w:pos="2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 (d) OF THE SECURITIES EXCHANGE ACT OF 1934</w:t>
      </w:r>
    </w:p>
    <w:p>
      <w:pPr>
        <w:spacing w:after="0" w:line="109" w:lineRule="exact"/>
        <w:rPr>
          <w:sz w:val="24"/>
          <w:szCs w:val="24"/>
          <w:color w:val="auto"/>
        </w:rPr>
      </w:pPr>
    </w:p>
    <w:p>
      <w:pPr>
        <w:ind w:left="3860"/>
        <w:spacing w:after="0"/>
        <w:tabs>
          <w:tab w:leader="none" w:pos="620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6" w:lineRule="exact"/>
        <w:rPr>
          <w:sz w:val="24"/>
          <w:szCs w:val="24"/>
          <w:color w:val="auto"/>
        </w:rPr>
      </w:pPr>
    </w:p>
    <w:p>
      <w:pPr>
        <w:ind w:left="3900"/>
        <w:spacing w:after="0"/>
        <w:rPr>
          <w:sz w:val="20"/>
          <w:szCs w:val="20"/>
          <w:color w:val="auto"/>
        </w:rPr>
      </w:pPr>
      <w:r>
        <w:rPr>
          <w:rFonts w:ascii="Arial" w:cs="Arial" w:eastAsia="Arial" w:hAnsi="Arial"/>
          <w:sz w:val="17"/>
          <w:szCs w:val="17"/>
          <w:b w:val="1"/>
          <w:bCs w:val="1"/>
          <w:color w:val="auto"/>
        </w:rPr>
        <w:t>Commission file number: 001-37352</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Virtu Financial,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69" w:lineRule="exact"/>
        <w:rPr>
          <w:sz w:val="24"/>
          <w:szCs w:val="24"/>
          <w:color w:val="auto"/>
        </w:rPr>
      </w:pPr>
    </w:p>
    <w:tbl>
      <w:tblPr>
        <w:tblLayout w:type="fixed"/>
        <w:tblInd w:w="920" w:type="dxa"/>
        <w:tblCellMar>
          <w:top w:w="0" w:type="dxa"/>
          <w:left w:w="0" w:type="dxa"/>
          <w:bottom w:w="0" w:type="dxa"/>
          <w:right w:w="0" w:type="dxa"/>
        </w:tblCellMar>
      </w:tblPr>
      <w:tr>
        <w:trPr>
          <w:trHeight w:val="202"/>
        </w:trPr>
        <w:tc>
          <w:tcPr>
            <w:tcW w:w="4620" w:type="dxa"/>
            <w:vAlign w:val="bottom"/>
          </w:tcPr>
          <w:p>
            <w:pPr>
              <w:jc w:val="center"/>
              <w:ind w:right="1167"/>
              <w:spacing w:after="0"/>
              <w:rPr>
                <w:sz w:val="20"/>
                <w:szCs w:val="20"/>
                <w:color w:val="auto"/>
              </w:rPr>
            </w:pPr>
            <w:r>
              <w:rPr>
                <w:rFonts w:ascii="Arial" w:cs="Arial" w:eastAsia="Arial" w:hAnsi="Arial"/>
                <w:sz w:val="17"/>
                <w:szCs w:val="17"/>
                <w:b w:val="1"/>
                <w:bCs w:val="1"/>
                <w:color w:val="auto"/>
                <w:w w:val="88"/>
              </w:rPr>
              <w:t>Delaware</w:t>
            </w:r>
          </w:p>
        </w:tc>
        <w:tc>
          <w:tcPr>
            <w:tcW w:w="3300" w:type="dxa"/>
            <w:vAlign w:val="bottom"/>
          </w:tcPr>
          <w:p>
            <w:pPr>
              <w:jc w:val="right"/>
              <w:ind w:right="546"/>
              <w:spacing w:after="0"/>
              <w:rPr>
                <w:sz w:val="20"/>
                <w:szCs w:val="20"/>
                <w:color w:val="auto"/>
              </w:rPr>
            </w:pPr>
            <w:r>
              <w:rPr>
                <w:rFonts w:ascii="Arial" w:cs="Arial" w:eastAsia="Arial" w:hAnsi="Arial"/>
                <w:sz w:val="17"/>
                <w:szCs w:val="17"/>
                <w:b w:val="1"/>
                <w:bCs w:val="1"/>
                <w:color w:val="auto"/>
              </w:rPr>
              <w:t>32-0420206</w:t>
            </w:r>
          </w:p>
        </w:tc>
        <w:tc>
          <w:tcPr>
            <w:tcW w:w="0" w:type="dxa"/>
            <w:vAlign w:val="bottom"/>
          </w:tcPr>
          <w:p>
            <w:pPr>
              <w:spacing w:after="0"/>
              <w:rPr>
                <w:sz w:val="1"/>
                <w:szCs w:val="1"/>
                <w:color w:val="auto"/>
              </w:rPr>
            </w:pPr>
          </w:p>
        </w:tc>
      </w:tr>
      <w:tr>
        <w:trPr>
          <w:trHeight w:val="180"/>
        </w:trPr>
        <w:tc>
          <w:tcPr>
            <w:tcW w:w="4620" w:type="dxa"/>
            <w:vAlign w:val="bottom"/>
          </w:tcPr>
          <w:p>
            <w:pPr>
              <w:jc w:val="center"/>
              <w:ind w:right="1167"/>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3300" w:type="dxa"/>
            <w:vAlign w:val="bottom"/>
          </w:tcPr>
          <w:p>
            <w:pPr>
              <w:jc w:val="center"/>
              <w:ind w:left="1166"/>
              <w:spacing w:after="0"/>
              <w:rPr>
                <w:sz w:val="20"/>
                <w:szCs w:val="20"/>
                <w:color w:val="auto"/>
              </w:rPr>
            </w:pPr>
            <w:r>
              <w:rPr>
                <w:rFonts w:ascii="Arial" w:cs="Arial" w:eastAsia="Arial" w:hAnsi="Arial"/>
                <w:sz w:val="14"/>
                <w:szCs w:val="14"/>
                <w:color w:val="auto"/>
                <w:w w:val="95"/>
              </w:rPr>
              <w:t>(I.R.S. Employer Identification No.)</w:t>
            </w:r>
          </w:p>
        </w:tc>
        <w:tc>
          <w:tcPr>
            <w:tcW w:w="0" w:type="dxa"/>
            <w:vAlign w:val="bottom"/>
          </w:tcPr>
          <w:p>
            <w:pPr>
              <w:spacing w:after="0"/>
              <w:rPr>
                <w:sz w:val="1"/>
                <w:szCs w:val="1"/>
                <w:color w:val="auto"/>
              </w:rPr>
            </w:pPr>
          </w:p>
        </w:tc>
      </w:tr>
      <w:tr>
        <w:trPr>
          <w:trHeight w:val="213"/>
        </w:trPr>
        <w:tc>
          <w:tcPr>
            <w:tcW w:w="4620" w:type="dxa"/>
            <w:vAlign w:val="bottom"/>
          </w:tcPr>
          <w:p>
            <w:pPr>
              <w:jc w:val="center"/>
              <w:ind w:right="1167"/>
              <w:spacing w:after="0"/>
              <w:rPr>
                <w:sz w:val="20"/>
                <w:szCs w:val="20"/>
                <w:color w:val="auto"/>
              </w:rPr>
            </w:pPr>
            <w:r>
              <w:rPr>
                <w:rFonts w:ascii="Arial" w:cs="Arial" w:eastAsia="Arial" w:hAnsi="Arial"/>
                <w:sz w:val="14"/>
                <w:szCs w:val="14"/>
                <w:b w:val="1"/>
                <w:bCs w:val="1"/>
                <w:color w:val="auto"/>
                <w:w w:val="88"/>
              </w:rPr>
              <w:t>300 Vesey Street</w:t>
            </w:r>
          </w:p>
        </w:tc>
        <w:tc>
          <w:tcPr>
            <w:tcW w:w="3300" w:type="dxa"/>
            <w:vAlign w:val="bottom"/>
            <w:vMerge w:val="restart"/>
          </w:tcPr>
          <w:p>
            <w:pPr>
              <w:jc w:val="right"/>
              <w:ind w:right="786"/>
              <w:spacing w:after="0"/>
              <w:rPr>
                <w:sz w:val="20"/>
                <w:szCs w:val="20"/>
                <w:color w:val="auto"/>
              </w:rPr>
            </w:pPr>
            <w:r>
              <w:rPr>
                <w:rFonts w:ascii="Arial" w:cs="Arial" w:eastAsia="Arial" w:hAnsi="Arial"/>
                <w:sz w:val="14"/>
                <w:szCs w:val="14"/>
                <w:b w:val="1"/>
                <w:bCs w:val="1"/>
                <w:color w:val="auto"/>
              </w:rPr>
              <w:t>10282</w:t>
            </w:r>
          </w:p>
        </w:tc>
        <w:tc>
          <w:tcPr>
            <w:tcW w:w="0" w:type="dxa"/>
            <w:vAlign w:val="bottom"/>
          </w:tcPr>
          <w:p>
            <w:pPr>
              <w:spacing w:after="0"/>
              <w:rPr>
                <w:sz w:val="1"/>
                <w:szCs w:val="1"/>
                <w:color w:val="auto"/>
              </w:rPr>
            </w:pPr>
          </w:p>
        </w:tc>
      </w:tr>
      <w:tr>
        <w:trPr>
          <w:trHeight w:val="150"/>
        </w:trPr>
        <w:tc>
          <w:tcPr>
            <w:tcW w:w="4620" w:type="dxa"/>
            <w:vAlign w:val="bottom"/>
          </w:tcPr>
          <w:p>
            <w:pPr>
              <w:jc w:val="center"/>
              <w:ind w:right="1167"/>
              <w:spacing w:after="0" w:line="149" w:lineRule="exact"/>
              <w:rPr>
                <w:sz w:val="20"/>
                <w:szCs w:val="20"/>
                <w:color w:val="auto"/>
              </w:rPr>
            </w:pPr>
            <w:r>
              <w:rPr>
                <w:rFonts w:ascii="Arial" w:cs="Arial" w:eastAsia="Arial" w:hAnsi="Arial"/>
                <w:sz w:val="14"/>
                <w:szCs w:val="14"/>
                <w:b w:val="1"/>
                <w:bCs w:val="1"/>
                <w:color w:val="auto"/>
                <w:w w:val="93"/>
              </w:rPr>
              <w:t>New York, New York 10282</w:t>
            </w:r>
          </w:p>
        </w:tc>
        <w:tc>
          <w:tcPr>
            <w:tcW w:w="3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620" w:type="dxa"/>
            <w:vAlign w:val="bottom"/>
          </w:tcPr>
          <w:p>
            <w:pPr>
              <w:jc w:val="center"/>
              <w:ind w:right="1167"/>
              <w:spacing w:after="0"/>
              <w:rPr>
                <w:sz w:val="20"/>
                <w:szCs w:val="20"/>
                <w:color w:val="auto"/>
              </w:rPr>
            </w:pPr>
            <w:r>
              <w:rPr>
                <w:rFonts w:ascii="Arial" w:cs="Arial" w:eastAsia="Arial" w:hAnsi="Arial"/>
                <w:sz w:val="14"/>
                <w:szCs w:val="14"/>
                <w:color w:val="auto"/>
                <w:w w:val="92"/>
              </w:rPr>
              <w:t>(Address of principal executive offices)</w:t>
            </w:r>
          </w:p>
        </w:tc>
        <w:tc>
          <w:tcPr>
            <w:tcW w:w="3300" w:type="dxa"/>
            <w:vAlign w:val="bottom"/>
          </w:tcPr>
          <w:p>
            <w:pPr>
              <w:jc w:val="center"/>
              <w:ind w:left="1166"/>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(212) 418-0100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04" w:lineRule="exact"/>
        <w:rPr>
          <w:sz w:val="24"/>
          <w:szCs w:val="24"/>
          <w:color w:val="auto"/>
        </w:rPr>
      </w:pPr>
    </w:p>
    <w:p>
      <w:pPr>
        <w:ind w:left="26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79"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7" w:lineRule="exact"/>
        <w:rPr>
          <w:sz w:val="24"/>
          <w:szCs w:val="24"/>
          <w:color w:val="auto"/>
        </w:rPr>
      </w:pPr>
    </w:p>
    <w:p>
      <w:pPr>
        <w:ind w:left="460"/>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6" w:lineRule="exact"/>
        <w:rPr>
          <w:sz w:val="24"/>
          <w:szCs w:val="24"/>
          <w:color w:val="auto"/>
        </w:rPr>
      </w:pPr>
    </w:p>
    <w:p>
      <w:pPr>
        <w:ind w:right="20" w:firstLine="44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100" w:firstLine="444"/>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firstLine="444"/>
        <w:spacing w:after="0" w:line="205"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74" w:lineRule="exact"/>
        <w:rPr>
          <w:sz w:val="24"/>
          <w:szCs w:val="24"/>
          <w:color w:val="auto"/>
        </w:rPr>
      </w:pPr>
    </w:p>
    <w:p>
      <w:pPr>
        <w:ind w:right="200" w:firstLine="444"/>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560" w:type="dxa"/>
            <w:vAlign w:val="bottom"/>
          </w:tcPr>
          <w:p>
            <w:pPr>
              <w:ind w:left="9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3180" w:type="dxa"/>
            <w:vAlign w:val="bottom"/>
          </w:tcPr>
          <w:p>
            <w:pPr>
              <w:jc w:val="center"/>
              <w:spacing w:after="0" w:line="161" w:lineRule="exact"/>
              <w:rPr>
                <w:sz w:val="20"/>
                <w:szCs w:val="20"/>
                <w:color w:val="auto"/>
              </w:rPr>
            </w:pPr>
            <w:r>
              <w:rPr>
                <w:rFonts w:ascii="Arial" w:cs="Arial" w:eastAsia="Arial" w:hAnsi="Arial"/>
                <w:sz w:val="14"/>
                <w:szCs w:val="14"/>
                <w:color w:val="auto"/>
                <w:w w:val="92"/>
              </w:rPr>
              <w:t xml:space="preserve">Non-accelerated filer </w:t>
            </w:r>
            <w:r>
              <w:rPr>
                <w:rFonts w:ascii="MS PGothic" w:cs="MS PGothic" w:eastAsia="MS PGothic" w:hAnsi="MS PGothic"/>
                <w:sz w:val="14"/>
                <w:szCs w:val="14"/>
                <w:color w:val="auto"/>
                <w:w w:val="92"/>
              </w:rPr>
              <w:t>☐</w:t>
            </w:r>
          </w:p>
        </w:tc>
        <w:tc>
          <w:tcPr>
            <w:tcW w:w="2260" w:type="dxa"/>
            <w:vAlign w:val="bottom"/>
          </w:tcPr>
          <w:p>
            <w:pPr>
              <w:ind w:left="560"/>
              <w:spacing w:after="0" w:line="161" w:lineRule="exact"/>
              <w:rPr>
                <w:sz w:val="20"/>
                <w:szCs w:val="20"/>
                <w:color w:val="auto"/>
              </w:rPr>
            </w:pPr>
            <w:r>
              <w:rPr>
                <w:rFonts w:ascii="Arial" w:cs="Arial" w:eastAsia="Arial" w:hAnsi="Arial"/>
                <w:sz w:val="14"/>
                <w:szCs w:val="14"/>
                <w:color w:val="auto"/>
                <w:w w:val="90"/>
              </w:rPr>
              <w:t xml:space="preserve">Smaller reporting company </w:t>
            </w:r>
            <w:r>
              <w:rPr>
                <w:rFonts w:ascii="MS PGothic" w:cs="MS PGothic" w:eastAsia="MS PGothic" w:hAnsi="MS PGothic"/>
                <w:sz w:val="14"/>
                <w:szCs w:val="14"/>
                <w:color w:val="auto"/>
                <w:w w:val="90"/>
              </w:rPr>
              <w:t>☐</w:t>
            </w:r>
          </w:p>
        </w:tc>
      </w:tr>
      <w:tr>
        <w:trPr>
          <w:trHeight w:val="221"/>
        </w:trPr>
        <w:tc>
          <w:tcPr>
            <w:tcW w:w="2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1"/>
                <w:szCs w:val="11"/>
                <w:color w:val="auto"/>
                <w:w w:val="95"/>
              </w:rPr>
              <w:t>(Do not check if a smaller reporting company)</w:t>
            </w:r>
          </w:p>
        </w:tc>
        <w:tc>
          <w:tcPr>
            <w:tcW w:w="2260" w:type="dxa"/>
            <w:vAlign w:val="bottom"/>
          </w:tcPr>
          <w:p>
            <w:pPr>
              <w:ind w:left="560"/>
              <w:spacing w:after="0" w:line="161" w:lineRule="exact"/>
              <w:rPr>
                <w:sz w:val="20"/>
                <w:szCs w:val="20"/>
                <w:color w:val="auto"/>
              </w:rPr>
            </w:pPr>
            <w:r>
              <w:rPr>
                <w:rFonts w:ascii="Arial" w:cs="Arial" w:eastAsia="Arial" w:hAnsi="Arial"/>
                <w:sz w:val="14"/>
                <w:szCs w:val="14"/>
                <w:color w:val="auto"/>
                <w:w w:val="91"/>
              </w:rPr>
              <w:t xml:space="preserve">Emerging growth company </w:t>
            </w:r>
            <w:r>
              <w:rPr>
                <w:rFonts w:ascii="MS PGothic" w:cs="MS PGothic" w:eastAsia="MS PGothic" w:hAnsi="MS PGothic"/>
                <w:sz w:val="14"/>
                <w:szCs w:val="14"/>
                <w:color w:val="auto"/>
                <w:w w:val="91"/>
              </w:rPr>
              <w:t>☒</w:t>
            </w:r>
          </w:p>
        </w:tc>
      </w:tr>
    </w:tbl>
    <w:p>
      <w:pPr>
        <w:spacing w:after="0" w:line="91" w:lineRule="exact"/>
        <w:rPr>
          <w:sz w:val="24"/>
          <w:szCs w:val="24"/>
          <w:color w:val="auto"/>
        </w:rPr>
      </w:pPr>
    </w:p>
    <w:p>
      <w:pPr>
        <w:jc w:val="both"/>
        <w:ind w:firstLine="444"/>
        <w:spacing w:after="0" w:line="200"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3" w:lineRule="exact"/>
        <w:rPr>
          <w:sz w:val="24"/>
          <w:szCs w:val="24"/>
          <w:color w:val="auto"/>
        </w:rPr>
      </w:pPr>
    </w:p>
    <w:p>
      <w:pPr>
        <w:ind w:left="460"/>
        <w:spacing w:after="0" w:line="173" w:lineRule="exact"/>
        <w:tabs>
          <w:tab w:leader="none" w:pos="83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right="160" w:firstLine="444"/>
        <w:spacing w:after="0" w:line="281" w:lineRule="auto"/>
        <w:rPr>
          <w:sz w:val="20"/>
          <w:szCs w:val="20"/>
          <w:color w:val="auto"/>
        </w:rPr>
      </w:pPr>
      <w:r>
        <w:rPr>
          <w:rFonts w:ascii="Arial" w:cs="Arial" w:eastAsia="Arial" w:hAnsi="Arial"/>
          <w:sz w:val="16"/>
          <w:szCs w:val="16"/>
          <w:color w:val="auto"/>
        </w:rPr>
        <w:t>The aggregate market value of voting and non-voting common stock held by non-affiliates of the registrant as of June 30, 2017 was approximately $699.7 million, based on the closing price of $17.65 per share as reported by NASDAQ on such date.</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March 13, 2018, the Company has the following classes of common stock outstanding:</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 Outstanding</w:t>
            </w:r>
          </w:p>
        </w:tc>
      </w:tr>
      <w:tr>
        <w:trPr>
          <w:trHeight w:val="171"/>
        </w:trPr>
        <w:tc>
          <w:tcPr>
            <w:tcW w:w="6720" w:type="dxa"/>
            <w:vAlign w:val="bottom"/>
            <w:gridSpan w:val="2"/>
          </w:tcPr>
          <w:p>
            <w:pPr>
              <w:ind w:left="2880"/>
              <w:spacing w:after="0"/>
              <w:rPr>
                <w:sz w:val="20"/>
                <w:szCs w:val="20"/>
                <w:color w:val="auto"/>
              </w:rPr>
            </w:pPr>
            <w:r>
              <w:rPr>
                <w:rFonts w:ascii="Arial" w:cs="Arial" w:eastAsia="Arial" w:hAnsi="Arial"/>
                <w:sz w:val="13"/>
                <w:szCs w:val="13"/>
                <w:b w:val="1"/>
                <w:bCs w:val="1"/>
                <w:color w:val="auto"/>
              </w:rPr>
              <w:t>Class of Stock</w:t>
            </w:r>
          </w:p>
        </w:tc>
        <w:tc>
          <w:tcPr>
            <w:tcW w:w="1600" w:type="dxa"/>
            <w:vAlign w:val="bottom"/>
            <w:gridSpan w:val="2"/>
          </w:tcPr>
          <w:p>
            <w:pPr>
              <w:ind w:left="200"/>
              <w:spacing w:after="0"/>
              <w:rPr>
                <w:sz w:val="20"/>
                <w:szCs w:val="20"/>
                <w:color w:val="auto"/>
              </w:rPr>
            </w:pPr>
            <w:r>
              <w:rPr>
                <w:rFonts w:ascii="Arial" w:cs="Arial" w:eastAsia="Arial" w:hAnsi="Arial"/>
                <w:sz w:val="13"/>
                <w:szCs w:val="13"/>
                <w:b w:val="1"/>
                <w:bCs w:val="1"/>
                <w:color w:val="auto"/>
              </w:rPr>
              <w:t>as of March 13, 2018</w:t>
            </w:r>
          </w:p>
        </w:tc>
      </w:tr>
      <w:tr>
        <w:trPr>
          <w:trHeight w:val="153"/>
        </w:trPr>
        <w:tc>
          <w:tcPr>
            <w:tcW w:w="656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7"/>
                <w:szCs w:val="17"/>
                <w:color w:val="auto"/>
              </w:rPr>
              <w:t>Class A common stock, par value $0.00001 per share</w:t>
            </w:r>
          </w:p>
        </w:tc>
        <w:tc>
          <w:tcPr>
            <w:tcW w:w="16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center"/>
              <w:spacing w:after="0" w:line="153" w:lineRule="exact"/>
              <w:rPr>
                <w:sz w:val="20"/>
                <w:szCs w:val="20"/>
                <w:color w:val="auto"/>
              </w:rPr>
            </w:pPr>
            <w:r>
              <w:rPr>
                <w:rFonts w:ascii="Arial" w:cs="Arial" w:eastAsia="Arial" w:hAnsi="Arial"/>
                <w:sz w:val="17"/>
                <w:szCs w:val="17"/>
                <w:color w:val="auto"/>
                <w:w w:val="93"/>
              </w:rPr>
              <w:t>91,512,582</w:t>
            </w:r>
          </w:p>
        </w:tc>
        <w:tc>
          <w:tcPr>
            <w:tcW w:w="40" w:type="dxa"/>
            <w:vAlign w:val="bottom"/>
            <w:tcBorders>
              <w:top w:val="single" w:sz="8" w:color="CCEEFF"/>
            </w:tcBorders>
            <w:shd w:val="clear" w:color="auto" w:fill="CCEEFF"/>
          </w:tcPr>
          <w:p>
            <w:pPr>
              <w:spacing w:after="0"/>
              <w:rPr>
                <w:sz w:val="13"/>
                <w:szCs w:val="13"/>
                <w:color w:val="auto"/>
              </w:rPr>
            </w:pPr>
          </w:p>
        </w:tc>
      </w:tr>
      <w:tr>
        <w:trPr>
          <w:trHeight w:val="159"/>
        </w:trPr>
        <w:tc>
          <w:tcPr>
            <w:tcW w:w="6720" w:type="dxa"/>
            <w:vAlign w:val="bottom"/>
            <w:gridSpan w:val="2"/>
          </w:tcPr>
          <w:p>
            <w:pPr>
              <w:spacing w:after="0" w:line="159" w:lineRule="exact"/>
              <w:rPr>
                <w:sz w:val="20"/>
                <w:szCs w:val="20"/>
                <w:color w:val="auto"/>
              </w:rPr>
            </w:pPr>
            <w:r>
              <w:rPr>
                <w:rFonts w:ascii="Arial" w:cs="Arial" w:eastAsia="Arial" w:hAnsi="Arial"/>
                <w:sz w:val="18"/>
                <w:szCs w:val="18"/>
                <w:color w:val="auto"/>
              </w:rPr>
              <w:t>Class C common stock, par value $0.00001 per share</w:t>
            </w:r>
          </w:p>
        </w:tc>
        <w:tc>
          <w:tcPr>
            <w:tcW w:w="1560" w:type="dxa"/>
            <w:vAlign w:val="bottom"/>
          </w:tcPr>
          <w:p>
            <w:pPr>
              <w:jc w:val="center"/>
              <w:spacing w:after="0" w:line="159" w:lineRule="exact"/>
              <w:rPr>
                <w:sz w:val="20"/>
                <w:szCs w:val="20"/>
                <w:color w:val="auto"/>
              </w:rPr>
            </w:pPr>
            <w:r>
              <w:rPr>
                <w:rFonts w:ascii="Arial" w:cs="Arial" w:eastAsia="Arial" w:hAnsi="Arial"/>
                <w:sz w:val="18"/>
                <w:szCs w:val="18"/>
                <w:color w:val="auto"/>
                <w:w w:val="88"/>
              </w:rPr>
              <w:t>17,066,564</w:t>
            </w:r>
          </w:p>
        </w:tc>
        <w:tc>
          <w:tcPr>
            <w:tcW w:w="40" w:type="dxa"/>
            <w:vAlign w:val="bottom"/>
          </w:tcPr>
          <w:p>
            <w:pPr>
              <w:spacing w:after="0"/>
              <w:rPr>
                <w:sz w:val="13"/>
                <w:szCs w:val="13"/>
                <w:color w:val="auto"/>
              </w:rPr>
            </w:pPr>
          </w:p>
        </w:tc>
      </w:tr>
      <w:tr>
        <w:trPr>
          <w:trHeight w:val="159"/>
        </w:trPr>
        <w:tc>
          <w:tcPr>
            <w:tcW w:w="6720" w:type="dxa"/>
            <w:vAlign w:val="bottom"/>
            <w:gridSpan w:val="2"/>
            <w:shd w:val="clear" w:color="auto" w:fill="CCEEFF"/>
          </w:tcPr>
          <w:p>
            <w:pPr>
              <w:spacing w:after="0" w:line="159" w:lineRule="exact"/>
              <w:rPr>
                <w:sz w:val="20"/>
                <w:szCs w:val="20"/>
                <w:color w:val="auto"/>
              </w:rPr>
            </w:pPr>
            <w:r>
              <w:rPr>
                <w:rFonts w:ascii="Arial" w:cs="Arial" w:eastAsia="Arial" w:hAnsi="Arial"/>
                <w:sz w:val="18"/>
                <w:szCs w:val="18"/>
                <w:color w:val="auto"/>
              </w:rPr>
              <w:t>Class D common stock, par value $0.00001 per share</w:t>
            </w:r>
          </w:p>
        </w:tc>
        <w:tc>
          <w:tcPr>
            <w:tcW w:w="1560" w:type="dxa"/>
            <w:vAlign w:val="bottom"/>
            <w:shd w:val="clear" w:color="auto" w:fill="CCEEFF"/>
          </w:tcPr>
          <w:p>
            <w:pPr>
              <w:jc w:val="center"/>
              <w:spacing w:after="0" w:line="159" w:lineRule="exact"/>
              <w:rPr>
                <w:sz w:val="20"/>
                <w:szCs w:val="20"/>
                <w:color w:val="auto"/>
              </w:rPr>
            </w:pPr>
            <w:r>
              <w:rPr>
                <w:rFonts w:ascii="Arial" w:cs="Arial" w:eastAsia="Arial" w:hAnsi="Arial"/>
                <w:sz w:val="18"/>
                <w:szCs w:val="18"/>
                <w:color w:val="auto"/>
                <w:w w:val="97"/>
              </w:rPr>
              <w:t>79,610,490</w:t>
            </w:r>
          </w:p>
        </w:tc>
        <w:tc>
          <w:tcPr>
            <w:tcW w:w="40" w:type="dxa"/>
            <w:vAlign w:val="bottom"/>
            <w:shd w:val="clear" w:color="auto" w:fill="CCEEFF"/>
          </w:tcPr>
          <w:p>
            <w:pPr>
              <w:spacing w:after="0"/>
              <w:rPr>
                <w:sz w:val="13"/>
                <w:szCs w:val="13"/>
                <w:color w:val="auto"/>
              </w:rPr>
            </w:pPr>
          </w:p>
        </w:tc>
      </w:tr>
    </w:tbl>
    <w:p>
      <w:pPr>
        <w:spacing w:after="0" w:line="83" w:lineRule="exact"/>
        <w:rPr>
          <w:sz w:val="24"/>
          <w:szCs w:val="24"/>
          <w:color w:val="auto"/>
        </w:rPr>
      </w:pPr>
    </w:p>
    <w:p>
      <w:pPr>
        <w:ind w:right="40" w:firstLine="635"/>
        <w:spacing w:after="0" w:line="356" w:lineRule="auto"/>
        <w:rPr>
          <w:sz w:val="20"/>
          <w:szCs w:val="20"/>
          <w:color w:val="auto"/>
        </w:rPr>
      </w:pPr>
      <w:r>
        <w:rPr>
          <w:rFonts w:ascii="Arial" w:cs="Arial" w:eastAsia="Arial" w:hAnsi="Arial"/>
          <w:sz w:val="14"/>
          <w:szCs w:val="14"/>
          <w:color w:val="auto"/>
        </w:rPr>
        <w:t>Portions of Part III of this Form 10-K are incorporated by reference from the Registrant’s definitive proxy statement (the “2018 Proxy Statement”) for its 2018 annual meeting of shareholders to be filed with the Securities and Exchange Commission no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6610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47625</wp:posOffset>
            </wp:positionV>
            <wp:extent cx="6610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375285</wp:posOffset>
            </wp:positionV>
            <wp:extent cx="661098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00"/>
          </w:cols>
          <w:pgMar w:left="740"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00" w:type="dxa"/>
            <w:vAlign w:val="bottom"/>
            <w:gridSpan w:val="19"/>
          </w:tcPr>
          <w:p>
            <w:pPr>
              <w:jc w:val="center"/>
              <w:ind w:right="1680"/>
              <w:spacing w:after="0"/>
              <w:rPr>
                <w:sz w:val="20"/>
                <w:szCs w:val="20"/>
                <w:color w:val="auto"/>
              </w:rPr>
            </w:pPr>
            <w:r>
              <w:rPr>
                <w:rFonts w:ascii="Arial" w:cs="Arial" w:eastAsia="Arial" w:hAnsi="Arial"/>
                <w:sz w:val="18"/>
                <w:szCs w:val="18"/>
                <w:b w:val="1"/>
                <w:bCs w:val="1"/>
                <w:color w:val="auto"/>
                <w:w w:val="99"/>
              </w:rPr>
              <w:t>VIRTU FINANCIAL, INC. AND SUBSIDIARIES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14"/>
          </w:tcPr>
          <w:p>
            <w:pPr>
              <w:jc w:val="center"/>
              <w:ind w:right="2740"/>
              <w:spacing w:after="0"/>
              <w:rPr>
                <w:sz w:val="20"/>
                <w:szCs w:val="20"/>
                <w:color w:val="auto"/>
              </w:rPr>
            </w:pPr>
            <w:r>
              <w:rPr>
                <w:rFonts w:ascii="Arial" w:cs="Arial" w:eastAsia="Arial" w:hAnsi="Arial"/>
                <w:sz w:val="18"/>
                <w:szCs w:val="18"/>
                <w:b w:val="1"/>
                <w:bCs w:val="1"/>
                <w:color w:val="auto"/>
                <w:w w:val="99"/>
              </w:rPr>
              <w:t>INDEX TO FORM 10-K</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00" w:type="dxa"/>
            <w:vAlign w:val="bottom"/>
            <w:gridSpan w:val="19"/>
          </w:tcPr>
          <w:p>
            <w:pPr>
              <w:jc w:val="center"/>
              <w:ind w:right="1660"/>
              <w:spacing w:after="0"/>
              <w:rPr>
                <w:sz w:val="20"/>
                <w:szCs w:val="20"/>
                <w:color w:val="auto"/>
              </w:rPr>
            </w:pPr>
            <w:r>
              <w:rPr>
                <w:rFonts w:ascii="Arial" w:cs="Arial" w:eastAsia="Arial" w:hAnsi="Arial"/>
                <w:sz w:val="18"/>
                <w:szCs w:val="18"/>
                <w:b w:val="1"/>
                <w:bCs w:val="1"/>
                <w:color w:val="auto"/>
                <w:w w:val="96"/>
              </w:rPr>
              <w:t>FOR THE YEAR ENDED DECEMBER 31, 2017</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1080" w:type="dxa"/>
            <w:vAlign w:val="bottom"/>
            <w:gridSpan w:val="1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5"/>
        </w:trPr>
        <w:tc>
          <w:tcPr>
            <w:tcW w:w="1080" w:type="dxa"/>
            <w:vAlign w:val="bottom"/>
            <w:gridSpan w:val="10"/>
            <w:vMerge w:val="continue"/>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5"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tcBorders>
              <w:bottom w:val="single" w:sz="8" w:color="0000EE"/>
            </w:tcBorders>
            <w:gridSpan w:val="5"/>
          </w:tcPr>
          <w:p>
            <w:pPr>
              <w:spacing w:after="0" w:line="192"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320" w:type="dxa"/>
            <w:vAlign w:val="bottom"/>
            <w:gridSpan w:val="4"/>
          </w:tcPr>
          <w:p>
            <w:pPr>
              <w:spacing w:after="0"/>
              <w:rPr>
                <w:sz w:val="16"/>
                <w:szCs w:val="16"/>
                <w:color w:val="auto"/>
              </w:rPr>
            </w:pPr>
          </w:p>
        </w:tc>
        <w:tc>
          <w:tcPr>
            <w:tcW w:w="840" w:type="dxa"/>
            <w:vAlign w:val="bottom"/>
            <w:tcBorders>
              <w:bottom w:val="single" w:sz="8" w:color="0000EE"/>
            </w:tcBorders>
          </w:tcPr>
          <w:p>
            <w:pPr>
              <w:spacing w:after="0" w:line="19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BUSINESS</w:t>
              </w:r>
            </w:hyperlink>
          </w:p>
        </w:tc>
        <w:tc>
          <w:tcPr>
            <w:tcW w:w="6400" w:type="dxa"/>
            <w:vAlign w:val="bottom"/>
            <w:gridSpan w:val="22"/>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60" w:type="dxa"/>
            <w:vAlign w:val="bottom"/>
            <w:gridSpan w:val="8"/>
          </w:tcPr>
          <w:p>
            <w:pPr>
              <w:spacing w:after="0" w:line="192"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ITEM 1A.</w:t>
              </w:r>
            </w:hyperlink>
          </w:p>
        </w:tc>
        <w:tc>
          <w:tcPr>
            <w:tcW w:w="200" w:type="dxa"/>
            <w:vAlign w:val="bottom"/>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760" w:type="dxa"/>
            <w:vAlign w:val="bottom"/>
            <w:gridSpan w:val="8"/>
          </w:tcPr>
          <w:p>
            <w:pPr>
              <w:spacing w:after="0" w:line="192"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ITEM 1B.</w:t>
              </w:r>
            </w:hyperlink>
          </w:p>
        </w:tc>
        <w:tc>
          <w:tcPr>
            <w:tcW w:w="200" w:type="dxa"/>
            <w:vAlign w:val="bottom"/>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tcBorders>
              <w:top w:val="single" w:sz="8" w:color="0000EE"/>
              <w:bottom w:val="single" w:sz="8" w:color="0000EE"/>
            </w:tcBorders>
            <w:gridSpan w:val="5"/>
          </w:tcPr>
          <w:p>
            <w:pPr>
              <w:spacing w:after="0" w:line="192"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ITEM 2.</w:t>
              </w:r>
            </w:hyperlink>
          </w:p>
        </w:tc>
        <w:tc>
          <w:tcPr>
            <w:tcW w:w="120" w:type="dxa"/>
            <w:vAlign w:val="bottom"/>
            <w:tcBorders>
              <w:top w:val="single" w:sz="8" w:color="0000EE"/>
            </w:tcBorders>
            <w:gridSpan w:val="3"/>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PROPERTIES</w:t>
              </w:r>
            </w:hyperlink>
          </w:p>
        </w:tc>
        <w:tc>
          <w:tcPr>
            <w:tcW w:w="1680" w:type="dxa"/>
            <w:vAlign w:val="bottom"/>
            <w:tcBorders>
              <w:top w:val="single" w:sz="8" w:color="0000EE"/>
            </w:tcBorders>
            <w:gridSpan w:val="9"/>
          </w:tcPr>
          <w:p>
            <w:pPr>
              <w:spacing w:after="0"/>
              <w:rPr>
                <w:sz w:val="16"/>
                <w:szCs w:val="16"/>
                <w:color w:val="auto"/>
              </w:rPr>
            </w:pPr>
          </w:p>
        </w:tc>
        <w:tc>
          <w:tcPr>
            <w:tcW w:w="4480" w:type="dxa"/>
            <w:vAlign w:val="bottom"/>
            <w:gridSpan w:val="12"/>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gridSpan w:val="5"/>
          </w:tcPr>
          <w:p>
            <w:pPr>
              <w:spacing w:after="0" w:line="192"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ITEM 3.</w:t>
              </w:r>
            </w:hyperlink>
          </w:p>
        </w:tc>
        <w:tc>
          <w:tcPr>
            <w:tcW w:w="320" w:type="dxa"/>
            <w:vAlign w:val="bottom"/>
            <w:gridSpan w:val="4"/>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tcBorders>
              <w:bottom w:val="single" w:sz="8" w:color="0000EE"/>
            </w:tcBorders>
            <w:gridSpan w:val="5"/>
          </w:tcPr>
          <w:p>
            <w:pPr>
              <w:spacing w:after="0" w:line="192"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ITEM 4.</w:t>
              </w:r>
            </w:hyperlink>
          </w:p>
        </w:tc>
        <w:tc>
          <w:tcPr>
            <w:tcW w:w="320" w:type="dxa"/>
            <w:vAlign w:val="bottom"/>
            <w:gridSpan w:val="4"/>
          </w:tcPr>
          <w:p>
            <w:pPr>
              <w:spacing w:after="0"/>
              <w:rPr>
                <w:sz w:val="16"/>
                <w:szCs w:val="16"/>
                <w:color w:val="auto"/>
              </w:rPr>
            </w:pPr>
          </w:p>
        </w:tc>
        <w:tc>
          <w:tcPr>
            <w:tcW w:w="2400" w:type="dxa"/>
            <w:vAlign w:val="bottom"/>
            <w:tcBorders>
              <w:bottom w:val="single" w:sz="8" w:color="0000EE"/>
            </w:tcBorders>
            <w:gridSpan w:val="9"/>
          </w:tcPr>
          <w:p>
            <w:pPr>
              <w:spacing w:after="0" w:line="192"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MINE SAFETY DISCLOSURES</w:t>
              </w:r>
            </w:hyperlink>
          </w:p>
        </w:tc>
        <w:tc>
          <w:tcPr>
            <w:tcW w:w="4840" w:type="dxa"/>
            <w:vAlign w:val="bottom"/>
            <w:gridSpan w:val="14"/>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03"/>
        </w:trPr>
        <w:tc>
          <w:tcPr>
            <w:tcW w:w="108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PART II</w:t>
              </w:r>
            </w:hyperlink>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gridSpan w:val="5"/>
          </w:tcPr>
          <w:p>
            <w:pPr>
              <w:spacing w:after="0" w:line="192"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ITEM 5.</w:t>
              </w:r>
            </w:hyperlink>
          </w:p>
        </w:tc>
        <w:tc>
          <w:tcPr>
            <w:tcW w:w="320" w:type="dxa"/>
            <w:vAlign w:val="bottom"/>
            <w:gridSpan w:val="4"/>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MARKET FOR REGISTRANT’S COMMON EQUITY, RELATED STOCKHOLDER MATTERS</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AND ISSUER PURCHASES OF EQUITY SECURITIES</w:t>
              </w:r>
            </w:hyperlink>
          </w:p>
        </w:tc>
        <w:tc>
          <w:tcPr>
            <w:tcW w:w="2900" w:type="dxa"/>
            <w:vAlign w:val="bottom"/>
            <w:tcBorders>
              <w:top w:val="single" w:sz="8" w:color="0000EE"/>
            </w:tcBorders>
            <w:gridSpan w:val="8"/>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gridSpan w:val="5"/>
          </w:tcPr>
          <w:p>
            <w:pPr>
              <w:spacing w:after="0" w:line="192"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ITEM 6.</w:t>
              </w:r>
            </w:hyperlink>
          </w:p>
        </w:tc>
        <w:tc>
          <w:tcPr>
            <w:tcW w:w="320" w:type="dxa"/>
            <w:vAlign w:val="bottom"/>
            <w:gridSpan w:val="4"/>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43">
              <w:r>
                <w:rPr>
                  <w:rFonts w:ascii="Arial" w:cs="Arial" w:eastAsia="Arial" w:hAnsi="Arial"/>
                  <w:sz w:val="18"/>
                  <w:szCs w:val="18"/>
                  <w:color w:val="0000EE"/>
                </w:rPr>
                <w:t>SELECTED FINANCIAL DATA</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tcBorders>
              <w:bottom w:val="single" w:sz="8" w:color="0000EE"/>
            </w:tcBorders>
            <w:gridSpan w:val="5"/>
          </w:tcPr>
          <w:p>
            <w:pPr>
              <w:spacing w:after="0" w:line="192"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ITEM 7.</w:t>
              </w:r>
            </w:hyperlink>
          </w:p>
        </w:tc>
        <w:tc>
          <w:tcPr>
            <w:tcW w:w="320" w:type="dxa"/>
            <w:vAlign w:val="bottom"/>
            <w:gridSpan w:val="4"/>
          </w:tcPr>
          <w:p>
            <w:pPr>
              <w:spacing w:after="0"/>
              <w:rPr>
                <w:sz w:val="16"/>
                <w:szCs w:val="16"/>
                <w:color w:val="auto"/>
              </w:rPr>
            </w:pPr>
          </w:p>
        </w:tc>
        <w:tc>
          <w:tcPr>
            <w:tcW w:w="6560" w:type="dxa"/>
            <w:vAlign w:val="bottom"/>
            <w:tcBorders>
              <w:bottom w:val="single" w:sz="8" w:color="0000EE"/>
            </w:tcBorders>
            <w:gridSpan w:val="20"/>
          </w:tcPr>
          <w:p>
            <w:pPr>
              <w:spacing w:after="0" w:line="192"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MANAGEMENT’S DISCUSSION AND ANALYSIS OF FINANCIAL CONDITION AND</w:t>
              </w:r>
            </w:hyperlink>
          </w:p>
        </w:tc>
        <w:tc>
          <w:tcPr>
            <w:tcW w:w="68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48">
              <w:r>
                <w:rPr>
                  <w:rFonts w:ascii="Arial" w:cs="Arial" w:eastAsia="Arial" w:hAnsi="Arial"/>
                  <w:sz w:val="18"/>
                  <w:szCs w:val="18"/>
                  <w:color w:val="0000EE"/>
                </w:rPr>
                <w:t>RESULTS OF OPERATIONS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760" w:type="dxa"/>
            <w:vAlign w:val="bottom"/>
            <w:gridSpan w:val="8"/>
          </w:tcPr>
          <w:p>
            <w:pPr>
              <w:spacing w:after="0" w:line="192"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ITEM 7A.</w:t>
              </w:r>
            </w:hyperlink>
          </w:p>
        </w:tc>
        <w:tc>
          <w:tcPr>
            <w:tcW w:w="200" w:type="dxa"/>
            <w:vAlign w:val="bottom"/>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tcBorders>
              <w:top w:val="single" w:sz="8" w:color="0000EE"/>
            </w:tcBorders>
            <w:gridSpan w:val="5"/>
          </w:tcPr>
          <w:p>
            <w:pPr>
              <w:spacing w:after="0" w:line="192"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ITEM 8.</w:t>
              </w:r>
            </w:hyperlink>
          </w:p>
        </w:tc>
        <w:tc>
          <w:tcPr>
            <w:tcW w:w="120" w:type="dxa"/>
            <w:vAlign w:val="bottom"/>
            <w:tcBorders>
              <w:top w:val="single" w:sz="8" w:color="0000EE"/>
            </w:tcBorders>
            <w:gridSpan w:val="3"/>
          </w:tcPr>
          <w:p>
            <w:pPr>
              <w:spacing w:after="0"/>
              <w:rPr>
                <w:sz w:val="16"/>
                <w:szCs w:val="16"/>
                <w:color w:val="auto"/>
              </w:rPr>
            </w:pPr>
          </w:p>
        </w:tc>
        <w:tc>
          <w:tcPr>
            <w:tcW w:w="200" w:type="dxa"/>
            <w:vAlign w:val="bottom"/>
          </w:tcPr>
          <w:p>
            <w:pPr>
              <w:spacing w:after="0"/>
              <w:rPr>
                <w:sz w:val="16"/>
                <w:szCs w:val="16"/>
                <w:color w:val="auto"/>
              </w:rPr>
            </w:pPr>
          </w:p>
        </w:tc>
        <w:tc>
          <w:tcPr>
            <w:tcW w:w="6020" w:type="dxa"/>
            <w:vAlign w:val="bottom"/>
            <w:tcBorders>
              <w:top w:val="single" w:sz="8" w:color="0000EE"/>
            </w:tcBorders>
            <w:gridSpan w:val="18"/>
          </w:tcPr>
          <w:p>
            <w:pPr>
              <w:spacing w:after="0" w:line="192" w:lineRule="exact"/>
              <w:rPr>
                <w:rFonts w:ascii="Arial" w:cs="Arial" w:eastAsia="Arial" w:hAnsi="Arial"/>
                <w:sz w:val="18"/>
                <w:szCs w:val="18"/>
                <w:color w:val="0000EE"/>
              </w:rPr>
            </w:pPr>
            <w:hyperlink w:anchor="page81">
              <w:r>
                <w:rPr>
                  <w:rFonts w:ascii="Arial" w:cs="Arial" w:eastAsia="Arial" w:hAnsi="Arial"/>
                  <w:sz w:val="18"/>
                  <w:szCs w:val="18"/>
                  <w:color w:val="0000EE"/>
                </w:rPr>
                <w:t>FINANCIAL STATEMENTS AND SUPPLEMENTARY DATA</w:t>
              </w:r>
            </w:hyperlink>
          </w:p>
        </w:tc>
        <w:tc>
          <w:tcPr>
            <w:tcW w:w="1220" w:type="dxa"/>
            <w:vAlign w:val="bottom"/>
            <w:gridSpan w:val="5"/>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640" w:type="dxa"/>
            <w:vAlign w:val="bottom"/>
            <w:gridSpan w:val="5"/>
          </w:tcPr>
          <w:p>
            <w:pPr>
              <w:spacing w:after="0" w:line="192"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ITEM 9.</w:t>
              </w:r>
            </w:hyperlink>
          </w:p>
        </w:tc>
        <w:tc>
          <w:tcPr>
            <w:tcW w:w="320" w:type="dxa"/>
            <w:vAlign w:val="bottom"/>
            <w:gridSpan w:val="4"/>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136">
              <w:r>
                <w:rPr>
                  <w:rFonts w:ascii="Arial" w:cs="Arial" w:eastAsia="Arial" w:hAnsi="Arial"/>
                  <w:sz w:val="18"/>
                  <w:szCs w:val="18"/>
                  <w:color w:val="0000EE"/>
                </w:rPr>
                <w:t>CHANGES IN AND DISAGREEMENTS WITH ACCOUNTANTS ON ACCOUNTING AND</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80" w:type="dxa"/>
            <w:vAlign w:val="bottom"/>
            <w:tcBorders>
              <w:top w:val="single" w:sz="8" w:color="0000EE"/>
            </w:tcBorders>
            <w:gridSpan w:val="21"/>
          </w:tcPr>
          <w:p>
            <w:pPr>
              <w:spacing w:after="0" w:line="192" w:lineRule="exact"/>
              <w:rPr>
                <w:rFonts w:ascii="Arial" w:cs="Arial" w:eastAsia="Arial" w:hAnsi="Arial"/>
                <w:sz w:val="18"/>
                <w:szCs w:val="18"/>
                <w:color w:val="0000EE"/>
              </w:rPr>
            </w:pPr>
            <w:hyperlink w:anchor="page136">
              <w:r>
                <w:rPr>
                  <w:rFonts w:ascii="Arial" w:cs="Arial" w:eastAsia="Arial" w:hAnsi="Arial"/>
                  <w:sz w:val="18"/>
                  <w:szCs w:val="18"/>
                  <w:color w:val="0000EE"/>
                </w:rPr>
                <w:t>FINANCIAL DISCLOSURE</w:t>
              </w:r>
            </w:hyperlink>
          </w:p>
        </w:tc>
        <w:tc>
          <w:tcPr>
            <w:tcW w:w="460" w:type="dxa"/>
            <w:vAlign w:val="bottom"/>
            <w:gridSpan w:val="2"/>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760" w:type="dxa"/>
            <w:vAlign w:val="bottom"/>
            <w:tcBorders>
              <w:bottom w:val="single" w:sz="8" w:color="0000EE"/>
            </w:tcBorders>
            <w:gridSpan w:val="8"/>
          </w:tcPr>
          <w:p>
            <w:pPr>
              <w:spacing w:after="0" w:line="192" w:lineRule="exact"/>
              <w:rPr>
                <w:rFonts w:ascii="Arial" w:cs="Arial" w:eastAsia="Arial" w:hAnsi="Arial"/>
                <w:sz w:val="18"/>
                <w:szCs w:val="18"/>
                <w:color w:val="0000EE"/>
                <w:w w:val="95"/>
              </w:rPr>
            </w:pPr>
            <w:hyperlink w:anchor="page136">
              <w:r>
                <w:rPr>
                  <w:rFonts w:ascii="Arial" w:cs="Arial" w:eastAsia="Arial" w:hAnsi="Arial"/>
                  <w:sz w:val="18"/>
                  <w:szCs w:val="18"/>
                  <w:color w:val="0000EE"/>
                  <w:w w:val="95"/>
                </w:rPr>
                <w:t>ITEM 9A.</w:t>
              </w:r>
            </w:hyperlink>
          </w:p>
        </w:tc>
        <w:tc>
          <w:tcPr>
            <w:tcW w:w="200" w:type="dxa"/>
            <w:vAlign w:val="bottom"/>
          </w:tcPr>
          <w:p>
            <w:pPr>
              <w:spacing w:after="0"/>
              <w:rPr>
                <w:sz w:val="16"/>
                <w:szCs w:val="16"/>
                <w:color w:val="auto"/>
              </w:rPr>
            </w:pPr>
          </w:p>
        </w:tc>
        <w:tc>
          <w:tcPr>
            <w:tcW w:w="2560" w:type="dxa"/>
            <w:vAlign w:val="bottom"/>
            <w:tcBorders>
              <w:bottom w:val="single" w:sz="8" w:color="0000EE"/>
            </w:tcBorders>
            <w:gridSpan w:val="10"/>
          </w:tcPr>
          <w:p>
            <w:pPr>
              <w:spacing w:after="0" w:line="192" w:lineRule="exact"/>
              <w:rPr>
                <w:rFonts w:ascii="Arial" w:cs="Arial" w:eastAsia="Arial" w:hAnsi="Arial"/>
                <w:sz w:val="18"/>
                <w:szCs w:val="18"/>
                <w:color w:val="0000EE"/>
                <w:w w:val="92"/>
              </w:rPr>
            </w:pPr>
            <w:hyperlink w:anchor="page136">
              <w:r>
                <w:rPr>
                  <w:rFonts w:ascii="Arial" w:cs="Arial" w:eastAsia="Arial" w:hAnsi="Arial"/>
                  <w:sz w:val="18"/>
                  <w:szCs w:val="18"/>
                  <w:color w:val="0000EE"/>
                  <w:w w:val="92"/>
                </w:rPr>
                <w:t>CONTROLS AND PROCEDURES</w:t>
              </w:r>
            </w:hyperlink>
          </w:p>
        </w:tc>
        <w:tc>
          <w:tcPr>
            <w:tcW w:w="4680" w:type="dxa"/>
            <w:vAlign w:val="bottom"/>
            <w:gridSpan w:val="13"/>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60" w:type="dxa"/>
            <w:vAlign w:val="bottom"/>
            <w:tcBorders>
              <w:bottom w:val="single" w:sz="8" w:color="0000EE"/>
            </w:tcBorders>
            <w:gridSpan w:val="8"/>
          </w:tcPr>
          <w:p>
            <w:pPr>
              <w:spacing w:after="0" w:line="192"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ITEM 9B.</w:t>
              </w:r>
            </w:hyperlink>
          </w:p>
        </w:tc>
        <w:tc>
          <w:tcPr>
            <w:tcW w:w="200" w:type="dxa"/>
            <w:vAlign w:val="bottom"/>
          </w:tcPr>
          <w:p>
            <w:pPr>
              <w:spacing w:after="0"/>
              <w:rPr>
                <w:sz w:val="16"/>
                <w:szCs w:val="16"/>
                <w:color w:val="auto"/>
              </w:rPr>
            </w:pPr>
          </w:p>
        </w:tc>
        <w:tc>
          <w:tcPr>
            <w:tcW w:w="1860" w:type="dxa"/>
            <w:vAlign w:val="bottom"/>
            <w:tcBorders>
              <w:bottom w:val="single" w:sz="8" w:color="0000EE"/>
            </w:tcBorders>
            <w:gridSpan w:val="6"/>
          </w:tcPr>
          <w:p>
            <w:pPr>
              <w:spacing w:after="0" w:line="192" w:lineRule="exact"/>
              <w:rPr>
                <w:rFonts w:ascii="Arial" w:cs="Arial" w:eastAsia="Arial" w:hAnsi="Arial"/>
                <w:sz w:val="18"/>
                <w:szCs w:val="18"/>
                <w:color w:val="0000EE"/>
                <w:w w:val="94"/>
              </w:rPr>
            </w:pPr>
            <w:hyperlink w:anchor="page137">
              <w:r>
                <w:rPr>
                  <w:rFonts w:ascii="Arial" w:cs="Arial" w:eastAsia="Arial" w:hAnsi="Arial"/>
                  <w:sz w:val="18"/>
                  <w:szCs w:val="18"/>
                  <w:color w:val="0000EE"/>
                  <w:w w:val="94"/>
                </w:rPr>
                <w:t>OTHER INFORMATION</w:t>
              </w:r>
            </w:hyperlink>
          </w:p>
        </w:tc>
        <w:tc>
          <w:tcPr>
            <w:tcW w:w="5380" w:type="dxa"/>
            <w:vAlign w:val="bottom"/>
            <w:gridSpan w:val="17"/>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403"/>
        </w:trPr>
        <w:tc>
          <w:tcPr>
            <w:tcW w:w="1080" w:type="dxa"/>
            <w:vAlign w:val="bottom"/>
            <w:gridSpan w:val="10"/>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PART III</w:t>
              </w:r>
            </w:hyperlink>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720" w:type="dxa"/>
            <w:vAlign w:val="bottom"/>
            <w:gridSpan w:val="7"/>
          </w:tcPr>
          <w:p>
            <w:pPr>
              <w:spacing w:after="0" w:line="192"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10.</w:t>
              </w:r>
            </w:hyperlink>
          </w:p>
        </w:tc>
        <w:tc>
          <w:tcPr>
            <w:tcW w:w="240" w:type="dxa"/>
            <w:vAlign w:val="bottom"/>
            <w:gridSpan w:val="2"/>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138">
              <w:r>
                <w:rPr>
                  <w:rFonts w:ascii="Arial" w:cs="Arial" w:eastAsia="Arial" w:hAnsi="Arial"/>
                  <w:sz w:val="18"/>
                  <w:szCs w:val="18"/>
                  <w:color w:val="0000EE"/>
                </w:rPr>
                <w:t>DIRECTORS, EXECUTIVE OFFICERS, AND CORPORATE GOVERNANCE</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00" w:type="dxa"/>
            <w:vAlign w:val="bottom"/>
            <w:tcBorders>
              <w:top w:val="single" w:sz="8" w:color="0000EE"/>
            </w:tcBorders>
            <w:gridSpan w:val="6"/>
          </w:tcPr>
          <w:p>
            <w:pPr>
              <w:spacing w:after="0" w:line="192"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ITEM 11.</w:t>
              </w:r>
            </w:hyperlink>
          </w:p>
        </w:tc>
        <w:tc>
          <w:tcPr>
            <w:tcW w:w="20" w:type="dxa"/>
            <w:vAlign w:val="bottom"/>
            <w:tcBorders>
              <w:top w:val="single" w:sz="8" w:color="0000EE"/>
            </w:tcBorders>
          </w:tcPr>
          <w:p>
            <w:pPr>
              <w:spacing w:after="0"/>
              <w:rPr>
                <w:sz w:val="16"/>
                <w:szCs w:val="16"/>
                <w:color w:val="auto"/>
              </w:rPr>
            </w:pPr>
          </w:p>
        </w:tc>
        <w:tc>
          <w:tcPr>
            <w:tcW w:w="240" w:type="dxa"/>
            <w:vAlign w:val="bottom"/>
            <w:gridSpan w:val="2"/>
          </w:tcPr>
          <w:p>
            <w:pPr>
              <w:spacing w:after="0"/>
              <w:rPr>
                <w:sz w:val="16"/>
                <w:szCs w:val="16"/>
                <w:color w:val="auto"/>
              </w:rPr>
            </w:pPr>
          </w:p>
        </w:tc>
        <w:tc>
          <w:tcPr>
            <w:tcW w:w="5720" w:type="dxa"/>
            <w:vAlign w:val="bottom"/>
            <w:tcBorders>
              <w:top w:val="single" w:sz="8" w:color="0000EE"/>
            </w:tcBorders>
            <w:gridSpan w:val="17"/>
          </w:tcPr>
          <w:p>
            <w:pPr>
              <w:spacing w:after="0" w:line="192" w:lineRule="exact"/>
              <w:rPr>
                <w:rFonts w:ascii="Arial" w:cs="Arial" w:eastAsia="Arial" w:hAnsi="Arial"/>
                <w:sz w:val="18"/>
                <w:szCs w:val="18"/>
                <w:color w:val="0000EE"/>
              </w:rPr>
            </w:pPr>
            <w:hyperlink w:anchor="page138">
              <w:r>
                <w:rPr>
                  <w:rFonts w:ascii="Arial" w:cs="Arial" w:eastAsia="Arial" w:hAnsi="Arial"/>
                  <w:sz w:val="18"/>
                  <w:szCs w:val="18"/>
                  <w:color w:val="0000EE"/>
                </w:rPr>
                <w:t>EXECUTIVE COMPENSATION</w:t>
              </w:r>
            </w:hyperlink>
          </w:p>
        </w:tc>
        <w:tc>
          <w:tcPr>
            <w:tcW w:w="1520" w:type="dxa"/>
            <w:vAlign w:val="bottom"/>
            <w:gridSpan w:val="6"/>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720" w:type="dxa"/>
            <w:vAlign w:val="bottom"/>
            <w:gridSpan w:val="7"/>
          </w:tcPr>
          <w:p>
            <w:pPr>
              <w:spacing w:after="0" w:line="192"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12.</w:t>
              </w:r>
            </w:hyperlink>
          </w:p>
        </w:tc>
        <w:tc>
          <w:tcPr>
            <w:tcW w:w="240" w:type="dxa"/>
            <w:vAlign w:val="bottom"/>
            <w:gridSpan w:val="2"/>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SECURITY OWNERSHIP OF CERTAIN BENEFICIAL OWNERS AND MANAGEMENT AND</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color w:val="0000EE"/>
                <w:w w:val="93"/>
              </w:rPr>
            </w:pPr>
            <w:hyperlink w:anchor="page138">
              <w:r>
                <w:rPr>
                  <w:rFonts w:ascii="Arial" w:cs="Arial" w:eastAsia="Arial" w:hAnsi="Arial"/>
                  <w:sz w:val="18"/>
                  <w:szCs w:val="18"/>
                  <w:color w:val="0000EE"/>
                  <w:w w:val="93"/>
                </w:rPr>
                <w:t>RELATED STOCKHOLDER MATTERS</w:t>
              </w:r>
            </w:hyperlink>
          </w:p>
        </w:tc>
        <w:tc>
          <w:tcPr>
            <w:tcW w:w="4040" w:type="dxa"/>
            <w:vAlign w:val="bottom"/>
            <w:tcBorders>
              <w:top w:val="single" w:sz="8" w:color="0000EE"/>
            </w:tcBorders>
            <w:gridSpan w:val="10"/>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20" w:type="dxa"/>
            <w:vAlign w:val="bottom"/>
            <w:gridSpan w:val="7"/>
          </w:tcPr>
          <w:p>
            <w:pPr>
              <w:spacing w:after="0" w:line="192"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13.</w:t>
              </w:r>
            </w:hyperlink>
          </w:p>
        </w:tc>
        <w:tc>
          <w:tcPr>
            <w:tcW w:w="240" w:type="dxa"/>
            <w:vAlign w:val="bottom"/>
            <w:gridSpan w:val="2"/>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 TRANSACTIONS, AND DIRECTOR</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60" w:type="dxa"/>
            <w:vAlign w:val="bottom"/>
            <w:tcBorders>
              <w:top w:val="single" w:sz="8" w:color="0000EE"/>
            </w:tcBorders>
            <w:gridSpan w:val="19"/>
          </w:tcPr>
          <w:p>
            <w:pPr>
              <w:spacing w:after="0" w:line="192" w:lineRule="exact"/>
              <w:rPr>
                <w:rFonts w:ascii="Arial" w:cs="Arial" w:eastAsia="Arial" w:hAnsi="Arial"/>
                <w:sz w:val="18"/>
                <w:szCs w:val="18"/>
                <w:color w:val="0000EE"/>
              </w:rPr>
            </w:pPr>
            <w:hyperlink w:anchor="page138">
              <w:r>
                <w:rPr>
                  <w:rFonts w:ascii="Arial" w:cs="Arial" w:eastAsia="Arial" w:hAnsi="Arial"/>
                  <w:sz w:val="18"/>
                  <w:szCs w:val="18"/>
                  <w:color w:val="0000EE"/>
                </w:rPr>
                <w:t>INDEPENDENCE</w:t>
              </w:r>
            </w:hyperlink>
          </w:p>
        </w:tc>
        <w:tc>
          <w:tcPr>
            <w:tcW w:w="1080" w:type="dxa"/>
            <w:vAlign w:val="bottom"/>
            <w:gridSpan w:val="4"/>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720" w:type="dxa"/>
            <w:vAlign w:val="bottom"/>
            <w:gridSpan w:val="7"/>
          </w:tcPr>
          <w:p>
            <w:pPr>
              <w:spacing w:after="0" w:line="192" w:lineRule="exact"/>
              <w:rPr>
                <w:rFonts w:ascii="Arial" w:cs="Arial" w:eastAsia="Arial" w:hAnsi="Arial"/>
                <w:sz w:val="18"/>
                <w:szCs w:val="18"/>
                <w:color w:val="0000EE"/>
                <w:w w:val="95"/>
              </w:rPr>
            </w:pPr>
            <w:hyperlink w:anchor="page138">
              <w:r>
                <w:rPr>
                  <w:rFonts w:ascii="Arial" w:cs="Arial" w:eastAsia="Arial" w:hAnsi="Arial"/>
                  <w:sz w:val="18"/>
                  <w:szCs w:val="18"/>
                  <w:color w:val="0000EE"/>
                  <w:w w:val="95"/>
                </w:rPr>
                <w:t>ITEM 14.</w:t>
              </w:r>
            </w:hyperlink>
          </w:p>
        </w:tc>
        <w:tc>
          <w:tcPr>
            <w:tcW w:w="240" w:type="dxa"/>
            <w:vAlign w:val="bottom"/>
            <w:gridSpan w:val="2"/>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138">
              <w:r>
                <w:rPr>
                  <w:rFonts w:ascii="Arial" w:cs="Arial" w:eastAsia="Arial" w:hAnsi="Arial"/>
                  <w:sz w:val="18"/>
                  <w:szCs w:val="18"/>
                  <w:color w:val="0000EE"/>
                </w:rPr>
                <w:t>PRINCIPAL ACCOUNTANT FEES AND SERVICES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39">
              <w:r>
                <w:rPr>
                  <w:rFonts w:ascii="Arial" w:cs="Arial" w:eastAsia="Arial" w:hAnsi="Arial"/>
                  <w:sz w:val="18"/>
                  <w:szCs w:val="18"/>
                  <w:color w:val="0000EE"/>
                  <w:w w:val="91"/>
                </w:rPr>
                <w:t>PART IV</w:t>
              </w:r>
            </w:hyperlink>
          </w:p>
        </w:tc>
        <w:tc>
          <w:tcPr>
            <w:tcW w:w="4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20" w:type="dxa"/>
            <w:vAlign w:val="bottom"/>
            <w:tcBorders>
              <w:bottom w:val="single" w:sz="8" w:color="0000EE"/>
            </w:tcBorders>
            <w:gridSpan w:val="7"/>
          </w:tcPr>
          <w:p>
            <w:pPr>
              <w:spacing w:after="0" w:line="192"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ITEM 15.</w:t>
              </w:r>
            </w:hyperlink>
          </w:p>
        </w:tc>
        <w:tc>
          <w:tcPr>
            <w:tcW w:w="240" w:type="dxa"/>
            <w:vAlign w:val="bottom"/>
            <w:gridSpan w:val="2"/>
          </w:tcPr>
          <w:p>
            <w:pPr>
              <w:spacing w:after="0"/>
              <w:rPr>
                <w:sz w:val="16"/>
                <w:szCs w:val="16"/>
                <w:color w:val="auto"/>
              </w:rPr>
            </w:pPr>
          </w:p>
        </w:tc>
        <w:tc>
          <w:tcPr>
            <w:tcW w:w="4360" w:type="dxa"/>
            <w:vAlign w:val="bottom"/>
            <w:tcBorders>
              <w:bottom w:val="single" w:sz="8" w:color="0000EE"/>
            </w:tcBorders>
            <w:gridSpan w:val="15"/>
          </w:tcPr>
          <w:p>
            <w:pPr>
              <w:spacing w:after="0" w:line="192"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EXHIBITS AND FINANCIAL STATEMENT SCHEDULES</w:t>
              </w:r>
            </w:hyperlink>
          </w:p>
        </w:tc>
        <w:tc>
          <w:tcPr>
            <w:tcW w:w="2880" w:type="dxa"/>
            <w:vAlign w:val="bottom"/>
            <w:gridSpan w:val="8"/>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40" w:type="dxa"/>
            <w:vAlign w:val="bottom"/>
            <w:gridSpan w:val="23"/>
          </w:tcPr>
          <w:p>
            <w:pPr>
              <w:spacing w:after="0" w:line="192" w:lineRule="exact"/>
              <w:rPr>
                <w:rFonts w:ascii="Arial" w:cs="Arial" w:eastAsia="Arial" w:hAnsi="Arial"/>
                <w:sz w:val="18"/>
                <w:szCs w:val="18"/>
                <w:color w:val="0000EE"/>
              </w:rPr>
            </w:pPr>
            <w:hyperlink w:anchor="page143">
              <w:r>
                <w:rPr>
                  <w:rFonts w:ascii="Arial" w:cs="Arial" w:eastAsia="Arial" w:hAnsi="Arial"/>
                  <w:sz w:val="18"/>
                  <w:szCs w:val="18"/>
                  <w:color w:val="0000EE"/>
                </w:rPr>
                <w:t>SIGNATURES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39"/>
        <w:spacing w:after="0" w:line="254" w:lineRule="auto"/>
        <w:rPr>
          <w:sz w:val="20"/>
          <w:szCs w:val="20"/>
          <w:color w:val="auto"/>
        </w:rPr>
      </w:pPr>
      <w:r>
        <w:rPr>
          <w:rFonts w:ascii="Arial" w:cs="Arial" w:eastAsia="Arial" w:hAnsi="Arial"/>
          <w:sz w:val="18"/>
          <w:szCs w:val="18"/>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22" w:lineRule="exact"/>
        <w:rPr>
          <w:sz w:val="20"/>
          <w:szCs w:val="20"/>
          <w:color w:val="auto"/>
        </w:rPr>
      </w:pPr>
    </w:p>
    <w:p>
      <w:pPr>
        <w:ind w:left="640"/>
        <w:spacing w:after="0" w:line="173" w:lineRule="exact"/>
        <w:rPr>
          <w:sz w:val="20"/>
          <w:szCs w:val="20"/>
          <w:color w:val="auto"/>
        </w:rPr>
      </w:pPr>
      <w:r>
        <w:rPr>
          <w:rFonts w:ascii="Arial" w:cs="Arial" w:eastAsia="Arial" w:hAnsi="Arial"/>
          <w:sz w:val="15"/>
          <w:szCs w:val="15"/>
          <w:color w:val="auto"/>
        </w:rPr>
        <w:t>This Form 10-K contains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including certain statements contained in the risk factors. You</w:t>
      </w:r>
    </w:p>
    <w:p>
      <w:pPr>
        <w:spacing w:after="0" w:line="5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should not place undue reliance on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because they are subject to numerous uncertainties and factors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relating to our operations and business environment, all of which are difficult to predict and many of which are beyond our</w:t>
      </w:r>
    </w:p>
    <w:p>
      <w:pPr>
        <w:spacing w:after="0" w:line="3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control.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information concerning our possible or assumed future results of operations,</w:t>
      </w:r>
    </w:p>
    <w:p>
      <w:pPr>
        <w:spacing w:after="0" w:line="1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including descriptions of our business strategy.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can be identified by the use of</w:t>
      </w:r>
    </w:p>
    <w:p>
      <w:pPr>
        <w:spacing w:after="0" w:line="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forward</w:t>
      </w:r>
      <w:r>
        <w:rPr>
          <w:rFonts w:ascii="MS PGothic" w:cs="MS PGothic" w:eastAsia="MS PGothic" w:hAnsi="MS PGothic"/>
          <w:sz w:val="17"/>
          <w:szCs w:val="17"/>
          <w:color w:val="auto"/>
        </w:rPr>
        <w:t>‑</w:t>
      </w:r>
      <w:r>
        <w:rPr>
          <w:rFonts w:ascii="Arial" w:cs="Arial" w:eastAsia="Arial" w:hAnsi="Arial"/>
          <w:sz w:val="17"/>
          <w:szCs w:val="17"/>
          <w:color w:val="auto"/>
        </w:rPr>
        <w:t>looking terminology, including the terms “may,” “will,” “should,” “believe,” “expect,” “anticipate,” “intend,” “plan,”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“estimate,” “project” or, in each case, their negative, or other variations or comparable terminology and expressions. These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statements are based on assumptions that we have made in light of our experience in the industry as well as our perceptions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historical trends, current conditions, expected future developments and other factors we believe are appropriate under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circumstances. As you read and consider this Form 10-K, you should understand that these statements are not guarantees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performance or results and that our actual results of operations, financial condition and liquidity, and the development of the</w:t>
      </w:r>
    </w:p>
    <w:p>
      <w:pPr>
        <w:spacing w:after="0" w:line="3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industry in which we operate, may differ materially from those made in or suggested by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1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contained in this Form 10-K. By their nature,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involve known and unknown risks and uncertainties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because they relate to events and depend on circumstances that may or may not occur in the future. Although we believe that the</w:t>
      </w:r>
    </w:p>
    <w:p>
      <w:pPr>
        <w:spacing w:after="0" w:line="3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contained in this Form 10-K are based on reasonable assumptions, you should be aware that many</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factors could affect our actual financial results or results of operations and cash flows, and could cause actual results to differ</w:t>
      </w:r>
    </w:p>
    <w:p>
      <w:pPr>
        <w:spacing w:after="0" w:line="3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materially from those in such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including but not limited to:</w:t>
      </w:r>
    </w:p>
    <w:p>
      <w:pPr>
        <w:spacing w:after="0" w:line="205" w:lineRule="exact"/>
        <w:rPr>
          <w:sz w:val="20"/>
          <w:szCs w:val="20"/>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levels of overall trading activity;</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trading counterparties and clearing houses performing their obligations to us;</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failures of our customized trading platform;</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inherent to the electronic market making business and trading generally;</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 market making activities and execution services;</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continued access to sources of liquidity;</w:t>
      </w:r>
    </w:p>
    <w:p>
      <w:pPr>
        <w:spacing w:after="0" w:line="216" w:lineRule="exact"/>
        <w:rPr>
          <w:rFonts w:ascii="Arial" w:cs="Arial" w:eastAsia="Arial" w:hAnsi="Arial"/>
          <w:sz w:val="18"/>
          <w:szCs w:val="18"/>
          <w:color w:val="auto"/>
        </w:rPr>
      </w:pPr>
    </w:p>
    <w:p>
      <w:pPr>
        <w:ind w:left="960" w:hanging="324"/>
        <w:spacing w:after="0" w:line="207" w:lineRule="exact"/>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self</w:t>
      </w:r>
      <w:r>
        <w:rPr>
          <w:rFonts w:ascii="MS PGothic" w:cs="MS PGothic" w:eastAsia="MS PGothic" w:hAnsi="MS PGothic"/>
          <w:sz w:val="18"/>
          <w:szCs w:val="18"/>
          <w:color w:val="auto"/>
        </w:rPr>
        <w:t>‑</w:t>
      </w:r>
      <w:r>
        <w:rPr>
          <w:rFonts w:ascii="Arial" w:cs="Arial" w:eastAsia="Arial" w:hAnsi="Arial"/>
          <w:sz w:val="18"/>
          <w:szCs w:val="18"/>
          <w:color w:val="auto"/>
        </w:rPr>
        <w:t>clearing and other operational elements of our business;</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laws and regulations, including those specific to our industry;</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obligation to comply with applicable regulatory capital requirements;</w:t>
      </w:r>
    </w:p>
    <w:p>
      <w:pPr>
        <w:spacing w:after="0" w:line="216" w:lineRule="exact"/>
        <w:rPr>
          <w:rFonts w:ascii="Arial" w:cs="Arial" w:eastAsia="Arial" w:hAnsi="Arial"/>
          <w:sz w:val="18"/>
          <w:szCs w:val="18"/>
          <w:color w:val="auto"/>
        </w:rPr>
      </w:pPr>
    </w:p>
    <w:p>
      <w:pPr>
        <w:ind w:left="960" w:hanging="324"/>
        <w:spacing w:after="0" w:line="207" w:lineRule="exact"/>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other legal and regulatory</w:t>
      </w:r>
      <w:r>
        <w:rPr>
          <w:rFonts w:ascii="MS PGothic" w:cs="MS PGothic" w:eastAsia="MS PGothic" w:hAnsi="MS PGothic"/>
          <w:sz w:val="18"/>
          <w:szCs w:val="18"/>
          <w:color w:val="auto"/>
        </w:rPr>
        <w:t>‑</w:t>
      </w:r>
      <w:r>
        <w:rPr>
          <w:rFonts w:ascii="Arial" w:cs="Arial" w:eastAsia="Arial" w:hAnsi="Arial"/>
          <w:sz w:val="18"/>
          <w:szCs w:val="18"/>
          <w:color w:val="auto"/>
        </w:rPr>
        <w:t>based liabilities;</w:t>
      </w:r>
    </w:p>
    <w:p>
      <w:pPr>
        <w:spacing w:after="0" w:line="216" w:lineRule="exact"/>
        <w:rPr>
          <w:rFonts w:ascii="Arial" w:cs="Arial" w:eastAsia="Arial" w:hAnsi="Arial"/>
          <w:sz w:val="18"/>
          <w:szCs w:val="18"/>
          <w:color w:val="auto"/>
        </w:rPr>
      </w:pPr>
    </w:p>
    <w:p>
      <w:pPr>
        <w:ind w:left="960" w:right="40" w:hanging="324"/>
        <w:spacing w:after="0" w:line="264"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legislation that would impose taxes on certain financial transactions in the European Union, the U.S. and other jurisdictions;</w:t>
      </w:r>
    </w:p>
    <w:p>
      <w:pPr>
        <w:spacing w:after="0" w:line="179"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obligation to comply with laws and regulations applicable to our international operations;</w:t>
      </w:r>
    </w:p>
    <w:p>
      <w:pPr>
        <w:spacing w:after="0" w:line="216" w:lineRule="exact"/>
        <w:rPr>
          <w:rFonts w:ascii="Arial" w:cs="Arial" w:eastAsia="Arial" w:hAnsi="Arial"/>
          <w:sz w:val="18"/>
          <w:szCs w:val="18"/>
          <w:color w:val="auto"/>
        </w:rPr>
      </w:pPr>
    </w:p>
    <w:p>
      <w:pPr>
        <w:ind w:left="960" w:right="560" w:hanging="324"/>
        <w:spacing w:after="0" w:line="264"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enhanced media and regulatory scrutiny and its impact upon public perception of us or of companies in our industry;</w:t>
      </w:r>
    </w:p>
    <w:p>
      <w:pPr>
        <w:spacing w:after="0" w:line="179" w:lineRule="exact"/>
        <w:rPr>
          <w:rFonts w:ascii="Arial" w:cs="Arial" w:eastAsia="Arial" w:hAnsi="Arial"/>
          <w:sz w:val="18"/>
          <w:szCs w:val="18"/>
          <w:color w:val="auto"/>
        </w:rPr>
      </w:pPr>
    </w:p>
    <w:p>
      <w:pPr>
        <w:ind w:left="960" w:hanging="3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need to maintain and continue developing proprietary technologies;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system security or otherwise maintain confidential and proprietary information;</w:t>
      </w:r>
    </w:p>
    <w:p>
      <w:pPr>
        <w:spacing w:after="0" w:line="216" w:lineRule="exact"/>
        <w:rPr>
          <w:rFonts w:ascii="Arial" w:cs="Arial" w:eastAsia="Arial" w:hAnsi="Arial"/>
          <w:sz w:val="18"/>
          <w:szCs w:val="18"/>
          <w:color w:val="auto"/>
        </w:rPr>
      </w:pPr>
    </w:p>
    <w:p>
      <w:pPr>
        <w:ind w:left="960" w:right="139" w:hanging="324"/>
        <w:spacing w:after="0" w:line="264"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the Acquisition of KCG (as defined below) on existing business relationships, operating results, and ongoing business operations generally;</w:t>
      </w:r>
    </w:p>
    <w:p>
      <w:pPr>
        <w:spacing w:after="0" w:line="179" w:lineRule="exact"/>
        <w:rPr>
          <w:rFonts w:ascii="Arial" w:cs="Arial" w:eastAsia="Arial" w:hAnsi="Arial"/>
          <w:sz w:val="18"/>
          <w:szCs w:val="18"/>
          <w:color w:val="auto"/>
        </w:rPr>
      </w:pPr>
    </w:p>
    <w:p>
      <w:pPr>
        <w:ind w:left="960" w:right="19" w:hanging="324"/>
        <w:spacing w:after="0" w:line="264"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incurred in connection with the Acquisition of KCG, and the integration of KCG into our business;</w:t>
      </w:r>
    </w:p>
    <w:p>
      <w:pPr>
        <w:spacing w:after="0" w:line="73" w:lineRule="exact"/>
        <w:rPr>
          <w:rFonts w:ascii="Arial" w:cs="Arial" w:eastAsia="Arial" w:hAnsi="Arial"/>
          <w:sz w:val="18"/>
          <w:szCs w:val="18"/>
          <w:color w:val="auto"/>
        </w:rPr>
      </w:pPr>
    </w:p>
    <w:p>
      <w:pPr>
        <w:ind w:left="960" w:right="739" w:hanging="324"/>
        <w:spacing w:after="0" w:line="293"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two businesses and the anticipated benefits, costs savings and synergies or capital release may not be achieved;</w:t>
      </w:r>
    </w:p>
    <w:p>
      <w:pPr>
        <w:spacing w:after="0" w:line="51" w:lineRule="exact"/>
        <w:rPr>
          <w:rFonts w:ascii="Arial" w:cs="Arial" w:eastAsia="Arial" w:hAnsi="Arial"/>
          <w:sz w:val="17"/>
          <w:szCs w:val="17"/>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assumption of potential liabilities relating to KCG’s business;</w:t>
      </w:r>
    </w:p>
    <w:p>
      <w:pPr>
        <w:spacing w:after="0" w:line="110"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capacity constraints, system failures, and delays;</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party infrastructure or systems;</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open source software;</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in our proprietary technology;</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227" w:lineRule="exact"/>
        <w:rPr>
          <w:rFonts w:ascii="Arial" w:cs="Arial" w:eastAsia="Arial" w:hAnsi="Arial"/>
          <w:sz w:val="17"/>
          <w:szCs w:val="17"/>
          <w:color w:val="auto"/>
        </w:rPr>
      </w:pPr>
    </w:p>
    <w:p>
      <w:pPr>
        <w:ind w:left="960" w:right="119" w:hanging="324"/>
        <w:spacing w:after="0" w:line="271"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175" w:lineRule="exact"/>
        <w:rPr>
          <w:rFonts w:ascii="Arial" w:cs="Arial" w:eastAsia="Arial" w:hAnsi="Arial"/>
          <w:sz w:val="17"/>
          <w:szCs w:val="17"/>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potential growth and associated corporate actions;</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or delay, in accessing the capital markets to sell shares or raise additional capital;</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key executives and failure to recruit and retain qualified personnel; and</w:t>
      </w:r>
    </w:p>
    <w:p>
      <w:pPr>
        <w:spacing w:after="0" w:line="216" w:lineRule="exact"/>
        <w:rPr>
          <w:rFonts w:ascii="Arial" w:cs="Arial" w:eastAsia="Arial" w:hAnsi="Arial"/>
          <w:sz w:val="18"/>
          <w:szCs w:val="18"/>
          <w:color w:val="auto"/>
        </w:rPr>
      </w:pPr>
    </w:p>
    <w:p>
      <w:pPr>
        <w:ind w:left="960" w:hanging="3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losing access to a significant exchange or other trading venue.</w:t>
      </w:r>
    </w:p>
    <w:p>
      <w:pPr>
        <w:spacing w:after="0" w:line="200" w:lineRule="exact"/>
        <w:rPr>
          <w:sz w:val="20"/>
          <w:szCs w:val="20"/>
          <w:color w:val="auto"/>
        </w:rPr>
      </w:pPr>
    </w:p>
    <w:p>
      <w:pPr>
        <w:spacing w:after="0" w:line="228" w:lineRule="exact"/>
        <w:rPr>
          <w:sz w:val="20"/>
          <w:szCs w:val="20"/>
          <w:color w:val="auto"/>
        </w:rPr>
      </w:pPr>
    </w:p>
    <w:p>
      <w:pPr>
        <w:ind w:right="839" w:firstLine="635"/>
        <w:spacing w:after="0" w:line="264" w:lineRule="auto"/>
        <w:rPr>
          <w:sz w:val="20"/>
          <w:szCs w:val="20"/>
          <w:color w:val="auto"/>
        </w:rPr>
      </w:pPr>
      <w:r>
        <w:rPr>
          <w:rFonts w:ascii="Arial" w:cs="Arial" w:eastAsia="Arial" w:hAnsi="Arial"/>
          <w:sz w:val="18"/>
          <w:szCs w:val="18"/>
          <w:color w:val="auto"/>
        </w:rPr>
        <w:t>We undertake no obligation to publicly update or revise any forward-looking statements to reflect events or circumstances that may arise after the date of this Form 10-K.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5" w:lineRule="exact"/>
        <w:rPr>
          <w:sz w:val="20"/>
          <w:szCs w:val="20"/>
          <w:color w:val="auto"/>
        </w:rPr>
      </w:pPr>
    </w:p>
    <w:p>
      <w:pPr>
        <w:ind w:right="39" w:firstLine="489"/>
        <w:spacing w:after="0" w:line="312" w:lineRule="auto"/>
        <w:rPr>
          <w:sz w:val="20"/>
          <w:szCs w:val="20"/>
          <w:color w:val="auto"/>
        </w:rPr>
      </w:pPr>
      <w:r>
        <w:rPr>
          <w:rFonts w:ascii="Arial" w:cs="Arial" w:eastAsia="Arial" w:hAnsi="Arial"/>
          <w:sz w:val="15"/>
          <w:szCs w:val="15"/>
          <w:color w:val="auto"/>
        </w:rPr>
        <w:t>We are a leading financial services firm that leverages cutting edge technology to deliver liquidity to the global markets and innovative, transparent trading solutions to our clients. We believe that our broad diversification, in combination with our proprietary technology platform and low-cost structure, enables us to facilitate risk transfer between global capital markets participants by supplying execution services and competitive liquidity in over 25,000 securities and other financial instruments, on over 235 venues, in 36 countries worldwide while at the same time earning attractive margins and returns.</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100" w:firstLine="489"/>
        <w:spacing w:after="0" w:line="214" w:lineRule="exact"/>
        <w:rPr>
          <w:sz w:val="20"/>
          <w:szCs w:val="20"/>
          <w:color w:val="auto"/>
        </w:rPr>
      </w:pPr>
      <w:r>
        <w:rPr>
          <w:rFonts w:ascii="Arial" w:cs="Arial" w:eastAsia="Arial" w:hAnsi="Arial"/>
          <w:sz w:val="18"/>
          <w:szCs w:val="18"/>
          <w:color w:val="auto"/>
        </w:rPr>
        <w:t>Technology and operational efficiency are at the core of our business, and our focus on market making and order routing technology is a key element of our success. We have developed a proprietary, multi</w:t>
      </w:r>
      <w:r>
        <w:rPr>
          <w:rFonts w:ascii="MS PGothic" w:cs="MS PGothic" w:eastAsia="MS PGothic" w:hAnsi="MS PGothic"/>
          <w:sz w:val="18"/>
          <w:szCs w:val="18"/>
          <w:color w:val="auto"/>
        </w:rPr>
        <w:t>‑</w:t>
      </w:r>
      <w:r>
        <w:rPr>
          <w:rFonts w:ascii="Arial" w:cs="Arial" w:eastAsia="Arial" w:hAnsi="Arial"/>
          <w:sz w:val="18"/>
          <w:szCs w:val="18"/>
          <w:color w:val="auto"/>
        </w:rPr>
        <w:t>asset, multi</w:t>
      </w:r>
      <w:r>
        <w:rPr>
          <w:rFonts w:ascii="MS PGothic" w:cs="MS PGothic" w:eastAsia="MS PGothic" w:hAnsi="MS PGothic"/>
          <w:sz w:val="18"/>
          <w:szCs w:val="18"/>
          <w:color w:val="auto"/>
        </w:rPr>
        <w:t>‑</w:t>
      </w:r>
      <w:r>
        <w:rPr>
          <w:rFonts w:ascii="Arial" w:cs="Arial" w:eastAsia="Arial" w:hAnsi="Arial"/>
          <w:sz w:val="18"/>
          <w:szCs w:val="18"/>
          <w:color w:val="auto"/>
        </w:rPr>
        <w:t>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w:t>
      </w:r>
      <w:r>
        <w:rPr>
          <w:rFonts w:ascii="MS PGothic" w:cs="MS PGothic" w:eastAsia="MS PGothic" w:hAnsi="MS PGothic"/>
          <w:sz w:val="18"/>
          <w:szCs w:val="18"/>
          <w:color w:val="auto"/>
        </w:rPr>
        <w:t>‑</w:t>
      </w:r>
      <w:r>
        <w:rPr>
          <w:rFonts w:ascii="Arial" w:cs="Arial" w:eastAsia="Arial" w:hAnsi="Arial"/>
          <w:sz w:val="18"/>
          <w:szCs w:val="18"/>
          <w:color w:val="auto"/>
        </w:rPr>
        <w:t>party licensing or processing fees.</w:t>
      </w:r>
    </w:p>
    <w:p>
      <w:pPr>
        <w:spacing w:after="0" w:line="96" w:lineRule="exact"/>
        <w:rPr>
          <w:sz w:val="20"/>
          <w:szCs w:val="20"/>
          <w:color w:val="auto"/>
        </w:rPr>
      </w:pPr>
    </w:p>
    <w:p>
      <w:pPr>
        <w:jc w:val="both"/>
        <w:ind w:right="100" w:firstLine="489"/>
        <w:spacing w:after="0" w:line="317" w:lineRule="auto"/>
        <w:rPr>
          <w:sz w:val="20"/>
          <w:szCs w:val="20"/>
          <w:color w:val="auto"/>
        </w:rPr>
      </w:pPr>
      <w:r>
        <w:rPr>
          <w:rFonts w:ascii="Arial" w:cs="Arial" w:eastAsia="Arial" w:hAnsi="Arial"/>
          <w:sz w:val="15"/>
          <w:szCs w:val="15"/>
          <w:color w:val="auto"/>
        </w:rPr>
        <w:t>We believe that technology-enabled market makers like Virtu serve an important role in maintaining and improving the overall health and efficiency of the global capital markets by continuously posting bids and offers for financial instruments and thereby providing market participants a transparent and efficient means to transfer risk. All market participants benefit from the increased liquidity, lower overall trading costs and improve execution certainty that Virtu provides.</w:t>
      </w:r>
    </w:p>
    <w:p>
      <w:pPr>
        <w:spacing w:after="0" w:line="41" w:lineRule="exact"/>
        <w:rPr>
          <w:sz w:val="20"/>
          <w:szCs w:val="20"/>
          <w:color w:val="auto"/>
        </w:rPr>
      </w:pPr>
    </w:p>
    <w:p>
      <w:pPr>
        <w:ind w:firstLine="489"/>
        <w:spacing w:after="0" w:line="250" w:lineRule="auto"/>
        <w:rPr>
          <w:sz w:val="20"/>
          <w:szCs w:val="20"/>
          <w:color w:val="auto"/>
        </w:rPr>
      </w:pPr>
      <w:r>
        <w:rPr>
          <w:rFonts w:ascii="Arial" w:cs="Arial" w:eastAsia="Arial" w:hAnsi="Arial"/>
          <w:sz w:val="18"/>
          <w:szCs w:val="18"/>
          <w:color w:val="auto"/>
        </w:rPr>
        <w:t>As described in “Acquisition of KCG” below, on July 20, 2017 (the “Closing Date”), we completed our all-cash acquisition (the “Acquisition”) of KCG Holdings, Inc. (“KCG”). KCG was a leading independent securities firm offering clients a range of services designed to address trading needs across asset classes, product types and geographies. KCG combined advanced technology with specialized client service across market making, agency execution and trading venues and also engaged in principal trading via electronic market making.</w:t>
      </w:r>
    </w:p>
    <w:p>
      <w:pPr>
        <w:spacing w:after="0" w:line="86" w:lineRule="exact"/>
        <w:rPr>
          <w:sz w:val="20"/>
          <w:szCs w:val="20"/>
          <w:color w:val="auto"/>
        </w:rPr>
      </w:pPr>
    </w:p>
    <w:p>
      <w:pPr>
        <w:ind w:right="80" w:firstLine="489"/>
        <w:spacing w:after="0" w:line="329" w:lineRule="auto"/>
        <w:rPr>
          <w:sz w:val="20"/>
          <w:szCs w:val="20"/>
          <w:color w:val="auto"/>
        </w:rPr>
      </w:pPr>
      <w:r>
        <w:rPr>
          <w:rFonts w:ascii="Arial" w:cs="Arial" w:eastAsia="Arial" w:hAnsi="Arial"/>
          <w:sz w:val="15"/>
          <w:szCs w:val="15"/>
          <w:color w:val="auto"/>
        </w:rPr>
        <w:t>Prior to the Acquisition, Virtu operated as a single reportable business segment. As a result of the Acquisition, beginning in the third quarter of 2017, we have three operating segments: Market Making, Execution Services, and Corporate. Our management allocates resources, assesses performance and manages our business according to these segments.</w:t>
      </w:r>
    </w:p>
    <w:p>
      <w:pPr>
        <w:spacing w:after="0" w:line="31" w:lineRule="exact"/>
        <w:rPr>
          <w:sz w:val="20"/>
          <w:szCs w:val="20"/>
          <w:color w:val="auto"/>
        </w:rPr>
      </w:pPr>
    </w:p>
    <w:p>
      <w:pPr>
        <w:ind w:right="160" w:firstLine="635"/>
        <w:spacing w:after="0" w:line="213" w:lineRule="exact"/>
        <w:rPr>
          <w:sz w:val="20"/>
          <w:szCs w:val="20"/>
          <w:color w:val="auto"/>
        </w:rPr>
      </w:pPr>
      <w:r>
        <w:rPr>
          <w:rFonts w:ascii="Arial" w:cs="Arial" w:eastAsia="Arial" w:hAnsi="Arial"/>
          <w:sz w:val="17"/>
          <w:szCs w:val="17"/>
          <w:color w:val="auto"/>
        </w:rPr>
        <w:t>We primarily conduct our Americas Equities business through our three SEC registered broker</w:t>
      </w:r>
      <w:r>
        <w:rPr>
          <w:rFonts w:ascii="MS PGothic" w:cs="MS PGothic" w:eastAsia="MS PGothic" w:hAnsi="MS PGothic"/>
          <w:sz w:val="17"/>
          <w:szCs w:val="17"/>
          <w:color w:val="auto"/>
        </w:rPr>
        <w:t>‑</w:t>
      </w:r>
      <w:r>
        <w:rPr>
          <w:rFonts w:ascii="Arial" w:cs="Arial" w:eastAsia="Arial" w:hAnsi="Arial"/>
          <w:sz w:val="17"/>
          <w:szCs w:val="17"/>
          <w:color w:val="auto"/>
        </w:rPr>
        <w:t>dealers. We are registered with the Central Bank of Ireland and the Financial Conduct Authority (“FCA”) in the UK for our European trading and the Monetary Authority of Singapore and Australian Securities and Investments Commission for our Asia Pacific trading. We register as a market maker or liquidity provider and/or enter into direct obligations to provide liquidity on nearly every exchange or venue that offers such programs. We engage regularly with regulators around the world on issues affecting electronic trading and to advocate for increased transparency. In the U.S., we conduct our business from our headquarters in New York, New York and our trading centers in Austin, Texas and Chicago, Illinois. Abroad, we conduct our business through trading centers located in London, England, Dublin, Ireland and Singapore.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w:t>
      </w:r>
    </w:p>
    <w:p>
      <w:pPr>
        <w:spacing w:after="0" w:line="103" w:lineRule="exact"/>
        <w:rPr>
          <w:sz w:val="20"/>
          <w:szCs w:val="20"/>
          <w:color w:val="auto"/>
        </w:rPr>
      </w:pPr>
    </w:p>
    <w:p>
      <w:pPr>
        <w:ind w:right="60" w:firstLine="635"/>
        <w:spacing w:after="0" w:line="213" w:lineRule="exact"/>
        <w:rPr>
          <w:sz w:val="20"/>
          <w:szCs w:val="20"/>
          <w:color w:val="auto"/>
        </w:rPr>
      </w:pPr>
      <w:r>
        <w:rPr>
          <w:rFonts w:ascii="Arial" w:cs="Arial" w:eastAsia="Arial" w:hAnsi="Arial"/>
          <w:sz w:val="15"/>
          <w:szCs w:val="15"/>
          <w:color w:val="auto"/>
        </w:rPr>
        <w:t>Our Market Making segment principally consists of market making in the cash, futures, and options markets across global equities, options, fixed income, currencies and commodities. As a leading, low</w:t>
      </w:r>
      <w:r>
        <w:rPr>
          <w:rFonts w:ascii="MS PGothic" w:cs="MS PGothic" w:eastAsia="MS PGothic" w:hAnsi="MS PGothic"/>
          <w:sz w:val="15"/>
          <w:szCs w:val="15"/>
          <w:color w:val="auto"/>
        </w:rPr>
        <w:t>‑</w:t>
      </w:r>
      <w:r>
        <w:rPr>
          <w:rFonts w:ascii="Arial" w:cs="Arial" w:eastAsia="Arial" w:hAnsi="Arial"/>
          <w:sz w:val="15"/>
          <w:szCs w:val="15"/>
          <w:color w:val="auto"/>
        </w:rPr>
        <w:t>cost market maker dedicated to improving efficiency and providing liquidity across multiple securities, asset classes and geographies, we aim to provide critical market functionality and robust price competition in the securities and other financial instruments in which we provide liquidity. This contribution to the financial markets, and the scale and diversity of our market making activities, provides added liquidity and transparency, which we believe are necessary and valuable components to the efficient functioning of market infrastructure and benefit all market participants. We support transparent and efficient, technologically advanced marketplaces, and advocate for legislation and regulation that promotes fair and transparent access to markets.</w:t>
      </w:r>
    </w:p>
    <w:p>
      <w:pPr>
        <w:spacing w:after="0" w:line="97" w:lineRule="exact"/>
        <w:rPr>
          <w:sz w:val="20"/>
          <w:szCs w:val="20"/>
          <w:color w:val="auto"/>
        </w:rPr>
      </w:pPr>
    </w:p>
    <w:p>
      <w:pPr>
        <w:ind w:right="40" w:firstLine="635"/>
        <w:spacing w:after="0" w:line="312" w:lineRule="auto"/>
        <w:rPr>
          <w:sz w:val="20"/>
          <w:szCs w:val="20"/>
          <w:color w:val="auto"/>
        </w:rPr>
      </w:pPr>
      <w:r>
        <w:rPr>
          <w:rFonts w:ascii="Arial" w:cs="Arial" w:eastAsia="Arial" w:hAnsi="Arial"/>
          <w:sz w:val="15"/>
          <w:szCs w:val="15"/>
          <w:color w:val="auto"/>
        </w:rPr>
        <w:t>As a market maker, we commit capital on a principal basis by offering to buy securities from, or sell securities to, broker dealers, banks and institutions. We engage in principal trading in the Market Making segment direct to clients as well as in a supplemental capacity on exchanges and on alternative trading systems (“ATSs”). As a complement to electronic market making, our cash trading business handles specialized orders and transacts on the OTC Bulletin Board marketplaces operated by the OTC Markets Group Inc. and the Alternative Investment Market of the London Stock Exchange (“AIM”).</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100"/>
          </w:cols>
          <w:pgMar w:left="1420" w:top="127"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380" w:firstLine="635"/>
        <w:spacing w:after="0" w:line="364" w:lineRule="auto"/>
        <w:rPr>
          <w:sz w:val="20"/>
          <w:szCs w:val="20"/>
          <w:color w:val="auto"/>
        </w:rPr>
      </w:pPr>
      <w:r>
        <w:rPr>
          <w:rFonts w:ascii="Arial" w:cs="Arial" w:eastAsia="Arial" w:hAnsi="Arial"/>
          <w:sz w:val="15"/>
          <w:szCs w:val="15"/>
          <w:color w:val="auto"/>
        </w:rPr>
        <w:t>We make markets in a number of different assets classes, which are discussed in more detail below. We register as market makers and liquidity providers where available and support affirmative market making obligations.</w:t>
      </w:r>
    </w:p>
    <w:p>
      <w:pPr>
        <w:spacing w:after="0" w:line="6" w:lineRule="exact"/>
        <w:rPr>
          <w:sz w:val="20"/>
          <w:szCs w:val="20"/>
          <w:color w:val="auto"/>
        </w:rPr>
      </w:pPr>
    </w:p>
    <w:p>
      <w:pPr>
        <w:ind w:right="160" w:firstLine="635"/>
        <w:spacing w:after="0" w:line="268" w:lineRule="auto"/>
        <w:rPr>
          <w:sz w:val="20"/>
          <w:szCs w:val="20"/>
          <w:color w:val="auto"/>
        </w:rPr>
      </w:pPr>
      <w:r>
        <w:rPr>
          <w:rFonts w:ascii="Arial" w:cs="Arial" w:eastAsia="Arial" w:hAnsi="Arial"/>
          <w:sz w:val="17"/>
          <w:szCs w:val="17"/>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Our market structure expertise, broad diversification, and execution technology enables us to provide competitive bids and offers in over 25,000 securities and other financial instruments, at over 235 venues, in 36 countries worldwide.</w:t>
      </w:r>
    </w:p>
    <w:p>
      <w:pPr>
        <w:spacing w:after="0" w:line="73" w:lineRule="exact"/>
        <w:rPr>
          <w:sz w:val="20"/>
          <w:szCs w:val="20"/>
          <w:color w:val="auto"/>
        </w:rPr>
      </w:pPr>
    </w:p>
    <w:p>
      <w:pPr>
        <w:ind w:right="20" w:firstLine="635"/>
        <w:spacing w:after="0" w:line="329" w:lineRule="auto"/>
        <w:rPr>
          <w:sz w:val="20"/>
          <w:szCs w:val="20"/>
          <w:color w:val="auto"/>
        </w:rPr>
      </w:pPr>
      <w:r>
        <w:rPr>
          <w:rFonts w:ascii="Arial" w:cs="Arial" w:eastAsia="Arial" w:hAnsi="Arial"/>
          <w:sz w:val="15"/>
          <w:szCs w:val="15"/>
          <w:color w:val="auto"/>
        </w:rPr>
        <w:t>We believe the overall level of volumes and realized volatility in the various markets we serve have the greatest impact on our businesses. Increases in market volatility can cause bid/ask spreads to widen as market participants are more willing to transact immediately and as a result market makers’ capture rate per notional amount transacted will increase.</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We believe that the most relevant asset class distinctions and venues for the markets we serve include the following:</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gridSpan w:val="2"/>
          </w:tcPr>
          <w:p>
            <w:pPr>
              <w:jc w:val="center"/>
              <w:ind w:left="118"/>
              <w:spacing w:after="0" w:line="145" w:lineRule="exact"/>
              <w:rPr>
                <w:sz w:val="20"/>
                <w:szCs w:val="20"/>
                <w:color w:val="auto"/>
              </w:rPr>
            </w:pPr>
            <w:r>
              <w:rPr>
                <w:rFonts w:ascii="Arial" w:cs="Arial" w:eastAsia="Arial" w:hAnsi="Arial"/>
                <w:sz w:val="14"/>
                <w:szCs w:val="14"/>
                <w:b w:val="1"/>
                <w:bCs w:val="1"/>
                <w:color w:val="auto"/>
                <w:w w:val="91"/>
              </w:rPr>
              <w:t>Adjusted Net Trading</w:t>
            </w:r>
          </w:p>
        </w:tc>
        <w:tc>
          <w:tcPr>
            <w:tcW w:w="1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2"/>
                <w:szCs w:val="12"/>
                <w:color w:val="auto"/>
              </w:rPr>
            </w:pPr>
          </w:p>
        </w:tc>
        <w:tc>
          <w:tcPr>
            <w:tcW w:w="1300" w:type="dxa"/>
            <w:vAlign w:val="bottom"/>
          </w:tcPr>
          <w:p>
            <w:pPr>
              <w:jc w:val="right"/>
              <w:ind w:right="266"/>
              <w:spacing w:after="0" w:line="145" w:lineRule="exact"/>
              <w:rPr>
                <w:sz w:val="20"/>
                <w:szCs w:val="20"/>
                <w:color w:val="auto"/>
              </w:rPr>
            </w:pPr>
            <w:r>
              <w:rPr>
                <w:rFonts w:ascii="Arial" w:cs="Arial" w:eastAsia="Arial" w:hAnsi="Arial"/>
                <w:sz w:val="14"/>
                <w:szCs w:val="14"/>
                <w:b w:val="1"/>
                <w:bCs w:val="1"/>
                <w:color w:val="auto"/>
              </w:rPr>
              <w:t>Income(1)</w:t>
            </w:r>
          </w:p>
        </w:tc>
        <w:tc>
          <w:tcPr>
            <w:tcW w:w="1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2"/>
                <w:szCs w:val="12"/>
                <w:color w:val="auto"/>
              </w:rPr>
            </w:pPr>
          </w:p>
        </w:tc>
        <w:tc>
          <w:tcPr>
            <w:tcW w:w="38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Selected Venues in Which We Make Markets</w:t>
            </w:r>
          </w:p>
        </w:tc>
        <w:tc>
          <w:tcPr>
            <w:tcW w:w="0" w:type="dxa"/>
            <w:vAlign w:val="bottom"/>
          </w:tcPr>
          <w:p>
            <w:pPr>
              <w:spacing w:after="0"/>
              <w:rPr>
                <w:sz w:val="1"/>
                <w:szCs w:val="1"/>
                <w:color w:val="auto"/>
              </w:rPr>
            </w:pPr>
          </w:p>
        </w:tc>
      </w:tr>
      <w:tr>
        <w:trPr>
          <w:trHeight w:val="168"/>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Classes</w:t>
            </w:r>
          </w:p>
        </w:tc>
        <w:tc>
          <w:tcPr>
            <w:tcW w:w="2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2017)</w:t>
            </w:r>
          </w:p>
        </w:tc>
        <w:tc>
          <w:tcPr>
            <w:tcW w:w="180" w:type="dxa"/>
            <w:vAlign w:val="bottom"/>
            <w:tcBorders>
              <w:bottom w:val="single" w:sz="8" w:color="CCEEFF"/>
            </w:tcBorders>
          </w:tcPr>
          <w:p>
            <w:pPr>
              <w:spacing w:after="0"/>
              <w:rPr>
                <w:sz w:val="14"/>
                <w:szCs w:val="14"/>
                <w:color w:val="auto"/>
              </w:rPr>
            </w:pPr>
          </w:p>
        </w:tc>
        <w:tc>
          <w:tcPr>
            <w:tcW w:w="3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500" w:type="dxa"/>
            <w:vAlign w:val="bottom"/>
            <w:gridSpan w:val="2"/>
            <w:shd w:val="clear" w:color="auto" w:fill="CCEEFF"/>
          </w:tcPr>
          <w:p>
            <w:pPr>
              <w:spacing w:after="0" w:line="193" w:lineRule="exact"/>
              <w:rPr>
                <w:sz w:val="20"/>
                <w:szCs w:val="20"/>
                <w:color w:val="auto"/>
              </w:rPr>
            </w:pPr>
            <w:r>
              <w:rPr>
                <w:rFonts w:ascii="Arial" w:cs="Arial" w:eastAsia="Arial" w:hAnsi="Arial"/>
                <w:sz w:val="18"/>
                <w:szCs w:val="18"/>
                <w:color w:val="auto"/>
              </w:rPr>
              <w:t>Americas Equities</w:t>
            </w: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286"/>
              <w:spacing w:after="0" w:line="193" w:lineRule="exact"/>
              <w:rPr>
                <w:sz w:val="20"/>
                <w:szCs w:val="20"/>
                <w:color w:val="auto"/>
              </w:rPr>
            </w:pPr>
            <w:r>
              <w:rPr>
                <w:rFonts w:ascii="Arial" w:cs="Arial" w:eastAsia="Arial" w:hAnsi="Arial"/>
                <w:sz w:val="18"/>
                <w:szCs w:val="18"/>
                <w:color w:val="auto"/>
              </w:rPr>
              <w:t>50 %</w:t>
            </w:r>
          </w:p>
        </w:tc>
        <w:tc>
          <w:tcPr>
            <w:tcW w:w="18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BATS, BM&amp;F Bovespa, CHX, CME, MexDer,</w:t>
            </w: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NASDAQ, NYSE, NYSE Arca, NYSE American,</w:t>
            </w:r>
          </w:p>
        </w:tc>
        <w:tc>
          <w:tcPr>
            <w:tcW w:w="0" w:type="dxa"/>
            <w:vAlign w:val="bottom"/>
          </w:tcPr>
          <w:p>
            <w:pPr>
              <w:spacing w:after="0"/>
              <w:rPr>
                <w:sz w:val="1"/>
                <w:szCs w:val="1"/>
                <w:color w:val="auto"/>
              </w:rPr>
            </w:pPr>
          </w:p>
        </w:tc>
      </w:tr>
      <w:tr>
        <w:trPr>
          <w:trHeight w:val="224"/>
        </w:trPr>
        <w:tc>
          <w:tcPr>
            <w:tcW w:w="2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TSX, major private liquidity pools</w:t>
            </w:r>
          </w:p>
        </w:tc>
        <w:tc>
          <w:tcPr>
            <w:tcW w:w="0" w:type="dxa"/>
            <w:vAlign w:val="bottom"/>
          </w:tcPr>
          <w:p>
            <w:pPr>
              <w:spacing w:after="0"/>
              <w:rPr>
                <w:sz w:val="1"/>
                <w:szCs w:val="1"/>
                <w:color w:val="auto"/>
              </w:rPr>
            </w:pPr>
          </w:p>
        </w:tc>
      </w:tr>
      <w:tr>
        <w:trPr>
          <w:trHeight w:val="199"/>
        </w:trPr>
        <w:tc>
          <w:tcPr>
            <w:tcW w:w="3500" w:type="dxa"/>
            <w:vAlign w:val="bottom"/>
            <w:gridSpan w:val="2"/>
          </w:tcPr>
          <w:p>
            <w:pPr>
              <w:spacing w:after="0" w:line="200" w:lineRule="exact"/>
              <w:rPr>
                <w:sz w:val="20"/>
                <w:szCs w:val="20"/>
                <w:color w:val="auto"/>
              </w:rPr>
            </w:pPr>
            <w:r>
              <w:rPr>
                <w:rFonts w:ascii="Arial" w:cs="Arial" w:eastAsia="Arial" w:hAnsi="Arial"/>
                <w:sz w:val="18"/>
                <w:szCs w:val="18"/>
                <w:color w:val="auto"/>
              </w:rPr>
              <w:t>Rest Of World (“ROW”) Equities</w:t>
            </w:r>
          </w:p>
        </w:tc>
        <w:tc>
          <w:tcPr>
            <w:tcW w:w="1500" w:type="dxa"/>
            <w:vAlign w:val="bottom"/>
            <w:gridSpan w:val="2"/>
          </w:tcPr>
          <w:p>
            <w:pPr>
              <w:jc w:val="right"/>
              <w:ind w:right="286"/>
              <w:spacing w:after="0" w:line="200" w:lineRule="exact"/>
              <w:rPr>
                <w:sz w:val="20"/>
                <w:szCs w:val="20"/>
                <w:color w:val="auto"/>
              </w:rPr>
            </w:pPr>
            <w:r>
              <w:rPr>
                <w:rFonts w:ascii="Arial" w:cs="Arial" w:eastAsia="Arial" w:hAnsi="Arial"/>
                <w:sz w:val="18"/>
                <w:szCs w:val="18"/>
                <w:color w:val="auto"/>
              </w:rPr>
              <w:t>17 %</w:t>
            </w:r>
          </w:p>
        </w:tc>
        <w:tc>
          <w:tcPr>
            <w:tcW w:w="4060" w:type="dxa"/>
            <w:vAlign w:val="bottom"/>
            <w:gridSpan w:val="2"/>
          </w:tcPr>
          <w:p>
            <w:pPr>
              <w:ind w:left="180"/>
              <w:spacing w:after="0" w:line="200" w:lineRule="exact"/>
              <w:rPr>
                <w:sz w:val="20"/>
                <w:szCs w:val="20"/>
                <w:color w:val="auto"/>
              </w:rPr>
            </w:pPr>
            <w:r>
              <w:rPr>
                <w:rFonts w:ascii="Arial" w:cs="Arial" w:eastAsia="Arial" w:hAnsi="Arial"/>
                <w:sz w:val="18"/>
                <w:szCs w:val="18"/>
                <w:color w:val="auto"/>
                <w:w w:val="98"/>
              </w:rPr>
              <w:t>Amsterdam, Aquis, ASX, BATS Europe, Bolsa de</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color w:val="auto"/>
                <w:w w:val="92"/>
              </w:rPr>
              <w:t>Madrid, Borsa Italiana, Brussels, EUREX, Euronext -</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color w:val="auto"/>
              </w:rPr>
              <w:t>Paris, ICE Futures Europe, Johannesburg Stock</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color w:val="auto"/>
                <w:w w:val="92"/>
              </w:rPr>
              <w:t>Exchange, Lisbon, LSE, OSE, SBI Japannext, SGX,</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color w:val="auto"/>
              </w:rPr>
              <w:t>SIX Swiss Exchange, TOCOM, TSE</w:t>
            </w:r>
          </w:p>
        </w:tc>
        <w:tc>
          <w:tcPr>
            <w:tcW w:w="0" w:type="dxa"/>
            <w:vAlign w:val="bottom"/>
          </w:tcPr>
          <w:p>
            <w:pPr>
              <w:spacing w:after="0"/>
              <w:rPr>
                <w:sz w:val="1"/>
                <w:szCs w:val="1"/>
                <w:color w:val="auto"/>
              </w:rPr>
            </w:pPr>
          </w:p>
        </w:tc>
      </w:tr>
      <w:tr>
        <w:trPr>
          <w:trHeight w:val="200"/>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Global Fixed Income, Currencies, Commodities</w:t>
            </w:r>
          </w:p>
        </w:tc>
        <w:tc>
          <w:tcPr>
            <w:tcW w:w="1500" w:type="dxa"/>
            <w:vAlign w:val="bottom"/>
            <w:gridSpan w:val="2"/>
            <w:shd w:val="clear" w:color="auto" w:fill="CCEEFF"/>
          </w:tcPr>
          <w:p>
            <w:pPr>
              <w:jc w:val="right"/>
              <w:ind w:right="286"/>
              <w:spacing w:after="0" w:line="201" w:lineRule="exact"/>
              <w:rPr>
                <w:sz w:val="20"/>
                <w:szCs w:val="20"/>
                <w:color w:val="auto"/>
              </w:rPr>
            </w:pPr>
            <w:r>
              <w:rPr>
                <w:rFonts w:ascii="Arial" w:cs="Arial" w:eastAsia="Arial" w:hAnsi="Arial"/>
                <w:sz w:val="18"/>
                <w:szCs w:val="18"/>
                <w:color w:val="auto"/>
              </w:rPr>
              <w:t>23 %</w:t>
            </w:r>
          </w:p>
        </w:tc>
        <w:tc>
          <w:tcPr>
            <w:tcW w:w="40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BOX, BrokerTec, CME, Currenex, EBS, eSpeed,</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("FICC"), Options and Other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Hotspot, ICE, ICE Futures Europe, LMAX, NASDAQ</w:t>
            </w: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Energy Exchange, NYSE Arca Options, PHLX,</w:t>
            </w:r>
          </w:p>
        </w:tc>
        <w:tc>
          <w:tcPr>
            <w:tcW w:w="0" w:type="dxa"/>
            <w:vAlign w:val="bottom"/>
          </w:tcPr>
          <w:p>
            <w:pPr>
              <w:spacing w:after="0"/>
              <w:rPr>
                <w:sz w:val="1"/>
                <w:szCs w:val="1"/>
                <w:color w:val="auto"/>
              </w:rPr>
            </w:pPr>
          </w:p>
        </w:tc>
      </w:tr>
      <w:tr>
        <w:trPr>
          <w:trHeight w:val="224"/>
        </w:trPr>
        <w:tc>
          <w:tcPr>
            <w:tcW w:w="2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Reuters/Fxall, SGX, TOCOM</w:t>
            </w:r>
          </w:p>
        </w:tc>
        <w:tc>
          <w:tcPr>
            <w:tcW w:w="0" w:type="dxa"/>
            <w:vAlign w:val="bottom"/>
          </w:tcPr>
          <w:p>
            <w:pPr>
              <w:spacing w:after="0"/>
              <w:rPr>
                <w:sz w:val="1"/>
                <w:szCs w:val="1"/>
                <w:color w:val="auto"/>
              </w:rPr>
            </w:pPr>
          </w:p>
        </w:tc>
      </w:tr>
      <w:tr>
        <w:trPr>
          <w:trHeight w:val="106"/>
        </w:trPr>
        <w:tc>
          <w:tcPr>
            <w:tcW w:w="226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right="420" w:hanging="319"/>
        <w:spacing w:after="0" w:line="364" w:lineRule="auto"/>
        <w:tabs>
          <w:tab w:leader="none" w:pos="32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a full description of Adjusted Net Trading Income and a reconciliation of Adjusted Net Trading Income to trading income, net, see “Item 7. Management’s Discussion and Analysis of Financial Condition and Results of Operations”</w:t>
      </w:r>
    </w:p>
    <w:p>
      <w:pPr>
        <w:spacing w:after="0" w:line="112" w:lineRule="exact"/>
        <w:rPr>
          <w:sz w:val="20"/>
          <w:szCs w:val="20"/>
          <w:color w:val="auto"/>
        </w:rPr>
      </w:pPr>
    </w:p>
    <w:p>
      <w:pPr>
        <w:ind w:right="60" w:firstLine="635"/>
        <w:spacing w:after="0" w:line="271" w:lineRule="auto"/>
        <w:rPr>
          <w:sz w:val="20"/>
          <w:szCs w:val="20"/>
          <w:color w:val="auto"/>
        </w:rPr>
      </w:pPr>
      <w:r>
        <w:rPr>
          <w:rFonts w:ascii="Arial" w:cs="Arial" w:eastAsia="Arial" w:hAnsi="Arial"/>
          <w:sz w:val="17"/>
          <w:szCs w:val="17"/>
          <w:color w:val="auto"/>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spacing w:after="0" w:line="175" w:lineRule="exact"/>
        <w:rPr>
          <w:sz w:val="20"/>
          <w:szCs w:val="20"/>
          <w:color w:val="auto"/>
        </w:rPr>
      </w:pPr>
    </w:p>
    <w:p>
      <w:pPr>
        <w:ind w:right="260" w:firstLine="635"/>
        <w:spacing w:after="0" w:line="271" w:lineRule="auto"/>
        <w:rPr>
          <w:sz w:val="20"/>
          <w:szCs w:val="20"/>
          <w:color w:val="auto"/>
        </w:rPr>
      </w:pPr>
      <w:r>
        <w:rPr>
          <w:rFonts w:ascii="Arial" w:cs="Arial" w:eastAsia="Arial" w:hAnsi="Arial"/>
          <w:sz w:val="17"/>
          <w:szCs w:val="17"/>
          <w:color w:val="auto"/>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our profitability per trade and per instrument is not significant, particularly in U.S. equities.</w:t>
      </w:r>
    </w:p>
    <w:p>
      <w:pPr>
        <w:spacing w:after="0" w:line="175" w:lineRule="exact"/>
        <w:rPr>
          <w:sz w:val="20"/>
          <w:szCs w:val="20"/>
          <w:color w:val="auto"/>
        </w:rPr>
      </w:pPr>
    </w:p>
    <w:p>
      <w:pPr>
        <w:ind w:right="160" w:firstLine="635"/>
        <w:spacing w:after="0" w:line="268" w:lineRule="auto"/>
        <w:rPr>
          <w:sz w:val="20"/>
          <w:szCs w:val="20"/>
          <w:color w:val="auto"/>
        </w:rPr>
      </w:pPr>
      <w:r>
        <w:rPr>
          <w:rFonts w:ascii="Arial" w:cs="Arial" w:eastAsia="Arial" w:hAnsi="Arial"/>
          <w:sz w:val="17"/>
          <w:szCs w:val="17"/>
          <w:color w:val="auto"/>
        </w:rPr>
        <w:t>Our transaction processing is automated over the full life cycle of a trade. Our market making platform generates and disseminates continuous bid and offer quotes. At the moment when a trade is executed, our systems capture and deliver this information back to the source, in most cases within a fraction of a second, and the trade record is written into our clearing system, where it flows through a chain of control accounts that allow us to automatically and efficiently reconcile trades, positions and payments until the final settlement occurs.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ind w:right="40" w:firstLine="635"/>
        <w:spacing w:after="0" w:line="312" w:lineRule="auto"/>
        <w:rPr>
          <w:sz w:val="20"/>
          <w:szCs w:val="20"/>
          <w:color w:val="auto"/>
        </w:rPr>
      </w:pPr>
      <w:r>
        <w:rPr>
          <w:rFonts w:ascii="Arial" w:cs="Arial" w:eastAsia="Arial" w:hAnsi="Arial"/>
          <w:sz w:val="15"/>
          <w:szCs w:val="15"/>
          <w:color w:val="auto"/>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49" w:lineRule="exact"/>
        <w:rPr>
          <w:sz w:val="20"/>
          <w:szCs w:val="20"/>
          <w:color w:val="auto"/>
        </w:rPr>
      </w:pPr>
    </w:p>
    <w:p>
      <w:pPr>
        <w:ind w:right="20" w:firstLine="635"/>
        <w:spacing w:after="0" w:line="251" w:lineRule="auto"/>
        <w:rPr>
          <w:sz w:val="20"/>
          <w:szCs w:val="20"/>
          <w:color w:val="auto"/>
        </w:rPr>
      </w:pPr>
      <w:r>
        <w:rPr>
          <w:rFonts w:ascii="Arial" w:cs="Arial" w:eastAsia="Arial" w:hAnsi="Arial"/>
          <w:sz w:val="18"/>
          <w:szCs w:val="18"/>
          <w:color w:val="auto"/>
        </w:rPr>
        <w:t>Our systems are monitored 24 hours a day, five days a week by our core operations team and are substantially identical across our offices, in New York, New York; Austin, Texas; Chicago, Illinois; Dublin, Ireland; London, England; and Singapore. This redundancy covers our full technology platform, including our market data, order routing, transaction processing, risk management and market surveillance technology modules.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 and Products</w:t>
      </w:r>
    </w:p>
    <w:p>
      <w:pPr>
        <w:spacing w:after="0" w:line="117" w:lineRule="exact"/>
        <w:rPr>
          <w:sz w:val="20"/>
          <w:szCs w:val="20"/>
          <w:color w:val="auto"/>
        </w:rPr>
      </w:pPr>
    </w:p>
    <w:p>
      <w:pPr>
        <w:ind w:right="240" w:firstLine="635"/>
        <w:spacing w:after="0" w:line="329" w:lineRule="auto"/>
        <w:rPr>
          <w:sz w:val="20"/>
          <w:szCs w:val="20"/>
          <w:color w:val="auto"/>
        </w:rPr>
      </w:pPr>
      <w:r>
        <w:rPr>
          <w:rFonts w:ascii="Arial" w:cs="Arial" w:eastAsia="Arial" w:hAnsi="Arial"/>
          <w:sz w:val="15"/>
          <w:szCs w:val="15"/>
          <w:color w:val="auto"/>
        </w:rPr>
        <w:t>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w:t>
      </w:r>
    </w:p>
    <w:p>
      <w:pPr>
        <w:spacing w:after="0" w:line="31" w:lineRule="exact"/>
        <w:rPr>
          <w:sz w:val="20"/>
          <w:szCs w:val="20"/>
          <w:color w:val="auto"/>
        </w:rPr>
      </w:pPr>
    </w:p>
    <w:p>
      <w:pPr>
        <w:ind w:right="60" w:firstLine="635"/>
        <w:spacing w:after="0" w:line="271" w:lineRule="auto"/>
        <w:rPr>
          <w:sz w:val="20"/>
          <w:szCs w:val="20"/>
          <w:color w:val="auto"/>
        </w:rPr>
      </w:pPr>
      <w:r>
        <w:rPr>
          <w:rFonts w:ascii="Arial" w:cs="Arial" w:eastAsia="Arial" w:hAnsi="Arial"/>
          <w:sz w:val="17"/>
          <w:szCs w:val="17"/>
          <w:color w:val="auto"/>
        </w:rPr>
        <w:t>We generally compete based on execution quality and immediacy, market coverage, price-improvement, payment for order flow, fulfillment rates and client service. In direct-to-client electronic market making in U.S. equities, execution quality is generally accepted as speed, spread and price improvement under SEC Rule 605. In other asset classes, standards for execution quality are both mandatory by applicable regulation and in many cases, client defined.</w:t>
      </w:r>
    </w:p>
    <w:p>
      <w:pPr>
        <w:spacing w:after="0" w:line="70" w:lineRule="exact"/>
        <w:rPr>
          <w:sz w:val="20"/>
          <w:szCs w:val="20"/>
          <w:color w:val="auto"/>
        </w:rPr>
      </w:pPr>
    </w:p>
    <w:p>
      <w:pPr>
        <w:jc w:val="both"/>
        <w:ind w:right="280" w:firstLine="635"/>
        <w:spacing w:after="0" w:line="254" w:lineRule="auto"/>
        <w:rPr>
          <w:sz w:val="20"/>
          <w:szCs w:val="20"/>
          <w:color w:val="auto"/>
        </w:rPr>
      </w:pPr>
      <w:r>
        <w:rPr>
          <w:rFonts w:ascii="Arial" w:cs="Arial" w:eastAsia="Arial" w:hAnsi="Arial"/>
          <w:sz w:val="18"/>
          <w:szCs w:val="18"/>
          <w:color w:val="auto"/>
        </w:rPr>
        <w:t>We continually work to provide clients with high quality, low-cost trade executions that enable them to satisfy their fiduciary obligation to seek the best execution on behalf of the end client. We continually refine our automated order routing models so that we may remain competitive.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Equities</w:t>
      </w:r>
    </w:p>
    <w:p>
      <w:pPr>
        <w:spacing w:after="0" w:line="111"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Americas Equities trading accounted for approximately 50% and 29% of our Adjusted Net Trading Income for the years ended December 31, 2017 and 2016, respectively. We trade over 25,000 listed Americas equity securities including, among others, equity related futures and exchange traded products, on thirteen U.S. Securities and Exchange Commission (“SEC”) registered exchanges as well as other ATSs, including the New York Stock Exchange (“NYSE”), the NASDAQ, NYSE Arca, Cboe BATS, Chicago Stock Exchange, the TSX in Canada, Bovespa in Brazil and BMV in Mexico, and we connect to more than 20 private liquidity pools.</w:t>
      </w:r>
    </w:p>
    <w:p>
      <w:pPr>
        <w:spacing w:after="0" w:line="87" w:lineRule="exact"/>
        <w:rPr>
          <w:sz w:val="20"/>
          <w:szCs w:val="20"/>
          <w:color w:val="auto"/>
        </w:rPr>
      </w:pPr>
    </w:p>
    <w:p>
      <w:pPr>
        <w:ind w:right="20" w:firstLine="635"/>
        <w:spacing w:after="0" w:line="312" w:lineRule="auto"/>
        <w:rPr>
          <w:sz w:val="20"/>
          <w:szCs w:val="20"/>
          <w:color w:val="auto"/>
        </w:rPr>
      </w:pPr>
      <w:r>
        <w:rPr>
          <w:rFonts w:ascii="Arial" w:cs="Arial" w:eastAsia="Arial" w:hAnsi="Arial"/>
          <w:sz w:val="15"/>
          <w:szCs w:val="15"/>
          <w:color w:val="auto"/>
        </w:rPr>
        <w:t>As exchange traded products, or “ETPs,”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ETPs in the Americas. As of December 31, 2017, we are the Lead Market Maker or Designated Liquidity Provider in over 600 ETPs listed in the Americas.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(“ROW”) Equities</w:t>
      </w:r>
    </w:p>
    <w:p>
      <w:pPr>
        <w:spacing w:after="0" w:line="111" w:lineRule="exact"/>
        <w:rPr>
          <w:sz w:val="20"/>
          <w:szCs w:val="20"/>
          <w:color w:val="auto"/>
        </w:rPr>
      </w:pPr>
    </w:p>
    <w:p>
      <w:pPr>
        <w:ind w:right="60" w:firstLine="635"/>
        <w:spacing w:after="0" w:line="312" w:lineRule="auto"/>
        <w:rPr>
          <w:sz w:val="20"/>
          <w:szCs w:val="20"/>
          <w:color w:val="auto"/>
        </w:rPr>
      </w:pPr>
      <w:r>
        <w:rPr>
          <w:rFonts w:ascii="Arial" w:cs="Arial" w:eastAsia="Arial" w:hAnsi="Arial"/>
          <w:sz w:val="15"/>
          <w:szCs w:val="15"/>
          <w:color w:val="auto"/>
        </w:rPr>
        <w:t>ROW equities trading accounted for approximately 17% and 22% of our Adjusted Net Trading Income for the years ended December 31, 2017 and 2016, respectively. Similar to our strategy in the Americas, we utilize direct connections to all of the registered exchanges in a particular jurisdiction including the London Stock Exchange, Cboe BATS Europe, NYSE Euronext, Six Swiss Exchange, Australian Securities Exchange, Tokyo Stock Exchange and Singapore Exchange, as well as other trading venues and additional pools of liquidity to which we can gain access either directly or through a broker.</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firstLine="635"/>
        <w:spacing w:after="0" w:line="254" w:lineRule="auto"/>
        <w:rPr>
          <w:sz w:val="20"/>
          <w:szCs w:val="20"/>
          <w:color w:val="auto"/>
        </w:rPr>
      </w:pPr>
      <w:r>
        <w:rPr>
          <w:rFonts w:ascii="Arial" w:cs="Arial" w:eastAsia="Arial" w:hAnsi="Arial"/>
          <w:sz w:val="18"/>
          <w:szCs w:val="18"/>
          <w:color w:val="auto"/>
        </w:rPr>
        <w:t>We are also well positioned in European ETPs, as an authorized participant in many European ETPs. We are authorized participants in over 2,000 ETPs and can create and/or redeem ETPs listed outside the Americas. As of December 31, 2017, we are the registered Market Maker in over 500 ETPs listed abroad.</w:t>
      </w:r>
    </w:p>
    <w:p>
      <w:pPr>
        <w:spacing w:after="0" w:line="84" w:lineRule="exact"/>
        <w:rPr>
          <w:sz w:val="20"/>
          <w:szCs w:val="20"/>
          <w:color w:val="auto"/>
        </w:rPr>
      </w:pPr>
    </w:p>
    <w:p>
      <w:pPr>
        <w:ind w:right="680" w:firstLine="635"/>
        <w:spacing w:after="0" w:line="264" w:lineRule="auto"/>
        <w:rPr>
          <w:sz w:val="20"/>
          <w:szCs w:val="20"/>
          <w:color w:val="auto"/>
        </w:rPr>
      </w:pPr>
      <w:r>
        <w:rPr>
          <w:rFonts w:ascii="Arial" w:cs="Arial" w:eastAsia="Arial" w:hAnsi="Arial"/>
          <w:sz w:val="18"/>
          <w:szCs w:val="18"/>
          <w:color w:val="auto"/>
        </w:rPr>
        <w:t>We increased our presence in APAC equities in 2016 by completing the acquisition of a minority stake in SBI Japannext Co., Ltd. (“SBI”), a leading Proprietary Trading System in Japan.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FICC, Options, and Other</w:t>
      </w:r>
    </w:p>
    <w:p>
      <w:pPr>
        <w:spacing w:after="0" w:line="111" w:lineRule="exact"/>
        <w:rPr>
          <w:sz w:val="20"/>
          <w:szCs w:val="20"/>
          <w:color w:val="auto"/>
        </w:rPr>
      </w:pPr>
    </w:p>
    <w:p>
      <w:pPr>
        <w:ind w:right="140" w:firstLine="635"/>
        <w:spacing w:after="0" w:line="264" w:lineRule="auto"/>
        <w:rPr>
          <w:sz w:val="20"/>
          <w:szCs w:val="20"/>
          <w:color w:val="auto"/>
        </w:rPr>
      </w:pPr>
      <w:r>
        <w:rPr>
          <w:rFonts w:ascii="Arial" w:cs="Arial" w:eastAsia="Arial" w:hAnsi="Arial"/>
          <w:sz w:val="18"/>
          <w:szCs w:val="18"/>
          <w:color w:val="auto"/>
        </w:rPr>
        <w:t>Trading in Global FICC, Options, and Other accounted for approximately 23% and 46% of our Adjusted Net Trading Income for the years ended December 31, 2017 and 2016, respectively.</w:t>
      </w:r>
    </w:p>
    <w:p>
      <w:pPr>
        <w:spacing w:after="0" w:line="74" w:lineRule="exact"/>
        <w:rPr>
          <w:sz w:val="20"/>
          <w:szCs w:val="20"/>
          <w:color w:val="auto"/>
        </w:rPr>
      </w:pPr>
    </w:p>
    <w:p>
      <w:pPr>
        <w:jc w:val="both"/>
        <w:ind w:right="100" w:firstLine="635"/>
        <w:spacing w:after="0" w:line="276" w:lineRule="auto"/>
        <w:rPr>
          <w:sz w:val="20"/>
          <w:szCs w:val="20"/>
          <w:color w:val="auto"/>
        </w:rPr>
      </w:pPr>
      <w:r>
        <w:rPr>
          <w:rFonts w:ascii="Arial" w:cs="Arial" w:eastAsia="Arial" w:hAnsi="Arial"/>
          <w:sz w:val="17"/>
          <w:szCs w:val="17"/>
          <w:color w:val="auto"/>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and BGS’s Fenics UTS.</w:t>
      </w:r>
    </w:p>
    <w:p>
      <w:pPr>
        <w:spacing w:after="0" w:line="66" w:lineRule="exact"/>
        <w:rPr>
          <w:sz w:val="20"/>
          <w:szCs w:val="20"/>
          <w:color w:val="auto"/>
        </w:rPr>
      </w:pPr>
    </w:p>
    <w:p>
      <w:pPr>
        <w:ind w:right="100" w:firstLine="635"/>
        <w:spacing w:after="0" w:line="251" w:lineRule="auto"/>
        <w:rPr>
          <w:sz w:val="20"/>
          <w:szCs w:val="20"/>
          <w:color w:val="auto"/>
        </w:rPr>
      </w:pPr>
      <w:r>
        <w:rPr>
          <w:rFonts w:ascii="Arial" w:cs="Arial" w:eastAsia="Arial" w:hAnsi="Arial"/>
          <w:sz w:val="18"/>
          <w:szCs w:val="18"/>
          <w:color w:val="auto"/>
        </w:rPr>
        <w:t>Our Currencies market making, including spot, futures and forwards, comprises our activity in over 80 currencies, including deliverable, non-deliverable, fiat, and digital currencies, across dozens of venues and direct to counterparties. During the years ended December 31, 2017 and 2016, we were a leading participant in the major foreign exchange venues, including Reuters, Currenex, Cboe FX and NEX.</w:t>
      </w:r>
    </w:p>
    <w:p>
      <w:pPr>
        <w:spacing w:after="0" w:line="87" w:lineRule="exact"/>
        <w:rPr>
          <w:sz w:val="20"/>
          <w:szCs w:val="20"/>
          <w:color w:val="auto"/>
        </w:rPr>
      </w:pPr>
    </w:p>
    <w:p>
      <w:pPr>
        <w:jc w:val="both"/>
        <w:ind w:right="260" w:firstLine="635"/>
        <w:spacing w:after="0" w:line="329" w:lineRule="auto"/>
        <w:rPr>
          <w:sz w:val="20"/>
          <w:szCs w:val="20"/>
          <w:color w:val="auto"/>
        </w:rPr>
      </w:pPr>
      <w:r>
        <w:rPr>
          <w:rFonts w:ascii="Arial" w:cs="Arial" w:eastAsia="Arial" w:hAnsi="Arial"/>
          <w:sz w:val="15"/>
          <w:szCs w:val="15"/>
          <w:color w:val="auto"/>
        </w:rPr>
        <w:t>Our Commodities market making on both the CME, ICE, and Nasdaq Futures in crude oil, natural gas, heating oil, gasoline futures. We trade approximately 100 energy products and futures on the ICE, CME, and TOCOM. We also actively trade precious metals, including gold, silver, platinum and palladium, as well as base metals such as aluminum and copper.</w:t>
      </w:r>
    </w:p>
    <w:p>
      <w:pPr>
        <w:spacing w:after="0" w:line="31" w:lineRule="exact"/>
        <w:rPr>
          <w:sz w:val="20"/>
          <w:szCs w:val="20"/>
          <w:color w:val="auto"/>
        </w:rPr>
      </w:pPr>
    </w:p>
    <w:p>
      <w:pPr>
        <w:ind w:right="320" w:firstLine="635"/>
        <w:spacing w:after="0" w:line="264" w:lineRule="auto"/>
        <w:rPr>
          <w:sz w:val="20"/>
          <w:szCs w:val="20"/>
          <w:color w:val="auto"/>
        </w:rPr>
      </w:pPr>
      <w:r>
        <w:rPr>
          <w:rFonts w:ascii="Arial" w:cs="Arial" w:eastAsia="Arial" w:hAnsi="Arial"/>
          <w:sz w:val="18"/>
          <w:szCs w:val="18"/>
          <w:color w:val="auto"/>
        </w:rPr>
        <w:t>Our Options and Other market making includes our activity on all of the U.S. options exchanges of which we are a member (i.e., Cboe, ISE and NYSE Arca) and through the U.S. futures exchanges.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Services</w:t>
      </w:r>
    </w:p>
    <w:p>
      <w:pPr>
        <w:spacing w:after="0" w:line="103" w:lineRule="exact"/>
        <w:rPr>
          <w:sz w:val="20"/>
          <w:szCs w:val="20"/>
          <w:color w:val="auto"/>
        </w:rPr>
      </w:pPr>
    </w:p>
    <w:p>
      <w:pPr>
        <w:ind w:right="40" w:firstLine="635"/>
        <w:spacing w:after="0" w:line="263" w:lineRule="auto"/>
        <w:rPr>
          <w:sz w:val="20"/>
          <w:szCs w:val="20"/>
          <w:color w:val="auto"/>
        </w:rPr>
      </w:pPr>
      <w:r>
        <w:rPr>
          <w:rFonts w:ascii="Arial" w:cs="Arial" w:eastAsia="Arial" w:hAnsi="Arial"/>
          <w:sz w:val="17"/>
          <w:szCs w:val="17"/>
          <w:color w:val="222222"/>
        </w:rPr>
        <w:t>Virtu offers agency execution services in global equities, ETFs, futures and fixed income to institutions, banks and broker dealers. We generally earn commissions as an agent when executing orders on behalf of clients. Agency based, execution-only trading is done primarily through: (a) algorithmic trading and order routing; (b) institutional sales traders who offer portfolio trading and single stock sales trading which provides execution expertise for program, block and riskless principal trades in global equities and ETFs; and (c) matching of client orders in Virtu MatchIt (our registered ATS for U.S. equities) and in Virtu BondPoint (our fixed income ECN, which we sold in January 2018 as described in Note 4 “Business Held for Sale” of the Company’s Consolidated Financial Statements included in Part II Item 8 herein). Additionally we do act as principal on occasions, either when we manually work an order for a client, or more often, via electronic trading algorithms, executing against our firm’s liquidity. We also earn technology services revenues by providing our proprietary technology and infrastructure to select third parties for a service fee.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Clients and Products</w:t>
      </w:r>
    </w:p>
    <w:p>
      <w:pPr>
        <w:spacing w:after="0" w:line="222" w:lineRule="exact"/>
        <w:rPr>
          <w:sz w:val="20"/>
          <w:szCs w:val="20"/>
          <w:color w:val="auto"/>
        </w:rPr>
      </w:pPr>
    </w:p>
    <w:p>
      <w:pPr>
        <w:jc w:val="both"/>
        <w:ind w:firstLine="423"/>
        <w:spacing w:after="0" w:line="251" w:lineRule="auto"/>
        <w:rPr>
          <w:sz w:val="20"/>
          <w:szCs w:val="20"/>
          <w:color w:val="auto"/>
        </w:rPr>
      </w:pPr>
      <w:r>
        <w:rPr>
          <w:rFonts w:ascii="Arial" w:cs="Arial" w:eastAsia="Arial" w:hAnsi="Arial"/>
          <w:sz w:val="18"/>
          <w:szCs w:val="18"/>
          <w:color w:val="222222"/>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2017, our Execution Services segment did not have any client that accounted for more than 10% of our commissions earned.</w:t>
      </w:r>
    </w:p>
    <w:p>
      <w:pPr>
        <w:spacing w:after="0" w:line="192" w:lineRule="exact"/>
        <w:rPr>
          <w:sz w:val="20"/>
          <w:szCs w:val="20"/>
          <w:color w:val="auto"/>
        </w:rPr>
      </w:pPr>
    </w:p>
    <w:p>
      <w:pPr>
        <w:jc w:val="both"/>
        <w:ind w:firstLine="423"/>
        <w:spacing w:after="0" w:line="329" w:lineRule="auto"/>
        <w:rPr>
          <w:sz w:val="20"/>
          <w:szCs w:val="20"/>
          <w:color w:val="auto"/>
        </w:rPr>
      </w:pPr>
      <w:r>
        <w:rPr>
          <w:rFonts w:ascii="Arial" w:cs="Arial" w:eastAsia="Arial" w:hAnsi="Arial"/>
          <w:sz w:val="15"/>
          <w:szCs w:val="15"/>
          <w:color w:val="222222"/>
        </w:rPr>
        <w:t>In this segment, we generally compete on trading technology, execution performance, costs, client service, market coverage, liquidity, platform capabilities and anonymity. We draw on in-house developed trading technologies to meet client criteria for best execution and for managing trading costs. As a result, we are able to attract a diverse array of clients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222222"/>
        </w:rPr>
        <w:t>in terms of strategy, size and style. We also provide algorithmic trading and order routing that combine technology, access to our differentiated liquidity and support from experienced professionals to help clients execute trades.</w:t>
      </w:r>
    </w:p>
    <w:p>
      <w:pPr>
        <w:spacing w:after="0" w:line="158" w:lineRule="exact"/>
        <w:rPr>
          <w:sz w:val="20"/>
          <w:szCs w:val="20"/>
          <w:color w:val="auto"/>
        </w:rPr>
      </w:pPr>
    </w:p>
    <w:p>
      <w:pPr>
        <w:jc w:val="both"/>
        <w:ind w:firstLine="397"/>
        <w:spacing w:after="0" w:line="254" w:lineRule="auto"/>
        <w:rPr>
          <w:sz w:val="20"/>
          <w:szCs w:val="20"/>
          <w:color w:val="auto"/>
        </w:rPr>
      </w:pPr>
      <w:r>
        <w:rPr>
          <w:rFonts w:ascii="Arial" w:cs="Arial" w:eastAsia="Arial" w:hAnsi="Arial"/>
          <w:sz w:val="18"/>
          <w:szCs w:val="18"/>
          <w:color w:val="222222"/>
        </w:rPr>
        <w:t>We offer electronic execution services in global equities, options, futures and commodities via algorithmic trading, order routing and an execution management system (“EMS”) as well as internal crossing through our registered ATS. Our ATS provides clients with an anonymous source of non-displayed liquidity.</w:t>
      </w:r>
    </w:p>
    <w:p>
      <w:pPr>
        <w:spacing w:after="0" w:line="189" w:lineRule="exact"/>
        <w:rPr>
          <w:sz w:val="20"/>
          <w:szCs w:val="20"/>
          <w:color w:val="auto"/>
        </w:rPr>
      </w:pPr>
    </w:p>
    <w:p>
      <w:pPr>
        <w:jc w:val="both"/>
        <w:ind w:firstLine="423"/>
        <w:spacing w:after="0" w:line="250" w:lineRule="auto"/>
        <w:rPr>
          <w:sz w:val="20"/>
          <w:szCs w:val="20"/>
          <w:color w:val="auto"/>
        </w:rPr>
      </w:pPr>
      <w:r>
        <w:rPr>
          <w:rFonts w:ascii="Arial" w:cs="Arial" w:eastAsia="Arial" w:hAnsi="Arial"/>
          <w:sz w:val="18"/>
          <w:szCs w:val="18"/>
          <w:color w:val="222222"/>
        </w:rPr>
        <w:t>We offer clients a broad range of products and services and voice access to global markets including sales and trading for equities, ETFs and options. Additionally, we provide buy-side clients with deep liquidity, actionable market insights, anonymity and trade executions with minimal market impact and offer comprehensive trade execution services covering the depth and breadth of the market. We handle large complex trades, accessing liquidity from our order flow and other sources. We also provide soft dollar and commission recapture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2" w:lineRule="exact"/>
        <w:rPr>
          <w:sz w:val="20"/>
          <w:szCs w:val="20"/>
          <w:color w:val="auto"/>
        </w:rPr>
      </w:pPr>
    </w:p>
    <w:p>
      <w:pPr>
        <w:ind w:right="440" w:firstLine="635"/>
        <w:spacing w:after="0" w:line="364" w:lineRule="auto"/>
        <w:rPr>
          <w:sz w:val="20"/>
          <w:szCs w:val="20"/>
          <w:color w:val="auto"/>
        </w:rPr>
      </w:pPr>
      <w:r>
        <w:rPr>
          <w:rFonts w:ascii="Arial" w:cs="Arial" w:eastAsia="Arial" w:hAnsi="Arial"/>
          <w:sz w:val="15"/>
          <w:szCs w:val="15"/>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2" w:lineRule="exact"/>
        <w:rPr>
          <w:sz w:val="20"/>
          <w:szCs w:val="20"/>
          <w:color w:val="auto"/>
        </w:rPr>
      </w:pPr>
    </w:p>
    <w:p>
      <w:pPr>
        <w:ind w:right="20" w:firstLine="635"/>
        <w:spacing w:after="0" w:line="266" w:lineRule="auto"/>
        <w:rPr>
          <w:sz w:val="20"/>
          <w:szCs w:val="20"/>
          <w:color w:val="auto"/>
        </w:rPr>
      </w:pPr>
      <w:r>
        <w:rPr>
          <w:rFonts w:ascii="Arial" w:cs="Arial" w:eastAsia="Arial" w:hAnsi="Arial"/>
          <w:sz w:val="17"/>
          <w:szCs w:val="17"/>
          <w:color w:val="auto"/>
        </w:rPr>
        <w:t>We are intensely focused on risk management and it is at the core of our trading infrastructure. Our real time risk controls monitor all of our market making positions, incorporating market data and evaluating our risk exposure to continuously update our outstanding bid and offer quotes, often many times per second. Although the majority of our market making is automated, the trading process and our risk exposure are monitored by a team of individuals, including members of our senior management team, who oversee our risk management processes in real-time. Our risk management system is intrinsic to our trading infrastructure that is utilized in each of our trading centers.</w:t>
      </w:r>
    </w:p>
    <w:p>
      <w:pPr>
        <w:spacing w:after="0" w:line="182" w:lineRule="exact"/>
        <w:rPr>
          <w:sz w:val="20"/>
          <w:szCs w:val="20"/>
          <w:color w:val="auto"/>
        </w:rPr>
      </w:pPr>
    </w:p>
    <w:p>
      <w:pPr>
        <w:ind w:right="60" w:firstLine="635"/>
        <w:spacing w:after="0" w:line="213" w:lineRule="exact"/>
        <w:rPr>
          <w:sz w:val="20"/>
          <w:szCs w:val="20"/>
          <w:color w:val="auto"/>
        </w:rPr>
      </w:pPr>
      <w:r>
        <w:rPr>
          <w:rFonts w:ascii="Arial" w:cs="Arial" w:eastAsia="Arial" w:hAnsi="Arial"/>
          <w:sz w:val="17"/>
          <w:szCs w:val="17"/>
          <w:color w:val="auto"/>
        </w:rPr>
        <w:t>Our on exchange market making strategies are designed to put minimal capital at risk at any given time by limiting the notional size of our positions. Our strategies are also designed to lock in returns through precise hedging in the primary instrument or in one or more economically equivalent instruments, as we seek to eliminate the price risk in any positions held. Our real</w:t>
      </w:r>
      <w:r>
        <w:rPr>
          <w:rFonts w:ascii="MS PGothic" w:cs="MS PGothic" w:eastAsia="MS PGothic" w:hAnsi="MS PGothic"/>
          <w:sz w:val="17"/>
          <w:szCs w:val="17"/>
          <w:color w:val="auto"/>
        </w:rPr>
        <w:t>‑</w:t>
      </w:r>
      <w:r>
        <w:rPr>
          <w:rFonts w:ascii="Arial" w:cs="Arial" w:eastAsia="Arial" w:hAnsi="Arial"/>
          <w:sz w:val="17"/>
          <w:szCs w:val="17"/>
          <w:color w:val="auto"/>
        </w:rPr>
        <w:t>time risk management system is built into our trading platform and is an integral part of our order life</w:t>
      </w:r>
      <w:r>
        <w:rPr>
          <w:rFonts w:ascii="MS PGothic" w:cs="MS PGothic" w:eastAsia="MS PGothic" w:hAnsi="MS PGothic"/>
          <w:sz w:val="17"/>
          <w:szCs w:val="17"/>
          <w:color w:val="auto"/>
        </w:rPr>
        <w:t>‑</w:t>
      </w:r>
      <w:r>
        <w:rPr>
          <w:rFonts w:ascii="Arial" w:cs="Arial" w:eastAsia="Arial" w:hAnsi="Arial"/>
          <w:sz w:val="17"/>
          <w:szCs w:val="17"/>
          <w:color w:val="auto"/>
        </w:rPr>
        <w:t>cycle, analyzing real</w:t>
      </w:r>
      <w:r>
        <w:rPr>
          <w:rFonts w:ascii="MS PGothic" w:cs="MS PGothic" w:eastAsia="MS PGothic" w:hAnsi="MS PGothic"/>
          <w:sz w:val="17"/>
          <w:szCs w:val="17"/>
          <w:color w:val="auto"/>
        </w:rPr>
        <w:t>‑</w:t>
      </w:r>
      <w:r>
        <w:rPr>
          <w:rFonts w:ascii="Arial" w:cs="Arial" w:eastAsia="Arial" w:hAnsi="Arial"/>
          <w:sz w:val="17"/>
          <w:szCs w:val="17"/>
          <w:color w:val="auto"/>
        </w:rPr>
        <w:t>time pricing data and ensuring that our order activity is conducted within strict pre</w:t>
      </w:r>
      <w:r>
        <w:rPr>
          <w:rFonts w:ascii="MS PGothic" w:cs="MS PGothic" w:eastAsia="MS PGothic" w:hAnsi="MS PGothic"/>
          <w:sz w:val="17"/>
          <w:szCs w:val="17"/>
          <w:color w:val="auto"/>
        </w:rPr>
        <w:t>‑</w:t>
      </w:r>
      <w:r>
        <w:rPr>
          <w:rFonts w:ascii="Arial" w:cs="Arial" w:eastAsia="Arial" w:hAnsi="Arial"/>
          <w:sz w:val="17"/>
          <w:szCs w:val="17"/>
          <w:color w:val="auto"/>
        </w:rPr>
        <w:t>determined trading and position limits. If our risk management system detects that a trading strategy is generating revenues or losses in excess of our preset limits, it will lockdown that strategy and alert management.</w:t>
      </w:r>
    </w:p>
    <w:p>
      <w:pPr>
        <w:spacing w:after="0" w:line="205" w:lineRule="exact"/>
        <w:rPr>
          <w:sz w:val="20"/>
          <w:szCs w:val="20"/>
          <w:color w:val="auto"/>
        </w:rPr>
      </w:pPr>
    </w:p>
    <w:p>
      <w:pPr>
        <w:ind w:right="160" w:firstLine="635"/>
        <w:spacing w:after="0" w:line="251" w:lineRule="auto"/>
        <w:rPr>
          <w:sz w:val="20"/>
          <w:szCs w:val="20"/>
          <w:color w:val="auto"/>
        </w:rPr>
      </w:pPr>
      <w:r>
        <w:rPr>
          <w:rFonts w:ascii="Arial" w:cs="Arial" w:eastAsia="Arial" w:hAnsi="Arial"/>
          <w:sz w:val="18"/>
          <w:szCs w:val="18"/>
          <w:color w:val="auto"/>
        </w:rPr>
        <w:t>The market making activities, where we interact with customers, involve the taking on of position risks. The risks at any point in time are limited by the notional size of positions as well as other factors. The overall portfolio risks are quantified using internal risk models and monitored by the Chief Risk Officer (“CRO”), the independent risk group and senior management.</w:t>
      </w:r>
    </w:p>
    <w:p>
      <w:pPr>
        <w:spacing w:after="0" w:line="192" w:lineRule="exact"/>
        <w:rPr>
          <w:sz w:val="20"/>
          <w:szCs w:val="20"/>
          <w:color w:val="auto"/>
        </w:rPr>
      </w:pPr>
    </w:p>
    <w:p>
      <w:pPr>
        <w:ind w:right="40" w:firstLine="635"/>
        <w:spacing w:after="0" w:line="264" w:lineRule="auto"/>
        <w:rPr>
          <w:sz w:val="20"/>
          <w:szCs w:val="20"/>
          <w:color w:val="auto"/>
        </w:rPr>
      </w:pPr>
      <w:r>
        <w:rPr>
          <w:rFonts w:ascii="Arial" w:cs="Arial" w:eastAsia="Arial" w:hAnsi="Arial"/>
          <w:sz w:val="18"/>
          <w:szCs w:val="18"/>
          <w:color w:val="auto"/>
        </w:rPr>
        <w:t>In addition, our risk management system continuously reconciles our internal transaction records against the records of the exchanges and other liquidity centers with which we interact.</w:t>
      </w:r>
    </w:p>
    <w:p>
      <w:pPr>
        <w:spacing w:after="0" w:line="180" w:lineRule="exact"/>
        <w:rPr>
          <w:sz w:val="20"/>
          <w:szCs w:val="20"/>
          <w:color w:val="auto"/>
        </w:rPr>
      </w:pPr>
    </w:p>
    <w:p>
      <w:pPr>
        <w:ind w:right="40" w:firstLine="635"/>
        <w:spacing w:after="0" w:line="264" w:lineRule="auto"/>
        <w:rPr>
          <w:sz w:val="20"/>
          <w:szCs w:val="20"/>
          <w:color w:val="auto"/>
        </w:rPr>
      </w:pPr>
      <w:r>
        <w:rPr>
          <w:rFonts w:ascii="Arial" w:cs="Arial" w:eastAsia="Arial" w:hAnsi="Arial"/>
          <w:sz w:val="18"/>
          <w:szCs w:val="18"/>
          <w:color w:val="auto"/>
        </w:rPr>
        <w:t>Our risk management policies and risk limits are set by our Risk Advisory Committee, and overseen by our CRO, who also reports independently into the Board Risk Committee.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utilize the following approach to managing risk:</w:t>
      </w:r>
    </w:p>
    <w:p>
      <w:pPr>
        <w:spacing w:after="0" w:line="216" w:lineRule="exact"/>
        <w:rPr>
          <w:sz w:val="20"/>
          <w:szCs w:val="20"/>
          <w:color w:val="auto"/>
        </w:rPr>
      </w:pPr>
    </w:p>
    <w:p>
      <w:pPr>
        <w:ind w:left="640" w:right="160" w:hanging="322"/>
        <w:spacing w:after="0" w:line="26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Exchange Market Making Strategy Lockdowns. Messages that leave our trading environment must first pass through a series of preset risk controls, or “lockdowns,” which are intended to minimize the likelihood of unintended activities by our market making algorithms, and which cannot be modified by our traders. Not only do we implement preset risk controls to limit downside risk, but we also do the same to limit upside risk — if our risk management system detects that a trading strategy is generating revenues or losses in excess of our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right="120"/>
        <w:spacing w:after="0" w:line="249" w:lineRule="auto"/>
        <w:rPr>
          <w:sz w:val="20"/>
          <w:szCs w:val="20"/>
          <w:color w:val="auto"/>
        </w:rPr>
      </w:pPr>
      <w:r>
        <w:rPr>
          <w:rFonts w:ascii="Arial" w:cs="Arial" w:eastAsia="Arial" w:hAnsi="Arial"/>
          <w:sz w:val="18"/>
          <w:szCs w:val="18"/>
          <w:color w:val="auto"/>
        </w:rPr>
        <w:t>preset limits, a lockdown will be triggered. When a lockdown is triggered, our risk management system alerts us and automatically freezes the applicable trading strategy, cancels all applicable open orders and prevents the placement of additional related orders. Following a lockdown, a trader must manually reset the applicable trading strategy. While this risk prevention layer adds a degree of latency to our trading infrastructure and can prevent us from earning outsized returns in times of extreme market volatility, we believe that this trade off is necessary to properly limit our downside risk.</w:t>
      </w:r>
    </w:p>
    <w:p>
      <w:pPr>
        <w:spacing w:after="0" w:line="193" w:lineRule="exact"/>
        <w:rPr>
          <w:sz w:val="20"/>
          <w:szCs w:val="20"/>
          <w:color w:val="auto"/>
        </w:rPr>
      </w:pPr>
    </w:p>
    <w:p>
      <w:pPr>
        <w:ind w:left="640" w:right="80" w:hanging="322"/>
        <w:spacing w:after="0" w:line="25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Market Making Model Restrictions. All models have limits in place which restrict individual position sizes, sector exposures and imbalanced portfolios with significant directional risks. Strategies are designed to automatically reduce exposures when limits are reached. The models are monitored by the trading team and the risk managers constantly.</w:t>
      </w:r>
    </w:p>
    <w:p>
      <w:pPr>
        <w:spacing w:after="0" w:line="192" w:lineRule="exact"/>
        <w:rPr>
          <w:rFonts w:ascii="Arial" w:cs="Arial" w:eastAsia="Arial" w:hAnsi="Arial"/>
          <w:sz w:val="18"/>
          <w:szCs w:val="18"/>
          <w:color w:val="auto"/>
        </w:rPr>
      </w:pPr>
    </w:p>
    <w:p>
      <w:pPr>
        <w:ind w:left="640" w:right="140" w:hanging="322"/>
        <w:spacing w:after="0" w:line="218" w:lineRule="exact"/>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Aggregate Exposure Monitoring. </w:t>
      </w:r>
      <w:r>
        <w:rPr>
          <w:rFonts w:ascii="Arial" w:cs="Arial" w:eastAsia="Arial" w:hAnsi="Arial"/>
          <w:sz w:val="15"/>
          <w:szCs w:val="15"/>
          <w:color w:val="auto"/>
        </w:rPr>
        <w:t>Pursuant to our risk management policies, our automated management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systems monitor in real</w:t>
      </w:r>
      <w:r>
        <w:rPr>
          <w:rFonts w:ascii="MS PGothic" w:cs="MS PGothic" w:eastAsia="MS PGothic" w:hAnsi="MS PGothic"/>
          <w:sz w:val="15"/>
          <w:szCs w:val="15"/>
          <w:color w:val="auto"/>
        </w:rPr>
        <w:t>‑</w:t>
      </w:r>
      <w:r>
        <w:rPr>
          <w:rFonts w:ascii="Arial" w:cs="Arial" w:eastAsia="Arial" w:hAnsi="Arial"/>
          <w:sz w:val="15"/>
          <w:szCs w:val="15"/>
          <w:color w:val="auto"/>
        </w:rPr>
        <w:t>time and generate report on daily and periodic bases. Exposures monitored include:</w:t>
      </w:r>
    </w:p>
    <w:p>
      <w:pPr>
        <w:spacing w:after="0" w:line="201" w:lineRule="exact"/>
        <w:rPr>
          <w:sz w:val="20"/>
          <w:szCs w:val="20"/>
          <w:color w:val="auto"/>
        </w:rPr>
      </w:pPr>
    </w:p>
    <w:p>
      <w:pPr>
        <w:ind w:left="1280" w:hanging="327"/>
        <w:spacing w:after="0"/>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Risk Profiles</w:t>
      </w:r>
    </w:p>
    <w:p>
      <w:pPr>
        <w:ind w:left="1280" w:hanging="327"/>
        <w:spacing w:after="0" w:line="227"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Statistical Risk Measures including Value at Risk (“VaR”), and Equity Betas</w:t>
      </w:r>
    </w:p>
    <w:p>
      <w:pPr>
        <w:ind w:left="1280" w:hanging="327"/>
        <w:spacing w:after="0" w:line="227"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Stress and Scenario analysis</w:t>
      </w:r>
    </w:p>
    <w:p>
      <w:pPr>
        <w:ind w:left="1280" w:hanging="327"/>
        <w:spacing w:after="0" w:line="227"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Concentration measures</w:t>
      </w:r>
    </w:p>
    <w:p>
      <w:pPr>
        <w:ind w:left="1280" w:hanging="327"/>
        <w:spacing w:after="0" w:line="227"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Profit and Loss analysis</w:t>
      </w:r>
    </w:p>
    <w:p>
      <w:pPr>
        <w:ind w:left="1280" w:hanging="327"/>
        <w:spacing w:after="0" w:line="227"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Trading performance reports</w:t>
      </w:r>
    </w:p>
    <w:p>
      <w:pPr>
        <w:spacing w:after="0" w:line="201" w:lineRule="exact"/>
        <w:rPr>
          <w:rFonts w:ascii="Courier New" w:cs="Courier New" w:eastAsia="Courier New" w:hAnsi="Courier New"/>
          <w:sz w:val="18"/>
          <w:szCs w:val="18"/>
          <w:color w:val="auto"/>
        </w:rPr>
      </w:pPr>
    </w:p>
    <w:p>
      <w:pPr>
        <w:ind w:left="640" w:right="60" w:hanging="322"/>
        <w:spacing w:after="0" w:line="215" w:lineRule="exact"/>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assets and liabilities are marked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market daily for financial reporting purposes by reference to official exchange prices, and they are re</w:t>
      </w:r>
      <w:r>
        <w:rPr>
          <w:rFonts w:ascii="MS PGothic" w:cs="MS PGothic" w:eastAsia="MS PGothic" w:hAnsi="MS PGothic"/>
          <w:sz w:val="18"/>
          <w:szCs w:val="18"/>
          <w:color w:val="auto"/>
        </w:rPr>
        <w:t>‑</w:t>
      </w:r>
      <w:r>
        <w:rPr>
          <w:rFonts w:ascii="Arial" w:cs="Arial" w:eastAsia="Arial" w:hAnsi="Arial"/>
          <w:sz w:val="18"/>
          <w:szCs w:val="18"/>
          <w:color w:val="auto"/>
        </w:rPr>
        <w:t>valued continuously throughout the trading day for risk management and asset/liability management purposes.</w:t>
      </w:r>
    </w:p>
    <w:p>
      <w:pPr>
        <w:spacing w:after="0" w:line="202" w:lineRule="exact"/>
        <w:rPr>
          <w:rFonts w:ascii="Arial" w:cs="Arial" w:eastAsia="Arial" w:hAnsi="Arial"/>
          <w:sz w:val="18"/>
          <w:szCs w:val="18"/>
          <w:color w:val="auto"/>
        </w:rPr>
      </w:pPr>
    </w:p>
    <w:p>
      <w:pPr>
        <w:ind w:left="640" w:right="380" w:hanging="322"/>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Operational Controls. </w:t>
      </w:r>
      <w:r>
        <w:rPr>
          <w:rFonts w:ascii="Arial" w:cs="Arial" w:eastAsia="Arial" w:hAnsi="Arial"/>
          <w:sz w:val="18"/>
          <w:szCs w:val="18"/>
          <w:color w:val="auto"/>
        </w:rPr>
        <w:t>We have a series of fully automated controls over of our business. Key automated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w:t>
      </w:r>
    </w:p>
    <w:p>
      <w:pPr>
        <w:spacing w:after="0" w:line="179" w:lineRule="exact"/>
        <w:rPr>
          <w:rFonts w:ascii="Arial" w:cs="Arial" w:eastAsia="Arial" w:hAnsi="Arial"/>
          <w:sz w:val="18"/>
          <w:szCs w:val="18"/>
          <w:color w:val="auto"/>
        </w:rPr>
      </w:pPr>
    </w:p>
    <w:p>
      <w:pPr>
        <w:ind w:left="1280" w:right="20" w:hanging="327"/>
        <w:spacing w:after="0" w:line="242"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Our technical operations system continuously monitors our network and the proper functioning of each of our trading centers around the world;</w:t>
      </w:r>
    </w:p>
    <w:p>
      <w:pPr>
        <w:spacing w:after="0" w:line="1" w:lineRule="exact"/>
        <w:rPr>
          <w:rFonts w:ascii="Courier New" w:cs="Courier New" w:eastAsia="Courier New" w:hAnsi="Courier New"/>
          <w:sz w:val="18"/>
          <w:szCs w:val="18"/>
          <w:color w:val="auto"/>
        </w:rPr>
      </w:pPr>
    </w:p>
    <w:p>
      <w:pPr>
        <w:ind w:left="1280" w:right="20" w:hanging="327"/>
        <w:spacing w:after="0" w:line="212" w:lineRule="exact"/>
        <w:tabs>
          <w:tab w:leader="none" w:pos="1280" w:val="left"/>
        </w:tabs>
        <w:numPr>
          <w:ilvl w:val="1"/>
          <w:numId w:val="8"/>
        </w:numPr>
        <w:rPr>
          <w:rFonts w:ascii="Courier New" w:cs="Courier New" w:eastAsia="Courier New" w:hAnsi="Courier New"/>
          <w:sz w:val="15"/>
          <w:szCs w:val="15"/>
          <w:color w:val="auto"/>
        </w:rPr>
      </w:pPr>
      <w:r>
        <w:rPr>
          <w:rFonts w:ascii="Arial" w:cs="Arial" w:eastAsia="Arial" w:hAnsi="Arial"/>
          <w:sz w:val="15"/>
          <w:szCs w:val="15"/>
          <w:color w:val="auto"/>
        </w:rPr>
        <w:t>Our market making system continuously evaluates the listed securities in which we provide bid and offer quotes and changes its bids and offers in such a way as to minimize exposure to directional price movements. The speed of communicating with exchanges and market centers is maximized through continuous software and network engineering innovation, allowing us to achieve real</w:t>
      </w:r>
      <w:r>
        <w:rPr>
          <w:rFonts w:ascii="MS PGothic" w:cs="MS PGothic" w:eastAsia="MS PGothic" w:hAnsi="MS PGothic"/>
          <w:sz w:val="15"/>
          <w:szCs w:val="15"/>
          <w:color w:val="auto"/>
        </w:rPr>
        <w:t>‑</w:t>
      </w:r>
      <w:r>
        <w:rPr>
          <w:rFonts w:ascii="Arial" w:cs="Arial" w:eastAsia="Arial" w:hAnsi="Arial"/>
          <w:sz w:val="15"/>
          <w:szCs w:val="15"/>
          <w:color w:val="auto"/>
        </w:rPr>
        <w:t>time controls over market exposure. We connect to exchanges and other electronic venues through a network of co</w:t>
      </w:r>
      <w:r>
        <w:rPr>
          <w:rFonts w:ascii="MS PGothic" w:cs="MS PGothic" w:eastAsia="MS PGothic" w:hAnsi="MS PGothic"/>
          <w:sz w:val="15"/>
          <w:szCs w:val="15"/>
          <w:color w:val="auto"/>
        </w:rPr>
        <w:t>‑</w:t>
      </w:r>
      <w:r>
        <w:rPr>
          <w:rFonts w:ascii="Arial" w:cs="Arial" w:eastAsia="Arial" w:hAnsi="Arial"/>
          <w:sz w:val="15"/>
          <w:szCs w:val="15"/>
          <w:color w:val="auto"/>
        </w:rPr>
        <w:t>location facilities around the world that are monitored 24 hours a day, five days a week, by our staff of experienced network professionals;</w:t>
      </w:r>
    </w:p>
    <w:p>
      <w:pPr>
        <w:spacing w:after="0" w:line="3" w:lineRule="exact"/>
        <w:rPr>
          <w:rFonts w:ascii="Courier New" w:cs="Courier New" w:eastAsia="Courier New" w:hAnsi="Courier New"/>
          <w:sz w:val="15"/>
          <w:szCs w:val="15"/>
          <w:color w:val="auto"/>
        </w:rPr>
      </w:pPr>
    </w:p>
    <w:p>
      <w:pPr>
        <w:ind w:left="1280" w:right="480" w:hanging="327"/>
        <w:spacing w:after="0" w:line="239"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Our clearing system captures trades in real-time and performs automated reconciliations of trades and positions, corporate action processing, options exercises, securities lending and inventory management, allowing us to effectively manage operational risk;</w:t>
      </w:r>
    </w:p>
    <w:p>
      <w:pPr>
        <w:ind w:left="1280" w:right="580" w:hanging="327"/>
        <w:spacing w:after="0" w:line="236"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Software developed to support our market making systems performs daily profit and loss and position reconciliations; and</w:t>
      </w:r>
    </w:p>
    <w:p>
      <w:pPr>
        <w:ind w:left="1280" w:right="900" w:hanging="327"/>
        <w:spacing w:after="0" w:line="236" w:lineRule="auto"/>
        <w:tabs>
          <w:tab w:leader="none" w:pos="128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After event reviews where operational issues are evaluated and risk mitigations are identified and subsequently implemented</w:t>
      </w:r>
    </w:p>
    <w:p>
      <w:pPr>
        <w:spacing w:after="0" w:line="200" w:lineRule="exact"/>
        <w:rPr>
          <w:rFonts w:ascii="Courier New" w:cs="Courier New" w:eastAsia="Courier New" w:hAnsi="Courier New"/>
          <w:sz w:val="18"/>
          <w:szCs w:val="18"/>
          <w:color w:val="auto"/>
        </w:rPr>
      </w:pPr>
    </w:p>
    <w:p>
      <w:pPr>
        <w:ind w:left="640" w:hanging="322"/>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Credit Controls</w:t>
      </w:r>
      <w:r>
        <w:rPr>
          <w:rFonts w:ascii="Arial" w:cs="Arial" w:eastAsia="Arial" w:hAnsi="Arial"/>
          <w:sz w:val="18"/>
          <w:szCs w:val="18"/>
          <w:color w:val="auto"/>
        </w:rPr>
        <w:t>. Trading notional limits are applied to customers and counterparts. These are monitored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day by trading support and risk.</w:t>
      </w:r>
    </w:p>
    <w:p>
      <w:pPr>
        <w:spacing w:after="0" w:line="179" w:lineRule="exact"/>
        <w:rPr>
          <w:rFonts w:ascii="Arial" w:cs="Arial" w:eastAsia="Arial" w:hAnsi="Arial"/>
          <w:sz w:val="18"/>
          <w:szCs w:val="18"/>
          <w:color w:val="auto"/>
        </w:rPr>
      </w:pPr>
    </w:p>
    <w:p>
      <w:pPr>
        <w:ind w:left="640" w:right="60" w:hanging="322"/>
        <w:spacing w:after="0" w:line="25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Liquidity Controls</w:t>
      </w:r>
      <w:r>
        <w:rPr>
          <w:rFonts w:ascii="Arial" w:cs="Arial" w:eastAsia="Arial" w:hAnsi="Arial"/>
          <w:sz w:val="18"/>
          <w:szCs w:val="18"/>
          <w:color w:val="auto"/>
        </w:rPr>
        <w:t>. We seek to minimize liquidity risk by focusing the majority of trading in highly active and liquid</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Less liquid securities are identified and restrictions are in place as to the size of positions we hold in such instruments.</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60" w:firstLine="635"/>
        <w:spacing w:after="0" w:line="302" w:lineRule="auto"/>
        <w:rPr>
          <w:sz w:val="20"/>
          <w:szCs w:val="20"/>
          <w:color w:val="auto"/>
        </w:rPr>
      </w:pPr>
      <w:r>
        <w:rPr>
          <w:rFonts w:ascii="Arial" w:cs="Arial" w:eastAsia="Arial" w:hAnsi="Arial"/>
          <w:sz w:val="15"/>
          <w:szCs w:val="15"/>
          <w:color w:val="auto"/>
        </w:rPr>
        <w:t>We rely heavily on technology and automation to perform many functions within Virtu, which exposes us to various forms of cyberattacks, including data loss or destruction, unauthorized access, unavailability of service or the introduction of malicious code. We have taken significant steps to mitigate the various cyber threats, and we devote significant resources to maintain and regularly upgrade our systems and networks and review the ever changing threat landscape. We have created a Risk Advisory Committee, which includes key personnel from each of our locations globally and is comprised of our CRO and our Chief Compliance Officer, members of our senior management team, senior technologists and traders, and certain senior officers. We will continue to periodically review policies and procedures to ensure they are effective in mitigating current cyber and other information security threats. In addition to the policy reviews, we continue to look to implement technology solutions that enhance preventive and detection capabilities. We also maintain insurance coverage that may, subject to policy terms and conditions, cover certain aspects of cyber risks. However, such insurance may be insufficient to cover all losses.</w:t>
      </w:r>
    </w:p>
    <w:p>
      <w:pPr>
        <w:spacing w:after="0" w:line="158" w:lineRule="exact"/>
        <w:rPr>
          <w:sz w:val="20"/>
          <w:szCs w:val="20"/>
          <w:color w:val="auto"/>
        </w:rPr>
      </w:pPr>
    </w:p>
    <w:p>
      <w:pPr>
        <w:ind w:right="20" w:firstLine="635"/>
        <w:spacing w:after="0" w:line="364" w:lineRule="auto"/>
        <w:rPr>
          <w:sz w:val="20"/>
          <w:szCs w:val="20"/>
          <w:color w:val="auto"/>
        </w:rPr>
      </w:pPr>
      <w:r>
        <w:rPr>
          <w:rFonts w:ascii="Arial" w:cs="Arial" w:eastAsia="Arial" w:hAnsi="Arial"/>
          <w:sz w:val="15"/>
          <w:szCs w:val="15"/>
          <w:color w:val="auto"/>
        </w:rPr>
        <w:t>Our board of directors, through the Board Risk Committee, is regularly apprised of risk events, risk profiles, trends and the activities of our Risk Advisory Committee, including our risk management policies, procedures and controls.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2" w:lineRule="exact"/>
        <w:rPr>
          <w:sz w:val="20"/>
          <w:szCs w:val="20"/>
          <w:color w:val="auto"/>
        </w:rPr>
      </w:pPr>
    </w:p>
    <w:p>
      <w:pPr>
        <w:ind w:firstLine="635"/>
        <w:spacing w:after="0" w:line="214" w:lineRule="exact"/>
        <w:rPr>
          <w:sz w:val="20"/>
          <w:szCs w:val="20"/>
          <w:color w:val="auto"/>
        </w:rPr>
      </w:pPr>
      <w:r>
        <w:rPr>
          <w:rFonts w:ascii="Arial" w:cs="Arial" w:eastAsia="Arial" w:hAnsi="Arial"/>
          <w:sz w:val="15"/>
          <w:szCs w:val="15"/>
          <w:color w:val="auto"/>
        </w:rPr>
        <w:t>Historically, our competition has been registered market making firms ranging from sole proprietors with very limited resources to large, integrated broker</w:t>
      </w:r>
      <w:r>
        <w:rPr>
          <w:rFonts w:ascii="MS PGothic" w:cs="MS PGothic" w:eastAsia="MS PGothic" w:hAnsi="MS PGothic"/>
          <w:sz w:val="15"/>
          <w:szCs w:val="15"/>
          <w:color w:val="auto"/>
        </w:rPr>
        <w:t>‑</w:t>
      </w:r>
      <w:r>
        <w:rPr>
          <w:rFonts w:ascii="Arial" w:cs="Arial" w:eastAsia="Arial" w:hAnsi="Arial"/>
          <w:sz w:val="15"/>
          <w:szCs w:val="15"/>
          <w:color w:val="auto"/>
        </w:rPr>
        <w:t>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 Some of our competitors in market making are larger than we are and have more captive order flow in certain assets. We believe that the high cost of developing a competitive technological framework is a significant barrier to entry by new market participants.</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Technology and software innovation is a primary focus for us, rather than relying solely on the speed of our network.</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We believe that our scalable technology allows us to access new markets and increase volumes with limited incremental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2" w:lineRule="exact"/>
        <w:rPr>
          <w:sz w:val="20"/>
          <w:szCs w:val="20"/>
          <w:color w:val="auto"/>
        </w:rPr>
      </w:pPr>
    </w:p>
    <w:p>
      <w:pPr>
        <w:ind w:right="40" w:firstLine="635"/>
        <w:spacing w:after="0" w:line="215" w:lineRule="exact"/>
        <w:rPr>
          <w:sz w:val="20"/>
          <w:szCs w:val="20"/>
          <w:color w:val="auto"/>
        </w:rPr>
      </w:pPr>
      <w:r>
        <w:rPr>
          <w:rFonts w:ascii="Arial" w:cs="Arial" w:eastAsia="Arial" w:hAnsi="Arial"/>
          <w:sz w:val="17"/>
          <w:szCs w:val="17"/>
          <w:color w:val="auto"/>
        </w:rPr>
        <w:t>We rely on federal and state laws that govern trade secrets, trademarks, domain names, copyright and contract law to protect our intellectual property and proprietary technology. We enter into confidentiality, intellectual property invention assignment and/or non</w:t>
      </w:r>
      <w:r>
        <w:rPr>
          <w:rFonts w:ascii="MS PGothic" w:cs="MS PGothic" w:eastAsia="MS PGothic" w:hAnsi="MS PGothic"/>
          <w:sz w:val="17"/>
          <w:szCs w:val="17"/>
          <w:color w:val="auto"/>
        </w:rPr>
        <w:t>‑</w:t>
      </w:r>
      <w:r>
        <w:rPr>
          <w:rFonts w:ascii="Arial" w:cs="Arial" w:eastAsia="Arial" w:hAnsi="Arial"/>
          <w:sz w:val="17"/>
          <w:szCs w:val="17"/>
          <w:color w:val="auto"/>
        </w:rPr>
        <w:t>competition and non</w:t>
      </w:r>
      <w:r>
        <w:rPr>
          <w:rFonts w:ascii="MS PGothic" w:cs="MS PGothic" w:eastAsia="MS PGothic" w:hAnsi="MS PGothic"/>
          <w:sz w:val="17"/>
          <w:szCs w:val="17"/>
          <w:color w:val="auto"/>
        </w:rPr>
        <w:t>‑</w:t>
      </w:r>
      <w:r>
        <w:rPr>
          <w:rFonts w:ascii="Arial" w:cs="Arial" w:eastAsia="Arial" w:hAnsi="Arial"/>
          <w:sz w:val="17"/>
          <w:szCs w:val="17"/>
          <w:color w:val="auto"/>
        </w:rPr>
        <w:t>solicitation agreements or restrictions with our employees, independent contractors and business partners, and we control access to, and distribution of, our intellectual property.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2" w:lineRule="exact"/>
        <w:rPr>
          <w:sz w:val="20"/>
          <w:szCs w:val="20"/>
          <w:color w:val="auto"/>
        </w:rPr>
      </w:pPr>
    </w:p>
    <w:p>
      <w:pPr>
        <w:ind w:right="80" w:firstLine="635"/>
        <w:spacing w:after="0" w:line="218" w:lineRule="exact"/>
        <w:rPr>
          <w:sz w:val="20"/>
          <w:szCs w:val="20"/>
          <w:color w:val="auto"/>
        </w:rPr>
      </w:pPr>
      <w:r>
        <w:rPr>
          <w:rFonts w:ascii="Arial" w:cs="Arial" w:eastAsia="Arial" w:hAnsi="Arial"/>
          <w:sz w:val="15"/>
          <w:szCs w:val="15"/>
          <w:color w:val="auto"/>
        </w:rPr>
        <w:t>As of March 5, 2018, we had approximately 560 employees, all of whom were employed on a full</w:t>
      </w:r>
      <w:r>
        <w:rPr>
          <w:rFonts w:ascii="MS PGothic" w:cs="MS PGothic" w:eastAsia="MS PGothic" w:hAnsi="MS PGothic"/>
          <w:sz w:val="15"/>
          <w:szCs w:val="15"/>
          <w:color w:val="auto"/>
        </w:rPr>
        <w:t>‑</w:t>
      </w:r>
      <w:r>
        <w:rPr>
          <w:rFonts w:ascii="Arial" w:cs="Arial" w:eastAsia="Arial" w:hAnsi="Arial"/>
          <w:sz w:val="15"/>
          <w:szCs w:val="15"/>
          <w:color w:val="auto"/>
        </w:rPr>
        <w:t>time basis. None of our employees are covered by collective bargaining agreements. We believe that our employee relations are good.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conduct our U.S. equities and options market making and provide execution services through our three</w:t>
      </w:r>
    </w:p>
    <w:p>
      <w:pPr>
        <w:spacing w:after="0" w:line="28"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SEC</w:t>
      </w:r>
      <w:r>
        <w:rPr>
          <w:rFonts w:ascii="MS PGothic" w:cs="MS PGothic" w:eastAsia="MS PGothic" w:hAnsi="MS PGothic"/>
          <w:sz w:val="15"/>
          <w:szCs w:val="15"/>
          <w:color w:val="auto"/>
        </w:rPr>
        <w:t>‑</w:t>
      </w:r>
      <w:r>
        <w:rPr>
          <w:rFonts w:ascii="Arial" w:cs="Arial" w:eastAsia="Arial" w:hAnsi="Arial"/>
          <w:sz w:val="15"/>
          <w:szCs w:val="15"/>
          <w:color w:val="auto"/>
        </w:rPr>
        <w:t>registered broker</w:t>
      </w:r>
      <w:r>
        <w:rPr>
          <w:rFonts w:ascii="MS PGothic" w:cs="MS PGothic" w:eastAsia="MS PGothic" w:hAnsi="MS PGothic"/>
          <w:sz w:val="15"/>
          <w:szCs w:val="15"/>
          <w:color w:val="auto"/>
        </w:rPr>
        <w:t>‑</w:t>
      </w:r>
      <w:r>
        <w:rPr>
          <w:rFonts w:ascii="Arial" w:cs="Arial" w:eastAsia="Arial" w:hAnsi="Arial"/>
          <w:sz w:val="15"/>
          <w:szCs w:val="15"/>
          <w:color w:val="auto"/>
        </w:rPr>
        <w:t>dealers, Virtu Financial BD LLC, Virtu Financial Capital Markets LLC, and Virtu Americas LLC. Virtu</w:t>
      </w:r>
    </w:p>
    <w:p>
      <w:pPr>
        <w:spacing w:after="0" w:line="3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Financial BD LLC is a self</w:t>
      </w:r>
      <w:r>
        <w:rPr>
          <w:rFonts w:ascii="MS PGothic" w:cs="MS PGothic" w:eastAsia="MS PGothic" w:hAnsi="MS PGothic"/>
          <w:sz w:val="17"/>
          <w:szCs w:val="17"/>
          <w:color w:val="auto"/>
        </w:rPr>
        <w:t>‑</w:t>
      </w:r>
      <w:r>
        <w:rPr>
          <w:rFonts w:ascii="Arial" w:cs="Arial" w:eastAsia="Arial" w:hAnsi="Arial"/>
          <w:sz w:val="17"/>
          <w:szCs w:val="17"/>
          <w:color w:val="auto"/>
        </w:rPr>
        <w:t>clearing broker</w:t>
      </w:r>
      <w:r>
        <w:rPr>
          <w:rFonts w:ascii="MS PGothic" w:cs="MS PGothic" w:eastAsia="MS PGothic" w:hAnsi="MS PGothic"/>
          <w:sz w:val="17"/>
          <w:szCs w:val="17"/>
          <w:color w:val="auto"/>
        </w:rPr>
        <w:t>‑</w:t>
      </w:r>
      <w:r>
        <w:rPr>
          <w:rFonts w:ascii="Arial" w:cs="Arial" w:eastAsia="Arial" w:hAnsi="Arial"/>
          <w:sz w:val="17"/>
          <w:szCs w:val="17"/>
          <w:color w:val="auto"/>
        </w:rPr>
        <w:t>dealer, is regulated by the SEC and its designated examining authority is the</w:t>
      </w:r>
    </w:p>
    <w:p>
      <w:pPr>
        <w:spacing w:after="0" w:line="1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Chicago Stock Exchange. Both Virtu Americas LLC and Virtu Financial Capital Markets LLC are dual</w:t>
      </w:r>
      <w:r>
        <w:rPr>
          <w:rFonts w:ascii="MS PGothic" w:cs="MS PGothic" w:eastAsia="MS PGothic" w:hAnsi="MS PGothic"/>
          <w:sz w:val="15"/>
          <w:szCs w:val="15"/>
          <w:color w:val="auto"/>
        </w:rPr>
        <w:t>‑</w:t>
      </w:r>
      <w:r>
        <w:rPr>
          <w:rFonts w:ascii="Arial" w:cs="Arial" w:eastAsia="Arial" w:hAnsi="Arial"/>
          <w:sz w:val="15"/>
          <w:szCs w:val="15"/>
          <w:color w:val="auto"/>
        </w:rPr>
        <w:t>clearing broker</w:t>
      </w:r>
      <w:r>
        <w:rPr>
          <w:rFonts w:ascii="MS PGothic" w:cs="MS PGothic" w:eastAsia="MS PGothic" w:hAnsi="MS PGothic"/>
          <w:sz w:val="15"/>
          <w:szCs w:val="15"/>
          <w:color w:val="auto"/>
        </w:rPr>
        <w:t>‑</w:t>
      </w:r>
      <w:r>
        <w:rPr>
          <w:rFonts w:ascii="Arial" w:cs="Arial" w:eastAsia="Arial" w:hAnsi="Arial"/>
          <w:sz w:val="15"/>
          <w:szCs w:val="15"/>
          <w:color w:val="auto"/>
        </w:rPr>
        <w:t>dealers</w:t>
      </w:r>
    </w:p>
    <w:p>
      <w:pPr>
        <w:spacing w:after="0" w:line="39"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(which means each self</w:t>
      </w:r>
      <w:r>
        <w:rPr>
          <w:rFonts w:ascii="MS PGothic" w:cs="MS PGothic" w:eastAsia="MS PGothic" w:hAnsi="MS PGothic"/>
          <w:sz w:val="15"/>
          <w:szCs w:val="15"/>
          <w:color w:val="auto"/>
        </w:rPr>
        <w:t>‑</w:t>
      </w:r>
      <w:r>
        <w:rPr>
          <w:rFonts w:ascii="Arial" w:cs="Arial" w:eastAsia="Arial" w:hAnsi="Arial"/>
          <w:sz w:val="15"/>
          <w:szCs w:val="15"/>
          <w:color w:val="auto"/>
        </w:rPr>
        <w:t>clears certain proprietary and customer transactions and clears and settles the majority of customer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transactions through fully disclosed clearing arrangements), are regulated by the SEC and their designated examining authority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is the Financial Industry Regulatory Authority, Inc. (“FINRA”).</w:t>
      </w:r>
    </w:p>
    <w:p>
      <w:pPr>
        <w:spacing w:after="0" w:line="205" w:lineRule="exact"/>
        <w:rPr>
          <w:sz w:val="20"/>
          <w:szCs w:val="20"/>
          <w:color w:val="auto"/>
        </w:rPr>
      </w:pPr>
    </w:p>
    <w:p>
      <w:pPr>
        <w:ind w:right="440" w:firstLine="635"/>
        <w:spacing w:after="0" w:line="218" w:lineRule="exact"/>
        <w:rPr>
          <w:sz w:val="20"/>
          <w:szCs w:val="20"/>
          <w:color w:val="auto"/>
        </w:rPr>
      </w:pPr>
      <w:r>
        <w:rPr>
          <w:rFonts w:ascii="Arial" w:cs="Arial" w:eastAsia="Arial" w:hAnsi="Arial"/>
          <w:sz w:val="15"/>
          <w:szCs w:val="15"/>
          <w:color w:val="auto"/>
        </w:rPr>
        <w:t>Our activities in U.S. equities are primarily self</w:t>
      </w:r>
      <w:r>
        <w:rPr>
          <w:rFonts w:ascii="MS PGothic" w:cs="MS PGothic" w:eastAsia="MS PGothic" w:hAnsi="MS PGothic"/>
          <w:sz w:val="15"/>
          <w:szCs w:val="15"/>
          <w:color w:val="auto"/>
        </w:rPr>
        <w:t>‑</w:t>
      </w:r>
      <w:r>
        <w:rPr>
          <w:rFonts w:ascii="Arial" w:cs="Arial" w:eastAsia="Arial" w:hAnsi="Arial"/>
          <w:sz w:val="15"/>
          <w:szCs w:val="15"/>
          <w:color w:val="auto"/>
        </w:rPr>
        <w:t>cleared. We are a full clearing member of the National Securities Clearing Corporation (NSCC), and the DTCC. Merrill Lynch, Pierce, Fenner &amp; Smith Incorporated acts as our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80"/>
        <w:spacing w:after="0" w:line="214" w:lineRule="exact"/>
        <w:rPr>
          <w:sz w:val="20"/>
          <w:szCs w:val="20"/>
          <w:color w:val="auto"/>
        </w:rPr>
      </w:pPr>
      <w:r>
        <w:rPr>
          <w:rFonts w:ascii="Arial" w:cs="Arial" w:eastAsia="Arial" w:hAnsi="Arial"/>
          <w:sz w:val="18"/>
          <w:szCs w:val="18"/>
          <w:color w:val="auto"/>
        </w:rPr>
        <w:t>clearing broker and carries and clears, on a fully disclosed basis, accounts for our institutional customers and acts as a prime broker for certain of our market making accounts. In other asset classes, we use the services of prime brokers who provide us direct market access to markets and often cross</w:t>
      </w:r>
      <w:r>
        <w:rPr>
          <w:rFonts w:ascii="MS PGothic" w:cs="MS PGothic" w:eastAsia="MS PGothic" w:hAnsi="MS PGothic"/>
          <w:sz w:val="18"/>
          <w:szCs w:val="18"/>
          <w:color w:val="auto"/>
        </w:rPr>
        <w:t>‑</w:t>
      </w:r>
      <w:r>
        <w:rPr>
          <w:rFonts w:ascii="Arial" w:cs="Arial" w:eastAsia="Arial" w:hAnsi="Arial"/>
          <w:sz w:val="18"/>
          <w:szCs w:val="18"/>
          <w:color w:val="auto"/>
        </w:rPr>
        <w:t>margining and margin financing in return for an execution and clearing fee. We continually monitor the credit quality of our prime brokers and rely on large multinational banks for most of our execution and clearing needs globally.</w:t>
      </w:r>
    </w:p>
    <w:p>
      <w:pPr>
        <w:spacing w:after="0" w:line="201" w:lineRule="exact"/>
        <w:rPr>
          <w:sz w:val="20"/>
          <w:szCs w:val="20"/>
          <w:color w:val="auto"/>
        </w:rPr>
      </w:pPr>
    </w:p>
    <w:p>
      <w:pPr>
        <w:ind w:right="320" w:firstLine="635"/>
        <w:spacing w:after="0" w:line="264" w:lineRule="auto"/>
        <w:rPr>
          <w:sz w:val="20"/>
          <w:szCs w:val="20"/>
          <w:color w:val="auto"/>
        </w:rPr>
      </w:pPr>
      <w:r>
        <w:rPr>
          <w:rFonts w:ascii="Arial" w:cs="Arial" w:eastAsia="Arial" w:hAnsi="Arial"/>
          <w:sz w:val="18"/>
          <w:szCs w:val="18"/>
          <w:color w:val="auto"/>
        </w:rPr>
        <w:t>Our energy, commodities and currency market making and trading activities are primarily conducted through Virtu Financial Global Markets LLC.</w:t>
      </w:r>
    </w:p>
    <w:p>
      <w:pPr>
        <w:spacing w:after="0" w:line="180" w:lineRule="exact"/>
        <w:rPr>
          <w:sz w:val="20"/>
          <w:szCs w:val="20"/>
          <w:color w:val="auto"/>
        </w:rPr>
      </w:pPr>
    </w:p>
    <w:p>
      <w:pPr>
        <w:ind w:right="40" w:firstLine="635"/>
        <w:spacing w:after="0" w:line="304" w:lineRule="auto"/>
        <w:rPr>
          <w:sz w:val="20"/>
          <w:szCs w:val="20"/>
          <w:color w:val="auto"/>
        </w:rPr>
      </w:pPr>
      <w:r>
        <w:rPr>
          <w:rFonts w:ascii="Arial" w:cs="Arial" w:eastAsia="Arial" w:hAnsi="Arial"/>
          <w:sz w:val="15"/>
          <w:szCs w:val="15"/>
          <w:color w:val="auto"/>
        </w:rPr>
        <w:t>We conduct our European, Middle Eastern and African (“EMEA”) market making and trading activities from Dublin and through our Irish subsidiary, Virtu Financial Ireland Limited, which is authorized as an “Investment Firm” with the Central Bank of Ireland. Execution Services and market making are also conducted through KCG Europe Limited. In order to reduce the complexity of compliance with the requirements of the Markets in Financial Instruments Directive (“MiFID”) and Markets in Financial Instruments Directive II (“MiFID II”), the operations of KCG Europe Limited, including all of its clients, are being transitioned to Virtu Financial Ireland Limited. Virtu Financial Ireland Limited has received authorization from the Central Bank of Ireland to provide agency execution services to customers and to operate a branch office in London. Once the transition is complete, KCG Europe Limited will cease operations and withdraw its authorization with the FCA.</w:t>
      </w:r>
    </w:p>
    <w:p>
      <w:pPr>
        <w:spacing w:after="0" w:line="157" w:lineRule="exact"/>
        <w:rPr>
          <w:sz w:val="20"/>
          <w:szCs w:val="20"/>
          <w:color w:val="auto"/>
        </w:rPr>
      </w:pPr>
    </w:p>
    <w:p>
      <w:pPr>
        <w:ind w:right="280" w:firstLine="635"/>
        <w:spacing w:after="0" w:line="254" w:lineRule="auto"/>
        <w:rPr>
          <w:sz w:val="20"/>
          <w:szCs w:val="20"/>
          <w:color w:val="auto"/>
        </w:rPr>
      </w:pPr>
      <w:r>
        <w:rPr>
          <w:rFonts w:ascii="Arial" w:cs="Arial" w:eastAsia="Arial" w:hAnsi="Arial"/>
          <w:sz w:val="18"/>
          <w:szCs w:val="18"/>
          <w:color w:val="auto"/>
        </w:rPr>
        <w:t>We conduct our Asia-Pacific (“APAC”) market making and trading activities from Singapore and through our Singapore subsidiary, Virtu Financial Singapore Pte. Ltd. Virtu Financial Singapore Pte. Ltd. is registered with the Monetary Authority of Singapore for an investment incentive arrangement.</w:t>
      </w:r>
    </w:p>
    <w:p>
      <w:pPr>
        <w:spacing w:after="0" w:line="189" w:lineRule="exact"/>
        <w:rPr>
          <w:sz w:val="20"/>
          <w:szCs w:val="20"/>
          <w:color w:val="auto"/>
        </w:rPr>
      </w:pPr>
    </w:p>
    <w:p>
      <w:pPr>
        <w:ind w:firstLine="635"/>
        <w:spacing w:after="0" w:line="213" w:lineRule="exact"/>
        <w:rPr>
          <w:sz w:val="20"/>
          <w:szCs w:val="20"/>
          <w:color w:val="auto"/>
        </w:rPr>
      </w:pPr>
      <w:r>
        <w:rPr>
          <w:rFonts w:ascii="Arial" w:cs="Arial" w:eastAsia="Arial" w:hAnsi="Arial"/>
          <w:sz w:val="15"/>
          <w:szCs w:val="15"/>
          <w:color w:val="auto"/>
        </w:rPr>
        <w:t>Most aspects of our business are subject to extensive regulation under federal, state and foreign laws and regulations, as well as the rules of the various self-regulatory organization (“SROs”) of which our subsidiaries are members. The SEC, the U.S. Commodity Futures Trading Commission (“CFTC”), state securities regulators, FCA, the Securities and Futures Commission (“SFC”), FINRA, National Futures Association (“NFA”),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Regulated entities are subject to regulations concerning all aspects of their business, including but not limited to trading practices, order handling, best execution practices, anti</w:t>
      </w:r>
      <w:r>
        <w:rPr>
          <w:rFonts w:ascii="MS PGothic" w:cs="MS PGothic" w:eastAsia="MS PGothic" w:hAnsi="MS PGothic"/>
          <w:sz w:val="15"/>
          <w:szCs w:val="15"/>
          <w:color w:val="auto"/>
        </w:rPr>
        <w:t>‑</w:t>
      </w:r>
      <w:r>
        <w:rPr>
          <w:rFonts w:ascii="Arial" w:cs="Arial" w:eastAsia="Arial" w:hAnsi="Arial"/>
          <w:sz w:val="15"/>
          <w:szCs w:val="15"/>
          <w:color w:val="auto"/>
        </w:rPr>
        <w:t>money laundering and financial crimes, handling of material non</w:t>
      </w:r>
      <w:r>
        <w:rPr>
          <w:rFonts w:ascii="MS PGothic" w:cs="MS PGothic" w:eastAsia="MS PGothic" w:hAnsi="MS PGothic"/>
          <w:sz w:val="15"/>
          <w:szCs w:val="15"/>
          <w:color w:val="auto"/>
        </w:rPr>
        <w:t>‑</w:t>
      </w:r>
      <w:r>
        <w:rPr>
          <w:rFonts w:ascii="Arial" w:cs="Arial" w:eastAsia="Arial" w:hAnsi="Arial"/>
          <w:sz w:val="15"/>
          <w:szCs w:val="15"/>
          <w:color w:val="auto"/>
        </w:rPr>
        <w:t>public information, safeguarding data, compliance with exchange and clearinghouse rules, capital adequacy, reporting, record retention, market access and the conduct of officers, employees and other associated persons. Virtu Americas LLC carries certain customer accounts and is therefore subject to applicable SEC requirements relating to the protection of customer securities and the maintenance of a cash reserve account for the benefit of customers.</w:t>
      </w:r>
    </w:p>
    <w:p>
      <w:pPr>
        <w:spacing w:after="0" w:line="207" w:lineRule="exact"/>
        <w:rPr>
          <w:sz w:val="20"/>
          <w:szCs w:val="20"/>
          <w:color w:val="auto"/>
        </w:rPr>
      </w:pPr>
    </w:p>
    <w:p>
      <w:pPr>
        <w:ind w:right="100" w:firstLine="635"/>
        <w:spacing w:after="0" w:line="214" w:lineRule="exact"/>
        <w:rPr>
          <w:sz w:val="20"/>
          <w:szCs w:val="20"/>
          <w:color w:val="auto"/>
        </w:rPr>
      </w:pPr>
      <w:r>
        <w:rPr>
          <w:rFonts w:ascii="Arial" w:cs="Arial" w:eastAsia="Arial" w:hAnsi="Arial"/>
          <w:sz w:val="15"/>
          <w:szCs w:val="15"/>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r>
      <w:r>
        <w:rPr>
          <w:rFonts w:ascii="MS PGothic" w:cs="MS PGothic" w:eastAsia="MS PGothic" w:hAnsi="MS PGothic"/>
          <w:sz w:val="15"/>
          <w:szCs w:val="15"/>
          <w:color w:val="auto"/>
        </w:rPr>
        <w:t>‑</w:t>
      </w:r>
      <w:r>
        <w:rPr>
          <w:rFonts w:ascii="Arial" w:cs="Arial" w:eastAsia="Arial" w:hAnsi="Arial"/>
          <w:sz w:val="15"/>
          <w:szCs w:val="15"/>
          <w:color w:val="auto"/>
        </w:rPr>
        <w:t>dealers, including our regulated subsidiaries. These increased obligations require the implementation and maintenance of internal practices, procedures and controls which have increased our costs and may subject us to government and regulatory inquiries, claims or penalties.</w:t>
      </w:r>
    </w:p>
    <w:p>
      <w:pPr>
        <w:spacing w:after="0" w:line="203" w:lineRule="exact"/>
        <w:rPr>
          <w:sz w:val="20"/>
          <w:szCs w:val="20"/>
          <w:color w:val="auto"/>
        </w:rPr>
      </w:pPr>
    </w:p>
    <w:p>
      <w:pPr>
        <w:ind w:right="80" w:firstLine="635"/>
        <w:spacing w:after="0" w:line="213" w:lineRule="exact"/>
        <w:rPr>
          <w:sz w:val="20"/>
          <w:szCs w:val="20"/>
          <w:color w:val="auto"/>
        </w:rPr>
      </w:pPr>
      <w:r>
        <w:rPr>
          <w:rFonts w:ascii="Arial" w:cs="Arial" w:eastAsia="Arial" w:hAnsi="Arial"/>
          <w:sz w:val="15"/>
          <w:szCs w:val="15"/>
          <w:color w:val="auto"/>
        </w:rPr>
        <w:t>Failure to comply with any laws, rules or regulations could result in administrative or court proceedings, censures, fines, penalties, judgments, disgorgement, restitution and censures, suspension or expulsion from a certain jurisdiction, SRO or market, the revocation or limitation of licenses, the issuance of cease</w:t>
      </w:r>
      <w:r>
        <w:rPr>
          <w:rFonts w:ascii="MS PGothic" w:cs="MS PGothic" w:eastAsia="MS PGothic" w:hAnsi="MS PGothic"/>
          <w:sz w:val="15"/>
          <w:szCs w:val="15"/>
          <w:color w:val="auto"/>
        </w:rPr>
        <w:t>‑</w:t>
      </w:r>
      <w:r>
        <w:rPr>
          <w:rFonts w:ascii="Arial" w:cs="Arial" w:eastAsia="Arial" w:hAnsi="Arial"/>
          <w:sz w:val="15"/>
          <w:szCs w:val="15"/>
          <w:color w:val="auto"/>
        </w:rPr>
        <w:t>and</w:t>
      </w:r>
      <w:r>
        <w:rPr>
          <w:rFonts w:ascii="MS PGothic" w:cs="MS PGothic" w:eastAsia="MS PGothic" w:hAnsi="MS PGothic"/>
          <w:sz w:val="15"/>
          <w:szCs w:val="15"/>
          <w:color w:val="auto"/>
        </w:rPr>
        <w:t>‑</w:t>
      </w:r>
      <w:r>
        <w:rPr>
          <w:rFonts w:ascii="Arial" w:cs="Arial" w:eastAsia="Arial" w:hAnsi="Arial"/>
          <w:sz w:val="15"/>
          <w:szCs w:val="15"/>
          <w:color w:val="auto"/>
        </w:rPr>
        <w:t>desist orders or injunctions or the suspension or disqualification of the entity and/or its officers, employees or other associated persons. These administrative or court proceedings, whether or not resulting in adverse findings, can require substantial expenditures of time and money and can have an adverse impact on a firm’s reputation, customer relationship and profitability. We and other broker dealers and trading firms have been the subject of requests for information and documents from the SEC, FINRA and other regulators. We have cooperated and complied with the requests for information and documents.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firstLine="635"/>
        <w:spacing w:after="0" w:line="213" w:lineRule="exact"/>
        <w:rPr>
          <w:sz w:val="20"/>
          <w:szCs w:val="20"/>
          <w:color w:val="auto"/>
        </w:rPr>
      </w:pPr>
      <w:r>
        <w:rPr>
          <w:rFonts w:ascii="Arial" w:cs="Arial" w:eastAsia="Arial" w:hAnsi="Arial"/>
          <w:sz w:val="17"/>
          <w:szCs w:val="17"/>
          <w:color w:val="auto"/>
        </w:rPr>
        <w:t>The regulatory environment in which we operate is subject to constant change. Our business, financial condition and operating results may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w:t>
      </w:r>
      <w:r>
        <w:rPr>
          <w:rFonts w:ascii="MS PGothic" w:cs="MS PGothic" w:eastAsia="MS PGothic" w:hAnsi="MS PGothic"/>
          <w:sz w:val="17"/>
          <w:szCs w:val="17"/>
          <w:color w:val="auto"/>
        </w:rPr>
        <w:t>‑</w:t>
      </w:r>
      <w:r>
        <w:rPr>
          <w:rFonts w:ascii="Arial" w:cs="Arial" w:eastAsia="Arial" w:hAnsi="Arial"/>
          <w:sz w:val="17"/>
          <w:szCs w:val="17"/>
          <w:color w:val="auto"/>
        </w:rPr>
        <w:t>dealers. We cannot predict what effect, if any, the above-noted legislation, regulation or changes might have. However, there have been in the past, and could be in the future, significant technological, operational and compliance costs associated with the obligations which derive from compliance with such regulations.</w:t>
      </w:r>
    </w:p>
    <w:p>
      <w:pPr>
        <w:spacing w:after="0" w:line="204" w:lineRule="exact"/>
        <w:rPr>
          <w:sz w:val="20"/>
          <w:szCs w:val="20"/>
          <w:color w:val="auto"/>
        </w:rPr>
      </w:pPr>
    </w:p>
    <w:p>
      <w:pPr>
        <w:ind w:right="40" w:firstLine="635"/>
        <w:spacing w:after="0" w:line="213" w:lineRule="exact"/>
        <w:rPr>
          <w:sz w:val="20"/>
          <w:szCs w:val="20"/>
          <w:color w:val="auto"/>
        </w:rPr>
      </w:pPr>
      <w:r>
        <w:rPr>
          <w:rFonts w:ascii="Arial" w:cs="Arial" w:eastAsia="Arial" w:hAnsi="Arial"/>
          <w:sz w:val="17"/>
          <w:szCs w:val="17"/>
          <w:color w:val="auto"/>
        </w:rPr>
        <w:t>On July 21, 2010, the Dodd</w:t>
      </w:r>
      <w:r>
        <w:rPr>
          <w:rFonts w:ascii="MS PGothic" w:cs="MS PGothic" w:eastAsia="MS PGothic" w:hAnsi="MS PGothic"/>
          <w:sz w:val="17"/>
          <w:szCs w:val="17"/>
          <w:color w:val="auto"/>
        </w:rPr>
        <w:t>‑</w:t>
      </w:r>
      <w:r>
        <w:rPr>
          <w:rFonts w:ascii="Arial" w:cs="Arial" w:eastAsia="Arial" w:hAnsi="Arial"/>
          <w:sz w:val="17"/>
          <w:szCs w:val="17"/>
          <w:color w:val="auto"/>
        </w:rPr>
        <w:t>Frank Act was enacted in the U.S. Implementation of the Dodd</w:t>
      </w:r>
      <w:r>
        <w:rPr>
          <w:rFonts w:ascii="MS PGothic" w:cs="MS PGothic" w:eastAsia="MS PGothic" w:hAnsi="MS PGothic"/>
          <w:sz w:val="17"/>
          <w:szCs w:val="17"/>
          <w:color w:val="auto"/>
        </w:rPr>
        <w:t>‑</w:t>
      </w:r>
      <w:r>
        <w:rPr>
          <w:rFonts w:ascii="Arial" w:cs="Arial" w:eastAsia="Arial" w:hAnsi="Arial"/>
          <w:sz w:val="17"/>
          <w:szCs w:val="17"/>
          <w:color w:val="auto"/>
        </w:rPr>
        <w:t>Frank Act is being accomplished through extensive rulemaking by the SEC, the CFTC and other governmental agencies. The Dodd</w:t>
      </w:r>
      <w:r>
        <w:rPr>
          <w:rFonts w:ascii="MS PGothic" w:cs="MS PGothic" w:eastAsia="MS PGothic" w:hAnsi="MS PGothic"/>
          <w:sz w:val="17"/>
          <w:szCs w:val="17"/>
          <w:color w:val="auto"/>
        </w:rPr>
        <w:t>‑</w:t>
      </w:r>
      <w:r>
        <w:rPr>
          <w:rFonts w:ascii="Arial" w:cs="Arial" w:eastAsia="Arial" w:hAnsi="Arial"/>
          <w:sz w:val="17"/>
          <w:szCs w:val="17"/>
          <w:color w:val="auto"/>
        </w:rPr>
        <w:t>Frank Act includes the “Volcker Rule,” which significantly limits the ability of banks and their affiliates to engage in proprietary trading, and Title VII, which provides a framework for the regulation of the swap markets. The CFTC has largely finalized its rules with respect to those swaps markets and participants it regulates, while the SEC has not yet completed all of its rules relating to security</w:t>
      </w:r>
      <w:r>
        <w:rPr>
          <w:rFonts w:ascii="MS PGothic" w:cs="MS PGothic" w:eastAsia="MS PGothic" w:hAnsi="MS PGothic"/>
          <w:sz w:val="17"/>
          <w:szCs w:val="17"/>
          <w:color w:val="auto"/>
        </w:rPr>
        <w:t>‑</w:t>
      </w:r>
      <w:r>
        <w:rPr>
          <w:rFonts w:ascii="Arial" w:cs="Arial" w:eastAsia="Arial" w:hAnsi="Arial"/>
          <w:sz w:val="17"/>
          <w:szCs w:val="17"/>
          <w:color w:val="auto"/>
        </w:rPr>
        <w:t>based swaps. One of our subsidiaries is registered with the CFTC as a floor trader, and is exempt from registration as a swap dealer based on its current activity. Registration as a swap dealer would subject our subsidiary to various requirements, including those related to capital, conduct, and reporting.</w:t>
      </w:r>
    </w:p>
    <w:p>
      <w:pPr>
        <w:spacing w:after="0" w:line="204" w:lineRule="exact"/>
        <w:rPr>
          <w:sz w:val="20"/>
          <w:szCs w:val="20"/>
          <w:color w:val="auto"/>
        </w:rPr>
      </w:pPr>
    </w:p>
    <w:p>
      <w:pPr>
        <w:ind w:right="20" w:firstLine="635"/>
        <w:spacing w:after="0" w:line="264" w:lineRule="auto"/>
        <w:rPr>
          <w:sz w:val="20"/>
          <w:szCs w:val="20"/>
          <w:color w:val="auto"/>
        </w:rPr>
      </w:pPr>
      <w:r>
        <w:rPr>
          <w:rFonts w:ascii="Arial" w:cs="Arial" w:eastAsia="Arial" w:hAnsi="Arial"/>
          <w:sz w:val="17"/>
          <w:szCs w:val="17"/>
          <w:color w:val="auto"/>
        </w:rPr>
        <w:t>The SEC and other regulatory bodies have enacted and are actively considering rules that may affect our operations and profitability. In particular, on November 15, 2016, the SEC approved an NMS Plan to create a single, comprehensive database known as the Consolidated Audit Trail (“CAT”) to enable regulators to track all data relating to US equity and options market activity. The current compliance date for large reporting broker-dealers is November 15, 2018. Among other things, the NMS Plan will impose substantial new reporting obligations and costs on broker-dealers. Regulators may propose other market structure changes particularly considering the continued regulatory scrutiny of high frequency trading, alternative trading systems, market fragmentation, colocation, access to market data feeds, and remuneration arrangements such as payment for order flow and exchange fee structures.</w:t>
      </w:r>
    </w:p>
    <w:p>
      <w:pPr>
        <w:spacing w:after="0" w:line="185" w:lineRule="exact"/>
        <w:rPr>
          <w:sz w:val="20"/>
          <w:szCs w:val="20"/>
          <w:color w:val="auto"/>
        </w:rPr>
      </w:pPr>
    </w:p>
    <w:p>
      <w:pPr>
        <w:ind w:firstLine="635"/>
        <w:spacing w:after="0" w:line="299" w:lineRule="auto"/>
        <w:rPr>
          <w:sz w:val="20"/>
          <w:szCs w:val="20"/>
          <w:color w:val="auto"/>
        </w:rPr>
      </w:pPr>
      <w:r>
        <w:rPr>
          <w:rFonts w:ascii="Arial" w:cs="Arial" w:eastAsia="Arial" w:hAnsi="Arial"/>
          <w:sz w:val="15"/>
          <w:szCs w:val="15"/>
          <w:color w:val="auto"/>
        </w:rPr>
        <w:t>We have foreign subsidiaries and plan to continue to expand our international presence. The market making industry in many foreign countries is heavily regulated, much like in the U.S. The varying compliance requirements of these different regulatory jurisdictions and other factors may limit our ability to conduct business or expand internationally. MiFID, which was implemented in November 2007, has been replaced by a more prescriptive MiFIR Regulation and MiFID II. MiFID II represents the most significant change to take place in the operation of European capital markets to date and became effective on January 3, 2018. MiFID II introduces requirements for increased pre and post trade transparency, technological and organizational requirements for firms deploying algorithmic trading techniques, restrictions on dark trading, and the roll out of a new bi-lateral OTC equity trading regime called the Systematic Internalizer regime. MiFID II will require European firms to conduct all trading on European Trading Venues including Regulated Markets, Multilateral Trading Facilities, Systematic Internalisers or equivalent third country venues, require market makers like us to post firm quotes at competitive prices and will supplement current requirements with regard to investment firms’ pre-trade risk controls related to the safe operation of electronic systems. MiFID II also imposes additional requirements on trading platforms, such as additional technological requirements, clock synchronization, microsecond processing granularity, pre-trade risk controls, transaction reporting requirements and limits on the ratio of unexecuted orders to trades. Each of these requirements imposes additional technological, operational and compliance costs on us. New laws, rules or regulations as well as any regulatory or legal actions or proceedings, changes in legislation or regulation and changes in market customs and practices could have a material adverse effect on our business, financial condition, results of operations, and cash flows.</w:t>
      </w:r>
    </w:p>
    <w:p>
      <w:pPr>
        <w:spacing w:after="0" w:line="372" w:lineRule="exact"/>
        <w:rPr>
          <w:sz w:val="20"/>
          <w:szCs w:val="20"/>
          <w:color w:val="auto"/>
        </w:rPr>
      </w:pPr>
    </w:p>
    <w:p>
      <w:pPr>
        <w:ind w:right="20" w:firstLine="635"/>
        <w:spacing w:after="0" w:line="213" w:lineRule="exact"/>
        <w:rPr>
          <w:sz w:val="20"/>
          <w:szCs w:val="20"/>
          <w:color w:val="auto"/>
        </w:rPr>
      </w:pPr>
      <w:r>
        <w:rPr>
          <w:rFonts w:ascii="Arial" w:cs="Arial" w:eastAsia="Arial" w:hAnsi="Arial"/>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7"/>
          <w:szCs w:val="17"/>
          <w:color w:val="auto"/>
        </w:rPr>
        <w:t>‑</w:t>
      </w:r>
      <w:r>
        <w:rPr>
          <w:rFonts w:ascii="Arial" w:cs="Arial" w:eastAsia="Arial" w:hAnsi="Arial"/>
          <w:sz w:val="17"/>
          <w:szCs w:val="17"/>
          <w:color w:val="auto"/>
        </w:rPr>
        <w:t>dealer and require that at least a minimum part of its assets be kept in relatively liquid form. Failure to maintain required minimum capital may subject a regulated subsidiary to a fine, requirement to cease conducting business, suspension, revocation of registration or expulsion by applicable regulatory authorities, and ultimately could require the relevant entity’s liquidation. See “Item 1A. Risk Factors — Risks Related to Our Business — Failure to comply with applicable regulatory capital requirements could subject us to sanctions imposed by the SEC, FINRA and other SROs or regulatory bodies.”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2" w:lineRule="exact"/>
        <w:rPr>
          <w:sz w:val="20"/>
          <w:szCs w:val="20"/>
          <w:color w:val="auto"/>
        </w:rPr>
      </w:pPr>
    </w:p>
    <w:p>
      <w:pPr>
        <w:ind w:right="180" w:firstLine="635"/>
        <w:spacing w:after="0" w:line="251" w:lineRule="auto"/>
        <w:rPr>
          <w:sz w:val="20"/>
          <w:szCs w:val="20"/>
          <w:color w:val="auto"/>
        </w:rPr>
      </w:pPr>
      <w:r>
        <w:rPr>
          <w:rFonts w:ascii="Arial" w:cs="Arial" w:eastAsia="Arial" w:hAnsi="Arial"/>
          <w:sz w:val="18"/>
          <w:szCs w:val="18"/>
          <w:color w:val="auto"/>
        </w:rPr>
        <w:t>We and our predecessors have been in the electronic trading and market making business for more than 15 years. We conduct our business through Virtu Financial LLC (“Virtu Financial”) and its subsidiaries. We completed our initial public offering (“IPO”) in April 2015, after which shares of our Class A common stock began trading on NASDAQ under the ticker symbol “VIRT.”</w:t>
      </w:r>
    </w:p>
    <w:p>
      <w:pPr>
        <w:spacing w:after="0" w:line="192" w:lineRule="exact"/>
        <w:rPr>
          <w:sz w:val="20"/>
          <w:szCs w:val="20"/>
          <w:color w:val="auto"/>
        </w:rPr>
      </w:pPr>
    </w:p>
    <w:p>
      <w:pPr>
        <w:ind w:right="20" w:firstLine="635"/>
        <w:spacing w:after="0" w:line="265" w:lineRule="auto"/>
        <w:rPr>
          <w:sz w:val="20"/>
          <w:szCs w:val="20"/>
          <w:color w:val="auto"/>
        </w:rPr>
      </w:pPr>
      <w:r>
        <w:rPr>
          <w:rFonts w:ascii="Arial" w:cs="Arial" w:eastAsia="Arial" w:hAnsi="Arial"/>
          <w:sz w:val="17"/>
          <w:szCs w:val="17"/>
          <w:color w:val="auto"/>
        </w:rPr>
        <w:t>Prior to our initial public offering, we completed a series of reorganization transactions (the “Reorganization Transactions”) pursuant to which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Class B, Class C and Class D, and the holders of Virtu Financial Units other than us subscribed for shares of Class C common stock or Class D common stock (in the case of the Founder Post-IPO Member, as defined below) in an amount equal to the number of Virtu Financial Units held by such member.</w:t>
      </w:r>
    </w:p>
    <w:p>
      <w:pPr>
        <w:spacing w:after="0" w:line="182"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The Class A common stock and Class C common stock each provide holders with one vote on all matters submitted to a vote of stockholders, and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spacing w:after="0" w:line="193"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On July 20, 2017, the Company completed the all-cash acquisition of KCG Holdings, Inc. In connection with the Acquisition, the Company issued 8,012,821 shares of the Company’s Class A stock to Aranda Investments Pte. Ltd. (together with Havelock Fund Investments Pte. Ltd., the “Temasek Stockholders”), an affiliate of Temasek Holdings (Private) Limited (“Temasek”) for an aggregate purchase price of approximately $125.0 million and 40,064,103 shares of the Company’s Class A stock to an affiliate of North Island Holdings (the “North Island Stockholder”) for an aggregate purchase price of approximately $618.7 million, in each case in accordance with terms of an investment agreement in a private placement exempt from the registration requirements of the Securities Act of 1933, as amended, pursuant to Section 4(a)(2) of the Securities Act of 1933, as amended (collectively, the “July 2017 Private Placement”).</w:t>
      </w:r>
    </w:p>
    <w:p>
      <w:pPr>
        <w:spacing w:after="0" w:line="185" w:lineRule="exact"/>
        <w:rPr>
          <w:sz w:val="20"/>
          <w:szCs w:val="20"/>
          <w:color w:val="auto"/>
        </w:rPr>
      </w:pPr>
    </w:p>
    <w:p>
      <w:pPr>
        <w:ind w:firstLine="635"/>
        <w:spacing w:after="0" w:line="302" w:lineRule="auto"/>
        <w:rPr>
          <w:sz w:val="20"/>
          <w:szCs w:val="20"/>
          <w:color w:val="auto"/>
        </w:rPr>
      </w:pPr>
      <w:r>
        <w:rPr>
          <w:rFonts w:ascii="Arial" w:cs="Arial" w:eastAsia="Arial" w:hAnsi="Arial"/>
          <w:sz w:val="15"/>
          <w:szCs w:val="15"/>
          <w:color w:val="auto"/>
        </w:rPr>
        <w:t>As a result of the completion of the IPO, the Reorganization Transactions, the July 2017 Private Placement, and certain other secondary offerings and permitted exchanges by current and former employees of Virtu Financial common units for shares of the Company’s Class A common stock, the Company holds an approximately 48.3% interest in Virtu Financial at December 31, 2017. The remaining issued and outstanding Virtu Finanical Units are held by an affiliate of Mr. Viola (the “Founder Post-IPO Member”), two entities whose equityholders include certain members of the management of Virtu Financial and certain other current and former members of management of Virtu Financial (collectively, the “Virtu Post-IPO Members”). The Founder Post-IPO Member controls approximately 88.1% of the combined voting power of our outstanding common stock as of December 31, 2017.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2"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Our website address is www.virtu.com. The information on our website is not, and shall not be deemed to be, a part of this Annual Report on Form 10-K or incorporated into any other filings we make with the Securities and Exchange Commission (the “SEC”). Our Annual Reports on Form 10-K, Quarterly Reports on Form 10-Q, Current Reports on Form 8-K and amendments to those reports filed or furnished pursuant to Section 13(a) or 15(d) of the Securities Exchange Act of 1934 (the “Exchange Act”) are available free of charge on our website as soon as possible after we electronically file them with, or furnish them to, the SEC. You can also read, access and copy any document that we file, including this Annual Report on Form 10-K, at the SEC’s Public Reference Room at 100 F Street, N.E., Washington, D.C. 20549. Call the SEC at 1-800-SEC-0330 for information on the operation of the Public Reference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Room. In addition, the SEC maintains a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including Virtu, that are electronically filed with the SEC.</w:t>
      </w:r>
    </w:p>
    <w:p>
      <w:pPr>
        <w:spacing w:after="0" w:line="180" w:lineRule="exact"/>
        <w:rPr>
          <w:sz w:val="20"/>
          <w:szCs w:val="20"/>
          <w:color w:val="auto"/>
        </w:rPr>
      </w:pPr>
    </w:p>
    <w:p>
      <w:pPr>
        <w:ind w:right="120" w:firstLine="635"/>
        <w:spacing w:after="0" w:line="264" w:lineRule="auto"/>
        <w:rPr>
          <w:sz w:val="20"/>
          <w:szCs w:val="20"/>
          <w:color w:val="auto"/>
        </w:rPr>
      </w:pPr>
      <w:r>
        <w:rPr>
          <w:rFonts w:ascii="Arial" w:cs="Arial" w:eastAsia="Arial" w:hAnsi="Arial"/>
          <w:sz w:val="18"/>
          <w:szCs w:val="18"/>
          <w:color w:val="auto"/>
        </w:rPr>
        <w:t>Our Investor Relations Department can be contacted at Virtu Financial, Inc., 300 Vesey Street, New York, NY, 10282, Attn: Investor Relations, e-mail: investor_relations@virtu.com.</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2" w:lineRule="exact"/>
        <w:rPr>
          <w:sz w:val="20"/>
          <w:szCs w:val="20"/>
          <w:color w:val="auto"/>
        </w:rPr>
      </w:pPr>
    </w:p>
    <w:p>
      <w:pPr>
        <w:ind w:right="60"/>
        <w:spacing w:after="0" w:line="364" w:lineRule="auto"/>
        <w:rPr>
          <w:sz w:val="20"/>
          <w:szCs w:val="20"/>
          <w:color w:val="auto"/>
        </w:rPr>
      </w:pPr>
      <w:r>
        <w:rPr>
          <w:rFonts w:ascii="Arial" w:cs="Arial" w:eastAsia="Arial" w:hAnsi="Arial"/>
          <w:sz w:val="15"/>
          <w:szCs w:val="15"/>
          <w:b w:val="1"/>
          <w:bCs w:val="1"/>
          <w:i w:val="1"/>
          <w:iCs w:val="1"/>
          <w:color w:val="auto"/>
        </w:rPr>
        <w:t>Because our revenues and profitability depend on trading volume and volatility in the markets in which we operate, they are subject to factors beyond our control, are prone to significant fluctuations and are difficult to predict.</w:t>
      </w:r>
    </w:p>
    <w:p>
      <w:pPr>
        <w:spacing w:after="0" w:line="112" w:lineRule="exact"/>
        <w:rPr>
          <w:sz w:val="20"/>
          <w:szCs w:val="20"/>
          <w:color w:val="auto"/>
        </w:rPr>
      </w:pPr>
    </w:p>
    <w:p>
      <w:pPr>
        <w:ind w:firstLine="635"/>
        <w:spacing w:after="0" w:line="299" w:lineRule="auto"/>
        <w:rPr>
          <w:sz w:val="20"/>
          <w:szCs w:val="20"/>
          <w:color w:val="auto"/>
        </w:rPr>
      </w:pPr>
      <w:r>
        <w:rPr>
          <w:rFonts w:ascii="Arial" w:cs="Arial" w:eastAsia="Arial" w:hAnsi="Arial"/>
          <w:sz w:val="15"/>
          <w:szCs w:val="15"/>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 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 houses to perform their obligations to us.</w:t>
      </w:r>
    </w:p>
    <w:p>
      <w:pPr>
        <w:spacing w:after="0" w:line="228" w:lineRule="exact"/>
        <w:rPr>
          <w:sz w:val="20"/>
          <w:szCs w:val="20"/>
          <w:color w:val="auto"/>
        </w:rPr>
      </w:pPr>
    </w:p>
    <w:p>
      <w:pPr>
        <w:ind w:right="40" w:firstLine="635"/>
        <w:spacing w:after="0" w:line="216" w:lineRule="exact"/>
        <w:rPr>
          <w:sz w:val="20"/>
          <w:szCs w:val="20"/>
          <w:color w:val="auto"/>
        </w:rPr>
      </w:pPr>
      <w:r>
        <w:rPr>
          <w:rFonts w:ascii="Arial" w:cs="Arial" w:eastAsia="Arial" w:hAnsi="Arial"/>
          <w:sz w:val="15"/>
          <w:szCs w:val="15"/>
          <w:color w:val="auto"/>
        </w:rPr>
        <w:t>Our business consists of providing consistent two</w:t>
      </w:r>
      <w:r>
        <w:rPr>
          <w:rFonts w:ascii="MS PGothic" w:cs="MS PGothic" w:eastAsia="MS PGothic" w:hAnsi="MS PGothic"/>
          <w:sz w:val="15"/>
          <w:szCs w:val="15"/>
          <w:color w:val="auto"/>
        </w:rPr>
        <w:t>‑</w:t>
      </w:r>
      <w:r>
        <w:rPr>
          <w:rFonts w:ascii="Arial" w:cs="Arial" w:eastAsia="Arial" w:hAnsi="Arial"/>
          <w:sz w:val="15"/>
          <w:szCs w:val="15"/>
          <w:color w:val="auto"/>
        </w:rPr>
        <w:t>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Following the implementation of certain mandates under the Dodd</w:t>
      </w:r>
      <w:r>
        <w:rPr>
          <w:rFonts w:ascii="MS PGothic" w:cs="MS PGothic" w:eastAsia="MS PGothic" w:hAnsi="MS PGothic"/>
          <w:sz w:val="15"/>
          <w:szCs w:val="15"/>
          <w:color w:val="auto"/>
        </w:rPr>
        <w:t>‑</w:t>
      </w:r>
      <w:r>
        <w:rPr>
          <w:rFonts w:ascii="Arial" w:cs="Arial" w:eastAsia="Arial" w:hAnsi="Arial"/>
          <w:sz w:val="15"/>
          <w:szCs w:val="15"/>
          <w:color w:val="auto"/>
        </w:rPr>
        <w:t>Frank Act in the U.S. and similar legislation worldwide, many trades in the securities and futures markets, and an increasing number of trades in the over</w:t>
      </w:r>
      <w:r>
        <w:rPr>
          <w:rFonts w:ascii="MS PGothic" w:cs="MS PGothic" w:eastAsia="MS PGothic" w:hAnsi="MS PGothic"/>
          <w:sz w:val="15"/>
          <w:szCs w:val="15"/>
          <w:color w:val="auto"/>
        </w:rPr>
        <w:t>‑</w:t>
      </w:r>
      <w:r>
        <w:rPr>
          <w:rFonts w:ascii="Arial" w:cs="Arial" w:eastAsia="Arial" w:hAnsi="Arial"/>
          <w:sz w:val="15"/>
          <w:szCs w:val="15"/>
          <w:color w:val="auto"/>
        </w:rPr>
        <w:t>the</w:t>
      </w:r>
      <w:r>
        <w:rPr>
          <w:rFonts w:ascii="MS PGothic" w:cs="MS PGothic" w:eastAsia="MS PGothic" w:hAnsi="MS PGothic"/>
          <w:sz w:val="15"/>
          <w:szCs w:val="15"/>
          <w:color w:val="auto"/>
        </w:rPr>
        <w:t>‑</w:t>
      </w:r>
      <w:r>
        <w:rPr>
          <w:rFonts w:ascii="Arial" w:cs="Arial" w:eastAsia="Arial" w:hAnsi="Arial"/>
          <w:sz w:val="15"/>
          <w:szCs w:val="15"/>
          <w:color w:val="auto"/>
        </w:rPr>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results of operations and cash flows.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We may incur losses in our market making activities and our execution services businesses in the event of failures of our customized trading platform.</w:t>
      </w:r>
    </w:p>
    <w:p>
      <w:pPr>
        <w:spacing w:after="0" w:line="180" w:lineRule="exact"/>
        <w:rPr>
          <w:sz w:val="20"/>
          <w:szCs w:val="20"/>
          <w:color w:val="auto"/>
        </w:rPr>
      </w:pPr>
    </w:p>
    <w:p>
      <w:pPr>
        <w:ind w:right="20" w:firstLine="635"/>
        <w:spacing w:after="0" w:line="305" w:lineRule="auto"/>
        <w:rPr>
          <w:sz w:val="20"/>
          <w:szCs w:val="20"/>
          <w:color w:val="auto"/>
        </w:rPr>
      </w:pPr>
      <w:r>
        <w:rPr>
          <w:rFonts w:ascii="Arial" w:cs="Arial" w:eastAsia="Arial" w:hAnsi="Arial"/>
          <w:sz w:val="15"/>
          <w:szCs w:val="15"/>
          <w:color w:val="auto"/>
        </w:rPr>
        <w:t>The success of our market making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material trading losses from our market making activities.</w:t>
      </w:r>
    </w:p>
    <w:p>
      <w:pPr>
        <w:spacing w:after="0" w:line="216" w:lineRule="exact"/>
        <w:rPr>
          <w:sz w:val="20"/>
          <w:szCs w:val="20"/>
          <w:color w:val="auto"/>
        </w:rPr>
      </w:pPr>
    </w:p>
    <w:p>
      <w:pPr>
        <w:ind w:firstLine="635"/>
        <w:spacing w:after="0" w:line="303" w:lineRule="auto"/>
        <w:rPr>
          <w:sz w:val="20"/>
          <w:szCs w:val="20"/>
          <w:color w:val="auto"/>
        </w:rPr>
      </w:pPr>
      <w:r>
        <w:rPr>
          <w:rFonts w:ascii="Arial" w:cs="Arial" w:eastAsia="Arial" w:hAnsi="Arial"/>
          <w:sz w:val="15"/>
          <w:szCs w:val="15"/>
          <w:color w:val="auto"/>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157" w:lineRule="exact"/>
        <w:rPr>
          <w:sz w:val="20"/>
          <w:szCs w:val="20"/>
          <w:color w:val="auto"/>
        </w:rPr>
      </w:pPr>
    </w:p>
    <w:p>
      <w:pPr>
        <w:jc w:val="both"/>
        <w:ind w:right="40" w:firstLine="635"/>
        <w:spacing w:after="0" w:line="276" w:lineRule="auto"/>
        <w:rPr>
          <w:sz w:val="20"/>
          <w:szCs w:val="20"/>
          <w:color w:val="auto"/>
        </w:rPr>
      </w:pPr>
      <w:r>
        <w:rPr>
          <w:rFonts w:ascii="Arial" w:cs="Arial" w:eastAsia="Arial" w:hAnsi="Arial"/>
          <w:sz w:val="17"/>
          <w:szCs w:val="17"/>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72" w:lineRule="exact"/>
        <w:rPr>
          <w:sz w:val="20"/>
          <w:szCs w:val="20"/>
          <w:color w:val="auto"/>
        </w:rPr>
      </w:pPr>
    </w:p>
    <w:p>
      <w:pPr>
        <w:ind w:right="200" w:firstLine="635"/>
        <w:spacing w:after="0" w:line="312" w:lineRule="auto"/>
        <w:rPr>
          <w:sz w:val="20"/>
          <w:szCs w:val="20"/>
          <w:color w:val="auto"/>
        </w:rPr>
      </w:pPr>
      <w:r>
        <w:rPr>
          <w:rFonts w:ascii="Arial" w:cs="Arial" w:eastAsia="Arial" w:hAnsi="Arial"/>
          <w:sz w:val="15"/>
          <w:szCs w:val="15"/>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cannot assure you that we will be able to manage these risks successfully or that we will not experience significant losses from such activities, which could have a material adverse effect on our business, financial condition, results of operations and cash flows.</w:t>
      </w:r>
    </w:p>
    <w:p>
      <w:pPr>
        <w:spacing w:after="0" w:line="149" w:lineRule="exact"/>
        <w:rPr>
          <w:sz w:val="20"/>
          <w:szCs w:val="20"/>
          <w:color w:val="auto"/>
        </w:rPr>
      </w:pPr>
    </w:p>
    <w:p>
      <w:pPr>
        <w:ind w:right="60" w:firstLine="635"/>
        <w:spacing w:after="0" w:line="213" w:lineRule="exact"/>
        <w:rPr>
          <w:sz w:val="20"/>
          <w:szCs w:val="20"/>
          <w:color w:val="auto"/>
        </w:rPr>
      </w:pPr>
      <w:r>
        <w:rPr>
          <w:rFonts w:ascii="Arial" w:cs="Arial" w:eastAsia="Arial" w:hAnsi="Arial"/>
          <w:sz w:val="15"/>
          <w:szCs w:val="15"/>
          <w:color w:val="auto"/>
        </w:rPr>
        <w:t>Our risk management activities related to our on exchange market making strategies utilize a four</w:t>
      </w:r>
      <w:r>
        <w:rPr>
          <w:rFonts w:ascii="MS PGothic" w:cs="MS PGothic" w:eastAsia="MS PGothic" w:hAnsi="MS PGothic"/>
          <w:sz w:val="15"/>
          <w:szCs w:val="15"/>
          <w:color w:val="auto"/>
        </w:rPr>
        <w:t>‑</w:t>
      </w:r>
      <w:r>
        <w:rPr>
          <w:rFonts w:ascii="Arial" w:cs="Arial" w:eastAsia="Arial" w:hAnsi="Arial"/>
          <w:sz w:val="15"/>
          <w:szCs w:val="15"/>
          <w:color w:val="auto"/>
        </w:rPr>
        <w:t>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2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80" w:lineRule="exact"/>
        <w:rPr>
          <w:sz w:val="20"/>
          <w:szCs w:val="20"/>
          <w:color w:val="auto"/>
        </w:rPr>
      </w:pPr>
    </w:p>
    <w:p>
      <w:pPr>
        <w:ind w:right="40" w:firstLine="635"/>
        <w:spacing w:after="0" w:line="308" w:lineRule="auto"/>
        <w:rPr>
          <w:sz w:val="20"/>
          <w:szCs w:val="20"/>
          <w:color w:val="auto"/>
        </w:rPr>
      </w:pPr>
      <w:r>
        <w:rPr>
          <w:rFonts w:ascii="Arial" w:cs="Arial" w:eastAsia="Arial" w:hAnsi="Arial"/>
          <w:sz w:val="15"/>
          <w:szCs w:val="15"/>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320"/>
        <w:spacing w:after="0" w:line="254" w:lineRule="auto"/>
        <w:rPr>
          <w:sz w:val="20"/>
          <w:szCs w:val="20"/>
          <w:color w:val="auto"/>
        </w:rPr>
      </w:pPr>
      <w:r>
        <w:rPr>
          <w:rFonts w:ascii="Arial" w:cs="Arial" w:eastAsia="Arial" w:hAnsi="Arial"/>
          <w:sz w:val="18"/>
          <w:szCs w:val="18"/>
          <w:color w:val="auto"/>
        </w:rPr>
        <w:t>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losses due to lack of perfect information.</w:t>
      </w:r>
    </w:p>
    <w:p>
      <w:pPr>
        <w:spacing w:after="0" w:line="216" w:lineRule="exact"/>
        <w:rPr>
          <w:sz w:val="20"/>
          <w:szCs w:val="20"/>
          <w:color w:val="auto"/>
        </w:rPr>
      </w:pPr>
    </w:p>
    <w:p>
      <w:pPr>
        <w:ind w:right="20" w:firstLine="635"/>
        <w:spacing w:after="0" w:line="312" w:lineRule="auto"/>
        <w:rPr>
          <w:sz w:val="20"/>
          <w:szCs w:val="20"/>
          <w:color w:val="auto"/>
        </w:rPr>
      </w:pPr>
      <w:r>
        <w:rPr>
          <w:rFonts w:ascii="Arial" w:cs="Arial" w:eastAsia="Arial" w:hAnsi="Arial"/>
          <w:sz w:val="15"/>
          <w:szCs w:val="15"/>
          <w:color w:val="auto"/>
        </w:rPr>
        <w:t>As a market maker, we provide liquidity by consistently buying securities from sellers and selling securities to buyers. We may at times trade with others who have information that is more accurate or complete than the information we have, and as a result we may accumulate unfavorable positions preceding large price movements in a given instrument. Should the frequency or magnitude of these events increase, our losses would likely increase correspondingly, which could have a material adverse effect on our business, financial condition, results of operations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which would harm our financial performance.</w:t>
      </w:r>
    </w:p>
    <w:p>
      <w:pPr>
        <w:spacing w:after="0" w:line="216" w:lineRule="exact"/>
        <w:rPr>
          <w:sz w:val="20"/>
          <w:szCs w:val="20"/>
          <w:color w:val="auto"/>
        </w:rPr>
      </w:pPr>
    </w:p>
    <w:p>
      <w:pPr>
        <w:ind w:right="20" w:firstLine="635"/>
        <w:spacing w:after="0" w:line="268" w:lineRule="auto"/>
        <w:rPr>
          <w:sz w:val="20"/>
          <w:szCs w:val="20"/>
          <w:color w:val="auto"/>
        </w:rPr>
      </w:pPr>
      <w:r>
        <w:rPr>
          <w:rFonts w:ascii="Arial" w:cs="Arial" w:eastAsia="Arial" w:hAnsi="Arial"/>
          <w:sz w:val="17"/>
          <w:szCs w:val="17"/>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w:t>
      </w:r>
    </w:p>
    <w:p>
      <w:pPr>
        <w:spacing w:after="0" w:line="179" w:lineRule="exact"/>
        <w:rPr>
          <w:sz w:val="20"/>
          <w:szCs w:val="20"/>
          <w:color w:val="auto"/>
        </w:rPr>
      </w:pPr>
    </w:p>
    <w:p>
      <w:pPr>
        <w:ind w:firstLine="635"/>
        <w:spacing w:after="0" w:line="215" w:lineRule="exact"/>
        <w:rPr>
          <w:sz w:val="20"/>
          <w:szCs w:val="20"/>
          <w:color w:val="auto"/>
        </w:rPr>
      </w:pPr>
      <w:r>
        <w:rPr>
          <w:rFonts w:ascii="Arial" w:cs="Arial" w:eastAsia="Arial" w:hAnsi="Arial"/>
          <w:sz w:val="15"/>
          <w:szCs w:val="15"/>
          <w:color w:val="auto"/>
        </w:rPr>
        <w:t>Our competitors include other registered market makers, as well as unregulated or lesser</w:t>
      </w:r>
      <w:r>
        <w:rPr>
          <w:rFonts w:ascii="MS PGothic" w:cs="MS PGothic" w:eastAsia="MS PGothic" w:hAnsi="MS PGothic"/>
          <w:sz w:val="15"/>
          <w:szCs w:val="15"/>
          <w:color w:val="auto"/>
        </w:rPr>
        <w:t>‑</w:t>
      </w:r>
      <w:r>
        <w:rPr>
          <w:rFonts w:ascii="Arial" w:cs="Arial" w:eastAsia="Arial" w:hAnsi="Arial"/>
          <w:sz w:val="15"/>
          <w:szCs w:val="15"/>
          <w:color w:val="auto"/>
        </w:rPr>
        <w:t>regulated trading and technology firms that also compete to provide liquidity and Execution Services. Our competitors range from sole proprietors with very limited resources to highly sophisticated groups, hedge funds, well</w:t>
      </w:r>
      <w:r>
        <w:rPr>
          <w:rFonts w:ascii="MS PGothic" w:cs="MS PGothic" w:eastAsia="MS PGothic" w:hAnsi="MS PGothic"/>
          <w:sz w:val="15"/>
          <w:szCs w:val="15"/>
          <w:color w:val="auto"/>
        </w:rPr>
        <w:t>‑</w:t>
      </w:r>
      <w:r>
        <w:rPr>
          <w:rFonts w:ascii="Arial" w:cs="Arial" w:eastAsia="Arial" w:hAnsi="Arial"/>
          <w:sz w:val="15"/>
          <w:szCs w:val="15"/>
          <w:color w:val="auto"/>
        </w:rPr>
        <w:t>capitalized broker</w:t>
      </w:r>
      <w:r>
        <w:rPr>
          <w:rFonts w:ascii="MS PGothic" w:cs="MS PGothic" w:eastAsia="MS PGothic" w:hAnsi="MS PGothic"/>
          <w:sz w:val="15"/>
          <w:szCs w:val="15"/>
          <w:color w:val="auto"/>
        </w:rPr>
        <w:t>‑</w:t>
      </w:r>
      <w:r>
        <w:rPr>
          <w:rFonts w:ascii="Arial" w:cs="Arial" w:eastAsia="Arial" w:hAnsi="Arial"/>
          <w:sz w:val="15"/>
          <w:szCs w:val="15"/>
          <w:color w:val="auto"/>
        </w:rPr>
        <w:t>dealers and proprietary trading firms or other market makers that have substantially greater financial and other resources than we do. 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w:t>
      </w:r>
      <w:r>
        <w:rPr>
          <w:rFonts w:ascii="MS PGothic" w:cs="MS PGothic" w:eastAsia="MS PGothic" w:hAnsi="MS PGothic"/>
          <w:sz w:val="15"/>
          <w:szCs w:val="15"/>
          <w:color w:val="auto"/>
        </w:rPr>
        <w:t>‑</w:t>
      </w:r>
      <w:r>
        <w:rPr>
          <w:rFonts w:ascii="Arial" w:cs="Arial" w:eastAsia="Arial" w:hAnsi="Arial"/>
          <w:sz w:val="15"/>
          <w:szCs w:val="15"/>
          <w:color w:val="auto"/>
        </w:rPr>
        <w:t>dealers or broker</w:t>
      </w:r>
      <w:r>
        <w:rPr>
          <w:rFonts w:ascii="MS PGothic" w:cs="MS PGothic" w:eastAsia="MS PGothic" w:hAnsi="MS PGothic"/>
          <w:sz w:val="15"/>
          <w:szCs w:val="15"/>
          <w:color w:val="auto"/>
        </w:rPr>
        <w:t>‑</w:t>
      </w:r>
      <w:r>
        <w:rPr>
          <w:rFonts w:ascii="Arial" w:cs="Arial" w:eastAsia="Arial" w:hAnsi="Arial"/>
          <w:sz w:val="15"/>
          <w:szCs w:val="15"/>
          <w:color w:val="auto"/>
        </w:rPr>
        <w:t>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 consolidation in the marketplace could reduce the bid/ask spreads on which our business and profitability depend, and may also reduce commissions paid by institutional clients for execution services, negatively impacting our financial performance. As a result, there can be no assurance that we will be able to compete effectively with current or future competitors, which could have a material adverse effect on our business, financial condition, results of operations and cash flows.</w:t>
      </w:r>
    </w:p>
    <w:p>
      <w:pPr>
        <w:spacing w:after="0" w:line="200" w:lineRule="exact"/>
        <w:rPr>
          <w:sz w:val="20"/>
          <w:szCs w:val="20"/>
          <w:color w:val="auto"/>
        </w:rPr>
      </w:pPr>
    </w:p>
    <w:p>
      <w:pPr>
        <w:spacing w:after="0" w:line="3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market making business is concentrated in U.S. equities; accordingly, our operating results may be negatively impacted by changes that affect the U.S. equity markets.</w:t>
      </w:r>
    </w:p>
    <w:p>
      <w:pPr>
        <w:spacing w:after="0" w:line="180" w:lineRule="exact"/>
        <w:rPr>
          <w:sz w:val="20"/>
          <w:szCs w:val="20"/>
          <w:color w:val="auto"/>
        </w:rPr>
      </w:pPr>
    </w:p>
    <w:p>
      <w:pPr>
        <w:ind w:right="80" w:firstLine="635"/>
        <w:spacing w:after="0" w:line="249" w:lineRule="auto"/>
        <w:rPr>
          <w:sz w:val="20"/>
          <w:szCs w:val="20"/>
          <w:color w:val="auto"/>
        </w:rPr>
      </w:pPr>
      <w:r>
        <w:rPr>
          <w:rFonts w:ascii="Arial" w:cs="Arial" w:eastAsia="Arial" w:hAnsi="Arial"/>
          <w:sz w:val="18"/>
          <w:szCs w:val="18"/>
          <w:color w:val="auto"/>
        </w:rPr>
        <w:t>Approximately 81% of our market making revenues for 2017 were derived from our market making in U.S. equities. The level of activity in the U.S. equity markets is directly affected by factors beyond our control, including U.S. economic and political 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significant sources of revenues if we lose any of our larger clients.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times, a limited number of clients could account for a significant portion of our order flow, revenues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firstLine="635"/>
        <w:spacing w:after="0" w:line="301" w:lineRule="auto"/>
        <w:rPr>
          <w:sz w:val="20"/>
          <w:szCs w:val="20"/>
          <w:color w:val="auto"/>
        </w:rPr>
      </w:pPr>
      <w:r>
        <w:rPr>
          <w:rFonts w:ascii="Arial" w:cs="Arial" w:eastAsia="Arial" w:hAnsi="Arial"/>
          <w:sz w:val="15"/>
          <w:szCs w:val="15"/>
          <w:color w:val="auto"/>
        </w:rPr>
        <w:t>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activities to other execution providers or market centers at any time. Some of these clients have grown organically or acquired market makers and specialist firms to internalize order flow or will have entered into strategic relationships with competitors. There can be no assurance that we will be able to retain these significant clients or that such clients will maintain or increase their demand for our trade execution 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The loss, or a significant reduction, of demand for our services from any of these clients could have a material adverse effect on our business, financial condition, results of operations and cash flows.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liquidity risk in our operations.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require liquidity to fund various ongoing obligations, including operating expenses, capital expenditures, debt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service and dividend payments. Our main sources of liquidity are cash flow from the operations of our subsidiaries, our</w:t>
      </w:r>
    </w:p>
    <w:p>
      <w:pPr>
        <w:spacing w:after="0" w:line="1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broker</w:t>
      </w:r>
      <w:r>
        <w:rPr>
          <w:rFonts w:ascii="MS PGothic" w:cs="MS PGothic" w:eastAsia="MS PGothic" w:hAnsi="MS PGothic"/>
          <w:sz w:val="15"/>
          <w:szCs w:val="15"/>
          <w:color w:val="auto"/>
        </w:rPr>
        <w:t>‑</w:t>
      </w:r>
      <w:r>
        <w:rPr>
          <w:rFonts w:ascii="Arial" w:cs="Arial" w:eastAsia="Arial" w:hAnsi="Arial"/>
          <w:sz w:val="15"/>
          <w:szCs w:val="15"/>
          <w:color w:val="auto"/>
        </w:rPr>
        <w:t>dealer revolving credit facility (described under “Item 7. Management’s Discussion and Analysis of Financial Condition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and Results of Operations — Liquidity and Capital Resources — Long-Term Borrowings”), margin financing provided by our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prime brokers and cash on hand. Our liquidity could be materially impaired by a number of factors, including reduced business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activity due to a market downturn, adverse regulatory action or a downgrade of our credit rating. If our business activities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decrease or we are unable to borrow additional funds in the future on terms that are acceptable to us, or at all, we could suffer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 on our business, financial condition, results of operations and cash flows.</w:t>
      </w:r>
    </w:p>
    <w:p>
      <w:pPr>
        <w:spacing w:after="0" w:line="205" w:lineRule="exact"/>
        <w:rPr>
          <w:sz w:val="20"/>
          <w:szCs w:val="20"/>
          <w:color w:val="auto"/>
        </w:rPr>
      </w:pPr>
    </w:p>
    <w:p>
      <w:pPr>
        <w:ind w:right="460"/>
        <w:spacing w:after="0" w:line="218" w:lineRule="exact"/>
        <w:rPr>
          <w:sz w:val="20"/>
          <w:szCs w:val="20"/>
          <w:color w:val="auto"/>
        </w:rPr>
      </w:pPr>
      <w:r>
        <w:rPr>
          <w:rFonts w:ascii="Arial" w:cs="Arial" w:eastAsia="Arial" w:hAnsi="Arial"/>
          <w:sz w:val="18"/>
          <w:szCs w:val="18"/>
          <w:b w:val="1"/>
          <w:bCs w:val="1"/>
          <w:i w:val="1"/>
          <w:iCs w:val="1"/>
          <w:color w:val="auto"/>
        </w:rPr>
        <w:t>Self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clearing and other elements of our trade processing operations expose us to significant operational, financial and liquidity risks.</w:t>
      </w:r>
    </w:p>
    <w:p>
      <w:pPr>
        <w:spacing w:after="0" w:line="200" w:lineRule="exact"/>
        <w:rPr>
          <w:sz w:val="20"/>
          <w:szCs w:val="20"/>
          <w:color w:val="auto"/>
        </w:rPr>
      </w:pPr>
    </w:p>
    <w:p>
      <w:pPr>
        <w:ind w:right="60" w:firstLine="635"/>
        <w:spacing w:after="0" w:line="213" w:lineRule="exact"/>
        <w:rPr>
          <w:sz w:val="20"/>
          <w:szCs w:val="20"/>
          <w:color w:val="auto"/>
        </w:rPr>
      </w:pPr>
      <w:r>
        <w:rPr>
          <w:rFonts w:ascii="Arial" w:cs="Arial" w:eastAsia="Arial" w:hAnsi="Arial"/>
          <w:sz w:val="15"/>
          <w:szCs w:val="15"/>
          <w:color w:val="auto"/>
        </w:rPr>
        <w:t>We currently self</w:t>
      </w:r>
      <w:r>
        <w:rPr>
          <w:rFonts w:ascii="MS PGothic" w:cs="MS PGothic" w:eastAsia="MS PGothic" w:hAnsi="MS PGothic"/>
          <w:sz w:val="15"/>
          <w:szCs w:val="15"/>
          <w:color w:val="auto"/>
        </w:rPr>
        <w:t>‑</w:t>
      </w:r>
      <w:r>
        <w:rPr>
          <w:rFonts w:ascii="Arial" w:cs="Arial" w:eastAsia="Arial" w:hAnsi="Arial"/>
          <w:sz w:val="15"/>
          <w:szCs w:val="15"/>
          <w:color w:val="auto"/>
        </w:rPr>
        <w:t>clear substantially all of our domestic equity trades and may expand our self</w:t>
      </w:r>
      <w:r>
        <w:rPr>
          <w:rFonts w:ascii="MS PGothic" w:cs="MS PGothic" w:eastAsia="MS PGothic" w:hAnsi="MS PGothic"/>
          <w:sz w:val="15"/>
          <w:szCs w:val="15"/>
          <w:color w:val="auto"/>
        </w:rPr>
        <w:t>‑</w:t>
      </w:r>
      <w:r>
        <w:rPr>
          <w:rFonts w:ascii="Arial" w:cs="Arial" w:eastAsia="Arial" w:hAnsi="Arial"/>
          <w:sz w:val="15"/>
          <w:szCs w:val="15"/>
          <w:color w:val="auto"/>
        </w:rPr>
        <w:t>clearing operations internationally and across product offerings and asset classes in the future. Self</w:t>
      </w:r>
      <w:r>
        <w:rPr>
          <w:rFonts w:ascii="MS PGothic" w:cs="MS PGothic" w:eastAsia="MS PGothic" w:hAnsi="MS PGothic"/>
          <w:sz w:val="15"/>
          <w:szCs w:val="15"/>
          <w:color w:val="auto"/>
        </w:rPr>
        <w:t>‑</w:t>
      </w:r>
      <w:r>
        <w:rPr>
          <w:rFonts w:ascii="Arial" w:cs="Arial" w:eastAsia="Arial" w:hAnsi="Arial"/>
          <w:sz w:val="15"/>
          <w:szCs w:val="15"/>
          <w:color w:val="auto"/>
        </w:rPr>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7"/>
          <w:szCs w:val="17"/>
          <w:b w:val="1"/>
          <w:bCs w:val="1"/>
          <w:i w:val="1"/>
          <w:iCs w:val="1"/>
          <w:color w:val="auto"/>
        </w:rPr>
        <w:t>We have a substantial amount of indebtedness, which could negatively impact our business and financial condition, and our debt agreements contain restrictions that will limit our flexibility in operating our business.</w:t>
      </w:r>
    </w:p>
    <w:p>
      <w:pPr>
        <w:spacing w:after="0" w:line="158" w:lineRule="exact"/>
        <w:rPr>
          <w:sz w:val="20"/>
          <w:szCs w:val="20"/>
          <w:color w:val="auto"/>
        </w:rPr>
      </w:pPr>
    </w:p>
    <w:p>
      <w:pPr>
        <w:ind w:firstLine="635"/>
        <w:spacing w:after="0" w:line="271" w:lineRule="auto"/>
        <w:rPr>
          <w:sz w:val="20"/>
          <w:szCs w:val="20"/>
          <w:color w:val="auto"/>
        </w:rPr>
      </w:pPr>
      <w:r>
        <w:rPr>
          <w:rFonts w:ascii="Arial" w:cs="Arial" w:eastAsia="Arial" w:hAnsi="Arial"/>
          <w:sz w:val="17"/>
          <w:szCs w:val="17"/>
          <w:color w:val="auto"/>
        </w:rPr>
        <w:t>We are a highly leveraged company. As of December 31, 2017, we had an aggregate of $1,431 million outstanding indebtedness under our long-term borrowings.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175" w:lineRule="exact"/>
        <w:rPr>
          <w:sz w:val="20"/>
          <w:szCs w:val="20"/>
          <w:color w:val="auto"/>
        </w:rPr>
      </w:pPr>
    </w:p>
    <w:p>
      <w:pPr>
        <w:ind w:right="80" w:firstLine="635"/>
        <w:spacing w:after="0" w:line="249" w:lineRule="auto"/>
        <w:rPr>
          <w:sz w:val="20"/>
          <w:szCs w:val="20"/>
          <w:color w:val="auto"/>
        </w:rPr>
      </w:pPr>
      <w:r>
        <w:rPr>
          <w:rFonts w:ascii="Arial" w:cs="Arial" w:eastAsia="Arial" w:hAnsi="Arial"/>
          <w:sz w:val="18"/>
          <w:szCs w:val="18"/>
          <w:color w:val="auto"/>
        </w:rPr>
        <w:t>Additionally, we are party to the $150.0 million uncommitted facility (the “Uncommitted Facility “) under which we had $25.0 million of borrowings outstanding as of December 31, 2017. We are also are party to the $500.0 million revolving credit facility (the “Revolving Credit Facility”) under which we had $7.0 million of borrowing outstanding as of December 31, 2017. Also, certain of our non-guarantor subsidiaries are party to various short-term credit facilities with various prime brokers and other financial institutions in an aggregate amount of $543.0 million under which we had $205.7 million in borrowings outstanding at December 31, 2017.</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300" w:firstLine="635"/>
        <w:spacing w:after="0" w:line="329" w:lineRule="auto"/>
        <w:rPr>
          <w:sz w:val="20"/>
          <w:szCs w:val="20"/>
          <w:color w:val="auto"/>
        </w:rPr>
      </w:pPr>
      <w:r>
        <w:rPr>
          <w:rFonts w:ascii="Arial" w:cs="Arial" w:eastAsia="Arial" w:hAnsi="Arial"/>
          <w:sz w:val="15"/>
          <w:szCs w:val="15"/>
          <w:color w:val="auto"/>
        </w:rPr>
        <w:t>The Fourth Amended and Restated Credit Agreement and the indenture governing the Notes contain, and any other existing or future indebtedness of ours may contain a number of covenants that impose significant operating and financial restrictions on us, including restrictions on our and our restricted subsidiaries’ ability to, among other things:</w:t>
      </w:r>
    </w:p>
    <w:p>
      <w:pPr>
        <w:spacing w:after="0" w:line="137" w:lineRule="exact"/>
        <w:rPr>
          <w:sz w:val="20"/>
          <w:szCs w:val="20"/>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16" w:lineRule="exact"/>
        <w:rPr>
          <w:rFonts w:ascii="Arial" w:cs="Arial" w:eastAsia="Arial" w:hAnsi="Arial"/>
          <w:sz w:val="18"/>
          <w:szCs w:val="18"/>
          <w:color w:val="auto"/>
        </w:rPr>
      </w:pPr>
    </w:p>
    <w:p>
      <w:pPr>
        <w:ind w:left="960" w:right="180" w:hanging="324"/>
        <w:spacing w:after="0" w:line="24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equity interests or make other restricted payments;</w:t>
      </w: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all or substantially all of our assets;</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05" w:lineRule="exact"/>
        <w:rPr>
          <w:sz w:val="20"/>
          <w:szCs w:val="20"/>
          <w:color w:val="auto"/>
        </w:rPr>
      </w:pPr>
    </w:p>
    <w:p>
      <w:pPr>
        <w:ind w:right="120" w:firstLine="635"/>
        <w:spacing w:after="0" w:line="250" w:lineRule="auto"/>
        <w:rPr>
          <w:sz w:val="20"/>
          <w:szCs w:val="20"/>
          <w:color w:val="auto"/>
        </w:rPr>
      </w:pPr>
      <w:r>
        <w:rPr>
          <w:rFonts w:ascii="Arial" w:cs="Arial" w:eastAsia="Arial" w:hAnsi="Arial"/>
          <w:sz w:val="18"/>
          <w:szCs w:val="18"/>
          <w:color w:val="auto"/>
        </w:rPr>
        <w:t>As a result of these covenants, we are limited in the manner in which we conduct our business, and we may be unable to successfully execute our strategy, engage in favorable business activities or finance future operations or capital needs. In addition, our Fourth Amended and Restated Credit Agreement requires us to maintain specified financial ratios and tests, including interest coverage and total leverage ratios, which may require us to take action to reduce our debt or to act in a manner contrary to our business objectives.</w:t>
      </w:r>
    </w:p>
    <w:p>
      <w:pPr>
        <w:spacing w:after="0" w:line="192" w:lineRule="exact"/>
        <w:rPr>
          <w:sz w:val="20"/>
          <w:szCs w:val="20"/>
          <w:color w:val="auto"/>
        </w:rPr>
      </w:pPr>
    </w:p>
    <w:p>
      <w:pPr>
        <w:ind w:firstLine="635"/>
        <w:spacing w:after="0" w:line="308" w:lineRule="auto"/>
        <w:rPr>
          <w:sz w:val="20"/>
          <w:szCs w:val="20"/>
          <w:color w:val="auto"/>
        </w:rPr>
      </w:pPr>
      <w:r>
        <w:rPr>
          <w:rFonts w:ascii="Arial" w:cs="Arial" w:eastAsia="Arial" w:hAnsi="Arial"/>
          <w:sz w:val="15"/>
          <w:szCs w:val="15"/>
          <w:color w:val="auto"/>
        </w:rPr>
        <w:t>We may be unable to remain in compliance with the financial maintenance and other covenants contained in the Fourth Amended and Restated Credit Agreement, and our obligation to comply with these covenants may adversely affect our ability to operate our business. A failure to comply with the covenants under the Fourth Amended and Restated Credit Agreement, the Notes or any of our other future indebtedness could result in an event of default, which, if not cured or waived, could have a material adverse effect on our business, financial condition, results of operations and cash flows. If any such event of default has occurred and is continuing, the lenders under our Fourth Amended and Restated Credit Agreement, among other things:</w:t>
      </w:r>
    </w:p>
    <w:p>
      <w:pPr>
        <w:spacing w:after="0" w:line="153" w:lineRule="exact"/>
        <w:rPr>
          <w:sz w:val="20"/>
          <w:szCs w:val="20"/>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not be required to lend any additional amounts to us;</w:t>
      </w:r>
    </w:p>
    <w:p>
      <w:pPr>
        <w:spacing w:after="0" w:line="16" w:lineRule="exact"/>
        <w:rPr>
          <w:rFonts w:ascii="Arial" w:cs="Arial" w:eastAsia="Arial" w:hAnsi="Arial"/>
          <w:sz w:val="18"/>
          <w:szCs w:val="18"/>
          <w:color w:val="auto"/>
        </w:rPr>
      </w:pPr>
    </w:p>
    <w:p>
      <w:pPr>
        <w:ind w:left="960" w:right="600" w:hanging="324"/>
        <w:spacing w:after="0" w:line="259"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could elect to declare all borrowings outstanding, together with accrued and unpaid interest and fees, to be immediately due and payable and terminate all commitments to extend further credit; or</w:t>
      </w:r>
    </w:p>
    <w:p>
      <w:pPr>
        <w:spacing w:after="0" w:line="1" w:lineRule="exact"/>
        <w:rPr>
          <w:rFonts w:ascii="Arial" w:cs="Arial" w:eastAsia="Arial" w:hAnsi="Arial"/>
          <w:sz w:val="17"/>
          <w:szCs w:val="17"/>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could effectively prevent us from making debt service payments on the Notes;</w:t>
      </w:r>
    </w:p>
    <w:p>
      <w:pPr>
        <w:spacing w:after="0" w:line="205" w:lineRule="exact"/>
        <w:rPr>
          <w:sz w:val="20"/>
          <w:szCs w:val="20"/>
          <w:color w:val="auto"/>
        </w:rPr>
      </w:pPr>
    </w:p>
    <w:p>
      <w:pPr>
        <w:jc w:val="both"/>
        <w:ind w:right="340"/>
        <w:spacing w:after="0" w:line="364" w:lineRule="auto"/>
        <w:rPr>
          <w:sz w:val="20"/>
          <w:szCs w:val="20"/>
          <w:color w:val="auto"/>
        </w:rPr>
      </w:pPr>
      <w:r>
        <w:rPr>
          <w:rFonts w:ascii="Arial" w:cs="Arial" w:eastAsia="Arial" w:hAnsi="Arial"/>
          <w:sz w:val="15"/>
          <w:szCs w:val="15"/>
          <w:color w:val="auto"/>
        </w:rPr>
        <w:t>any of which could result in an event of default under the Notes or cause cross defaults under our other indebtedness. If we default on our indebtedness, our business, financial condition and results of operation could suffer a material adverse effect.</w:t>
      </w:r>
    </w:p>
    <w:p>
      <w:pPr>
        <w:spacing w:after="0" w:line="112" w:lineRule="exact"/>
        <w:rPr>
          <w:sz w:val="20"/>
          <w:szCs w:val="20"/>
          <w:color w:val="auto"/>
        </w:rPr>
      </w:pPr>
    </w:p>
    <w:p>
      <w:pPr>
        <w:ind w:right="20" w:firstLine="635"/>
        <w:spacing w:after="0" w:line="306" w:lineRule="auto"/>
        <w:rPr>
          <w:sz w:val="20"/>
          <w:szCs w:val="20"/>
          <w:color w:val="auto"/>
        </w:rPr>
      </w:pPr>
      <w:r>
        <w:rPr>
          <w:rFonts w:ascii="Arial" w:cs="Arial" w:eastAsia="Arial" w:hAnsi="Arial"/>
          <w:sz w:val="15"/>
          <w:szCs w:val="15"/>
          <w:color w:val="auto"/>
        </w:rPr>
        <w:t>We pledge substantially all of our and our guarantor subsidiaries’ assets as collateral under the Fourth Amended and Restated Credit Agreement and the Notes. If we were unable to repay such indebtedness, the lenders under the Fourth Amended and Restated Credit Agreement and, subject to certain intercreditor arrangements, the holders of the Notes, could proceed to exercise remedies against the collateral granted to them to secure that indebtedness. If any of our outstanding indebtedness under the Fourth Amended and Restated Credit Agreement, the Notes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spacing w:after="0" w:line="154" w:lineRule="exact"/>
        <w:rPr>
          <w:sz w:val="20"/>
          <w:szCs w:val="20"/>
          <w:color w:val="auto"/>
        </w:rPr>
      </w:pPr>
    </w:p>
    <w:p>
      <w:pPr>
        <w:ind w:right="220" w:firstLine="635"/>
        <w:spacing w:after="0" w:line="264" w:lineRule="auto"/>
        <w:rPr>
          <w:sz w:val="20"/>
          <w:szCs w:val="20"/>
          <w:color w:val="auto"/>
        </w:rPr>
      </w:pPr>
      <w:r>
        <w:rPr>
          <w:rFonts w:ascii="Arial" w:cs="Arial" w:eastAsia="Arial" w:hAnsi="Arial"/>
          <w:sz w:val="18"/>
          <w:szCs w:val="18"/>
          <w:color w:val="auto"/>
        </w:rPr>
        <w:t>Despite our substantial indebtedness, we may still be able to incur significantly more debt, which could intensify the risks associated with our substantial indebtedness.</w:t>
      </w:r>
    </w:p>
    <w:p>
      <w:pPr>
        <w:spacing w:after="0" w:line="180" w:lineRule="exact"/>
        <w:rPr>
          <w:sz w:val="20"/>
          <w:szCs w:val="20"/>
          <w:color w:val="auto"/>
        </w:rPr>
      </w:pPr>
    </w:p>
    <w:p>
      <w:pPr>
        <w:ind w:right="140" w:firstLine="635"/>
        <w:spacing w:after="0" w:line="329" w:lineRule="auto"/>
        <w:rPr>
          <w:sz w:val="20"/>
          <w:szCs w:val="20"/>
          <w:color w:val="auto"/>
        </w:rPr>
      </w:pPr>
      <w:r>
        <w:rPr>
          <w:rFonts w:ascii="Arial" w:cs="Arial" w:eastAsia="Arial" w:hAnsi="Arial"/>
          <w:sz w:val="15"/>
          <w:szCs w:val="15"/>
          <w:color w:val="auto"/>
        </w:rPr>
        <w:t>Borrowings under the Fourth Amended and Restated Credit Agreement, the Uncommitted Facility and the Revolving Credit Facility are at variable rates of interest and expose us to interest rate risk. If interest rates increase, our debt service obligations on certain of our variable rate indebtedness will increase even though the amount borrowed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remained the same, and our net income and cash flows, including cash available for servicing our indebtedness, will correspondingly decrease.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uncertainties could harm our business.</w:t>
      </w:r>
    </w:p>
    <w:p>
      <w:pPr>
        <w:spacing w:after="0" w:line="216" w:lineRule="exact"/>
        <w:rPr>
          <w:sz w:val="20"/>
          <w:szCs w:val="20"/>
          <w:color w:val="auto"/>
        </w:rPr>
      </w:pPr>
    </w:p>
    <w:p>
      <w:pPr>
        <w:ind w:right="60" w:firstLine="635"/>
        <w:spacing w:after="0" w:line="215" w:lineRule="exact"/>
        <w:rPr>
          <w:sz w:val="20"/>
          <w:szCs w:val="20"/>
          <w:color w:val="auto"/>
        </w:rPr>
      </w:pPr>
      <w:r>
        <w:rPr>
          <w:rFonts w:ascii="Arial" w:cs="Arial" w:eastAsia="Arial" w:hAnsi="Arial"/>
          <w:sz w:val="15"/>
          <w:szCs w:val="15"/>
          <w:color w:val="auto"/>
        </w:rPr>
        <w:t>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news media attention to electronic trading and market structure, the regulatory and enforcement environment has created uncertainty with respect to various types of transactions that historically had been entered into by financial services firms and that were generally believed to be permissible and appropriate. “High frequency” and other forms of low latency or electronic trading strategies continue to be the focus of extensive regulatory scrutiny by federal, state and foreign regulators and SROs, and such scrutiny is likely to continue. Our market making and trading activities are characterized by substantial volumes, an emphasis on technology and certain other characteristics that are also commonly associated with high frequency trading. Specifically, both the SEC and the CFTC have issued general concept releases on market structure requesting comment from market participants on topics including, among others, high frequency trading, co</w:t>
      </w:r>
      <w:r>
        <w:rPr>
          <w:rFonts w:ascii="MS PGothic" w:cs="MS PGothic" w:eastAsia="MS PGothic" w:hAnsi="MS PGothic"/>
          <w:sz w:val="15"/>
          <w:szCs w:val="15"/>
          <w:color w:val="auto"/>
        </w:rPr>
        <w:t>‑</w:t>
      </w:r>
      <w:r>
        <w:rPr>
          <w:rFonts w:ascii="Arial" w:cs="Arial" w:eastAsia="Arial" w:hAnsi="Arial"/>
          <w:sz w:val="15"/>
          <w:szCs w:val="15"/>
          <w:color w:val="auto"/>
        </w:rPr>
        <w:t>location, dark liquidity, pre</w:t>
      </w:r>
      <w:r>
        <w:rPr>
          <w:rFonts w:ascii="MS PGothic" w:cs="MS PGothic" w:eastAsia="MS PGothic" w:hAnsi="MS PGothic"/>
          <w:sz w:val="15"/>
          <w:szCs w:val="15"/>
          <w:color w:val="auto"/>
        </w:rPr>
        <w:t>‑</w:t>
      </w:r>
      <w:r>
        <w:rPr>
          <w:rFonts w:ascii="Arial" w:cs="Arial" w:eastAsia="Arial" w:hAnsi="Arial"/>
          <w:sz w:val="15"/>
          <w:szCs w:val="15"/>
          <w:color w:val="auto"/>
        </w:rPr>
        <w:t xml:space="preserve"> and post</w:t>
      </w:r>
      <w:r>
        <w:rPr>
          <w:rFonts w:ascii="MS PGothic" w:cs="MS PGothic" w:eastAsia="MS PGothic" w:hAnsi="MS PGothic"/>
          <w:sz w:val="15"/>
          <w:szCs w:val="15"/>
          <w:color w:val="auto"/>
        </w:rPr>
        <w:t>‑</w:t>
      </w:r>
      <w:r>
        <w:rPr>
          <w:rFonts w:ascii="Arial" w:cs="Arial" w:eastAsia="Arial" w:hAnsi="Arial"/>
          <w:sz w:val="15"/>
          <w:szCs w:val="15"/>
          <w:color w:val="auto"/>
        </w:rPr>
        <w:t>trade risk controls and system safeguards. The SEC has adopted rules that, among other results, have significantly limited the use of sponsored access by market participants to the U.S. equities exchanges, imposed large trader reporting requirements, restricted short sales in listed securities under certain conditions and required the planning and creation of a new comprehensive consolidated audit trail. The SEC has also approved by order a pilot proposal by the FINRA and the national securities exchanges establishing a “Limit Up</w:t>
      </w:r>
      <w:r>
        <w:rPr>
          <w:rFonts w:ascii="MS PGothic" w:cs="MS PGothic" w:eastAsia="MS PGothic" w:hAnsi="MS PGothic"/>
          <w:sz w:val="15"/>
          <w:szCs w:val="15"/>
          <w:color w:val="auto"/>
        </w:rPr>
        <w:t>‑</w:t>
      </w:r>
      <w:r>
        <w:rPr>
          <w:rFonts w:ascii="Arial" w:cs="Arial" w:eastAsia="Arial" w:hAnsi="Arial"/>
          <w:sz w:val="15"/>
          <w:szCs w:val="15"/>
          <w:color w:val="auto"/>
        </w:rPr>
        <w:t>Limit Down” mechanism to address market volatility.</w:t>
      </w:r>
    </w:p>
    <w:p>
      <w:pPr>
        <w:spacing w:after="0" w:line="375" w:lineRule="exact"/>
        <w:rPr>
          <w:sz w:val="20"/>
          <w:szCs w:val="20"/>
          <w:color w:val="auto"/>
        </w:rPr>
      </w:pPr>
    </w:p>
    <w:p>
      <w:pPr>
        <w:ind w:firstLine="635"/>
        <w:spacing w:after="0" w:line="215" w:lineRule="exact"/>
        <w:rPr>
          <w:sz w:val="20"/>
          <w:szCs w:val="20"/>
          <w:color w:val="auto"/>
        </w:rPr>
      </w:pPr>
      <w:r>
        <w:rPr>
          <w:rFonts w:ascii="Arial" w:cs="Arial" w:eastAsia="Arial" w:hAnsi="Arial"/>
          <w:sz w:val="15"/>
          <w:szCs w:val="15"/>
          <w:color w:val="auto"/>
        </w:rPr>
        <w:t>In addition, certain market participants, SROs, government officials and regulators have requested that the U.S. Congress, the SEC, and the CFTC propose and adopt additional laws and rules, including rules relating to additional registration requirements, restrictions on co</w:t>
      </w:r>
      <w:r>
        <w:rPr>
          <w:rFonts w:ascii="MS PGothic" w:cs="MS PGothic" w:eastAsia="MS PGothic" w:hAnsi="MS PGothic"/>
          <w:sz w:val="15"/>
          <w:szCs w:val="15"/>
          <w:color w:val="auto"/>
        </w:rPr>
        <w:t>‑</w:t>
      </w:r>
      <w:r>
        <w:rPr>
          <w:rFonts w:ascii="Arial" w:cs="Arial" w:eastAsia="Arial" w:hAnsi="Arial"/>
          <w:sz w:val="15"/>
          <w:szCs w:val="15"/>
          <w:color w:val="auto"/>
        </w:rPr>
        <w:t>location, order</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execution ratios, minimum quote life for orders, incremental messaging fees to be imposed by exchanges for “excessive” order placements and/or cancellations, further transaction taxes, tick sizes, changes to maker/taker rebates programs, and other market structure proposals. For example, the SEC adopted Regulation SCI, which imposes compliance and other costs on market centers that may have to pass such costs on to their users, including us, and could impact our future business plans of establishing a market center to avoid or reduce market center costs for certain of our transactions. Similarly, CAT imposes new reporting requirements and additional costs on U.S. broker-dealers. The Tick Pilot program, which is currently underway, includes a “trade at” component, requiring that certain of these transactions occur only on an exchange. If the trade at feature is adopted permanently for small capitalization securities without the trade at exemptions that currently exist, and it is not accompanied by a reduction in the fees paid to access liquidity on exchanges, the trade at requirement may increase the costs for certain of our transactions. Finally, the SEC has proposed amendments to regulations that would require our registered broker</w:t>
      </w:r>
      <w:r>
        <w:rPr>
          <w:rFonts w:ascii="MS PGothic" w:cs="MS PGothic" w:eastAsia="MS PGothic" w:hAnsi="MS PGothic"/>
          <w:sz w:val="15"/>
          <w:szCs w:val="15"/>
          <w:color w:val="auto"/>
        </w:rPr>
        <w:t>‑</w:t>
      </w:r>
      <w:r>
        <w:rPr>
          <w:rFonts w:ascii="Arial" w:cs="Arial" w:eastAsia="Arial" w:hAnsi="Arial"/>
          <w:sz w:val="15"/>
          <w:szCs w:val="15"/>
          <w:color w:val="auto"/>
        </w:rPr>
        <w:t>dealer that is not currently a FINRA member to become a member of FINRA, which, if adopted as proposed, would subject the broker</w:t>
      </w:r>
      <w:r>
        <w:rPr>
          <w:rFonts w:ascii="MS PGothic" w:cs="MS PGothic" w:eastAsia="MS PGothic" w:hAnsi="MS PGothic"/>
          <w:sz w:val="15"/>
          <w:szCs w:val="15"/>
          <w:color w:val="auto"/>
        </w:rPr>
        <w:t>‑</w:t>
      </w:r>
      <w:r>
        <w:rPr>
          <w:rFonts w:ascii="Arial" w:cs="Arial" w:eastAsia="Arial" w:hAnsi="Arial"/>
          <w:sz w:val="15"/>
          <w:szCs w:val="15"/>
          <w:color w:val="auto"/>
        </w:rPr>
        <w:t>dealer to FINRA’s rules and require payment of additional fees per trade that could adversely affect our profits given that we seek to make small profits on individual trades. Additionally, the CFTC has proposed the adoption of Regulation Automated Trading, which would, among other requirements, require registration by direct market participants, mandate the use of certain types of risk controls, and require the maintenance of a source code repository in accordance with certain specifications.</w:t>
      </w:r>
    </w:p>
    <w:p>
      <w:pPr>
        <w:spacing w:after="0" w:line="381" w:lineRule="exact"/>
        <w:rPr>
          <w:sz w:val="20"/>
          <w:szCs w:val="20"/>
          <w:color w:val="auto"/>
        </w:rPr>
      </w:pPr>
    </w:p>
    <w:p>
      <w:pPr>
        <w:ind w:right="240" w:firstLine="635"/>
        <w:spacing w:after="0" w:line="268" w:lineRule="auto"/>
        <w:rPr>
          <w:sz w:val="20"/>
          <w:szCs w:val="20"/>
          <w:color w:val="auto"/>
        </w:rPr>
      </w:pPr>
      <w:r>
        <w:rPr>
          <w:rFonts w:ascii="Arial" w:cs="Arial" w:eastAsia="Arial" w:hAnsi="Arial"/>
          <w:sz w:val="17"/>
          <w:szCs w:val="17"/>
          <w:color w:val="auto"/>
        </w:rPr>
        <w:t>Any or all of these proposals or additional proposals may be adopted by the SEC, CFTC or other U.S. or foreign legislative or regulatory bodies, and recent news media attention to electronic trading and market structure could increase the likelihood of adoption. These potential market structure and regulatory changes could cause a change in the manner in which we make markets, impose additional costs and expenses on our business or otherwise have a material adverse effect on our business, financial condition, results of operations and cash flows.</w:t>
      </w:r>
    </w:p>
    <w:p>
      <w:pPr>
        <w:spacing w:after="0" w:line="179" w:lineRule="exact"/>
        <w:rPr>
          <w:sz w:val="20"/>
          <w:szCs w:val="20"/>
          <w:color w:val="auto"/>
        </w:rPr>
      </w:pPr>
    </w:p>
    <w:p>
      <w:pPr>
        <w:jc w:val="both"/>
        <w:ind w:right="260" w:firstLine="635"/>
        <w:spacing w:after="0" w:line="329" w:lineRule="auto"/>
        <w:rPr>
          <w:sz w:val="20"/>
          <w:szCs w:val="20"/>
          <w:color w:val="auto"/>
        </w:rPr>
      </w:pPr>
      <w:r>
        <w:rPr>
          <w:rFonts w:ascii="Arial" w:cs="Arial" w:eastAsia="Arial" w:hAnsi="Arial"/>
          <w:sz w:val="15"/>
          <w:szCs w:val="15"/>
          <w:color w:val="auto"/>
        </w:rPr>
        <w:t>In addition, the financial services industry is heavily regulated in many foreign countries, much like in the U.S. The varying compliance requirements of these different regulatory jurisdictions and other factors may limit our ability to conduct business or expand internationally. For example, MiFID, which was implemented in November 2007, has been</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spacing w:after="0" w:line="213" w:lineRule="exact"/>
        <w:rPr>
          <w:sz w:val="20"/>
          <w:szCs w:val="20"/>
          <w:color w:val="auto"/>
        </w:rPr>
      </w:pPr>
      <w:r>
        <w:rPr>
          <w:rFonts w:ascii="Arial" w:cs="Arial" w:eastAsia="Arial" w:hAnsi="Arial"/>
          <w:sz w:val="15"/>
          <w:szCs w:val="15"/>
          <w:color w:val="auto"/>
        </w:rPr>
        <w:t>replaced by MiFID II/Markets in Financial Investments Regulation (“MiFIR”), which was adopted by the European Parliament on April 15, 2014 and by the Council on May 13, 2014, entered into force on July 2, 2014, and became effective on January 3, 2018. Many MiFID II changes are likely to affect our business. For example, MiFID II requires certain types of firms, including us, to post firm quotes at competitive prices and will supplement current requirements with regard to investment firms’ risk controls related to the safe operation of electronic systems. MiFID II will also impose additional requirements on market structure, such as the introduction of a harmonized tick size regime, the introduction of new trading venues known as Organized Trading Facilities, and the promulgation of a new bilateral trading arrangement called the Systematic Internaliser regime, new open access provisions, market making requirements and various other pre</w:t>
      </w:r>
      <w:r>
        <w:rPr>
          <w:rFonts w:ascii="MS PGothic" w:cs="MS PGothic" w:eastAsia="MS PGothic" w:hAnsi="MS PGothic"/>
          <w:sz w:val="15"/>
          <w:szCs w:val="15"/>
          <w:color w:val="auto"/>
        </w:rPr>
        <w:t>‑</w:t>
      </w:r>
      <w:r>
        <w:rPr>
          <w:rFonts w:ascii="Arial" w:cs="Arial" w:eastAsia="Arial" w:hAnsi="Arial"/>
          <w:sz w:val="15"/>
          <w:szCs w:val="15"/>
          <w:color w:val="auto"/>
        </w:rPr>
        <w:t xml:space="preserve"> and post</w:t>
      </w:r>
      <w:r>
        <w:rPr>
          <w:rFonts w:ascii="MS PGothic" w:cs="MS PGothic" w:eastAsia="MS PGothic" w:hAnsi="MS PGothic"/>
          <w:sz w:val="15"/>
          <w:szCs w:val="15"/>
          <w:color w:val="auto"/>
        </w:rPr>
        <w:t>‑</w:t>
      </w:r>
      <w:r>
        <w:rPr>
          <w:rFonts w:ascii="Arial" w:cs="Arial" w:eastAsia="Arial" w:hAnsi="Arial"/>
          <w:sz w:val="15"/>
          <w:szCs w:val="15"/>
          <w:color w:val="auto"/>
        </w:rPr>
        <w:t>trade risk management requirements.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spacing w:after="0" w:line="207" w:lineRule="exact"/>
        <w:rPr>
          <w:sz w:val="20"/>
          <w:szCs w:val="20"/>
          <w:color w:val="auto"/>
        </w:rPr>
      </w:pPr>
    </w:p>
    <w:p>
      <w:pPr>
        <w:ind w:firstLine="635"/>
        <w:spacing w:after="0" w:line="304" w:lineRule="auto"/>
        <w:rPr>
          <w:sz w:val="20"/>
          <w:szCs w:val="20"/>
          <w:color w:val="auto"/>
        </w:rPr>
      </w:pPr>
      <w:r>
        <w:rPr>
          <w:rFonts w:ascii="Arial" w:cs="Arial" w:eastAsia="Arial" w:hAnsi="Arial"/>
          <w:sz w:val="15"/>
          <w:szCs w:val="15"/>
          <w:color w:val="auto"/>
        </w:rPr>
        <w:t>In addition, we maintain borrowing facilities with banks, prime brokers and Futures Commission Merchants (“FCMs”), and we obtain uncommitted margin financing from our prime brokers and FCMs, which are in many cases affiliated with banks. In response to the financial crisis, the Basel Committee on Banking Supervision issued a new, more stringent capital and liquidity framework known as Basel III, which national banking regulators are in the process of implementing in the various jurisdictions in which our lenders may be incorporated. As these rules are implemented and impose more stringent capital and liquidity requirements, certain of our lenders may revise the terms of our borrowing facilities or margin financing arrangements, reduce the amount of financing they provide, or cease providing us financing, each of which could have a material adverse effect on our business, financial condition, results of operations and cash flows.</w:t>
      </w:r>
    </w:p>
    <w:p>
      <w:pPr>
        <w:spacing w:after="0" w:line="157" w:lineRule="exact"/>
        <w:rPr>
          <w:sz w:val="20"/>
          <w:szCs w:val="20"/>
          <w:color w:val="auto"/>
        </w:rPr>
      </w:pPr>
    </w:p>
    <w:p>
      <w:pPr>
        <w:ind w:right="680"/>
        <w:spacing w:after="0" w:line="218"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applicable laws or regulatory requirements could negatively impact our reputation, prospects, revenues and earnings.</w:t>
      </w:r>
    </w:p>
    <w:p>
      <w:pPr>
        <w:spacing w:after="0" w:line="200" w:lineRule="exact"/>
        <w:rPr>
          <w:sz w:val="20"/>
          <w:szCs w:val="20"/>
          <w:color w:val="auto"/>
        </w:rPr>
      </w:pPr>
    </w:p>
    <w:p>
      <w:pPr>
        <w:ind w:firstLine="635"/>
        <w:spacing w:after="0" w:line="298" w:lineRule="auto"/>
        <w:rPr>
          <w:sz w:val="20"/>
          <w:szCs w:val="20"/>
          <w:color w:val="auto"/>
        </w:rPr>
      </w:pPr>
      <w:r>
        <w:rPr>
          <w:rFonts w:ascii="Arial" w:cs="Arial" w:eastAsia="Arial" w:hAnsi="Arial"/>
          <w:sz w:val="15"/>
          <w:szCs w:val="15"/>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Stock Exchange, the Chicago Mercantile Exchange, the Intercontinental Exchange, the CFTC, the NFA and the various state securities regulators; in Ireland, the Central Bank of Ireland; in Switzerland, the Swiss Financial Market Supervisory Authority; in France, the Autorité des Marchés Financiers (“AMF”); in the United Kingdom, the FCA; in Hong Kong, the SFC; in Australia, the Australian Securities and Investment Commission; in Canada, the Investment Industry Regulatory Organization of Canada and various Canadian provincial securities commissions; in Singapore, the Monetary Authority of Singapore and the Singapore Exchange;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as well as by changes in the interpretation or enforcement of existing laws and rules, including the potential imposition of additional capital and margin requirements and/or transaction taxes. While we endeavor to timely deliver required annual filings in all jurisdictions, we cannot guarantee that we will meet every applicable filing deadline globally. Noncompliance with applicable laws or regulations could result in sanctions being 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381" w:lineRule="exact"/>
        <w:rPr>
          <w:sz w:val="20"/>
          <w:szCs w:val="20"/>
          <w:color w:val="auto"/>
        </w:rPr>
      </w:pPr>
    </w:p>
    <w:p>
      <w:pPr>
        <w:ind w:firstLine="635"/>
        <w:spacing w:after="0" w:line="213" w:lineRule="exact"/>
        <w:rPr>
          <w:sz w:val="20"/>
          <w:szCs w:val="20"/>
          <w:color w:val="auto"/>
        </w:rPr>
      </w:pPr>
      <w:r>
        <w:rPr>
          <w:rFonts w:ascii="Arial" w:cs="Arial" w:eastAsia="Arial" w:hAnsi="Arial"/>
          <w:sz w:val="15"/>
          <w:szCs w:val="15"/>
          <w:color w:val="auto"/>
        </w:rPr>
        <w:t>Domestic and foreign stock exchanges, other SROs and state and foreign securities commissions can censure, fine, impose undertakings, issue cease</w:t>
      </w:r>
      <w:r>
        <w:rPr>
          <w:rFonts w:ascii="MS PGothic" w:cs="MS PGothic" w:eastAsia="MS PGothic" w:hAnsi="MS PGothic"/>
          <w:sz w:val="15"/>
          <w:szCs w:val="15"/>
          <w:color w:val="auto"/>
        </w:rPr>
        <w:t>‑</w:t>
      </w:r>
      <w:r>
        <w:rPr>
          <w:rFonts w:ascii="Arial" w:cs="Arial" w:eastAsia="Arial" w:hAnsi="Arial"/>
          <w:sz w:val="15"/>
          <w:szCs w:val="15"/>
          <w:color w:val="auto"/>
        </w:rPr>
        <w:t>and</w:t>
      </w:r>
      <w:r>
        <w:rPr>
          <w:rFonts w:ascii="MS PGothic" w:cs="MS PGothic" w:eastAsia="MS PGothic" w:hAnsi="MS PGothic"/>
          <w:sz w:val="15"/>
          <w:szCs w:val="15"/>
          <w:color w:val="auto"/>
        </w:rPr>
        <w:t>‑</w:t>
      </w:r>
      <w:r>
        <w:rPr>
          <w:rFonts w:ascii="Arial" w:cs="Arial" w:eastAsia="Arial" w:hAnsi="Arial"/>
          <w:sz w:val="15"/>
          <w:szCs w:val="15"/>
          <w:color w:val="auto"/>
        </w:rPr>
        <w:t>desist orders and suspend or expel a broker</w:t>
      </w:r>
      <w:r>
        <w:rPr>
          <w:rFonts w:ascii="MS PGothic" w:cs="MS PGothic" w:eastAsia="MS PGothic" w:hAnsi="MS PGothic"/>
          <w:sz w:val="15"/>
          <w:szCs w:val="15"/>
          <w:color w:val="auto"/>
        </w:rPr>
        <w:t>‑</w:t>
      </w:r>
      <w:r>
        <w:rPr>
          <w:rFonts w:ascii="Arial" w:cs="Arial" w:eastAsia="Arial" w:hAnsi="Arial"/>
          <w:sz w:val="15"/>
          <w:szCs w:val="15"/>
          <w:color w:val="auto"/>
        </w:rPr>
        <w:t>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 subject of one or more regulatory or SRO enforcement actions, including but not limited to targeted and routine regulatory inquiries and investigations involving Regulation NMS, Regulation SHO, market access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line="216" w:lineRule="exact"/>
        <w:rPr>
          <w:sz w:val="20"/>
          <w:szCs w:val="20"/>
          <w:color w:val="auto"/>
        </w:rPr>
      </w:pPr>
      <w:r>
        <w:rPr>
          <w:rFonts w:ascii="Arial" w:cs="Arial" w:eastAsia="Arial" w:hAnsi="Arial"/>
          <w:sz w:val="15"/>
          <w:szCs w:val="15"/>
          <w:color w:val="auto"/>
        </w:rPr>
        <w:t>rules, capital requirements and other domestic and foreign securities rules and regulations. We and other broker</w:t>
      </w:r>
      <w:r>
        <w:rPr>
          <w:rFonts w:ascii="MS PGothic" w:cs="MS PGothic" w:eastAsia="MS PGothic" w:hAnsi="MS PGothic"/>
          <w:sz w:val="15"/>
          <w:szCs w:val="15"/>
          <w:color w:val="auto"/>
        </w:rPr>
        <w:t>‑</w:t>
      </w:r>
      <w:r>
        <w:rPr>
          <w:rFonts w:ascii="Arial" w:cs="Arial" w:eastAsia="Arial" w:hAnsi="Arial"/>
          <w:sz w:val="15"/>
          <w:szCs w:val="15"/>
          <w:color w:val="auto"/>
        </w:rPr>
        <w:t>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Additionally, in December 2015, the enforcement committee of the AMF fined our European subsidiary in the amount of €5.0 million (approximately $5.4 million) based on its conclusion that the subsidiary engaged in price manipulation and violations of the AMF General Regulation and Euronext Market Rules. In May 2017, the fine was reduced to €3.0 million (approximately $3.5 million), subject to an incremental charge of €0.3 (approximately $0.4 million). The relevant trading activities were conducted on or around 2009, prior to our acquisition of that subsidiary from Madison Tyler Holdings, which acquisition was consummated in 2011.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33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Failure to comply with applicable regulatory capital requirements could subject us to sanctions imposed by the SEC, FINRA and other SROs or regulatory bodies.</w:t>
      </w:r>
    </w:p>
    <w:p>
      <w:pPr>
        <w:spacing w:after="0" w:line="153" w:lineRule="exact"/>
        <w:rPr>
          <w:sz w:val="20"/>
          <w:szCs w:val="20"/>
          <w:color w:val="auto"/>
        </w:rPr>
      </w:pPr>
    </w:p>
    <w:p>
      <w:pPr>
        <w:ind w:right="20" w:firstLine="635"/>
        <w:spacing w:after="0" w:line="214" w:lineRule="exact"/>
        <w:rPr>
          <w:sz w:val="20"/>
          <w:szCs w:val="20"/>
          <w:color w:val="auto"/>
        </w:rPr>
      </w:pPr>
      <w:r>
        <w:rPr>
          <w:rFonts w:ascii="Arial" w:cs="Arial" w:eastAsia="Arial" w:hAnsi="Arial"/>
          <w:sz w:val="18"/>
          <w:szCs w:val="18"/>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8"/>
          <w:szCs w:val="18"/>
          <w:color w:val="auto"/>
        </w:rPr>
        <w:t>‑</w:t>
      </w:r>
      <w:r>
        <w:rPr>
          <w:rFonts w:ascii="Arial" w:cs="Arial" w:eastAsia="Arial" w:hAnsi="Arial"/>
          <w:sz w:val="18"/>
          <w:szCs w:val="18"/>
          <w:color w:val="auto"/>
        </w:rPr>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r>
      <w:r>
        <w:rPr>
          <w:rFonts w:ascii="MS PGothic" w:cs="MS PGothic" w:eastAsia="MS PGothic" w:hAnsi="MS PGothic"/>
          <w:sz w:val="18"/>
          <w:szCs w:val="18"/>
          <w:color w:val="auto"/>
        </w:rPr>
        <w:t>‑</w:t>
      </w:r>
      <w:r>
        <w:rPr>
          <w:rFonts w:ascii="Arial" w:cs="Arial" w:eastAsia="Arial" w:hAnsi="Arial"/>
          <w:sz w:val="18"/>
          <w:szCs w:val="18"/>
          <w:color w:val="auto"/>
        </w:rPr>
        <w:t>allowable assets.</w:t>
      </w:r>
    </w:p>
    <w:p>
      <w:pPr>
        <w:spacing w:after="0" w:line="161" w:lineRule="exact"/>
        <w:rPr>
          <w:sz w:val="20"/>
          <w:szCs w:val="20"/>
          <w:color w:val="auto"/>
        </w:rPr>
      </w:pPr>
    </w:p>
    <w:p>
      <w:pPr>
        <w:ind w:right="40" w:firstLine="635"/>
        <w:spacing w:after="0" w:line="264" w:lineRule="auto"/>
        <w:rPr>
          <w:sz w:val="20"/>
          <w:szCs w:val="20"/>
          <w:color w:val="auto"/>
        </w:rPr>
      </w:pPr>
      <w:r>
        <w:rPr>
          <w:rFonts w:ascii="Arial" w:cs="Arial" w:eastAsia="Arial" w:hAnsi="Arial"/>
          <w:sz w:val="17"/>
          <w:szCs w:val="17"/>
          <w:color w:val="auto"/>
        </w:rPr>
        <w:t>Failure to maintain the required minimum capital may subject our regulated subsidiaries to a fine,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145" w:lineRule="exact"/>
        <w:rPr>
          <w:sz w:val="20"/>
          <w:szCs w:val="20"/>
          <w:color w:val="auto"/>
        </w:rPr>
      </w:pPr>
    </w:p>
    <w:p>
      <w:pPr>
        <w:ind w:right="20" w:firstLine="635"/>
        <w:spacing w:after="0" w:line="214" w:lineRule="exact"/>
        <w:rPr>
          <w:sz w:val="20"/>
          <w:szCs w:val="20"/>
          <w:color w:val="auto"/>
        </w:rPr>
      </w:pPr>
      <w:r>
        <w:rPr>
          <w:rFonts w:ascii="Arial" w:cs="Arial" w:eastAsia="Arial" w:hAnsi="Arial"/>
          <w:sz w:val="17"/>
          <w:szCs w:val="17"/>
          <w:color w:val="auto"/>
        </w:rPr>
        <w:t>A change in the net capital rules, the imposition of new rules or any unusually large charges against net capital could limit our operations that require the intensive use of capital and also could restrict our ability to withdraw capital from our broker</w:t>
      </w:r>
      <w:r>
        <w:rPr>
          <w:rFonts w:ascii="MS PGothic" w:cs="MS PGothic" w:eastAsia="MS PGothic" w:hAnsi="MS PGothic"/>
          <w:sz w:val="17"/>
          <w:szCs w:val="17"/>
          <w:color w:val="auto"/>
        </w:rPr>
        <w:t>‑</w:t>
      </w:r>
      <w:r>
        <w:rPr>
          <w:rFonts w:ascii="Arial" w:cs="Arial" w:eastAsia="Arial" w:hAnsi="Arial"/>
          <w:sz w:val="17"/>
          <w:szCs w:val="17"/>
          <w:color w:val="auto"/>
        </w:rPr>
        <w:t>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results of operations and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litigation and potential securities law liability.</w:t>
      </w:r>
    </w:p>
    <w:p>
      <w:pPr>
        <w:spacing w:after="0" w:line="177" w:lineRule="exact"/>
        <w:rPr>
          <w:sz w:val="20"/>
          <w:szCs w:val="20"/>
          <w:color w:val="auto"/>
        </w:rPr>
      </w:pPr>
    </w:p>
    <w:p>
      <w:pPr>
        <w:ind w:right="80" w:firstLine="635"/>
        <w:spacing w:after="0" w:line="303" w:lineRule="auto"/>
        <w:rPr>
          <w:sz w:val="20"/>
          <w:szCs w:val="20"/>
          <w:color w:val="auto"/>
        </w:rPr>
      </w:pPr>
      <w:r>
        <w:rPr>
          <w:rFonts w:ascii="Arial" w:cs="Arial" w:eastAsia="Arial" w:hAnsi="Arial"/>
          <w:sz w:val="15"/>
          <w:szCs w:val="15"/>
          <w:color w:val="auto"/>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Company and cause the market price of our common stock to decline or otherwise have a material adverse effect on our business, financial condition, results of operations and cash flows.</w:t>
      </w:r>
    </w:p>
    <w:p>
      <w:pPr>
        <w:spacing w:after="0" w:line="140" w:lineRule="exact"/>
        <w:rPr>
          <w:sz w:val="20"/>
          <w:szCs w:val="20"/>
          <w:color w:val="auto"/>
        </w:rPr>
      </w:pPr>
    </w:p>
    <w:p>
      <w:pPr>
        <w:ind w:right="220"/>
        <w:spacing w:after="0" w:line="293" w:lineRule="auto"/>
        <w:rPr>
          <w:sz w:val="20"/>
          <w:szCs w:val="20"/>
          <w:color w:val="auto"/>
        </w:rPr>
      </w:pPr>
      <w:r>
        <w:rPr>
          <w:rFonts w:ascii="Arial" w:cs="Arial" w:eastAsia="Arial" w:hAnsi="Arial"/>
          <w:sz w:val="17"/>
          <w:szCs w:val="17"/>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31" w:lineRule="exact"/>
        <w:rPr>
          <w:sz w:val="20"/>
          <w:szCs w:val="20"/>
          <w:color w:val="auto"/>
        </w:rPr>
      </w:pPr>
    </w:p>
    <w:p>
      <w:pPr>
        <w:ind w:right="40" w:firstLine="635"/>
        <w:spacing w:after="0" w:line="295" w:lineRule="auto"/>
        <w:rPr>
          <w:sz w:val="20"/>
          <w:szCs w:val="20"/>
          <w:color w:val="auto"/>
        </w:rPr>
      </w:pPr>
      <w:r>
        <w:rPr>
          <w:rFonts w:ascii="Arial" w:cs="Arial" w:eastAsia="Arial" w:hAnsi="Arial"/>
          <w:sz w:val="15"/>
          <w:szCs w:val="15"/>
          <w:color w:val="auto"/>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As of December 31, 2017 such tax has not yet been implemented within the European Union and no final political or legislative proposal has been presented for consideration. In 2016, Estonia, of the original members withdrew its support for the proposal. Similarly, in 2013,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 U.S. person. More recently, U.S. Representative Chris Van Hollen presented an “action plan” that included a financial transaction fee. 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w:t>
      </w:r>
    </w:p>
    <w:p>
      <w:pPr>
        <w:spacing w:after="0" w:line="6" w:lineRule="exact"/>
        <w:rPr>
          <w:sz w:val="20"/>
          <w:szCs w:val="20"/>
          <w:color w:val="auto"/>
        </w:rPr>
      </w:pPr>
    </w:p>
    <w:p>
      <w:pPr>
        <w:ind w:right="80" w:firstLine="1"/>
        <w:spacing w:after="0" w:line="246" w:lineRule="auto"/>
        <w:tabs>
          <w:tab w:leader="none" w:pos="3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spacing w:after="0" w:line="19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We depend on our technology, and our future results may be negatively impacted if we cannot remain technologically competitive.</w:t>
      </w:r>
    </w:p>
    <w:p>
      <w:pPr>
        <w:spacing w:after="0" w:line="100" w:lineRule="exact"/>
        <w:rPr>
          <w:sz w:val="20"/>
          <w:szCs w:val="20"/>
          <w:color w:val="auto"/>
        </w:rPr>
      </w:pPr>
    </w:p>
    <w:p>
      <w:pPr>
        <w:ind w:firstLine="635"/>
        <w:spacing w:after="0" w:line="216" w:lineRule="exact"/>
        <w:rPr>
          <w:sz w:val="20"/>
          <w:szCs w:val="20"/>
          <w:color w:val="auto"/>
        </w:rPr>
      </w:pPr>
      <w:r>
        <w:rPr>
          <w:rFonts w:ascii="Arial" w:cs="Arial" w:eastAsia="Arial" w:hAnsi="Arial"/>
          <w:sz w:val="15"/>
          <w:szCs w:val="15"/>
          <w:color w:val="auto"/>
        </w:rPr>
        <w:t>We believe that our success in the past has largely been attributable to our technology, which has taken many years to develop. If technology equivalent to ours becomes more widely available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r>
      <w:r>
        <w:rPr>
          <w:rFonts w:ascii="MS PGothic" w:cs="MS PGothic" w:eastAsia="MS PGothic" w:hAnsi="MS PGothic"/>
          <w:sz w:val="15"/>
          <w:szCs w:val="15"/>
          <w:color w:val="auto"/>
        </w:rPr>
        <w:t>‑</w:t>
      </w:r>
      <w:r>
        <w:rPr>
          <w:rFonts w:ascii="Arial" w:cs="Arial" w:eastAsia="Arial" w:hAnsi="Arial"/>
          <w:sz w:val="15"/>
          <w:szCs w:val="15"/>
          <w:color w:val="auto"/>
        </w:rPr>
        <w:t>efficient and competitive manner to technological advancements (including advancements related to low</w:t>
      </w:r>
      <w:r>
        <w:rPr>
          <w:rFonts w:ascii="MS PGothic" w:cs="MS PGothic" w:eastAsia="MS PGothic" w:hAnsi="MS PGothic"/>
          <w:sz w:val="15"/>
          <w:szCs w:val="15"/>
          <w:color w:val="auto"/>
        </w:rPr>
        <w:t>‑</w:t>
      </w:r>
      <w:r>
        <w:rPr>
          <w:rFonts w:ascii="Arial" w:cs="Arial" w:eastAsia="Arial" w:hAnsi="Arial"/>
          <w:sz w:val="15"/>
          <w:szCs w:val="15"/>
          <w:color w:val="auto"/>
        </w:rPr>
        <w:t>latency technologies, execution and messaging speeds) or changing industry standards. If any of these risks materialize, it could have a material adverse effect on our business, financial condition, results of operations and cash flows.</w:t>
      </w:r>
    </w:p>
    <w:p>
      <w:pPr>
        <w:spacing w:after="0" w:line="310" w:lineRule="exact"/>
        <w:rPr>
          <w:sz w:val="20"/>
          <w:szCs w:val="20"/>
          <w:color w:val="auto"/>
        </w:rPr>
      </w:pPr>
    </w:p>
    <w:p>
      <w:pPr>
        <w:ind w:right="240"/>
        <w:spacing w:after="0" w:line="293" w:lineRule="auto"/>
        <w:rPr>
          <w:sz w:val="20"/>
          <w:szCs w:val="20"/>
          <w:color w:val="auto"/>
        </w:rPr>
      </w:pPr>
      <w:r>
        <w:rPr>
          <w:rFonts w:ascii="Arial" w:cs="Arial" w:eastAsia="Arial" w:hAnsi="Arial"/>
          <w:sz w:val="17"/>
          <w:szCs w:val="17"/>
          <w:b w:val="1"/>
          <w:bCs w:val="1"/>
          <w:i w:val="1"/>
          <w:iCs w:val="1"/>
          <w:color w:val="auto"/>
        </w:rPr>
        <w:t>Our reliance on our computer systems and software could expose us to material financial and reputational harm if any of our computer systems or software were subject to any material disruption or corruption.</w:t>
      </w:r>
    </w:p>
    <w:p>
      <w:pPr>
        <w:spacing w:after="0" w:line="92" w:lineRule="exact"/>
        <w:rPr>
          <w:sz w:val="20"/>
          <w:szCs w:val="20"/>
          <w:color w:val="auto"/>
        </w:rPr>
      </w:pPr>
    </w:p>
    <w:p>
      <w:pPr>
        <w:ind w:right="120" w:firstLine="635"/>
        <w:spacing w:after="0" w:line="312" w:lineRule="auto"/>
        <w:rPr>
          <w:sz w:val="20"/>
          <w:szCs w:val="20"/>
          <w:color w:val="auto"/>
        </w:rPr>
      </w:pPr>
      <w:r>
        <w:rPr>
          <w:rFonts w:ascii="Arial" w:cs="Arial" w:eastAsia="Arial" w:hAnsi="Arial"/>
          <w:sz w:val="15"/>
          <w:szCs w:val="15"/>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which could result in material losses or reputational harm. We cannot guarantee that our efforts to maintain competitive computer systems and software will be successful. Our computer systems and software may fail or be subject to bugs or other errors, resulting in service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interruptions or other unintended consequences. If any of these risks materialize, they could have a material adverse effect on our business, financial condition, results of operations and cash flows.</w:t>
      </w:r>
    </w:p>
    <w:p>
      <w:pPr>
        <w:spacing w:after="0" w:line="113" w:lineRule="exact"/>
        <w:rPr>
          <w:sz w:val="20"/>
          <w:szCs w:val="20"/>
          <w:color w:val="auto"/>
        </w:rPr>
      </w:pPr>
    </w:p>
    <w:p>
      <w:pPr>
        <w:ind w:right="540"/>
        <w:spacing w:after="0" w:line="364" w:lineRule="auto"/>
        <w:rPr>
          <w:sz w:val="20"/>
          <w:szCs w:val="20"/>
          <w:color w:val="auto"/>
        </w:rPr>
      </w:pPr>
      <w:r>
        <w:rPr>
          <w:rFonts w:ascii="Arial" w:cs="Arial" w:eastAsia="Arial" w:hAnsi="Arial"/>
          <w:sz w:val="15"/>
          <w:szCs w:val="15"/>
          <w:b w:val="1"/>
          <w:bCs w:val="1"/>
          <w:i w:val="1"/>
          <w:iCs w:val="1"/>
          <w:color w:val="auto"/>
        </w:rPr>
        <w:t>We could be the target of a significant cyber-attack, threat or incident that impairs internal systems, results in adverse consequences to information our system process, store or transmit or causes reputation damages as a consequence.</w:t>
      </w:r>
    </w:p>
    <w:p>
      <w:pPr>
        <w:spacing w:after="0" w:line="112" w:lineRule="exact"/>
        <w:rPr>
          <w:sz w:val="20"/>
          <w:szCs w:val="20"/>
          <w:color w:val="auto"/>
        </w:rPr>
      </w:pPr>
    </w:p>
    <w:p>
      <w:pPr>
        <w:ind w:firstLine="635"/>
        <w:spacing w:after="0" w:line="213" w:lineRule="exact"/>
        <w:rPr>
          <w:sz w:val="20"/>
          <w:szCs w:val="20"/>
          <w:color w:val="auto"/>
        </w:rPr>
      </w:pPr>
      <w:r>
        <w:rPr>
          <w:rFonts w:ascii="Arial" w:cs="Arial" w:eastAsia="Arial" w:hAnsi="Arial"/>
          <w:sz w:val="15"/>
          <w:szCs w:val="15"/>
          <w:color w:val="auto"/>
        </w:rPr>
        <w:t>Our business relies on technology and automation to perform significant functions within our firm. Because of our reliance on technology, we may be susceptible to various forms of cyber-attacks by third parties or insiders. Though we take steps to mitigate the various cyber threats and devote significant resources to maintain and update our systems and networks, we may be unable to anticipate attacks or to implement adequate preventative measures. Our cybersecurity measures may not detect or prevent all attempts to compromise our systems, including denial</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service attacks, viruses, malicious software, break</w:t>
      </w:r>
      <w:r>
        <w:rPr>
          <w:rFonts w:ascii="MS PGothic" w:cs="MS PGothic" w:eastAsia="MS PGothic" w:hAnsi="MS PGothic"/>
          <w:sz w:val="15"/>
          <w:szCs w:val="15"/>
          <w:color w:val="auto"/>
        </w:rPr>
        <w:t>‑</w:t>
      </w:r>
      <w:r>
        <w:rPr>
          <w:rFonts w:ascii="Arial" w:cs="Arial" w:eastAsia="Arial" w:hAnsi="Arial"/>
          <w:sz w:val="15"/>
          <w:szCs w:val="15"/>
          <w:color w:val="auto"/>
        </w:rPr>
        <w:t>ins, phishing attacks, social engineering, security breaches or other attacks and similar disruptions that may jeopardize the security of information stored in and transmitted by our systems or that we otherwise maintain. Although we maintain insurance coverage that may, subject to policy terms and conditions, cover certain aspects of cyber risks, such insurance coverage may be insufficient to cover all losses. Breaches of our cybersecurity measures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or other malware being placed in our systems and intellectual property; deletion or modification of client information; or a denial</w:t>
      </w:r>
      <w:r>
        <w:rPr>
          <w:rFonts w:ascii="MS PGothic" w:cs="MS PGothic" w:eastAsia="MS PGothic" w:hAnsi="MS PGothic"/>
          <w:sz w:val="15"/>
          <w:szCs w:val="15"/>
          <w:color w:val="auto"/>
        </w:rPr>
        <w:t>‑</w:t>
      </w:r>
      <w:r>
        <w:rPr>
          <w:rFonts w:ascii="Arial" w:cs="Arial" w:eastAsia="Arial" w:hAnsi="Arial"/>
          <w:sz w:val="15"/>
          <w:szCs w:val="15"/>
          <w:color w:val="auto"/>
        </w:rPr>
        <w:t>of</w:t>
      </w:r>
      <w:r>
        <w:rPr>
          <w:rFonts w:ascii="MS PGothic" w:cs="MS PGothic" w:eastAsia="MS PGothic" w:hAnsi="MS PGothic"/>
          <w:sz w:val="15"/>
          <w:szCs w:val="15"/>
          <w:color w:val="auto"/>
        </w:rPr>
        <w:t>‑</w:t>
      </w:r>
      <w:r>
        <w:rPr>
          <w:rFonts w:ascii="Arial" w:cs="Arial" w:eastAsia="Arial" w:hAnsi="Arial"/>
          <w:sz w:val="15"/>
          <w:szCs w:val="15"/>
          <w:color w:val="auto"/>
        </w:rPr>
        <w:t>service or other interruptions to our business operations. While we have not suffered a material breach of our cybersecurity,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Capacity constraints, systems failures, malfunctions and delays could harm our business.</w:t>
      </w:r>
    </w:p>
    <w:p>
      <w:pPr>
        <w:spacing w:after="0" w:line="216"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power loss, utility or internet outages, computer viruses, intentional acts of vandalism,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spacing w:after="0" w:line="368" w:lineRule="exact"/>
        <w:rPr>
          <w:sz w:val="20"/>
          <w:szCs w:val="20"/>
          <w:color w:val="auto"/>
        </w:rPr>
      </w:pPr>
    </w:p>
    <w:p>
      <w:pPr>
        <w:ind w:right="40" w:firstLine="635"/>
        <w:spacing w:after="0" w:line="250" w:lineRule="auto"/>
        <w:rPr>
          <w:sz w:val="20"/>
          <w:szCs w:val="20"/>
          <w:color w:val="auto"/>
        </w:rPr>
      </w:pPr>
      <w:r>
        <w:rPr>
          <w:rFonts w:ascii="Arial" w:cs="Arial" w:eastAsia="Arial" w:hAnsi="Arial"/>
          <w:sz w:val="18"/>
          <w:szCs w:val="18"/>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spacing w:after="0" w:line="192" w:lineRule="exact"/>
        <w:rPr>
          <w:sz w:val="20"/>
          <w:szCs w:val="20"/>
          <w:color w:val="auto"/>
        </w:rPr>
      </w:pPr>
    </w:p>
    <w:p>
      <w:pPr>
        <w:ind w:right="40" w:firstLine="635"/>
        <w:spacing w:after="0" w:line="306" w:lineRule="auto"/>
        <w:rPr>
          <w:sz w:val="20"/>
          <w:szCs w:val="20"/>
          <w:color w:val="auto"/>
        </w:rPr>
      </w:pPr>
      <w:r>
        <w:rPr>
          <w:rFonts w:ascii="Arial" w:cs="Arial" w:eastAsia="Arial" w:hAnsi="Arial"/>
          <w:sz w:val="15"/>
          <w:szCs w:val="15"/>
          <w:color w:val="auto"/>
        </w:rPr>
        <w:t>Since the timing and impact of disasters and disruptions are unpredictable, we may not be able to respond to actual events as they occur. Business disruptions can vary in their scope and significance and can affect one or more of our facilities. 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159"/>
        <w:spacing w:after="0" w:line="218" w:lineRule="exact"/>
        <w:rPr>
          <w:sz w:val="20"/>
          <w:szCs w:val="20"/>
          <w:color w:val="auto"/>
        </w:rPr>
      </w:pPr>
      <w:r>
        <w:rPr>
          <w:rFonts w:ascii="Arial" w:cs="Arial" w:eastAsia="Arial" w:hAnsi="Arial"/>
          <w:sz w:val="18"/>
          <w:szCs w:val="18"/>
          <w:b w:val="1"/>
          <w:bCs w:val="1"/>
          <w:i w:val="1"/>
          <w:iCs w:val="1"/>
          <w:color w:val="auto"/>
        </w:rPr>
        <w:t>Failure or poor performance of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software, infrastructure or systems on which we rely could adversely affect our business.</w:t>
      </w:r>
    </w:p>
    <w:p>
      <w:pPr>
        <w:spacing w:after="0" w:line="200" w:lineRule="exact"/>
        <w:rPr>
          <w:sz w:val="20"/>
          <w:szCs w:val="20"/>
          <w:color w:val="auto"/>
        </w:rPr>
      </w:pPr>
    </w:p>
    <w:p>
      <w:pPr>
        <w:ind w:right="59" w:firstLine="635"/>
        <w:spacing w:after="0" w:line="265" w:lineRule="auto"/>
        <w:rPr>
          <w:sz w:val="20"/>
          <w:szCs w:val="20"/>
          <w:color w:val="auto"/>
        </w:rPr>
      </w:pPr>
      <w:r>
        <w:rPr>
          <w:rFonts w:ascii="Arial" w:cs="Arial" w:eastAsia="Arial" w:hAnsi="Arial"/>
          <w:sz w:val="17"/>
          <w:szCs w:val="17"/>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82" w:lineRule="exact"/>
        <w:rPr>
          <w:sz w:val="20"/>
          <w:szCs w:val="20"/>
          <w:color w:val="auto"/>
        </w:rPr>
      </w:pPr>
    </w:p>
    <w:p>
      <w:pPr>
        <w:ind w:right="79" w:firstLine="635"/>
        <w:spacing w:after="0" w:line="213" w:lineRule="exact"/>
        <w:rPr>
          <w:sz w:val="20"/>
          <w:szCs w:val="20"/>
          <w:color w:val="auto"/>
        </w:rPr>
      </w:pPr>
      <w:r>
        <w:rPr>
          <w:rFonts w:ascii="Arial" w:cs="Arial" w:eastAsia="Arial" w:hAnsi="Arial"/>
          <w:sz w:val="15"/>
          <w:szCs w:val="15"/>
          <w:color w:val="auto"/>
        </w:rPr>
        <w:t>We also rely on certain third</w:t>
      </w:r>
      <w:r>
        <w:rPr>
          <w:rFonts w:ascii="MS PGothic" w:cs="MS PGothic" w:eastAsia="MS PGothic" w:hAnsi="MS PGothic"/>
          <w:sz w:val="15"/>
          <w:szCs w:val="15"/>
          <w:color w:val="auto"/>
        </w:rPr>
        <w:t>‑</w:t>
      </w:r>
      <w:r>
        <w:rPr>
          <w:rFonts w:ascii="Arial" w:cs="Arial" w:eastAsia="Arial" w:hAnsi="Arial"/>
          <w:sz w:val="15"/>
          <w:szCs w:val="15"/>
          <w:color w:val="auto"/>
        </w:rPr>
        <w:t>party software, third</w:t>
      </w:r>
      <w:r>
        <w:rPr>
          <w:rFonts w:ascii="MS PGothic" w:cs="MS PGothic" w:eastAsia="MS PGothic" w:hAnsi="MS PGothic"/>
          <w:sz w:val="15"/>
          <w:szCs w:val="15"/>
          <w:color w:val="auto"/>
        </w:rPr>
        <w:t>‑</w:t>
      </w:r>
      <w:r>
        <w:rPr>
          <w:rFonts w:ascii="Arial" w:cs="Arial" w:eastAsia="Arial" w:hAnsi="Arial"/>
          <w:sz w:val="15"/>
          <w:szCs w:val="15"/>
          <w:color w:val="auto"/>
        </w:rPr>
        <w:t>party computer systems and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including clearing systems, exchange systems, alternate trading systems, order routing systems, internet service providers, communications facilities and other facilities. Any interruption in these third</w:t>
      </w:r>
      <w:r>
        <w:rPr>
          <w:rFonts w:ascii="MS PGothic" w:cs="MS PGothic" w:eastAsia="MS PGothic" w:hAnsi="MS PGothic"/>
          <w:sz w:val="15"/>
          <w:szCs w:val="15"/>
          <w:color w:val="auto"/>
        </w:rPr>
        <w:t>‑</w:t>
      </w:r>
      <w:r>
        <w:rPr>
          <w:rFonts w:ascii="Arial" w:cs="Arial" w:eastAsia="Arial" w:hAnsi="Arial"/>
          <w:sz w:val="15"/>
          <w:szCs w:val="15"/>
          <w:color w:val="auto"/>
        </w:rPr>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open source software may expose us to additional risks.</w:t>
      </w:r>
    </w:p>
    <w:p>
      <w:pPr>
        <w:spacing w:after="0" w:line="216" w:lineRule="exact"/>
        <w:rPr>
          <w:sz w:val="20"/>
          <w:szCs w:val="20"/>
          <w:color w:val="auto"/>
        </w:rPr>
      </w:pPr>
    </w:p>
    <w:p>
      <w:pPr>
        <w:ind w:right="19" w:firstLine="635"/>
        <w:spacing w:after="0" w:line="215" w:lineRule="exact"/>
        <w:rPr>
          <w:sz w:val="20"/>
          <w:szCs w:val="20"/>
          <w:color w:val="auto"/>
        </w:rPr>
      </w:pPr>
      <w:r>
        <w:rPr>
          <w:rFonts w:ascii="Arial" w:cs="Arial" w:eastAsia="Arial" w:hAnsi="Arial"/>
          <w:sz w:val="15"/>
          <w:szCs w:val="15"/>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r>
      <w:r>
        <w:rPr>
          <w:rFonts w:ascii="MS PGothic" w:cs="MS PGothic" w:eastAsia="MS PGothic" w:hAnsi="MS PGothic"/>
          <w:sz w:val="15"/>
          <w:szCs w:val="15"/>
          <w:color w:val="auto"/>
        </w:rPr>
        <w:t>‑</w:t>
      </w:r>
      <w:r>
        <w:rPr>
          <w:rFonts w:ascii="Arial" w:cs="Arial" w:eastAsia="Arial" w:hAnsi="Arial"/>
          <w:sz w:val="15"/>
          <w:szCs w:val="15"/>
          <w:color w:val="auto"/>
        </w:rPr>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 (iii) make our software available under the terms of an open source license, (iv) re</w:t>
      </w:r>
      <w:r>
        <w:rPr>
          <w:rFonts w:ascii="MS PGothic" w:cs="MS PGothic" w:eastAsia="MS PGothic" w:hAnsi="MS PGothic"/>
          <w:sz w:val="15"/>
          <w:szCs w:val="15"/>
          <w:color w:val="auto"/>
        </w:rPr>
        <w:t>‑</w:t>
      </w:r>
      <w:r>
        <w:rPr>
          <w:rFonts w:ascii="Arial" w:cs="Arial" w:eastAsia="Arial" w:hAnsi="Arial"/>
          <w:sz w:val="15"/>
          <w:szCs w:val="15"/>
          <w:color w:val="auto"/>
        </w:rPr>
        <w:t>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w:t>
      </w:r>
      <w:r>
        <w:rPr>
          <w:rFonts w:ascii="MS PGothic" w:cs="MS PGothic" w:eastAsia="MS PGothic" w:hAnsi="MS PGothic"/>
          <w:sz w:val="15"/>
          <w:szCs w:val="15"/>
          <w:color w:val="auto"/>
        </w:rPr>
        <w:t>‑</w:t>
      </w:r>
      <w:r>
        <w:rPr>
          <w:rFonts w:ascii="Arial" w:cs="Arial" w:eastAsia="Arial" w:hAnsi="Arial"/>
          <w:sz w:val="15"/>
          <w:szCs w:val="15"/>
          <w:color w:val="auto"/>
        </w:rPr>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r>
      <w:r>
        <w:rPr>
          <w:rFonts w:ascii="MS PGothic" w:cs="MS PGothic" w:eastAsia="MS PGothic" w:hAnsi="MS PGothic"/>
          <w:sz w:val="15"/>
          <w:szCs w:val="15"/>
          <w:color w:val="auto"/>
        </w:rPr>
        <w:t>‑</w:t>
      </w:r>
      <w:r>
        <w:rPr>
          <w:rFonts w:ascii="Arial" w:cs="Arial" w:eastAsia="Arial" w:hAnsi="Arial"/>
          <w:sz w:val="15"/>
          <w:szCs w:val="15"/>
          <w:color w:val="auto"/>
        </w:rPr>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spacing w:after="0" w:line="373" w:lineRule="exact"/>
        <w:rPr>
          <w:sz w:val="20"/>
          <w:szCs w:val="20"/>
          <w:color w:val="auto"/>
        </w:rPr>
      </w:pPr>
    </w:p>
    <w:p>
      <w:pPr>
        <w:ind w:right="19"/>
        <w:spacing w:after="0" w:line="264" w:lineRule="auto"/>
        <w:rPr>
          <w:sz w:val="20"/>
          <w:szCs w:val="20"/>
          <w:color w:val="auto"/>
        </w:rPr>
      </w:pPr>
      <w:r>
        <w:rPr>
          <w:rFonts w:ascii="Arial" w:cs="Arial" w:eastAsia="Arial" w:hAnsi="Arial"/>
          <w:sz w:val="18"/>
          <w:szCs w:val="18"/>
          <w:b w:val="1"/>
          <w:bCs w:val="1"/>
          <w:i w:val="1"/>
          <w:iCs w:val="1"/>
          <w:color w:val="auto"/>
        </w:rPr>
        <w:t>We may not be able to protect our intellectual property rights or may be prevented from using intellectual property necessary for our business.</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rely on federal and state law, trade secrets, trademarks, domain names, copyrights and contract law to protect our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intellectual property and proprietary technology. It is possible that third parties may copy or otherwise obtain and use our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intellectual property or proprietary technology without authorization or otherwise infringe on our rights. For example, while we</w:t>
      </w:r>
    </w:p>
    <w:p>
      <w:pPr>
        <w:spacing w:after="0" w:line="3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have a policy of entering into confidentiality, intellectual property invention assignment and/or non</w:t>
      </w:r>
      <w:r>
        <w:rPr>
          <w:rFonts w:ascii="MS PGothic" w:cs="MS PGothic" w:eastAsia="MS PGothic" w:hAnsi="MS PGothic"/>
          <w:sz w:val="17"/>
          <w:szCs w:val="17"/>
          <w:color w:val="auto"/>
        </w:rPr>
        <w:t>‑</w:t>
      </w:r>
      <w:r>
        <w:rPr>
          <w:rFonts w:ascii="Arial" w:cs="Arial" w:eastAsia="Arial" w:hAnsi="Arial"/>
          <w:sz w:val="17"/>
          <w:szCs w:val="17"/>
          <w:color w:val="auto"/>
        </w:rPr>
        <w:t>competition and</w:t>
      </w:r>
    </w:p>
    <w:p>
      <w:pPr>
        <w:spacing w:after="0" w:line="1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non</w:t>
      </w:r>
      <w:r>
        <w:rPr>
          <w:rFonts w:ascii="MS PGothic" w:cs="MS PGothic" w:eastAsia="MS PGothic" w:hAnsi="MS PGothic"/>
          <w:sz w:val="15"/>
          <w:szCs w:val="15"/>
          <w:color w:val="auto"/>
        </w:rPr>
        <w:t>‑</w:t>
      </w:r>
      <w:r>
        <w:rPr>
          <w:rFonts w:ascii="Arial" w:cs="Arial" w:eastAsia="Arial" w:hAnsi="Arial"/>
          <w:sz w:val="15"/>
          <w:szCs w:val="15"/>
          <w:color w:val="auto"/>
        </w:rPr>
        <w:t>solicitation agreements or restrictions with our employees, independent contractors and business partners, such agreements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may not provide adequate protection or may be breached, or our proprietary technology may otherwise become available to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be independently developed by our competitors. The promulgation of</w:t>
      </w: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laws or rules which require the maintenance of source code or other intellectual property in a repository subject to certain requirements and/or which enhance or facilitate access to such source code by regulatory authorities could inhibit our ability to protect against unauthorized dissemination or use of our intellectual property. 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 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257"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spacing w:after="0" w:line="35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b w:val="1"/>
          <w:bCs w:val="1"/>
          <w:i w:val="1"/>
          <w:iCs w:val="1"/>
          <w:color w:val="auto"/>
        </w:rPr>
        <w:t>We are exposed to risks associated with our international operations and expansion and failure to comply with laws and regulations applicable to our international operations may increase costs, reduce profits, limit growth or subject us to broader liability.</w:t>
      </w:r>
    </w:p>
    <w:p>
      <w:pPr>
        <w:spacing w:after="0" w:line="123" w:lineRule="exact"/>
        <w:rPr>
          <w:sz w:val="20"/>
          <w:szCs w:val="20"/>
          <w:color w:val="auto"/>
        </w:rPr>
      </w:pPr>
    </w:p>
    <w:p>
      <w:pPr>
        <w:ind w:firstLine="635"/>
        <w:spacing w:after="0" w:line="216" w:lineRule="exact"/>
        <w:rPr>
          <w:sz w:val="20"/>
          <w:szCs w:val="20"/>
          <w:color w:val="auto"/>
        </w:rPr>
      </w:pPr>
      <w:r>
        <w:rPr>
          <w:rFonts w:ascii="Arial" w:cs="Arial" w:eastAsia="Arial" w:hAnsi="Arial"/>
          <w:sz w:val="15"/>
          <w:szCs w:val="15"/>
          <w:color w:val="auto"/>
        </w:rPr>
        <w:t>We are exposed to risks and uncertainties inherent in doing business in international markets, particularly in the heavily regulated broker</w:t>
      </w:r>
      <w:r>
        <w:rPr>
          <w:rFonts w:ascii="MS PGothic" w:cs="MS PGothic" w:eastAsia="MS PGothic" w:hAnsi="MS PGothic"/>
          <w:sz w:val="15"/>
          <w:szCs w:val="15"/>
          <w:color w:val="auto"/>
        </w:rPr>
        <w:t>‑</w:t>
      </w:r>
      <w:r>
        <w:rPr>
          <w:rFonts w:ascii="Arial" w:cs="Arial" w:eastAsia="Arial" w:hAnsi="Arial"/>
          <w:sz w:val="15"/>
          <w:szCs w:val="15"/>
          <w:color w:val="auto"/>
        </w:rPr>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r>
      <w:r>
        <w:rPr>
          <w:rFonts w:ascii="MS PGothic" w:cs="MS PGothic" w:eastAsia="MS PGothic" w:hAnsi="MS PGothic"/>
          <w:sz w:val="15"/>
          <w:szCs w:val="15"/>
          <w:color w:val="auto"/>
        </w:rPr>
        <w:t>‑</w:t>
      </w:r>
      <w:r>
        <w:rPr>
          <w:rFonts w:ascii="Arial" w:cs="Arial" w:eastAsia="Arial" w:hAnsi="Arial"/>
          <w:sz w:val="15"/>
          <w:szCs w:val="15"/>
          <w:color w:val="auto"/>
        </w:rPr>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spacing w:after="0" w:line="372" w:lineRule="exact"/>
        <w:rPr>
          <w:sz w:val="20"/>
          <w:szCs w:val="20"/>
          <w:color w:val="auto"/>
        </w:rPr>
      </w:pPr>
    </w:p>
    <w:p>
      <w:pPr>
        <w:ind w:right="60" w:firstLine="635"/>
        <w:spacing w:after="0" w:line="251" w:lineRule="auto"/>
        <w:rPr>
          <w:sz w:val="20"/>
          <w:szCs w:val="20"/>
          <w:color w:val="auto"/>
        </w:rPr>
      </w:pPr>
      <w:r>
        <w:rPr>
          <w:rFonts w:ascii="Arial" w:cs="Arial" w:eastAsia="Arial" w:hAnsi="Arial"/>
          <w:sz w:val="18"/>
          <w:szCs w:val="18"/>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9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European Union may negatively impact the global economy, financial markets and our business.</w:t>
      </w:r>
    </w:p>
    <w:p>
      <w:pPr>
        <w:spacing w:after="0" w:line="180" w:lineRule="exact"/>
        <w:rPr>
          <w:sz w:val="20"/>
          <w:szCs w:val="20"/>
          <w:color w:val="auto"/>
        </w:rPr>
      </w:pPr>
    </w:p>
    <w:p>
      <w:pPr>
        <w:ind w:right="120" w:firstLine="635"/>
        <w:spacing w:after="0" w:line="293" w:lineRule="auto"/>
        <w:rPr>
          <w:sz w:val="20"/>
          <w:szCs w:val="20"/>
          <w:color w:val="auto"/>
        </w:rPr>
      </w:pPr>
      <w:r>
        <w:rPr>
          <w:rFonts w:ascii="Arial" w:cs="Arial" w:eastAsia="Arial" w:hAnsi="Arial"/>
          <w:sz w:val="17"/>
          <w:szCs w:val="17"/>
          <w:color w:val="auto"/>
        </w:rPr>
        <w:t>In June 2016, the United Kingdom voted in an advisory referendum to leave the European Union (commonly referred to as “Brexit”). The outcome of the negotiations between the U.K. and the European Union in connection with</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the referendum and withdrawal is highly uncertain and may significantly affect the fiscal, monetary and regulatory landscape in the U.K., and could have a material impact on its economy and the future growth of its various industries, including the financial services industry, as well as global economic conditions and financial markets. We presently access the E.U. markets primarily through our Irish regulated subsidiary and we do not expect any impact on our access to E.U. markets as a result of Brexit. However, it is not possible at this point in time to predict fully the effects of an exit of the U.K. from the E.U., especially with respect to our activities in the U.K. or the potential impact of interacting with U.K. based market participants, and it could have a material adverse effect on our business, financial condition, results of operations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could negatively impact our earnings.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 significant portion of our international business is conducted in currencies other than the U.S. dollar, and changes in</w:t>
      </w:r>
    </w:p>
    <w:p>
      <w:pPr>
        <w:spacing w:after="0" w:line="5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foreign exchange rates relative to the U.S. dollar can therefore affect the value of our non</w:t>
      </w:r>
      <w:r>
        <w:rPr>
          <w:rFonts w:ascii="MS PGothic" w:cs="MS PGothic" w:eastAsia="MS PGothic" w:hAnsi="MS PGothic"/>
          <w:sz w:val="15"/>
          <w:szCs w:val="15"/>
          <w:color w:val="auto"/>
        </w:rPr>
        <w:t>‑</w:t>
      </w:r>
      <w:r>
        <w:rPr>
          <w:rFonts w:ascii="Arial" w:cs="Arial" w:eastAsia="Arial" w:hAnsi="Arial"/>
          <w:sz w:val="15"/>
          <w:szCs w:val="15"/>
          <w:color w:val="auto"/>
        </w:rPr>
        <w:t>U.S. dollar net assets, revenues 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expenses. Although we closely monitor potential exposures as a result of these fluctuations in currencies, and where</w:t>
      </w:r>
    </w:p>
    <w:p>
      <w:pPr>
        <w:spacing w:after="0" w:line="1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cost</w:t>
      </w:r>
      <w:r>
        <w:rPr>
          <w:rFonts w:ascii="MS PGothic" w:cs="MS PGothic" w:eastAsia="MS PGothic" w:hAnsi="MS PGothic"/>
          <w:sz w:val="15"/>
          <w:szCs w:val="15"/>
          <w:color w:val="auto"/>
        </w:rPr>
        <w:t>‑</w:t>
      </w:r>
      <w:r>
        <w:rPr>
          <w:rFonts w:ascii="Arial" w:cs="Arial" w:eastAsia="Arial" w:hAnsi="Arial"/>
          <w:sz w:val="15"/>
          <w:szCs w:val="15"/>
          <w:color w:val="auto"/>
        </w:rPr>
        <w:t>justified we adopt strategies that are designed to reduce the impact of these fluctuations on our financial performance,</w:t>
      </w:r>
    </w:p>
    <w:p>
      <w:pPr>
        <w:spacing w:after="0" w:line="39"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including the financing of non</w:t>
      </w:r>
      <w:r>
        <w:rPr>
          <w:rFonts w:ascii="MS PGothic" w:cs="MS PGothic" w:eastAsia="MS PGothic" w:hAnsi="MS PGothic"/>
          <w:sz w:val="17"/>
          <w:szCs w:val="17"/>
          <w:color w:val="auto"/>
        </w:rPr>
        <w:t>‑</w:t>
      </w:r>
      <w:r>
        <w:rPr>
          <w:rFonts w:ascii="Arial" w:cs="Arial" w:eastAsia="Arial" w:hAnsi="Arial"/>
          <w:sz w:val="17"/>
          <w:szCs w:val="17"/>
          <w:color w:val="auto"/>
        </w:rPr>
        <w:t>U.S. dollar assets with borrowings in the same currency and the use of various hedging</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transactions related to net assets, revenues, expenses or cash flows, there can be no assurance that we will be successful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managing our foreign exchange risk. Our exposure to currency exchange rate fluctuations will grow if the relative contribution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of our operations outside the U.S. increases. Any material fluctuations in currencies could have a material effect on our financial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condition, results of operations and cash flows.</w:t>
      </w:r>
    </w:p>
    <w:p>
      <w:pPr>
        <w:spacing w:after="0" w:line="205" w:lineRule="exact"/>
        <w:rPr>
          <w:sz w:val="20"/>
          <w:szCs w:val="20"/>
          <w:color w:val="auto"/>
        </w:rPr>
      </w:pPr>
    </w:p>
    <w:p>
      <w:pPr>
        <w:ind w:right="80"/>
        <w:spacing w:after="0" w:line="364" w:lineRule="auto"/>
        <w:rPr>
          <w:sz w:val="20"/>
          <w:szCs w:val="20"/>
          <w:color w:val="auto"/>
        </w:rPr>
      </w:pPr>
      <w:r>
        <w:rPr>
          <w:rFonts w:ascii="Arial" w:cs="Arial" w:eastAsia="Arial" w:hAnsi="Arial"/>
          <w:sz w:val="15"/>
          <w:szCs w:val="15"/>
          <w:b w:val="1"/>
          <w:bCs w:val="1"/>
          <w:i w:val="1"/>
          <w:iCs w:val="1"/>
          <w:color w:val="auto"/>
        </w:rPr>
        <w:t>We may experience risks associated with future growth or expansion of our operations or acquisitions, strategic investments or dispositions of businesses, and we may never realize the anticipated benefits of such activities.</w:t>
      </w:r>
    </w:p>
    <w:p>
      <w:pPr>
        <w:spacing w:after="0" w:line="112" w:lineRule="exact"/>
        <w:rPr>
          <w:sz w:val="20"/>
          <w:szCs w:val="20"/>
          <w:color w:val="auto"/>
        </w:rPr>
      </w:pPr>
    </w:p>
    <w:p>
      <w:pPr>
        <w:ind w:right="40" w:firstLine="635"/>
        <w:spacing w:after="0" w:line="213" w:lineRule="exact"/>
        <w:rPr>
          <w:sz w:val="20"/>
          <w:szCs w:val="20"/>
          <w:color w:val="auto"/>
        </w:rPr>
      </w:pPr>
      <w:r>
        <w:rPr>
          <w:rFonts w:ascii="Arial" w:cs="Arial" w:eastAsia="Arial" w:hAnsi="Arial"/>
          <w:sz w:val="15"/>
          <w:szCs w:val="15"/>
          <w:color w:val="auto"/>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w:t>
      </w:r>
      <w:r>
        <w:rPr>
          <w:rFonts w:ascii="MS PGothic" w:cs="MS PGothic" w:eastAsia="MS PGothic" w:hAnsi="MS PGothic"/>
          <w:sz w:val="15"/>
          <w:szCs w:val="15"/>
          <w:color w:val="auto"/>
        </w:rPr>
        <w:t>‑</w:t>
      </w:r>
      <w:r>
        <w:rPr>
          <w:rFonts w:ascii="Arial" w:cs="Arial" w:eastAsia="Arial" w:hAnsi="Arial"/>
          <w:sz w:val="15"/>
          <w:szCs w:val="15"/>
          <w:color w:val="auto"/>
        </w:rPr>
        <w:t>saving initiatives. We cannot guarantee that we will be able to successfully integrate any company or business that we might acquire in the future, and our failure to do so could harm our current business.</w:t>
      </w:r>
    </w:p>
    <w:p>
      <w:pPr>
        <w:spacing w:after="0" w:line="202" w:lineRule="exact"/>
        <w:rPr>
          <w:sz w:val="20"/>
          <w:szCs w:val="20"/>
          <w:color w:val="auto"/>
        </w:rPr>
      </w:pPr>
    </w:p>
    <w:p>
      <w:pPr>
        <w:ind w:right="100" w:firstLine="635"/>
        <w:spacing w:after="0" w:line="303" w:lineRule="auto"/>
        <w:rPr>
          <w:sz w:val="20"/>
          <w:szCs w:val="20"/>
          <w:color w:val="auto"/>
        </w:rPr>
      </w:pPr>
      <w:r>
        <w:rPr>
          <w:rFonts w:ascii="Arial" w:cs="Arial" w:eastAsia="Arial" w:hAnsi="Arial"/>
          <w:sz w:val="15"/>
          <w:szCs w:val="15"/>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efforts to sell shares of our common stock or raise additional capital may be delayed or prohibited by regulations.</w:t>
      </w:r>
    </w:p>
    <w:p>
      <w:pPr>
        <w:spacing w:after="0" w:line="251" w:lineRule="exact"/>
        <w:rPr>
          <w:sz w:val="20"/>
          <w:szCs w:val="20"/>
          <w:color w:val="auto"/>
        </w:rPr>
      </w:pPr>
    </w:p>
    <w:p>
      <w:pPr>
        <w:ind w:right="40" w:firstLine="635"/>
        <w:spacing w:after="0" w:line="308" w:lineRule="auto"/>
        <w:rPr>
          <w:sz w:val="20"/>
          <w:szCs w:val="20"/>
          <w:color w:val="auto"/>
        </w:rPr>
      </w:pPr>
      <w:r>
        <w:rPr>
          <w:rFonts w:ascii="Arial" w:cs="Arial" w:eastAsia="Arial" w:hAnsi="Arial"/>
          <w:sz w:val="15"/>
          <w:szCs w:val="15"/>
          <w:color w:val="auto"/>
        </w:rPr>
        <w:t>As certain of our subsidiaries are members of FINRA and other SROs, we are subject to certain regulations regarding changes in ownership or control and material changes in operations. For example, FINRA’s NASD Rule 1017 generally provides that FINRA approval must be obtained in connection with certain change of ownership or control transactions, such as a transaction that results in a single entity or person owning 25% or more our equity. Similarly, Virtu Financial Ireland Limited, one of our Irish subsidiaries, is subject to change in control regulations promulgated by the Central Bank of Ireland, and other registered or regulated foreign subsidiaries may be subject to similar regulations in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0"/>
        <w:spacing w:after="0" w:line="364" w:lineRule="auto"/>
        <w:rPr>
          <w:sz w:val="20"/>
          <w:szCs w:val="20"/>
          <w:color w:val="auto"/>
        </w:rPr>
      </w:pPr>
      <w:r>
        <w:rPr>
          <w:rFonts w:ascii="Arial" w:cs="Arial" w:eastAsia="Arial" w:hAnsi="Arial"/>
          <w:sz w:val="15"/>
          <w:szCs w:val="15"/>
          <w:color w:val="auto"/>
        </w:rPr>
        <w:t>applicable jurisdictions. As a result of these regulations, our future efforts to sell shares of our common stock or raise additional capital may be delayed or prohibited. We may be subject to similar restrictions in other jurisdictions in which we operate.</w:t>
      </w:r>
    </w:p>
    <w:p>
      <w:pPr>
        <w:spacing w:after="0" w:line="11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are dependent on the continued service of certain key executives, the loss or diminished performance of whom could have a material adverse effect on our business.</w:t>
      </w:r>
    </w:p>
    <w:p>
      <w:pPr>
        <w:spacing w:after="0" w:line="180" w:lineRule="exact"/>
        <w:rPr>
          <w:sz w:val="20"/>
          <w:szCs w:val="20"/>
          <w:color w:val="auto"/>
        </w:rPr>
      </w:pPr>
    </w:p>
    <w:p>
      <w:pPr>
        <w:ind w:firstLine="635"/>
        <w:spacing w:after="0" w:line="262" w:lineRule="auto"/>
        <w:rPr>
          <w:sz w:val="20"/>
          <w:szCs w:val="20"/>
          <w:color w:val="auto"/>
        </w:rPr>
      </w:pPr>
      <w:r>
        <w:rPr>
          <w:rFonts w:ascii="Arial" w:cs="Arial" w:eastAsia="Arial" w:hAnsi="Arial"/>
          <w:sz w:val="17"/>
          <w:szCs w:val="17"/>
          <w:color w:val="auto"/>
        </w:rPr>
        <w:t>Our performance is substantially dependent on the performance of our senior management, Mr. Cifu, our Chief Executive Officer and Mr. Molluso, our Chief Financial Officer. In connection with and subsequent to the IPO, we have entered into employment and other related agreements with certain members of our senior management team that restrict their ability to compete with us should they decide to leave our Company. Even though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 In particular, Mr. Cifu invests in other businesses and spends time on such matters, which could divert their attention from us. Our employment agreement with Mr. Cifu specifically permits his participation in and attention to certain other business activities, including but not necessarily limited to his role as the Vice Chairman and Alternate Governor of the Florida Panthers, a National Hockey League franchise, and his role as a director of the Independent Bank Group, Inc., a regional bank holding company. We cannot guarantee that these or other permitted outside activities will not impact his performance as Chief Executive Officer.</w:t>
      </w:r>
    </w:p>
    <w:p>
      <w:pPr>
        <w:spacing w:after="0" w:line="18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b w:val="1"/>
          <w:bCs w:val="1"/>
          <w:i w:val="1"/>
          <w:iCs w:val="1"/>
          <w:color w:val="auto"/>
        </w:rPr>
        <w:t>Our success depends, in part, on our ability to identify, recruit and retain skilled management and technical personnel. If we fail to recruit and retain suitable candidates or if our relationship with our employees changes or deteriorates, it could have a material adverse effect on our business.</w:t>
      </w:r>
    </w:p>
    <w:p>
      <w:pPr>
        <w:spacing w:after="0" w:line="189" w:lineRule="exact"/>
        <w:rPr>
          <w:sz w:val="20"/>
          <w:szCs w:val="20"/>
          <w:color w:val="auto"/>
        </w:rPr>
      </w:pPr>
    </w:p>
    <w:p>
      <w:pPr>
        <w:ind w:right="60" w:firstLine="635"/>
        <w:spacing w:after="0" w:line="264" w:lineRule="auto"/>
        <w:rPr>
          <w:sz w:val="20"/>
          <w:szCs w:val="20"/>
          <w:color w:val="auto"/>
        </w:rPr>
      </w:pPr>
      <w:r>
        <w:rPr>
          <w:rFonts w:ascii="Arial" w:cs="Arial" w:eastAsia="Arial" w:hAnsi="Arial"/>
          <w:sz w:val="17"/>
          <w:szCs w:val="17"/>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lose significant sources of revenues if we were to lose access to an important exchange or other trading venue.</w:t>
      </w:r>
    </w:p>
    <w:p>
      <w:pPr>
        <w:spacing w:after="0" w:line="251" w:lineRule="exact"/>
        <w:rPr>
          <w:sz w:val="20"/>
          <w:szCs w:val="20"/>
          <w:color w:val="auto"/>
        </w:rPr>
      </w:pPr>
    </w:p>
    <w:p>
      <w:pPr>
        <w:ind w:firstLine="635"/>
        <w:spacing w:after="0" w:line="250" w:lineRule="auto"/>
        <w:rPr>
          <w:sz w:val="20"/>
          <w:szCs w:val="20"/>
          <w:color w:val="auto"/>
        </w:rPr>
      </w:pPr>
      <w:r>
        <w:rPr>
          <w:rFonts w:ascii="Arial" w:cs="Arial" w:eastAsia="Arial" w:hAnsi="Arial"/>
          <w:sz w:val="18"/>
          <w:szCs w:val="18"/>
          <w:color w:val="auto"/>
        </w:rPr>
        <w:t>Changes in applicable laws, regulations or rules promulgated by exchanges could conceivably prevent us from providing liquidity to an exchange or other trading venue where we provide liquidity today. Though our revenues are diversified across exchanges and other trading venues, asset classes and geographies, the loss of access to one or more significant exchanges and other trading venues for any reason could have a material adverse effect on our business, financial condition, results of operations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 of KCG</w:t>
      </w:r>
    </w:p>
    <w:p>
      <w:pPr>
        <w:spacing w:after="0" w:line="222" w:lineRule="exact"/>
        <w:rPr>
          <w:sz w:val="20"/>
          <w:szCs w:val="20"/>
          <w:color w:val="auto"/>
        </w:rPr>
      </w:pPr>
    </w:p>
    <w:p>
      <w:pPr>
        <w:ind w:right="380"/>
        <w:spacing w:after="0" w:line="364" w:lineRule="auto"/>
        <w:rPr>
          <w:sz w:val="20"/>
          <w:szCs w:val="20"/>
          <w:color w:val="auto"/>
        </w:rPr>
      </w:pPr>
      <w:r>
        <w:rPr>
          <w:rFonts w:ascii="Arial" w:cs="Arial" w:eastAsia="Arial" w:hAnsi="Arial"/>
          <w:sz w:val="15"/>
          <w:szCs w:val="15"/>
          <w:b w:val="1"/>
          <w:bCs w:val="1"/>
          <w:i w:val="1"/>
          <w:iCs w:val="1"/>
          <w:color w:val="auto"/>
        </w:rPr>
        <w:t>Significant costs and significant indebtedness were incurred in connection with the consummation of the Acquisition of KCG, and the integration of KCG into our business, including legal, accounting, financial advisory and other costs.</w:t>
      </w:r>
    </w:p>
    <w:p>
      <w:pPr>
        <w:spacing w:after="0" w:line="112" w:lineRule="exact"/>
        <w:rPr>
          <w:sz w:val="20"/>
          <w:szCs w:val="20"/>
          <w:color w:val="auto"/>
        </w:rPr>
      </w:pPr>
    </w:p>
    <w:p>
      <w:pPr>
        <w:ind w:right="60" w:firstLine="635"/>
        <w:spacing w:after="0" w:line="264" w:lineRule="auto"/>
        <w:rPr>
          <w:sz w:val="20"/>
          <w:szCs w:val="20"/>
          <w:color w:val="auto"/>
        </w:rPr>
      </w:pPr>
      <w:r>
        <w:rPr>
          <w:rFonts w:ascii="Arial" w:cs="Arial" w:eastAsia="Arial" w:hAnsi="Arial"/>
          <w:sz w:val="18"/>
          <w:szCs w:val="18"/>
          <w:color w:val="auto"/>
        </w:rPr>
        <w:t>We expect to incur significant costs in connection with integrating the operations, products and personnel of KCG into our business. These costs may include:</w:t>
      </w:r>
    </w:p>
    <w:p>
      <w:pPr>
        <w:spacing w:after="0" w:line="180"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retention, redeployment, relocation or severance;</w:t>
      </w:r>
    </w:p>
    <w:p>
      <w:pPr>
        <w:spacing w:after="0" w:line="216"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of information systems;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combination of corporate and administrative functions; and</w:t>
      </w:r>
    </w:p>
    <w:p>
      <w:pPr>
        <w:spacing w:after="0" w:line="216" w:lineRule="exact"/>
        <w:rPr>
          <w:rFonts w:ascii="Arial" w:cs="Arial" w:eastAsia="Arial" w:hAnsi="Arial"/>
          <w:sz w:val="18"/>
          <w:szCs w:val="18"/>
          <w:color w:val="auto"/>
        </w:rPr>
      </w:pPr>
    </w:p>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or pending litigation or other proceedings related to the Acquisition of KCG.</w:t>
      </w:r>
    </w:p>
    <w:p>
      <w:pPr>
        <w:spacing w:after="0" w:line="216" w:lineRule="exact"/>
        <w:rPr>
          <w:sz w:val="20"/>
          <w:szCs w:val="20"/>
          <w:color w:val="auto"/>
        </w:rPr>
      </w:pPr>
    </w:p>
    <w:p>
      <w:pPr>
        <w:ind w:right="280" w:firstLine="635"/>
        <w:spacing w:after="0" w:line="364" w:lineRule="auto"/>
        <w:rPr>
          <w:sz w:val="20"/>
          <w:szCs w:val="20"/>
          <w:color w:val="auto"/>
        </w:rPr>
      </w:pPr>
      <w:r>
        <w:rPr>
          <w:rFonts w:ascii="Arial" w:cs="Arial" w:eastAsia="Arial" w:hAnsi="Arial"/>
          <w:sz w:val="15"/>
          <w:szCs w:val="15"/>
          <w:color w:val="auto"/>
        </w:rPr>
        <w:t>The costs related to the Acquisition of KCG could be higher than currently estimated, depending on how difficult it will be to integrate our business with that of KCG, and the expected cost reductions and synergies may not be achieved.</w:t>
      </w:r>
    </w:p>
    <w:p>
      <w:pPr>
        <w:spacing w:after="0" w:line="112" w:lineRule="exact"/>
        <w:rPr>
          <w:sz w:val="20"/>
          <w:szCs w:val="20"/>
          <w:color w:val="auto"/>
        </w:rPr>
      </w:pPr>
    </w:p>
    <w:p>
      <w:pPr>
        <w:ind w:right="20" w:firstLine="635"/>
        <w:spacing w:after="0" w:line="308" w:lineRule="auto"/>
        <w:rPr>
          <w:sz w:val="20"/>
          <w:szCs w:val="20"/>
          <w:color w:val="auto"/>
        </w:rPr>
      </w:pPr>
      <w:r>
        <w:rPr>
          <w:rFonts w:ascii="Arial" w:cs="Arial" w:eastAsia="Arial" w:hAnsi="Arial"/>
          <w:sz w:val="15"/>
          <w:szCs w:val="15"/>
          <w:color w:val="auto"/>
        </w:rPr>
        <w:t>In addition, we expect to incur a number of non-recurring costs associated with combining the operations of KCG with ours, which cannot be estimated accurately at this time. While we expected to and incurred a significant amount of transaction fees and other costs related to the consummation of the Acquisition of KCG, additional unanticipated costs may yet be incurred. Any expected elimination of duplicative costs, as well as the expected realization of other cost reductions, efficiencies and synergies related to the integration of our operations with those of KCG, that may offset incremental transaction and transaction-related costs over time, may not be achieved as projected, or at all.</w:t>
      </w:r>
    </w:p>
    <w:p>
      <w:pPr>
        <w:spacing w:after="0" w:line="153" w:lineRule="exact"/>
        <w:rPr>
          <w:sz w:val="20"/>
          <w:szCs w:val="20"/>
          <w:color w:val="auto"/>
        </w:rPr>
      </w:pPr>
    </w:p>
    <w:p>
      <w:pPr>
        <w:ind w:right="40" w:firstLine="635"/>
        <w:spacing w:after="0" w:line="250" w:lineRule="auto"/>
        <w:rPr>
          <w:sz w:val="20"/>
          <w:szCs w:val="20"/>
          <w:color w:val="auto"/>
        </w:rPr>
      </w:pPr>
      <w:r>
        <w:rPr>
          <w:rFonts w:ascii="Arial" w:cs="Arial" w:eastAsia="Arial" w:hAnsi="Arial"/>
          <w:sz w:val="18"/>
          <w:szCs w:val="18"/>
          <w:color w:val="auto"/>
        </w:rPr>
        <w:t>In addition, we incurred $1,650.0 million of new indebtedness in connection with the Acquisition of KCG, $526 million of which we have prepaid as of March 13, 2018. The debt we have incurred in connection with the Acquisition of KCG may limit our financial and operating flexibility, and we may incur additional debt, which could increase the risks associated with our substantial indebtedness. Our substantial indebtedness may have material consequences for our business, prospects, results of operations, financial condition and/or cash flows.</w:t>
      </w:r>
    </w:p>
    <w:p>
      <w:pPr>
        <w:spacing w:after="0" w:line="19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Integrating KCG’s business into our business may divert management’s attention away from operations, and we may also encounter significant difficulties in integrating the two businesses.</w:t>
      </w:r>
    </w:p>
    <w:p>
      <w:pPr>
        <w:spacing w:after="0" w:line="180" w:lineRule="exact"/>
        <w:rPr>
          <w:sz w:val="20"/>
          <w:szCs w:val="20"/>
          <w:color w:val="auto"/>
        </w:rPr>
      </w:pPr>
    </w:p>
    <w:p>
      <w:pPr>
        <w:ind w:firstLine="635"/>
        <w:spacing w:after="0" w:line="312" w:lineRule="auto"/>
        <w:rPr>
          <w:sz w:val="20"/>
          <w:szCs w:val="20"/>
          <w:color w:val="auto"/>
        </w:rPr>
      </w:pPr>
      <w:r>
        <w:rPr>
          <w:rFonts w:ascii="Arial" w:cs="Arial" w:eastAsia="Arial" w:hAnsi="Arial"/>
          <w:sz w:val="15"/>
          <w:szCs w:val="15"/>
          <w:color w:val="auto"/>
        </w:rPr>
        <w:t>The Acquisition of KCG involves the integration of two companies that have previously operated independently. The success of the Acquisition of KCG and their anticipated financial and operational benefits, including increased revenues, synergies and cost reductions, will depend in part on our ability to successfully combine and integrate KCG’s business into ours, and there can be no assurance regarding when or the extent to which we will be able to realize these increased revenues, synergies, cost reductions or other benefits. These benefits may not be achieved within the anticipated time frame, or at all.</w:t>
      </w:r>
    </w:p>
    <w:p>
      <w:pPr>
        <w:spacing w:after="0" w:line="149" w:lineRule="exact"/>
        <w:rPr>
          <w:sz w:val="20"/>
          <w:szCs w:val="20"/>
          <w:color w:val="auto"/>
        </w:rPr>
      </w:pPr>
    </w:p>
    <w:p>
      <w:pPr>
        <w:jc w:val="both"/>
        <w:ind w:right="260" w:firstLine="635"/>
        <w:spacing w:after="0" w:line="329" w:lineRule="auto"/>
        <w:rPr>
          <w:sz w:val="20"/>
          <w:szCs w:val="20"/>
          <w:color w:val="auto"/>
        </w:rPr>
      </w:pPr>
      <w:r>
        <w:rPr>
          <w:rFonts w:ascii="Arial" w:cs="Arial" w:eastAsia="Arial" w:hAnsi="Arial"/>
          <w:sz w:val="15"/>
          <w:szCs w:val="15"/>
          <w:color w:val="auto"/>
        </w:rPr>
        <w:t>Successful integration of KCG’s operations, products and personnel may place a significant burden on management and other internal resources. The diversion of management’s attention, and any difficulties encountered in the transition and integration process, could harm our business, prospects, results of operations, financial condition and/or cash flows.</w:t>
      </w:r>
    </w:p>
    <w:p>
      <w:pPr>
        <w:spacing w:after="0" w:line="137" w:lineRule="exact"/>
        <w:rPr>
          <w:sz w:val="20"/>
          <w:szCs w:val="20"/>
          <w:color w:val="auto"/>
        </w:rPr>
      </w:pPr>
    </w:p>
    <w:p>
      <w:pPr>
        <w:ind w:right="320" w:firstLine="635"/>
        <w:spacing w:after="0" w:line="364" w:lineRule="auto"/>
        <w:rPr>
          <w:sz w:val="20"/>
          <w:szCs w:val="20"/>
          <w:color w:val="auto"/>
        </w:rPr>
      </w:pPr>
      <w:r>
        <w:rPr>
          <w:rFonts w:ascii="Arial" w:cs="Arial" w:eastAsia="Arial" w:hAnsi="Arial"/>
          <w:sz w:val="15"/>
          <w:szCs w:val="15"/>
          <w:color w:val="auto"/>
        </w:rPr>
        <w:t>In addition, the overall integration of the businesses may result in material unanticipated problems, expenses, liabilities, and competitive responses. The difficulties of combining the operations of the companies include, among others:</w:t>
      </w:r>
    </w:p>
    <w:p>
      <w:pPr>
        <w:spacing w:after="0" w:line="112" w:lineRule="exact"/>
        <w:rPr>
          <w:sz w:val="20"/>
          <w:szCs w:val="20"/>
          <w:color w:val="auto"/>
        </w:rPr>
      </w:pPr>
    </w:p>
    <w:p>
      <w:pPr>
        <w:ind w:left="640" w:right="220" w:hanging="322"/>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achieving anticipated cost reductions, synergies, business opportunities and growth prospects from the combination;</w:t>
      </w:r>
    </w:p>
    <w:p>
      <w:pPr>
        <w:spacing w:after="0" w:line="17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216" w:lineRule="exact"/>
        <w:rPr>
          <w:rFonts w:ascii="Arial" w:cs="Arial" w:eastAsia="Arial" w:hAnsi="Arial"/>
          <w:sz w:val="18"/>
          <w:szCs w:val="18"/>
          <w:color w:val="auto"/>
        </w:rPr>
      </w:pPr>
    </w:p>
    <w:p>
      <w:pPr>
        <w:ind w:left="640" w:right="360" w:hanging="322"/>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conforming standards, controls, procedures and accounting and other policies, business cultures and compensation structures between the two companies;</w:t>
      </w:r>
    </w:p>
    <w:p>
      <w:pPr>
        <w:spacing w:after="0" w:line="179" w:lineRule="exact"/>
        <w:rPr>
          <w:rFonts w:ascii="Arial" w:cs="Arial" w:eastAsia="Arial" w:hAnsi="Arial"/>
          <w:sz w:val="18"/>
          <w:szCs w:val="18"/>
          <w:color w:val="auto"/>
        </w:rPr>
      </w:pPr>
    </w:p>
    <w:p>
      <w:pPr>
        <w:ind w:left="640" w:hanging="322"/>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difficulties in the assimilation of employees and the integration of the companies’ different organizational structures;</w:t>
      </w:r>
    </w:p>
    <w:p>
      <w:pPr>
        <w:spacing w:after="0" w:line="250" w:lineRule="exact"/>
        <w:rPr>
          <w:rFonts w:ascii="Arial" w:cs="Arial" w:eastAsia="Arial" w:hAnsi="Arial"/>
          <w:sz w:val="15"/>
          <w:szCs w:val="15"/>
          <w:color w:val="auto"/>
        </w:rPr>
      </w:pPr>
    </w:p>
    <w:p>
      <w:pPr>
        <w:ind w:left="640" w:right="180" w:hanging="322"/>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 with increased international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integrating the business culture of each company;</w:t>
      </w:r>
    </w:p>
    <w:p>
      <w:pPr>
        <w:spacing w:after="0" w:line="216"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216" w:lineRule="exact"/>
        <w:rPr>
          <w:rFonts w:ascii="Arial" w:cs="Arial" w:eastAsia="Arial" w:hAnsi="Arial"/>
          <w:sz w:val="18"/>
          <w:szCs w:val="18"/>
          <w:color w:val="auto"/>
        </w:rPr>
      </w:pPr>
    </w:p>
    <w:p>
      <w:pPr>
        <w:ind w:left="640" w:hanging="322"/>
        <w:spacing w:after="0" w:line="25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replacing numerous systems, including those involving management information, purchasing, accounting and finance, sales, billing, employee benefits, payroll, data privacy and security and regulatory compliance, many of which may be dissimilar.</w:t>
      </w:r>
    </w:p>
    <w:p>
      <w:pPr>
        <w:spacing w:after="0" w:line="189" w:lineRule="exact"/>
        <w:rPr>
          <w:sz w:val="20"/>
          <w:szCs w:val="20"/>
          <w:color w:val="auto"/>
        </w:rPr>
      </w:pPr>
    </w:p>
    <w:p>
      <w:pPr>
        <w:ind w:right="40" w:firstLine="635"/>
        <w:spacing w:after="0" w:line="254" w:lineRule="auto"/>
        <w:rPr>
          <w:sz w:val="20"/>
          <w:szCs w:val="20"/>
          <w:color w:val="auto"/>
        </w:rPr>
      </w:pPr>
      <w:r>
        <w:rPr>
          <w:rFonts w:ascii="Arial" w:cs="Arial" w:eastAsia="Arial" w:hAnsi="Arial"/>
          <w:sz w:val="18"/>
          <w:szCs w:val="18"/>
          <w:color w:val="auto"/>
        </w:rPr>
        <w:t>These factors could result in increased costs, decreases in the amount of expected revenues and diversion of management’s time and energy, which could materially impact our business, prospects, results of operations, financial condition and/or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realize the anticipated synergies, net cost reductions and growth opportunities from the Acquisition of KCG.</w:t>
      </w:r>
    </w:p>
    <w:p>
      <w:pPr>
        <w:spacing w:after="0" w:line="251" w:lineRule="exact"/>
        <w:rPr>
          <w:sz w:val="20"/>
          <w:szCs w:val="20"/>
          <w:color w:val="auto"/>
        </w:rPr>
      </w:pPr>
    </w:p>
    <w:p>
      <w:pPr>
        <w:ind w:firstLine="635"/>
        <w:spacing w:after="0" w:line="300" w:lineRule="auto"/>
        <w:rPr>
          <w:sz w:val="20"/>
          <w:szCs w:val="20"/>
          <w:color w:val="auto"/>
        </w:rPr>
      </w:pPr>
      <w:r>
        <w:rPr>
          <w:rFonts w:ascii="Arial" w:cs="Arial" w:eastAsia="Arial" w:hAnsi="Arial"/>
          <w:sz w:val="15"/>
          <w:szCs w:val="15"/>
          <w:color w:val="auto"/>
        </w:rPr>
        <w:t>The benefits that we expect to achieve as a result of the Acquisition of KCG will depend, in part, on the ability of the combined company to realize anticipated growth opportunities, net cost reductions and synergies. Our success in realizing these growth opportunities, net cost reductions and synergies, and the timing of this realization, depends on the successful integration of our historical business and operations and the historical business and operations of KCG. Even if we are able to integrate the businesses and operations of the Company and KCG successfully, this integration may not result in the realization of the full benefits of the growth opportunities, net cost reductions and synergies that we currently expect from this integration within the anticipated time frame or at all. For example, we may be unable to eliminate duplicative costs. Moreover, we may incur substantial expenses in connection with the integration of our business and KCG’s business. While we anticipate that certain expenses will be incurred, such expenses are difficult to estimate accurately and may exceed current estimates. Accordingly, the benefits from the Acquisition of KCG may be offset by costs or delays incurred in integrating the businesses. We projected net cost reductions and synergies are based on a number of assumptions relating to our business and KCG’s business. Those assumptions may be inaccurate, and, as a result, our projected net cost reductions and synergies may be inaccurate, and our business, prospects, results of operations, financial condition and/or cash flows could be materially and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will be subject to business uncertainties that could materially and adversely affect our business.</w:t>
      </w:r>
    </w:p>
    <w:p>
      <w:pPr>
        <w:spacing w:after="0" w:line="228" w:lineRule="exact"/>
        <w:rPr>
          <w:sz w:val="20"/>
          <w:szCs w:val="20"/>
          <w:color w:val="auto"/>
        </w:rPr>
      </w:pPr>
    </w:p>
    <w:p>
      <w:pPr>
        <w:ind w:right="40" w:firstLine="635"/>
        <w:spacing w:after="0" w:line="308" w:lineRule="auto"/>
        <w:rPr>
          <w:sz w:val="20"/>
          <w:szCs w:val="20"/>
          <w:color w:val="auto"/>
        </w:rPr>
      </w:pPr>
      <w:r>
        <w:rPr>
          <w:rFonts w:ascii="Arial" w:cs="Arial" w:eastAsia="Arial" w:hAnsi="Arial"/>
          <w:sz w:val="15"/>
          <w:szCs w:val="15"/>
          <w:color w:val="auto"/>
        </w:rPr>
        <w:t>Uncertainty about the effect of the Acquisition of KCG on employees, customers and suppliers may have both a material and adverse effect on the Company. These uncertainties may impair the Companies’ ability to attract, retain and motivate key personnel, and could cause customers, suppliers and others who deal with the Company to seek to end, suspend or change existing business relationships. If key employees depart because of issues related to the uncertainty and difficulty of integration or a desire not to remain with us, or if customers, suppliers or others seek to end, suspend or change their dealings with us as a result of the Acquisition of KCG, our business could be materially and adversely impacted.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connection with the Acquisition of KCG, we have assumed potential liabilities relating to KCG’s business.</w:t>
      </w:r>
    </w:p>
    <w:p>
      <w:pPr>
        <w:spacing w:after="0" w:line="228" w:lineRule="exact"/>
        <w:rPr>
          <w:sz w:val="20"/>
          <w:szCs w:val="20"/>
          <w:color w:val="auto"/>
        </w:rPr>
      </w:pPr>
    </w:p>
    <w:p>
      <w:pPr>
        <w:ind w:right="120" w:firstLine="635"/>
        <w:spacing w:after="0" w:line="308" w:lineRule="auto"/>
        <w:rPr>
          <w:sz w:val="20"/>
          <w:szCs w:val="20"/>
          <w:color w:val="auto"/>
        </w:rPr>
      </w:pPr>
      <w:r>
        <w:rPr>
          <w:rFonts w:ascii="Arial" w:cs="Arial" w:eastAsia="Arial" w:hAnsi="Arial"/>
          <w:sz w:val="15"/>
          <w:szCs w:val="15"/>
          <w:color w:val="auto"/>
        </w:rPr>
        <w:t>In connection with the Acquisition of KCG, we have assumed potential regulatory, litigation and other liabilities relating to KCG’s business. For example, KCG is currently the subject of various regulatory reviews and investigations by federal, state and foreign regulators and SROs, including the SEC, FINRA and the FCA. In some instances, these matters may rise to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22" w:lineRule="exact"/>
        <w:rPr>
          <w:sz w:val="20"/>
          <w:szCs w:val="20"/>
          <w:color w:val="auto"/>
        </w:rPr>
      </w:pPr>
    </w:p>
    <w:p>
      <w:pPr>
        <w:ind w:right="40"/>
        <w:spacing w:after="0" w:line="364" w:lineRule="auto"/>
        <w:rPr>
          <w:sz w:val="20"/>
          <w:szCs w:val="20"/>
          <w:color w:val="auto"/>
        </w:rPr>
      </w:pPr>
      <w:r>
        <w:rPr>
          <w:rFonts w:ascii="Arial" w:cs="Arial" w:eastAsia="Arial" w:hAnsi="Arial"/>
          <w:sz w:val="15"/>
          <w:szCs w:val="15"/>
          <w:b w:val="1"/>
          <w:bCs w:val="1"/>
          <w:i w:val="1"/>
          <w:iCs w:val="1"/>
          <w:color w:val="auto"/>
        </w:rPr>
        <w:t>We are a holding company and our principal asset is our 48.3% of equity interest in Virtu Financial, and we are accordingly dependent upon distributions from Virtu Financial to pay dividends, if any, taxes and other expenses.</w:t>
      </w:r>
    </w:p>
    <w:p>
      <w:pPr>
        <w:spacing w:after="0" w:line="112" w:lineRule="exact"/>
        <w:rPr>
          <w:sz w:val="20"/>
          <w:szCs w:val="20"/>
          <w:color w:val="auto"/>
        </w:rPr>
      </w:pPr>
    </w:p>
    <w:p>
      <w:pPr>
        <w:ind w:firstLine="635"/>
        <w:spacing w:after="0" w:line="301" w:lineRule="auto"/>
        <w:rPr>
          <w:sz w:val="20"/>
          <w:szCs w:val="20"/>
          <w:color w:val="auto"/>
        </w:rPr>
      </w:pPr>
      <w:r>
        <w:rPr>
          <w:rFonts w:ascii="Arial" w:cs="Arial" w:eastAsia="Arial" w:hAnsi="Arial"/>
          <w:sz w:val="15"/>
          <w:szCs w:val="15"/>
          <w:color w:val="auto"/>
        </w:rPr>
        <w:t>We are a holding company and our principal asset is our direct and indirect ownership of 48.3% of the Virtu Financial Units as of December 31, 2017. We have no independent means of generating revenue. As the sole managing member of Virtu Financial, we cause Virtu Financial to make distributions to its equityholders,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Fourth Amended and Restated Credit Agreement governing our term loan facility (the “Term Loan Facility”), and the indenture pursuant to which we have issued senior secured second lien notes (the “Notes”). In addition, certain laws and regulations may result in restrictions on Virtu Financial’s ability to make distributions to its equityholders (including us), or the ability of its subsidiaries to make distributions to it. These include:</w:t>
      </w:r>
    </w:p>
    <w:p>
      <w:pPr>
        <w:spacing w:after="0" w:line="372" w:lineRule="exact"/>
        <w:rPr>
          <w:sz w:val="20"/>
          <w:szCs w:val="20"/>
          <w:color w:val="auto"/>
        </w:rPr>
      </w:pPr>
    </w:p>
    <w:p>
      <w:pPr>
        <w:ind w:left="960" w:right="620" w:hanging="324"/>
        <w:spacing w:after="0" w:line="218" w:lineRule="exact"/>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 Net Capital Rule (Rule 15c3</w:t>
      </w:r>
      <w:r>
        <w:rPr>
          <w:rFonts w:ascii="MS PGothic" w:cs="MS PGothic" w:eastAsia="MS PGothic" w:hAnsi="MS PGothic"/>
          <w:sz w:val="18"/>
          <w:szCs w:val="18"/>
          <w:color w:val="auto"/>
        </w:rPr>
        <w:t>‑</w:t>
      </w:r>
      <w:r>
        <w:rPr>
          <w:rFonts w:ascii="Arial" w:cs="Arial" w:eastAsia="Arial" w:hAnsi="Arial"/>
          <w:sz w:val="18"/>
          <w:szCs w:val="18"/>
          <w:color w:val="auto"/>
        </w:rPr>
        <w:t>1), which requires each of Virtu Financial’s registered broker</w:t>
      </w:r>
      <w:r>
        <w:rPr>
          <w:rFonts w:ascii="MS PGothic" w:cs="MS PGothic" w:eastAsia="MS PGothic" w:hAnsi="MS PGothic"/>
          <w:sz w:val="18"/>
          <w:szCs w:val="18"/>
          <w:color w:val="auto"/>
        </w:rPr>
        <w:t>‑</w:t>
      </w:r>
      <w:r>
        <w:rPr>
          <w:rFonts w:ascii="Arial" w:cs="Arial" w:eastAsia="Arial" w:hAnsi="Arial"/>
          <w:sz w:val="18"/>
          <w:szCs w:val="18"/>
          <w:color w:val="auto"/>
        </w:rPr>
        <w:t>dealer subsidiaries to maintain specified levels of net capital;</w:t>
      </w:r>
    </w:p>
    <w:p>
      <w:pPr>
        <w:spacing w:after="0" w:line="200" w:lineRule="exact"/>
        <w:rPr>
          <w:rFonts w:ascii="Arial" w:cs="Arial" w:eastAsia="Arial" w:hAnsi="Arial"/>
          <w:sz w:val="18"/>
          <w:szCs w:val="18"/>
          <w:color w:val="auto"/>
        </w:rPr>
      </w:pPr>
    </w:p>
    <w:p>
      <w:pPr>
        <w:ind w:left="960" w:right="360" w:hanging="324"/>
        <w:spacing w:after="0" w:line="218" w:lineRule="exact"/>
        <w:tabs>
          <w:tab w:leader="none" w:pos="9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FINRA Rule 4110, which imposes a requirement of prior FINRA approval for any distribution by Virtu Financial’s FINRA member registered broker</w:t>
      </w:r>
      <w:r>
        <w:rPr>
          <w:rFonts w:ascii="MS PGothic" w:cs="MS PGothic" w:eastAsia="MS PGothic" w:hAnsi="MS PGothic"/>
          <w:sz w:val="15"/>
          <w:szCs w:val="15"/>
          <w:color w:val="auto"/>
        </w:rPr>
        <w:t>‑</w:t>
      </w:r>
      <w:r>
        <w:rPr>
          <w:rFonts w:ascii="Arial" w:cs="Arial" w:eastAsia="Arial" w:hAnsi="Arial"/>
          <w:sz w:val="15"/>
          <w:szCs w:val="15"/>
          <w:color w:val="auto"/>
        </w:rPr>
        <w:t>dealer subsidiary in excess of 10% of its excess net capital; and</w:t>
      </w:r>
    </w:p>
    <w:p>
      <w:pPr>
        <w:spacing w:after="0" w:line="200" w:lineRule="exact"/>
        <w:rPr>
          <w:rFonts w:ascii="Arial" w:cs="Arial" w:eastAsia="Arial" w:hAnsi="Arial"/>
          <w:sz w:val="15"/>
          <w:szCs w:val="15"/>
          <w:color w:val="auto"/>
        </w:rPr>
      </w:pPr>
    </w:p>
    <w:p>
      <w:pPr>
        <w:ind w:left="960" w:right="560" w:hanging="324"/>
        <w:spacing w:after="0" w:line="26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for prior approval from the Central Bank of Ireland before Virtu Financial’s regulated Irish subsidiary completes any distribution or dividend.</w:t>
      </w:r>
    </w:p>
    <w:p>
      <w:pPr>
        <w:spacing w:after="0" w:line="180" w:lineRule="exact"/>
        <w:rPr>
          <w:sz w:val="20"/>
          <w:szCs w:val="20"/>
          <w:color w:val="auto"/>
        </w:rPr>
      </w:pPr>
    </w:p>
    <w:p>
      <w:pPr>
        <w:ind w:right="300" w:firstLine="635"/>
        <w:spacing w:after="0" w:line="271" w:lineRule="auto"/>
        <w:rPr>
          <w:sz w:val="20"/>
          <w:szCs w:val="20"/>
          <w:color w:val="auto"/>
        </w:rPr>
      </w:pPr>
      <w:r>
        <w:rPr>
          <w:rFonts w:ascii="Arial" w:cs="Arial" w:eastAsia="Arial" w:hAnsi="Arial"/>
          <w:sz w:val="17"/>
          <w:szCs w:val="17"/>
          <w:color w:val="auto"/>
        </w:rPr>
        <w:t>To the extent that we need funds and Virtu Financial is restricted from making such distributions to us, under applicable law or regulation, as a result of covenants in our Fourth Amended and Restated Credit Agreement, the indenture governing our Notes or otherwise, we may not be able to obtain such funds on terms acceptable to us or at all and as a result could suffer a material adverse effect on our liquidity and financial condition.</w:t>
      </w:r>
    </w:p>
    <w:p>
      <w:pPr>
        <w:spacing w:after="0" w:line="175" w:lineRule="exact"/>
        <w:rPr>
          <w:sz w:val="20"/>
          <w:szCs w:val="20"/>
          <w:color w:val="auto"/>
        </w:rPr>
      </w:pPr>
    </w:p>
    <w:p>
      <w:pPr>
        <w:ind w:firstLine="635"/>
        <w:spacing w:after="0" w:line="215" w:lineRule="exact"/>
        <w:rPr>
          <w:sz w:val="20"/>
          <w:szCs w:val="20"/>
          <w:color w:val="auto"/>
        </w:rPr>
      </w:pPr>
      <w:r>
        <w:rPr>
          <w:rFonts w:ascii="Arial" w:cs="Arial" w:eastAsia="Arial" w:hAnsi="Arial"/>
          <w:sz w:val="15"/>
          <w:szCs w:val="15"/>
          <w:color w:val="auto"/>
        </w:rPr>
        <w:t>Under the Third Amended and Restated Limited Liability Company Agreement of Virtu Financial (as amended, the “Amended and Restated Virtu Financial LLC Agreement”), Virtu Financial from time to time makes pro rata distributions in cash to its equityholders, including 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 Financial. As a result of (i) potential differences in the amount of net taxable income allocable to us and to Virtu Financial’s other equityholders, (ii) the lower tax rate applicable to corporations than individuals and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we expect that these tax distributions will be in amounts that exceed our tax liabilities.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 common stock will be made as a result of any cash distribution by us or any retention of cash by us, and in any event the ratio will remain one</w:t>
      </w:r>
      <w:r>
        <w:rPr>
          <w:rFonts w:ascii="MS PGothic" w:cs="MS PGothic" w:eastAsia="MS PGothic" w:hAnsi="MS PGothic"/>
          <w:sz w:val="15"/>
          <w:szCs w:val="15"/>
          <w:color w:val="auto"/>
        </w:rPr>
        <w:t>‑</w:t>
      </w:r>
      <w:r>
        <w:rPr>
          <w:rFonts w:ascii="Arial" w:cs="Arial" w:eastAsia="Arial" w:hAnsi="Arial"/>
          <w:sz w:val="15"/>
          <w:szCs w:val="15"/>
          <w:color w:val="auto"/>
        </w:rPr>
        <w:t>to</w:t>
      </w:r>
      <w:r>
        <w:rPr>
          <w:rFonts w:ascii="MS PGothic" w:cs="MS PGothic" w:eastAsia="MS PGothic" w:hAnsi="MS PGothic"/>
          <w:sz w:val="15"/>
          <w:szCs w:val="15"/>
          <w:color w:val="auto"/>
        </w:rPr>
        <w:t>‑</w:t>
      </w:r>
      <w:r>
        <w:rPr>
          <w:rFonts w:ascii="Arial" w:cs="Arial" w:eastAsia="Arial" w:hAnsi="Arial"/>
          <w:sz w:val="15"/>
          <w:szCs w:val="15"/>
          <w:color w:val="auto"/>
        </w:rPr>
        <w:t>one.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500"/>
        <w:spacing w:after="0" w:line="217" w:lineRule="exact"/>
        <w:rPr>
          <w:sz w:val="20"/>
          <w:szCs w:val="20"/>
          <w:color w:val="auto"/>
        </w:rPr>
      </w:pPr>
      <w:r>
        <w:rPr>
          <w:rFonts w:ascii="Arial" w:cs="Arial" w:eastAsia="Arial" w:hAnsi="Arial"/>
          <w:sz w:val="17"/>
          <w:szCs w:val="17"/>
          <w:b w:val="1"/>
          <w:bCs w:val="1"/>
          <w:i w:val="1"/>
          <w:iCs w:val="1"/>
          <w:color w:val="auto"/>
        </w:rPr>
        <w:t>We are controlled by the Founder Post</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IPO Member, whose interests in our business may be different than yours, and certain statutory provisions afforded to stockholders are not applicable to us.</w:t>
      </w:r>
    </w:p>
    <w:p>
      <w:pPr>
        <w:spacing w:after="0" w:line="202" w:lineRule="exact"/>
        <w:rPr>
          <w:sz w:val="20"/>
          <w:szCs w:val="20"/>
          <w:color w:val="auto"/>
        </w:rPr>
      </w:pPr>
    </w:p>
    <w:p>
      <w:pPr>
        <w:ind w:right="120" w:firstLine="635"/>
        <w:spacing w:after="0" w:line="215" w:lineRule="exact"/>
        <w:rPr>
          <w:sz w:val="20"/>
          <w:szCs w:val="20"/>
          <w:color w:val="auto"/>
        </w:rPr>
      </w:pPr>
      <w:r>
        <w:rPr>
          <w:rFonts w:ascii="Arial" w:cs="Arial" w:eastAsia="Arial" w:hAnsi="Arial"/>
          <w:sz w:val="18"/>
          <w:szCs w:val="18"/>
          <w:color w:val="auto"/>
        </w:rPr>
        <w:t>The Founder Post</w:t>
      </w:r>
      <w:r>
        <w:rPr>
          <w:rFonts w:ascii="MS PGothic" w:cs="MS PGothic" w:eastAsia="MS PGothic" w:hAnsi="MS PGothic"/>
          <w:sz w:val="18"/>
          <w:szCs w:val="18"/>
          <w:color w:val="auto"/>
        </w:rPr>
        <w:t>‑</w:t>
      </w:r>
      <w:r>
        <w:rPr>
          <w:rFonts w:ascii="Arial" w:cs="Arial" w:eastAsia="Arial" w:hAnsi="Arial"/>
          <w:sz w:val="18"/>
          <w:szCs w:val="18"/>
          <w:color w:val="auto"/>
        </w:rPr>
        <w:t>IPO Member controls approximately 88% of the combined voting power of our common stock as a result of its ownership of our Class D common stock, each share of which is entitled to 10 votes on all matters submitted to a vote of our stockholders.</w:t>
      </w:r>
    </w:p>
    <w:p>
      <w:pPr>
        <w:spacing w:after="0" w:line="202" w:lineRule="exact"/>
        <w:rPr>
          <w:sz w:val="20"/>
          <w:szCs w:val="20"/>
          <w:color w:val="auto"/>
        </w:rPr>
      </w:pPr>
    </w:p>
    <w:p>
      <w:pPr>
        <w:ind w:right="40" w:firstLine="635"/>
        <w:spacing w:after="0" w:line="218" w:lineRule="exact"/>
        <w:rPr>
          <w:sz w:val="20"/>
          <w:szCs w:val="20"/>
          <w:color w:val="auto"/>
        </w:rPr>
      </w:pPr>
      <w:r>
        <w:rPr>
          <w:rFonts w:ascii="Arial" w:cs="Arial" w:eastAsia="Arial" w:hAnsi="Arial"/>
          <w:sz w:val="15"/>
          <w:szCs w:val="15"/>
          <w:color w:val="auto"/>
        </w:rPr>
        <w:t>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has the ability to substantially control our Company, including the ability to control any action requiring the general approval of our stockholders, including the election of our board of directors, the adoption of amendments to our certificate of incorporation and by</w:t>
      </w:r>
      <w:r>
        <w:rPr>
          <w:rFonts w:ascii="MS PGothic" w:cs="MS PGothic" w:eastAsia="MS PGothic" w:hAnsi="MS PGothic"/>
          <w:sz w:val="15"/>
          <w:szCs w:val="15"/>
          <w:color w:val="auto"/>
        </w:rPr>
        <w:t>‑</w:t>
      </w:r>
      <w:r>
        <w:rPr>
          <w:rFonts w:ascii="Arial" w:cs="Arial" w:eastAsia="Arial" w:hAnsi="Arial"/>
          <w:sz w:val="15"/>
          <w:szCs w:val="15"/>
          <w:color w:val="auto"/>
        </w:rPr>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even if such events are in the best interests of minority stockholders. This concentration of voting power with 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may have a negative impact on the price of our Class A common stock. In addition, because shares of our Class B common stock and Class D common stock each have 10 votes per share on matters submitted to a vote of our stockholders, 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is able to control our Company as long as it owns at least 25% of our issued and outstanding common stock.</w:t>
      </w:r>
    </w:p>
    <w:p>
      <w:pPr>
        <w:spacing w:after="0" w:line="368" w:lineRule="exact"/>
        <w:rPr>
          <w:sz w:val="20"/>
          <w:szCs w:val="20"/>
          <w:color w:val="auto"/>
        </w:rPr>
      </w:pPr>
    </w:p>
    <w:p>
      <w:pPr>
        <w:ind w:right="20" w:firstLine="635"/>
        <w:spacing w:after="0" w:line="215" w:lineRule="exact"/>
        <w:rPr>
          <w:sz w:val="20"/>
          <w:szCs w:val="20"/>
          <w:color w:val="auto"/>
        </w:rPr>
      </w:pPr>
      <w:r>
        <w:rPr>
          <w:rFonts w:ascii="Arial" w:cs="Arial" w:eastAsia="Arial" w:hAnsi="Arial"/>
          <w:sz w:val="15"/>
          <w:szCs w:val="15"/>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 IPO Members and the Investor Post IPO Stockholders for certain tax benefits we may claim, and the amounts we may pay could be significant.” In addition, pursuant to an exchange agreement, the holders of Virtu Financial Units and shares of our Class C common stock or Class D common stock are not required to participate in a proposed sale of our Company that is tax</w:t>
      </w:r>
      <w:r>
        <w:rPr>
          <w:rFonts w:ascii="MS PGothic" w:cs="MS PGothic" w:eastAsia="MS PGothic" w:hAnsi="MS PGothic"/>
          <w:sz w:val="15"/>
          <w:szCs w:val="15"/>
          <w:color w:val="auto"/>
        </w:rPr>
        <w:t>‑</w:t>
      </w:r>
      <w:r>
        <w:rPr>
          <w:rFonts w:ascii="Arial" w:cs="Arial" w:eastAsia="Arial" w:hAnsi="Arial"/>
          <w:sz w:val="15"/>
          <w:szCs w:val="15"/>
          <w:color w:val="auto"/>
        </w:rPr>
        <w:t>free for our stockholders unless the transaction is also tax</w:t>
      </w:r>
      <w:r>
        <w:rPr>
          <w:rFonts w:ascii="MS PGothic" w:cs="MS PGothic" w:eastAsia="MS PGothic" w:hAnsi="MS PGothic"/>
          <w:sz w:val="15"/>
          <w:szCs w:val="15"/>
          <w:color w:val="auto"/>
        </w:rPr>
        <w:t>‑</w:t>
      </w:r>
      <w:r>
        <w:rPr>
          <w:rFonts w:ascii="Arial" w:cs="Arial" w:eastAsia="Arial" w:hAnsi="Arial"/>
          <w:sz w:val="15"/>
          <w:szCs w:val="15"/>
          <w:color w:val="auto"/>
        </w:rPr>
        <w:t>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w:t>
      </w:r>
      <w:r>
        <w:rPr>
          <w:rFonts w:ascii="MS PGothic" w:cs="MS PGothic" w:eastAsia="MS PGothic" w:hAnsi="MS PGothic"/>
          <w:sz w:val="15"/>
          <w:szCs w:val="15"/>
          <w:color w:val="auto"/>
        </w:rPr>
        <w:t>‑</w:t>
      </w:r>
      <w:r>
        <w:rPr>
          <w:rFonts w:ascii="Arial" w:cs="Arial" w:eastAsia="Arial" w:hAnsi="Arial"/>
          <w:sz w:val="15"/>
          <w:szCs w:val="15"/>
          <w:color w:val="auto"/>
        </w:rPr>
        <w:t>current market price.</w:t>
      </w:r>
    </w:p>
    <w:p>
      <w:pPr>
        <w:spacing w:after="0" w:line="200" w:lineRule="exact"/>
        <w:rPr>
          <w:sz w:val="20"/>
          <w:szCs w:val="20"/>
          <w:color w:val="auto"/>
        </w:rPr>
      </w:pPr>
    </w:p>
    <w:p>
      <w:pPr>
        <w:spacing w:after="0" w:line="390" w:lineRule="exact"/>
        <w:rPr>
          <w:sz w:val="20"/>
          <w:szCs w:val="20"/>
          <w:color w:val="auto"/>
        </w:rPr>
      </w:pPr>
    </w:p>
    <w:p>
      <w:pPr>
        <w:ind w:right="60" w:firstLine="635"/>
        <w:spacing w:after="0" w:line="213" w:lineRule="exact"/>
        <w:rPr>
          <w:sz w:val="20"/>
          <w:szCs w:val="20"/>
          <w:color w:val="auto"/>
        </w:rPr>
      </w:pPr>
      <w:r>
        <w:rPr>
          <w:rFonts w:ascii="Arial" w:cs="Arial" w:eastAsia="Arial" w:hAnsi="Arial"/>
          <w:sz w:val="15"/>
          <w:szCs w:val="15"/>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r>
      <w:r>
        <w:rPr>
          <w:rFonts w:ascii="MS PGothic" w:cs="MS PGothic" w:eastAsia="MS PGothic" w:hAnsi="MS PGothic"/>
          <w:sz w:val="15"/>
          <w:szCs w:val="15"/>
          <w:color w:val="auto"/>
        </w:rPr>
        <w:t>‑</w:t>
      </w:r>
      <w:r>
        <w:rPr>
          <w:rFonts w:ascii="Arial" w:cs="Arial" w:eastAsia="Arial" w:hAnsi="Arial"/>
          <w:sz w:val="15"/>
          <w:szCs w:val="15"/>
          <w:color w:val="auto"/>
        </w:rPr>
        <w:t>IPO Member is able to transfer control of us to a third party by transferring its shares of our common stock (subject to certain restrictions and limitations), which would not require the approval of our board of directors or our other stockholders.</w:t>
      </w:r>
    </w:p>
    <w:p>
      <w:pPr>
        <w:spacing w:after="0" w:line="204" w:lineRule="exact"/>
        <w:rPr>
          <w:sz w:val="20"/>
          <w:szCs w:val="20"/>
          <w:color w:val="auto"/>
        </w:rPr>
      </w:pPr>
    </w:p>
    <w:p>
      <w:pPr>
        <w:ind w:firstLine="635"/>
        <w:spacing w:after="0" w:line="213" w:lineRule="exact"/>
        <w:rPr>
          <w:sz w:val="20"/>
          <w:szCs w:val="20"/>
          <w:color w:val="auto"/>
        </w:rPr>
      </w:pPr>
      <w:r>
        <w:rPr>
          <w:rFonts w:ascii="Arial" w:cs="Arial" w:eastAsia="Arial" w:hAnsi="Arial"/>
          <w:sz w:val="17"/>
          <w:szCs w:val="17"/>
          <w:color w:val="auto"/>
        </w:rPr>
        <w:t>Our amended and restated certificate of incorporation provides that, to the fullest extent permitted by law, the doctrine of “corporate opportunity” does not apply against the Founder Post-IPO Member, Mr. Viola, Temasek, any of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or any of their respective affiliates in a manner that would prohibit them from investing in competing businesses or doing business with our clients or customers. In addition, subject to the restrictions on competitive activities described below, Mr. Cifu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line="213" w:lineRule="exact"/>
        <w:rPr>
          <w:sz w:val="20"/>
          <w:szCs w:val="20"/>
          <w:color w:val="auto"/>
        </w:rPr>
      </w:pPr>
      <w:r>
        <w:rPr>
          <w:rFonts w:ascii="Arial" w:cs="Arial" w:eastAsia="Arial" w:hAnsi="Arial"/>
          <w:sz w:val="17"/>
          <w:szCs w:val="17"/>
          <w:color w:val="auto"/>
        </w:rPr>
        <w:t>businesses and activities. The Amended and Restated Virtu Financial LLC Agreement provides that Mr. Viola, in addition to our other executive officers and our employees that are Virtu Post-IPO Members, including Mr. Cifu, may not directly or indirectly engage in certain competitive activities until the third anniversary of the date on which such person ceases to be an officer, director or employee of ours. Temasek and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are not subject to any such restriction. To the extent that the Founder Post-IPO Member, Mr. Viola, Temasek,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or any of their respective affiliates invests in other businesses, they may have differing interests than our other stockholders. Messrs. Viola and Cifu also have business relationships outside of our business.</w:t>
      </w:r>
    </w:p>
    <w:p>
      <w:pPr>
        <w:spacing w:after="0" w:line="205" w:lineRule="exact"/>
        <w:rPr>
          <w:sz w:val="20"/>
          <w:szCs w:val="20"/>
          <w:color w:val="auto"/>
        </w:rPr>
      </w:pPr>
    </w:p>
    <w:p>
      <w:pPr>
        <w:jc w:val="both"/>
        <w:ind w:right="280"/>
        <w:spacing w:after="0" w:line="276" w:lineRule="auto"/>
        <w:rPr>
          <w:sz w:val="20"/>
          <w:szCs w:val="20"/>
          <w:color w:val="auto"/>
        </w:rPr>
      </w:pPr>
      <w:r>
        <w:rPr>
          <w:rFonts w:ascii="Arial" w:cs="Arial" w:eastAsia="Arial" w:hAnsi="Arial"/>
          <w:sz w:val="17"/>
          <w:szCs w:val="17"/>
          <w:b w:val="1"/>
          <w:bCs w:val="1"/>
          <w:i w:val="1"/>
          <w:iCs w:val="1"/>
          <w:color w:val="auto"/>
        </w:rPr>
        <w:t>We may be unable to remain in compliance with the financial maintenance and other covenants contained in our Fourth Amended and Restated Credit Agreement and the indenture governing our Notes and our obligation to comply with these covenants may adversely affect our ability to operate our business.</w:t>
      </w:r>
    </w:p>
    <w:p>
      <w:pPr>
        <w:spacing w:after="0" w:line="172"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The covenants in our Fourth Amended and Restated Credit Agreement and indenture governing our Notes may negatively impact our ability to finance future operations or capital needs or to engage in other business activities. Our Fourth Amended and Restated Credit Agreement and the indenture governing our Notes requires us to maintain specified financial ratios and tests, including interest coverage and total leverage ratios, which may require us to take action to reduce our debt or to act in a manner contrary to our business objectives. Our Fourth Amended and Restated Credit Agreement and the indenture governing our Notes also restrict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181" w:lineRule="exact"/>
        <w:rPr>
          <w:sz w:val="20"/>
          <w:szCs w:val="20"/>
          <w:color w:val="auto"/>
        </w:rPr>
      </w:pPr>
    </w:p>
    <w:p>
      <w:pPr>
        <w:ind w:right="80" w:firstLine="635"/>
        <w:spacing w:after="0" w:line="264" w:lineRule="auto"/>
        <w:rPr>
          <w:sz w:val="20"/>
          <w:szCs w:val="20"/>
          <w:color w:val="auto"/>
        </w:rPr>
      </w:pPr>
      <w:r>
        <w:rPr>
          <w:rFonts w:ascii="Arial" w:cs="Arial" w:eastAsia="Arial" w:hAnsi="Arial"/>
          <w:sz w:val="17"/>
          <w:szCs w:val="17"/>
          <w:color w:val="auto"/>
        </w:rPr>
        <w:t>A failure to comply with the restrictions contained in our Fourth Amended and Restated Credit Agreement and indenture governing our Notes could lead to an event of default, which could result in an acceleration of our indebtedness. Our future operating results may not be sufficient to enable compliance with the covenants in our Fourth Amended and Restated Credit Agreement or indenture governing our Notes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Our reported financial results depend on management’s selection of accounting methods and certain assumptions and estimates.</w:t>
      </w:r>
    </w:p>
    <w:p>
      <w:pPr>
        <w:spacing w:after="0" w:line="180" w:lineRule="exact"/>
        <w:rPr>
          <w:sz w:val="20"/>
          <w:szCs w:val="20"/>
          <w:color w:val="auto"/>
        </w:rPr>
      </w:pPr>
    </w:p>
    <w:p>
      <w:pPr>
        <w:ind w:right="40" w:firstLine="635"/>
        <w:spacing w:after="0" w:line="308" w:lineRule="auto"/>
        <w:rPr>
          <w:sz w:val="20"/>
          <w:szCs w:val="20"/>
          <w:color w:val="auto"/>
        </w:rPr>
      </w:pPr>
      <w:r>
        <w:rPr>
          <w:rFonts w:ascii="Arial" w:cs="Arial" w:eastAsia="Arial" w:hAnsi="Arial"/>
          <w:sz w:val="15"/>
          <w:szCs w:val="15"/>
          <w:color w:val="auto"/>
        </w:rPr>
        <w:t>Our accounting policies and assumptions are fundamental to our reported financial condition, and results of operations and cash flows. Our management must exercise judgment in selecting and applying many of these accounting policies and methods to comply with generally accepted accounting principles and reflect management’s judgment of the most appropriate manner to report our financial condition, results of operations and cash flows. In some cases, management must select the accounting policy or method to apply from multiple alternatives, any of which may be reasonable under the circumstances, yet each may result in the reporting of materially different results than would have been reported under a different alternative.</w:t>
      </w:r>
    </w:p>
    <w:p>
      <w:pPr>
        <w:spacing w:after="0" w:line="153" w:lineRule="exact"/>
        <w:rPr>
          <w:sz w:val="20"/>
          <w:szCs w:val="20"/>
          <w:color w:val="auto"/>
        </w:rPr>
      </w:pPr>
    </w:p>
    <w:p>
      <w:pPr>
        <w:ind w:right="80" w:firstLine="635"/>
        <w:spacing w:after="0" w:line="271" w:lineRule="auto"/>
        <w:rPr>
          <w:sz w:val="20"/>
          <w:szCs w:val="20"/>
          <w:color w:val="auto"/>
        </w:rPr>
      </w:pPr>
      <w:r>
        <w:rPr>
          <w:rFonts w:ascii="Arial" w:cs="Arial" w:eastAsia="Arial" w:hAnsi="Arial"/>
          <w:sz w:val="17"/>
          <w:szCs w:val="17"/>
          <w:color w:val="auto"/>
        </w:rPr>
        <w:t>Certain accounting policies are critical to presenting our reported financial condition and results. They require management to make difficult, subjective or complex judgments about matters that are uncertain. Materially different amounts could be reported under different conditions or using different assumptions or estimates. If such estimates or assumptions underlying our financial statements are incorrect, we may experience material losses.</w:t>
      </w:r>
    </w:p>
    <w:p>
      <w:pPr>
        <w:spacing w:after="0" w:line="175" w:lineRule="exact"/>
        <w:rPr>
          <w:sz w:val="20"/>
          <w:szCs w:val="20"/>
          <w:color w:val="auto"/>
        </w:rPr>
      </w:pPr>
    </w:p>
    <w:p>
      <w:pPr>
        <w:ind w:right="100" w:firstLine="635"/>
        <w:spacing w:after="0" w:line="266" w:lineRule="auto"/>
        <w:rPr>
          <w:sz w:val="20"/>
          <w:szCs w:val="20"/>
          <w:color w:val="auto"/>
        </w:rPr>
      </w:pPr>
      <w:r>
        <w:rPr>
          <w:rFonts w:ascii="Arial" w:cs="Arial" w:eastAsia="Arial" w:hAnsi="Arial"/>
          <w:sz w:val="17"/>
          <w:szCs w:val="17"/>
          <w:color w:val="auto"/>
        </w:rPr>
        <w:t>Additionally, from time to time, the Financial Accounting Standards Board and the SEC change the financial accounting and reporting standards or the interpretation of those standards that govern the preparation of our financial statements. These changes are beyond our control, can be difficult to predict and could materially impact how we report our financial condition, results of operations and cash flows. Changes in these standards are continuously occurring, and given the current economic environment, more drastic changes may occur. The implementation of such changes could have a material adverse effect on our business, financial condition and results of operation.</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spacing w:after="0" w:line="189" w:lineRule="exact"/>
        <w:rPr>
          <w:sz w:val="20"/>
          <w:szCs w:val="20"/>
          <w:color w:val="auto"/>
        </w:rPr>
      </w:pPr>
    </w:p>
    <w:p>
      <w:pPr>
        <w:ind w:firstLine="635"/>
        <w:spacing w:after="0" w:line="213" w:lineRule="exact"/>
        <w:rPr>
          <w:sz w:val="20"/>
          <w:szCs w:val="20"/>
          <w:color w:val="auto"/>
        </w:rPr>
      </w:pPr>
      <w:r>
        <w:rPr>
          <w:rFonts w:ascii="Arial" w:cs="Arial" w:eastAsia="Arial" w:hAnsi="Arial"/>
          <w:sz w:val="17"/>
          <w:szCs w:val="17"/>
          <w:color w:val="auto"/>
        </w:rPr>
        <w:t>The Founder Post</w:t>
      </w:r>
      <w:r>
        <w:rPr>
          <w:rFonts w:ascii="MS PGothic" w:cs="MS PGothic" w:eastAsia="MS PGothic" w:hAnsi="MS PGothic"/>
          <w:sz w:val="17"/>
          <w:szCs w:val="17"/>
          <w:color w:val="auto"/>
        </w:rPr>
        <w:t>‑</w:t>
      </w:r>
      <w:r>
        <w:rPr>
          <w:rFonts w:ascii="Arial" w:cs="Arial" w:eastAsia="Arial" w:hAnsi="Arial"/>
          <w:sz w:val="17"/>
          <w:szCs w:val="17"/>
          <w:color w:val="auto"/>
        </w:rPr>
        <w:t>IPO Member controls more than 50% of our combined voting power. As a result, we are considered a “controlled company” for purposes of the NASDAQ rules and corporate governance standards, and therefore we are permitted and have elected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202"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b w:val="1"/>
          <w:bCs w:val="1"/>
          <w:i w:val="1"/>
          <w:iCs w:val="1"/>
          <w:color w:val="auto"/>
        </w:rPr>
        <w:t>We are required to pay the Virtu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IPO Members and the Investor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IPO Stockholders for certain tax benefits we may claim, and the amounts we may pay could be significant.</w:t>
      </w:r>
    </w:p>
    <w:p>
      <w:pPr>
        <w:spacing w:after="0" w:line="200" w:lineRule="exact"/>
        <w:rPr>
          <w:sz w:val="20"/>
          <w:szCs w:val="20"/>
          <w:color w:val="auto"/>
        </w:rPr>
      </w:pPr>
    </w:p>
    <w:p>
      <w:pPr>
        <w:ind w:right="40" w:firstLine="635"/>
        <w:spacing w:after="0" w:line="262" w:lineRule="auto"/>
        <w:rPr>
          <w:sz w:val="20"/>
          <w:szCs w:val="20"/>
          <w:color w:val="auto"/>
        </w:rPr>
      </w:pPr>
      <w:r>
        <w:rPr>
          <w:rFonts w:ascii="Arial" w:cs="Arial" w:eastAsia="Arial" w:hAnsi="Arial"/>
          <w:sz w:val="17"/>
          <w:szCs w:val="17"/>
          <w:color w:val="auto"/>
        </w:rPr>
        <w:t>In connection with the Reorganization Transactions, we acquired equity interests in Virtu Financial from an affiliate of Silver Lake Partners (which, following a secondary offering completed in November 2015 (the “November 2015 Secondary Offering”), no longer holds any equity interest in us) and the an affiliate of the Temasek Pre-IPO Member in the Mergers. In addition, we used a portion of the net proceeds from our IPO and our Secondary Offerings (as defined below) to purchase Virtu Financial Units and corresponding shares of Class C common stock from certain Virtu Post-IPO Members, including affiliates of the Silver Lake Partners (the “Silver Lake Post-IPO Members”),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firstLine="635"/>
        <w:spacing w:after="0" w:line="299" w:lineRule="auto"/>
        <w:rPr>
          <w:sz w:val="20"/>
          <w:szCs w:val="20"/>
          <w:color w:val="auto"/>
        </w:rPr>
      </w:pPr>
      <w:r>
        <w:rPr>
          <w:rFonts w:ascii="Arial" w:cs="Arial" w:eastAsia="Arial" w:hAnsi="Arial"/>
          <w:sz w:val="15"/>
          <w:szCs w:val="15"/>
          <w:color w:val="auto"/>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 amount of actual cash savings, if any, in U.S. federal, state and local income tax or franchise tax that we actually realize as a result of (i) any increase in tax basis in Virtu Financial’s assets resulting from (a) the acquisition of equity interests in Virtu Financial from an affiliates of Silver Lake Partners and Temasek, and the Temasek Pre-IPO Member in the Reorganization Transactions (which represents the unamortized portion of the increase in tax basis in Virtu Financial’s assets resulting from a prior acquisition of interests in Virtu Financial by an affiliates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future offering,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332" w:lineRule="exact"/>
        <w:rPr>
          <w:sz w:val="20"/>
          <w:szCs w:val="20"/>
          <w:color w:val="auto"/>
        </w:rPr>
      </w:pPr>
    </w:p>
    <w:p>
      <w:pPr>
        <w:ind w:right="100" w:firstLine="635"/>
        <w:spacing w:after="0" w:line="214" w:lineRule="exact"/>
        <w:rPr>
          <w:sz w:val="20"/>
          <w:szCs w:val="20"/>
          <w:color w:val="auto"/>
        </w:rPr>
      </w:pPr>
      <w:r>
        <w:rPr>
          <w:rFonts w:ascii="Arial" w:cs="Arial" w:eastAsia="Arial" w:hAnsi="Arial"/>
          <w:sz w:val="17"/>
          <w:szCs w:val="17"/>
          <w:color w:val="auto"/>
        </w:rPr>
        <w:t>The actual increase in tax basis, as well as the amount and timing of any payments under these tax receivable agreements, will vary depending upon a number of factors, including the timing of exchanges by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77" w:lineRule="exact"/>
        <w:rPr>
          <w:sz w:val="20"/>
          <w:szCs w:val="20"/>
          <w:color w:val="auto"/>
        </w:rPr>
      </w:pPr>
    </w:p>
    <w:p>
      <w:pPr>
        <w:ind w:right="40" w:firstLine="635"/>
        <w:spacing w:after="0" w:line="213" w:lineRule="exact"/>
        <w:rPr>
          <w:sz w:val="20"/>
          <w:szCs w:val="20"/>
          <w:color w:val="auto"/>
        </w:rPr>
      </w:pPr>
      <w:r>
        <w:rPr>
          <w:rFonts w:ascii="Arial" w:cs="Arial" w:eastAsia="Arial" w:hAnsi="Arial"/>
          <w:sz w:val="17"/>
          <w:szCs w:val="17"/>
          <w:color w:val="auto"/>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in respect of the purchases, the exchanges and the Mergers in connection with the IPO, and the purchases and exchanges completed in connection with our subsequent public offering will aggregate to approximately $147.0 million and range from approximately $0.3 million to $12.8 million per year over the next 15 years. Future payments under the tax receivable agreements in respect of subsequent exchanges would be in addition to these amounts. The payments under the tax receivable agreements are not conditioned upon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or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continued ownership of us.</w:t>
      </w:r>
    </w:p>
    <w:p>
      <w:pPr>
        <w:spacing w:after="0" w:line="162" w:lineRule="exact"/>
        <w:rPr>
          <w:sz w:val="20"/>
          <w:szCs w:val="20"/>
          <w:color w:val="auto"/>
        </w:rPr>
      </w:pPr>
    </w:p>
    <w:p>
      <w:pPr>
        <w:ind w:right="60" w:firstLine="635"/>
        <w:spacing w:after="0" w:line="213" w:lineRule="exact"/>
        <w:rPr>
          <w:sz w:val="20"/>
          <w:szCs w:val="20"/>
          <w:color w:val="auto"/>
        </w:rPr>
      </w:pPr>
      <w:r>
        <w:rPr>
          <w:rFonts w:ascii="Arial" w:cs="Arial" w:eastAsia="Arial" w:hAnsi="Arial"/>
          <w:sz w:val="17"/>
          <w:szCs w:val="17"/>
          <w:color w:val="auto"/>
        </w:rPr>
        <w:t>In addition, although we are not aware of any issue that would cause the Internal Revenue Service (the “IRS”) to challenge the tax basis increases or other benefits arising under the tax receivable agreements,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(or their transferees or other assignees) will not reimburse us for any payments previously made if such tax basis increases or other tax benefits are subsequently disallowed, except that any excess payments made to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will be netted against future payments otherwise to be made under the tax receivable agreements, if any, after our determination of such excess. As a result, in such circumstances we could make payments to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under the tax receivable agreements that are greater than our actual cash tax savings and may not be able to recoup those payments, which could negatively impact our liquidity.</w:t>
      </w:r>
    </w:p>
    <w:p>
      <w:pPr>
        <w:spacing w:after="0" w:line="164" w:lineRule="exact"/>
        <w:rPr>
          <w:sz w:val="20"/>
          <w:szCs w:val="20"/>
          <w:color w:val="auto"/>
        </w:rPr>
      </w:pPr>
    </w:p>
    <w:p>
      <w:pPr>
        <w:ind w:right="80" w:firstLine="635"/>
        <w:spacing w:after="0" w:line="308" w:lineRule="auto"/>
        <w:rPr>
          <w:sz w:val="20"/>
          <w:szCs w:val="20"/>
          <w:color w:val="auto"/>
        </w:rPr>
      </w:pPr>
      <w:r>
        <w:rPr>
          <w:rFonts w:ascii="Arial" w:cs="Arial" w:eastAsia="Arial" w:hAnsi="Arial"/>
          <w:sz w:val="15"/>
          <w:szCs w:val="15"/>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27" w:lineRule="exact"/>
        <w:rPr>
          <w:sz w:val="20"/>
          <w:szCs w:val="20"/>
          <w:color w:val="auto"/>
        </w:rPr>
      </w:pPr>
    </w:p>
    <w:p>
      <w:pPr>
        <w:ind w:right="340" w:firstLine="635"/>
        <w:spacing w:after="0" w:line="217" w:lineRule="exact"/>
        <w:rPr>
          <w:sz w:val="20"/>
          <w:szCs w:val="20"/>
          <w:color w:val="auto"/>
        </w:rPr>
      </w:pPr>
      <w:r>
        <w:rPr>
          <w:rFonts w:ascii="Arial" w:cs="Arial" w:eastAsia="Arial" w:hAnsi="Arial"/>
          <w:sz w:val="17"/>
          <w:szCs w:val="17"/>
          <w:color w:val="auto"/>
        </w:rPr>
        <w:t>In addition, the tax receivable agreements provide that in the case of a change in control of the Company,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have the option to terminate the applicable tax</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spacing w:after="0" w:line="213" w:lineRule="exact"/>
        <w:rPr>
          <w:sz w:val="20"/>
          <w:szCs w:val="20"/>
          <w:color w:val="auto"/>
        </w:rPr>
      </w:pPr>
      <w:r>
        <w:rPr>
          <w:rFonts w:ascii="Arial" w:cs="Arial" w:eastAsia="Arial" w:hAnsi="Arial"/>
          <w:sz w:val="15"/>
          <w:szCs w:val="15"/>
          <w:color w:val="auto"/>
        </w:rPr>
        <w:t>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r>
      <w:r>
        <w:rPr>
          <w:rFonts w:ascii="MS PGothic" w:cs="MS PGothic" w:eastAsia="MS PGothic" w:hAnsi="MS PGothic"/>
          <w:sz w:val="15"/>
          <w:szCs w:val="15"/>
          <w:color w:val="auto"/>
        </w:rPr>
        <w:t>‑</w:t>
      </w:r>
      <w:r>
        <w:rPr>
          <w:rFonts w:ascii="Arial" w:cs="Arial" w:eastAsia="Arial" w:hAnsi="Arial"/>
          <w:sz w:val="15"/>
          <w:szCs w:val="15"/>
          <w:color w:val="auto"/>
        </w:rPr>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r>
      <w:r>
        <w:rPr>
          <w:rFonts w:ascii="MS PGothic" w:cs="MS PGothic" w:eastAsia="MS PGothic" w:hAnsi="MS PGothic"/>
          <w:sz w:val="15"/>
          <w:szCs w:val="15"/>
          <w:color w:val="auto"/>
        </w:rPr>
        <w:t>‑</w:t>
      </w:r>
      <w:r>
        <w:rPr>
          <w:rFonts w:ascii="Arial" w:cs="Arial" w:eastAsia="Arial" w:hAnsi="Arial"/>
          <w:sz w:val="15"/>
          <w:szCs w:val="15"/>
          <w:color w:val="auto"/>
        </w:rPr>
        <w:t>IPO Members and the Investor Post</w:t>
      </w:r>
      <w:r>
        <w:rPr>
          <w:rFonts w:ascii="MS PGothic" w:cs="MS PGothic" w:eastAsia="MS PGothic" w:hAnsi="MS PGothic"/>
          <w:sz w:val="15"/>
          <w:szCs w:val="15"/>
          <w:color w:val="auto"/>
        </w:rPr>
        <w:t>‑</w:t>
      </w:r>
      <w:r>
        <w:rPr>
          <w:rFonts w:ascii="Arial" w:cs="Arial" w:eastAsia="Arial" w:hAnsi="Arial"/>
          <w:sz w:val="15"/>
          <w:szCs w:val="15"/>
          <w:color w:val="auto"/>
        </w:rPr>
        <w:t>IPO Stockholders have interests that differ from or are in addition to those of our other shareholders. In addition, we could be required to make payments under the tax receivable agreements that are substantial and in excess of our, or a potential acquirer’s, actual cash savings in income tax.</w:t>
      </w:r>
    </w:p>
    <w:p>
      <w:pPr>
        <w:spacing w:after="0" w:line="161" w:lineRule="exact"/>
        <w:rPr>
          <w:sz w:val="20"/>
          <w:szCs w:val="20"/>
          <w:color w:val="auto"/>
        </w:rPr>
      </w:pPr>
    </w:p>
    <w:p>
      <w:pPr>
        <w:ind w:right="20" w:firstLine="635"/>
        <w:spacing w:after="0" w:line="308" w:lineRule="auto"/>
        <w:rPr>
          <w:sz w:val="20"/>
          <w:szCs w:val="20"/>
          <w:color w:val="auto"/>
        </w:rPr>
      </w:pPr>
      <w:r>
        <w:rPr>
          <w:rFonts w:ascii="Arial" w:cs="Arial" w:eastAsia="Arial" w:hAnsi="Arial"/>
          <w:sz w:val="15"/>
          <w:szCs w:val="15"/>
          <w:color w:val="auto"/>
        </w:rPr>
        <w:t>Finally, because we are a holding company with no operations of our own, our ability to make payments under the tax receivable agreements are dependent on the ability of our subsidiaries to make distributions to us. Our Fourth Amended and Restated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Substantial future sales of shares of our Class A common stock in the public market could cause our stock price to fall.</w:t>
      </w:r>
    </w:p>
    <w:p>
      <w:pPr>
        <w:spacing w:after="0" w:line="132" w:lineRule="exact"/>
        <w:rPr>
          <w:sz w:val="20"/>
          <w:szCs w:val="20"/>
          <w:color w:val="auto"/>
        </w:rPr>
      </w:pPr>
    </w:p>
    <w:p>
      <w:pPr>
        <w:ind w:firstLine="635"/>
        <w:spacing w:after="0" w:line="302" w:lineRule="auto"/>
        <w:rPr>
          <w:sz w:val="20"/>
          <w:szCs w:val="20"/>
          <w:color w:val="auto"/>
        </w:rPr>
      </w:pPr>
      <w:r>
        <w:rPr>
          <w:rFonts w:ascii="Arial" w:cs="Arial" w:eastAsia="Arial" w:hAnsi="Arial"/>
          <w:sz w:val="15"/>
          <w:szCs w:val="15"/>
          <w:color w:val="auto"/>
        </w:rPr>
        <w:t>As of December 31, 2017, we had 89,798,609 shares of Class A common stock outstanding, excluding 14,540,911 shares of Class A common stock issuable pursuant to the 2015 Management Incentive Plan and 97,490,729 shares of Class A common stock issuable upon potential exchanges and/or conversions. Of these shares, the 29,404,003 shares sold in the IPO and the Secondary Offerings are freely tradable without further restriction under the Securities Act. The remaining 158,738,382 shares of Class A common stock outstanding as of December 31, 2017 (including shares issuable upon exchange and/or conversion) are “restricted securities,” as that term is defined under Rule 144 of the Securities Act. The holders of these remaining 158,738,382 shares of our Class A common stock, including shares issuable upon exchange or conversion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spacing w:after="0" w:line="250" w:lineRule="exact"/>
        <w:rPr>
          <w:sz w:val="20"/>
          <w:szCs w:val="20"/>
          <w:color w:val="auto"/>
        </w:rPr>
      </w:pPr>
    </w:p>
    <w:p>
      <w:pPr>
        <w:ind w:right="20" w:firstLine="635"/>
        <w:spacing w:after="0" w:line="250" w:lineRule="auto"/>
        <w:rPr>
          <w:sz w:val="20"/>
          <w:szCs w:val="20"/>
          <w:color w:val="auto"/>
        </w:rPr>
      </w:pPr>
      <w:r>
        <w:rPr>
          <w:rFonts w:ascii="Arial" w:cs="Arial" w:eastAsia="Arial" w:hAnsi="Arial"/>
          <w:sz w:val="18"/>
          <w:szCs w:val="18"/>
          <w:color w:val="auto"/>
        </w:rPr>
        <w:t>We have filed a registration statement under the Securities Act registering 16,000,000 shares of our Class A common stock reserved for issuance under our 2015 Amended and Restated Management Incentive Plan, 14,540,911 of which are issuable, and we entered into the Registration Rights Agreement pursuant to which we granted demand and piggyback registration rights to the Founder Post-IPO Member, Temasek, the North Island Stockholder and piggyback registration rights to certain of the other Virtu Post-IPO Members.</w:t>
      </w:r>
    </w:p>
    <w:p>
      <w:pPr>
        <w:spacing w:after="0" w:line="60"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 over financial reporting could have a material adverse effect on our business, financial condition, results of operations and cash flows, and stock price.</w:t>
      </w:r>
    </w:p>
    <w:p>
      <w:pPr>
        <w:spacing w:after="0" w:line="39"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color w:val="auto"/>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We have begun to develop and implement a plan to test our internal controls over financial reporting to satisfy the requirements of Section 404 of the Sarbanes-Oxley Act of 2002 (“Sarbanes-Oxley”) and the related rules of the SEC, which require, among other things, our management to assess annually the effectiveness of our internal control over financial reporting and, if we are no longer an emerging growth company under the Jumpstart Our Business Startups Act (the “JOBS Act”), our independent registered public accounting firm to issue a report on the effectiveness of internal control over financial reporting with our Annual Report on Form 10-K. The internal control assessment required by Section 404 of Sarbanes-Oxley may divert internal resources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and we may experience higher operating expenses, higher independent auditor and consulting fees during the implementation of these changes. During the course of this documentation and testing, we may identify deficiencies that we are unable to remediate before the reporting date. Any material weaknesses or any failure to implement required 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increasing the risk of liability arising from litigation based on securities law.</w:t>
      </w:r>
    </w:p>
    <w:p>
      <w:pPr>
        <w:spacing w:after="0" w:line="3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47" w:lineRule="exact"/>
        <w:rPr>
          <w:sz w:val="20"/>
          <w:szCs w:val="20"/>
          <w:color w:val="auto"/>
        </w:rPr>
      </w:pPr>
    </w:p>
    <w:p>
      <w:pPr>
        <w:ind w:right="20" w:firstLine="635"/>
        <w:spacing w:after="0" w:line="296" w:lineRule="auto"/>
        <w:rPr>
          <w:sz w:val="20"/>
          <w:szCs w:val="20"/>
          <w:color w:val="auto"/>
        </w:rPr>
      </w:pPr>
      <w:r>
        <w:rPr>
          <w:rFonts w:ascii="Arial" w:cs="Arial" w:eastAsia="Arial" w:hAnsi="Arial"/>
          <w:sz w:val="15"/>
          <w:szCs w:val="15"/>
          <w:color w:val="auto"/>
        </w:rPr>
        <w:t>We intend to pay cash dividends on a quarterly basis. See Item 5, “Market for Registrant’s Common Equity, Related Stockholder Matters and Issuer Purchases of Equity Securities.” However, we are a holding company, with our principal asset being our direct and indirect equity interests in Virtu Financial, and we will have no independent means of generating revenue. Accordingly, as the sole managing member of Virtu Financial, we intend to cause, and will rely on, Virtu Financial to make distributions to its equityholders, including the Founder Post-IPO Member, the Employee Trust, Virtu Employee Holdco and us, to fund our dividends. When Virtu Financial makes such distributions, the other equityholders of Virtu Financial will be entitled to receive equivalent distributions pro rata based on their economic interests in Virtu Financial. In order for Virtu Financial to make distributions, it may need to receive distributions from its subsidiaries. Certain of these subsidiaries are or may in the future be subject to regulatory capital requirements that limit the size or frequency of distributions. See “Item 1A. Risk Factors</w:t>
      </w:r>
    </w:p>
    <w:p>
      <w:pPr>
        <w:spacing w:after="0" w:line="2"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 Risks Related to Our Business — Failure to comply with applicable regulatory capital requirements could subject us to sanctions imposed by the SEC, FINRA and other SROs or regulatory bodies.” If Virtu Financial is unable to cause these subsidiaries to make distributions, we may not receive adequate distributions from Virtu Financial in order to fund our dividends.</w:t>
      </w:r>
    </w:p>
    <w:p>
      <w:pPr>
        <w:spacing w:after="0" w:line="76" w:lineRule="exact"/>
        <w:rPr>
          <w:sz w:val="20"/>
          <w:szCs w:val="20"/>
          <w:color w:val="auto"/>
        </w:rPr>
      </w:pPr>
    </w:p>
    <w:p>
      <w:pPr>
        <w:ind w:firstLine="635"/>
        <w:spacing w:after="0" w:line="301" w:lineRule="auto"/>
        <w:rPr>
          <w:sz w:val="20"/>
          <w:szCs w:val="20"/>
          <w:color w:val="auto"/>
        </w:rPr>
      </w:pPr>
      <w:r>
        <w:rPr>
          <w:rFonts w:ascii="Arial" w:cs="Arial" w:eastAsia="Arial" w:hAnsi="Arial"/>
          <w:sz w:val="15"/>
          <w:szCs w:val="15"/>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Fourth Amended and Restated Credit Agreement, business prospects and other factors that our board of directors considers relevant. There can be no assurance that our board of directors will not reduce the amount of regular cash dividends or cause us to cease paying dividends altogether. In addition, our Fourth Amended and Restated Credit Agreement and the indenture governing our Notes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spacing w:after="0" w:line="41"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certain rules imposed by regulatory authorities may delay or prevent our acquisition by a third party.</w:t>
      </w:r>
    </w:p>
    <w:p>
      <w:pPr>
        <w:spacing w:after="0" w:line="47" w:lineRule="exact"/>
        <w:rPr>
          <w:sz w:val="20"/>
          <w:szCs w:val="20"/>
          <w:color w:val="auto"/>
        </w:rPr>
      </w:pPr>
    </w:p>
    <w:p>
      <w:pPr>
        <w:ind w:right="120" w:firstLine="635"/>
        <w:spacing w:after="0" w:line="249" w:lineRule="auto"/>
        <w:rPr>
          <w:sz w:val="20"/>
          <w:szCs w:val="20"/>
          <w:color w:val="auto"/>
        </w:rPr>
      </w:pPr>
      <w:r>
        <w:rPr>
          <w:rFonts w:ascii="Arial" w:cs="Arial" w:eastAsia="Arial" w:hAnsi="Arial"/>
          <w:sz w:val="18"/>
          <w:szCs w:val="18"/>
          <w:color w:val="auto"/>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74" w:lineRule="exact"/>
        <w:rPr>
          <w:sz w:val="20"/>
          <w:szCs w:val="20"/>
          <w:color w:val="auto"/>
        </w:rPr>
      </w:pPr>
    </w:p>
    <w:p>
      <w:pPr>
        <w:ind w:left="960" w:hanging="3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10 vote per share feature of our Class B common stock and Class D common stock;</w:t>
      </w:r>
    </w:p>
    <w:p>
      <w:pPr>
        <w:spacing w:after="0" w:line="110" w:lineRule="exact"/>
        <w:rPr>
          <w:rFonts w:ascii="Arial" w:cs="Arial" w:eastAsia="Arial" w:hAnsi="Arial"/>
          <w:sz w:val="18"/>
          <w:szCs w:val="18"/>
          <w:color w:val="auto"/>
        </w:rPr>
      </w:pPr>
    </w:p>
    <w:p>
      <w:pPr>
        <w:ind w:left="960" w:hanging="324"/>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classes and the election of each class for three-year terms;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960" w:hanging="324"/>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sole ability of the board of directors to fill a vacancy created by the expansion of the board of directors;</w:t>
      </w:r>
    </w:p>
    <w:p>
      <w:pPr>
        <w:spacing w:after="0" w:line="122" w:lineRule="exact"/>
        <w:rPr>
          <w:rFonts w:ascii="Arial" w:cs="Arial" w:eastAsia="Arial" w:hAnsi="Arial"/>
          <w:sz w:val="17"/>
          <w:szCs w:val="17"/>
          <w:color w:val="auto"/>
        </w:rPr>
      </w:pPr>
    </w:p>
    <w:p>
      <w:pPr>
        <w:ind w:left="960" w:hanging="3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0" w:lineRule="exact"/>
        <w:rPr>
          <w:rFonts w:ascii="Arial" w:cs="Arial" w:eastAsia="Arial" w:hAnsi="Arial"/>
          <w:sz w:val="18"/>
          <w:szCs w:val="18"/>
          <w:color w:val="auto"/>
        </w:rPr>
      </w:pPr>
    </w:p>
    <w:p>
      <w:pPr>
        <w:ind w:left="960" w:right="360" w:hanging="324"/>
        <w:spacing w:after="0" w:line="364" w:lineRule="auto"/>
        <w:tabs>
          <w:tab w:leader="none" w:pos="9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after the Triggering Event, provisions limiting stockholders ability to call special meetings of stockholders, to require special meetings of stockholders to be called and to take action by written consent;</w:t>
      </w:r>
    </w:p>
    <w:p>
      <w:pPr>
        <w:spacing w:after="0" w:line="5" w:lineRule="exact"/>
        <w:rPr>
          <w:rFonts w:ascii="Arial" w:cs="Arial" w:eastAsia="Arial" w:hAnsi="Arial"/>
          <w:sz w:val="15"/>
          <w:szCs w:val="15"/>
          <w:color w:val="auto"/>
        </w:rPr>
      </w:pPr>
    </w:p>
    <w:p>
      <w:pPr>
        <w:ind w:left="960" w:right="240" w:hanging="324"/>
        <w:spacing w:after="0" w:line="251"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86" w:lineRule="exact"/>
        <w:rPr>
          <w:rFonts w:ascii="Arial" w:cs="Arial" w:eastAsia="Arial" w:hAnsi="Arial"/>
          <w:sz w:val="18"/>
          <w:szCs w:val="18"/>
          <w:color w:val="auto"/>
        </w:rPr>
      </w:pPr>
    </w:p>
    <w:p>
      <w:pPr>
        <w:ind w:left="960" w:right="400" w:hanging="324"/>
        <w:spacing w:after="0" w:line="293"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after the Triggering Event, the required approval of holders of at least 75% of the shares entitled to vote at an election of the directors to remove directors, which removal may only be for cause; and</w:t>
      </w:r>
    </w:p>
    <w:p>
      <w:pPr>
        <w:spacing w:after="0" w:line="51" w:lineRule="exact"/>
        <w:rPr>
          <w:rFonts w:ascii="Arial" w:cs="Arial" w:eastAsia="Arial" w:hAnsi="Arial"/>
          <w:sz w:val="17"/>
          <w:szCs w:val="17"/>
          <w:color w:val="auto"/>
        </w:rPr>
      </w:pPr>
    </w:p>
    <w:p>
      <w:pPr>
        <w:ind w:left="960" w:hanging="324"/>
        <w:spacing w:after="0" w:line="251"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79" w:lineRule="exact"/>
        <w:rPr>
          <w:sz w:val="20"/>
          <w:szCs w:val="20"/>
          <w:color w:val="auto"/>
        </w:rPr>
      </w:pPr>
    </w:p>
    <w:p>
      <w:pPr>
        <w:ind w:right="320" w:firstLine="635"/>
        <w:spacing w:after="0" w:line="276" w:lineRule="auto"/>
        <w:rPr>
          <w:sz w:val="20"/>
          <w:szCs w:val="20"/>
          <w:color w:val="auto"/>
        </w:rPr>
      </w:pPr>
      <w:r>
        <w:rPr>
          <w:rFonts w:ascii="Arial" w:cs="Arial" w:eastAsia="Arial" w:hAnsi="Arial"/>
          <w:sz w:val="17"/>
          <w:szCs w:val="17"/>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spacing w:after="0" w:line="40" w:lineRule="exact"/>
        <w:rPr>
          <w:sz w:val="20"/>
          <w:szCs w:val="20"/>
          <w:color w:val="auto"/>
        </w:rPr>
      </w:pPr>
    </w:p>
    <w:p>
      <w:pPr>
        <w:ind w:right="40" w:firstLine="635"/>
        <w:spacing w:after="0" w:line="264" w:lineRule="auto"/>
        <w:rPr>
          <w:sz w:val="20"/>
          <w:szCs w:val="20"/>
          <w:color w:val="auto"/>
        </w:rPr>
      </w:pPr>
      <w:r>
        <w:rPr>
          <w:rFonts w:ascii="Arial" w:cs="Arial" w:eastAsia="Arial" w:hAnsi="Arial"/>
          <w:sz w:val="17"/>
          <w:szCs w:val="17"/>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FINRA’s NASD Rule 1017 generally provides that FINRA approval must be obtained in connection with any transaction resulting in a single person or entity owning, directly or indirectly, 25% or more of a member firm’s equity and would include a change in control of a parent company. Similarly, Virtu Financial Ireland Limited is subject to change in control regulations promulgated by the Central Bank of Ireland.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7" w:lineRule="exact"/>
        <w:rPr>
          <w:sz w:val="20"/>
          <w:szCs w:val="20"/>
          <w:color w:val="auto"/>
        </w:rPr>
      </w:pPr>
    </w:p>
    <w:p>
      <w:pPr>
        <w:ind w:right="40" w:firstLine="635"/>
        <w:spacing w:after="0" w:line="306" w:lineRule="auto"/>
        <w:rPr>
          <w:sz w:val="20"/>
          <w:szCs w:val="20"/>
          <w:color w:val="auto"/>
        </w:rPr>
      </w:pPr>
      <w:r>
        <w:rPr>
          <w:rFonts w:ascii="Arial" w:cs="Arial" w:eastAsia="Arial" w:hAnsi="Arial"/>
          <w:sz w:val="15"/>
          <w:szCs w:val="15"/>
          <w:color w:val="auto"/>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97" w:lineRule="exact"/>
        <w:rPr>
          <w:sz w:val="20"/>
          <w:szCs w:val="20"/>
          <w:color w:val="auto"/>
        </w:rPr>
      </w:pPr>
    </w:p>
    <w:p>
      <w:pPr>
        <w:ind w:right="40" w:firstLine="635"/>
        <w:spacing w:after="0" w:line="303" w:lineRule="auto"/>
        <w:rPr>
          <w:sz w:val="20"/>
          <w:szCs w:val="20"/>
          <w:color w:val="auto"/>
        </w:rPr>
      </w:pPr>
      <w:r>
        <w:rPr>
          <w:rFonts w:ascii="Arial" w:cs="Arial" w:eastAsia="Arial" w:hAnsi="Arial"/>
          <w:sz w:val="15"/>
          <w:szCs w:val="15"/>
          <w:color w:val="auto"/>
        </w:rPr>
        <w:t>We completed the IPO in April 2015, and therefore we have a limited history operating as a public company. As a public company, we incur significant levels of legal, accounting and other expenses that we did not incur as a privately-owned company. Sarbanes-Oxley and related rules of the SEC, together with the listing requirements of NASDAQ, impose significant requirements relating to disclosure controls and procedures and internal control over financial reporting. We have incurred increased costs as a result of compliance with these public company requirements, which require additional resources and make some activities more time consuming than they have been in the past when we were privately owned. We may experience higher than anticipated operating expenses as well as higher independent auditor and consulting fees during the implementation of these changes and thereafter and we may need to hire additional qualified personnel in order to continue to satisfy these public company requirements. We are required to expend considerable time and resources complying with public company regulations. In addition, these laws and regulations may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 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7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Our reliance on exemptions from certain disclosure requirements under the JOBS Act may deter trading in our Class A common stock.</w:t>
      </w:r>
    </w:p>
    <w:p>
      <w:pPr>
        <w:spacing w:after="0" w:line="47" w:lineRule="exact"/>
        <w:rPr>
          <w:sz w:val="20"/>
          <w:szCs w:val="20"/>
          <w:color w:val="auto"/>
        </w:rPr>
      </w:pPr>
    </w:p>
    <w:p>
      <w:pPr>
        <w:jc w:val="both"/>
        <w:ind w:right="200" w:firstLine="635"/>
        <w:spacing w:after="0" w:line="254" w:lineRule="auto"/>
        <w:rPr>
          <w:sz w:val="20"/>
          <w:szCs w:val="20"/>
          <w:color w:val="auto"/>
        </w:rPr>
      </w:pPr>
      <w:r>
        <w:rPr>
          <w:rFonts w:ascii="Arial" w:cs="Arial" w:eastAsia="Arial" w:hAnsi="Arial"/>
          <w:sz w:val="18"/>
          <w:szCs w:val="18"/>
          <w:color w:val="auto"/>
        </w:rPr>
        <w:t>We qualify as an “emerging growth company” under the JOBS Act. As a result, we are permitted to, and have relied and intend to continue to rely, on exemptions from certain disclosure requirements. For so long as we are an emerging growth company, we will not be required to:</w:t>
      </w:r>
    </w:p>
    <w:p>
      <w:pPr>
        <w:spacing w:after="0" w:line="70" w:lineRule="exact"/>
        <w:rPr>
          <w:sz w:val="20"/>
          <w:szCs w:val="20"/>
          <w:color w:val="auto"/>
        </w:rPr>
      </w:pPr>
    </w:p>
    <w:p>
      <w:pPr>
        <w:ind w:left="960" w:right="420" w:hanging="324"/>
        <w:spacing w:after="0" w:line="364" w:lineRule="auto"/>
        <w:tabs>
          <w:tab w:leader="none" w:pos="9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provide an auditor attestation and report with respect to management’s assessment of the effectiveness of our internal controls over financial reporting pursuant to section 404(b) of the Sarbanes-Oxley Act;</w:t>
      </w:r>
    </w:p>
    <w:p>
      <w:pPr>
        <w:spacing w:after="0" w:line="5" w:lineRule="exact"/>
        <w:rPr>
          <w:rFonts w:ascii="Arial" w:cs="Arial" w:eastAsia="Arial" w:hAnsi="Arial"/>
          <w:sz w:val="15"/>
          <w:szCs w:val="15"/>
          <w:color w:val="auto"/>
        </w:rPr>
      </w:pPr>
    </w:p>
    <w:p>
      <w:pPr>
        <w:ind w:left="960" w:right="60" w:hanging="324"/>
        <w:spacing w:after="0" w:line="276"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and</w:t>
      </w:r>
    </w:p>
    <w:p>
      <w:pPr>
        <w:spacing w:after="0" w:line="66" w:lineRule="exact"/>
        <w:rPr>
          <w:rFonts w:ascii="Arial" w:cs="Arial" w:eastAsia="Arial" w:hAnsi="Arial"/>
          <w:sz w:val="17"/>
          <w:szCs w:val="17"/>
          <w:color w:val="auto"/>
        </w:rPr>
      </w:pPr>
    </w:p>
    <w:p>
      <w:pPr>
        <w:ind w:left="960" w:right="140" w:hanging="324"/>
        <w:spacing w:after="0" w:line="251"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and “say-on-frequency,” and disclose certain executive compensation related items such as the correlation between executive compensation and performance and comparisons of the Chief Executive Officer's compensation to median employee compensation.</w:t>
      </w:r>
    </w:p>
    <w:p>
      <w:pPr>
        <w:spacing w:after="0" w:line="179" w:lineRule="exact"/>
        <w:rPr>
          <w:sz w:val="20"/>
          <w:szCs w:val="20"/>
          <w:color w:val="auto"/>
        </w:rPr>
      </w:pPr>
    </w:p>
    <w:p>
      <w:pPr>
        <w:ind w:right="220" w:firstLine="635"/>
        <w:spacing w:after="0" w:line="250"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not to take advantage of the benefits of this extended transition period.</w:t>
      </w:r>
    </w:p>
    <w:p>
      <w:pPr>
        <w:spacing w:after="0" w:line="60" w:lineRule="exact"/>
        <w:rPr>
          <w:sz w:val="20"/>
          <w:szCs w:val="20"/>
          <w:color w:val="auto"/>
        </w:rPr>
      </w:pPr>
    </w:p>
    <w:p>
      <w:pPr>
        <w:ind w:right="40" w:firstLine="635"/>
        <w:spacing w:after="0" w:line="266" w:lineRule="auto"/>
        <w:rPr>
          <w:sz w:val="20"/>
          <w:szCs w:val="20"/>
          <w:color w:val="auto"/>
        </w:rPr>
      </w:pPr>
      <w:r>
        <w:rPr>
          <w:rFonts w:ascii="Arial" w:cs="Arial" w:eastAsia="Arial" w:hAnsi="Arial"/>
          <w:sz w:val="17"/>
          <w:szCs w:val="17"/>
          <w:color w:val="auto"/>
        </w:rPr>
        <w:t>We will remain an “emerging growth company” for up to five years, or until the earliest of (i) the last day of the first fiscal year in which our total annual gross revenues exceed $1.07 billion, (ii) 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(iii) the date on which we have issued more than $1.07 billion in non-convertible debt during the preceding three-year period.</w:t>
      </w:r>
    </w:p>
    <w:p>
      <w:pPr>
        <w:spacing w:after="0" w:line="63" w:lineRule="exact"/>
        <w:rPr>
          <w:sz w:val="20"/>
          <w:szCs w:val="20"/>
          <w:color w:val="auto"/>
        </w:rPr>
      </w:pPr>
    </w:p>
    <w:p>
      <w:pPr>
        <w:ind w:right="20" w:firstLine="635"/>
        <w:spacing w:after="0" w:line="276" w:lineRule="auto"/>
        <w:rPr>
          <w:sz w:val="20"/>
          <w:szCs w:val="20"/>
          <w:color w:val="auto"/>
        </w:rPr>
      </w:pPr>
      <w:r>
        <w:rPr>
          <w:rFonts w:ascii="Arial" w:cs="Arial" w:eastAsia="Arial" w:hAnsi="Arial"/>
          <w:sz w:val="17"/>
          <w:szCs w:val="17"/>
          <w:color w:val="auto"/>
        </w:rPr>
        <w:t>Until such time, however, we cannot predict if investors will find our Class A common stock less attractive because we may rely on these exemptions. If some investors find our Class A common stock less attractive, there may be a less active trading market for our Class A common stock and our stock price may be more volatile.</w:t>
      </w:r>
    </w:p>
    <w:p>
      <w:pPr>
        <w:spacing w:after="0" w:line="53"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b w:val="1"/>
          <w:bCs w:val="1"/>
          <w:i w:val="1"/>
          <w:iCs w:val="1"/>
          <w:color w:val="auto"/>
        </w:rPr>
        <w:t>If securities or industry analysts cease to publish research or publish inaccurate or unfavorable research about us or our business, or publish projections for our business that exceed our actual results, our stock price and trading volume could decline.</w:t>
      </w:r>
    </w:p>
    <w:p>
      <w:pPr>
        <w:spacing w:after="0" w:line="57" w:lineRule="exact"/>
        <w:rPr>
          <w:sz w:val="20"/>
          <w:szCs w:val="20"/>
          <w:color w:val="auto"/>
        </w:rPr>
      </w:pPr>
    </w:p>
    <w:p>
      <w:pPr>
        <w:ind w:firstLine="635"/>
        <w:spacing w:after="0" w:line="266" w:lineRule="auto"/>
        <w:rPr>
          <w:sz w:val="20"/>
          <w:szCs w:val="20"/>
          <w:color w:val="auto"/>
        </w:rPr>
      </w:pPr>
      <w:r>
        <w:rPr>
          <w:rFonts w:ascii="Arial" w:cs="Arial" w:eastAsia="Arial" w:hAnsi="Arial"/>
          <w:sz w:val="17"/>
          <w:szCs w:val="17"/>
          <w:color w:val="auto"/>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2" w:lineRule="exact"/>
        <w:rPr>
          <w:sz w:val="20"/>
          <w:szCs w:val="20"/>
          <w:color w:val="auto"/>
        </w:rPr>
      </w:pPr>
    </w:p>
    <w:p>
      <w:pPr>
        <w:ind w:right="59" w:firstLine="635"/>
        <w:spacing w:after="0" w:line="364" w:lineRule="auto"/>
        <w:rPr>
          <w:sz w:val="20"/>
          <w:szCs w:val="20"/>
          <w:color w:val="auto"/>
        </w:rPr>
      </w:pPr>
      <w:r>
        <w:rPr>
          <w:rFonts w:ascii="Arial" w:cs="Arial" w:eastAsia="Arial" w:hAnsi="Arial"/>
          <w:sz w:val="15"/>
          <w:szCs w:val="15"/>
          <w:color w:val="auto"/>
        </w:rPr>
        <w:t>Our headquarters are located in leased office space at 300 Vesey Street, New York, NY 10282. We also lease space for our offices in U.S., Europe, and Asia. We consider the current arrangements to be adequate for our present needs.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2" w:lineRule="exact"/>
        <w:rPr>
          <w:sz w:val="20"/>
          <w:szCs w:val="20"/>
          <w:color w:val="auto"/>
        </w:rPr>
      </w:pPr>
    </w:p>
    <w:p>
      <w:pPr>
        <w:ind w:right="59" w:firstLine="635"/>
        <w:spacing w:after="0" w:line="293" w:lineRule="auto"/>
        <w:rPr>
          <w:sz w:val="20"/>
          <w:szCs w:val="20"/>
          <w:color w:val="auto"/>
        </w:rPr>
      </w:pPr>
      <w:r>
        <w:rPr>
          <w:rFonts w:ascii="Arial" w:cs="Arial" w:eastAsia="Arial" w:hAnsi="Arial"/>
          <w:sz w:val="17"/>
          <w:szCs w:val="17"/>
          <w:color w:val="auto"/>
        </w:rPr>
        <w:t>The information required by this item is set forth in the “Litigation” section in Note 13 “Commitments, Contingencies and Guarantees” to the Company’s Consolidated Financial Statements included in Part II Item 8 herein.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Prices</w:t>
      </w:r>
    </w:p>
    <w:p>
      <w:pPr>
        <w:spacing w:after="0" w:line="222" w:lineRule="exact"/>
        <w:rPr>
          <w:sz w:val="20"/>
          <w:szCs w:val="20"/>
          <w:color w:val="auto"/>
        </w:rPr>
      </w:pPr>
    </w:p>
    <w:p>
      <w:pPr>
        <w:ind w:right="280" w:firstLine="635"/>
        <w:spacing w:after="0" w:line="264" w:lineRule="auto"/>
        <w:rPr>
          <w:sz w:val="20"/>
          <w:szCs w:val="20"/>
          <w:color w:val="auto"/>
        </w:rPr>
      </w:pPr>
      <w:r>
        <w:rPr>
          <w:rFonts w:ascii="Arial" w:cs="Arial" w:eastAsia="Arial" w:hAnsi="Arial"/>
          <w:sz w:val="18"/>
          <w:szCs w:val="18"/>
          <w:color w:val="auto"/>
        </w:rPr>
        <w:t>The following table shows the high and low sale price and dividends paid per share for the periods indicated for the Company’s common stock, as reported by NASDAQ.</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Year Ended December 31, 2016</w:t>
            </w:r>
          </w:p>
        </w:tc>
      </w:tr>
      <w:tr>
        <w:trPr>
          <w:trHeight w:val="139"/>
        </w:trPr>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9"/>
              <w:spacing w:after="0" w:line="139" w:lineRule="exact"/>
              <w:rPr>
                <w:sz w:val="20"/>
                <w:szCs w:val="20"/>
                <w:color w:val="auto"/>
              </w:rPr>
            </w:pPr>
            <w:r>
              <w:rPr>
                <w:rFonts w:ascii="Arial" w:cs="Arial" w:eastAsia="Arial" w:hAnsi="Arial"/>
                <w:sz w:val="14"/>
                <w:szCs w:val="14"/>
                <w:b w:val="1"/>
                <w:bCs w:val="1"/>
                <w:color w:val="auto"/>
                <w:w w:val="98"/>
              </w:rPr>
              <w:t>Sale Price</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Dividend per Share</w:t>
            </w:r>
          </w:p>
        </w:tc>
      </w:tr>
      <w:tr>
        <w:trPr>
          <w:trHeight w:val="205"/>
        </w:trPr>
        <w:tc>
          <w:tcPr>
            <w:tcW w:w="2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ind w:left="2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Low</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of common stock</w:t>
            </w:r>
          </w:p>
        </w:tc>
      </w:tr>
      <w:tr>
        <w:trPr>
          <w:trHeight w:val="139"/>
        </w:trPr>
        <w:tc>
          <w:tcPr>
            <w:tcW w:w="210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First Quarter</w:t>
            </w:r>
          </w:p>
        </w:tc>
        <w:tc>
          <w:tcPr>
            <w:tcW w:w="1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9"/>
              <w:spacing w:after="0" w:line="13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ind w:left="200"/>
              <w:spacing w:after="0" w:line="139" w:lineRule="exact"/>
              <w:rPr>
                <w:sz w:val="20"/>
                <w:szCs w:val="20"/>
                <w:color w:val="auto"/>
              </w:rPr>
            </w:pPr>
            <w:r>
              <w:rPr>
                <w:rFonts w:ascii="Arial" w:cs="Arial" w:eastAsia="Arial" w:hAnsi="Arial"/>
                <w:sz w:val="14"/>
                <w:szCs w:val="14"/>
                <w:color w:val="auto"/>
              </w:rPr>
              <w:t>23.90</w:t>
            </w:r>
          </w:p>
        </w:tc>
        <w:tc>
          <w:tcPr>
            <w:tcW w:w="2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09"/>
              <w:spacing w:after="0" w:line="13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center"/>
              <w:ind w:right="189"/>
              <w:spacing w:after="0" w:line="139" w:lineRule="exact"/>
              <w:rPr>
                <w:sz w:val="20"/>
                <w:szCs w:val="20"/>
                <w:color w:val="auto"/>
              </w:rPr>
            </w:pPr>
            <w:r>
              <w:rPr>
                <w:rFonts w:ascii="Arial" w:cs="Arial" w:eastAsia="Arial" w:hAnsi="Arial"/>
                <w:sz w:val="14"/>
                <w:szCs w:val="14"/>
                <w:color w:val="auto"/>
                <w:w w:val="91"/>
              </w:rPr>
              <w:t>19.76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0.24</w:t>
            </w:r>
          </w:p>
        </w:tc>
      </w:tr>
      <w:tr>
        <w:trPr>
          <w:trHeight w:val="225"/>
        </w:trPr>
        <w:tc>
          <w:tcPr>
            <w:tcW w:w="2100" w:type="dxa"/>
            <w:vAlign w:val="bottom"/>
          </w:tcPr>
          <w:p>
            <w:pPr>
              <w:spacing w:after="0"/>
              <w:rPr>
                <w:sz w:val="20"/>
                <w:szCs w:val="20"/>
                <w:color w:val="auto"/>
              </w:rPr>
            </w:pPr>
            <w:r>
              <w:rPr>
                <w:rFonts w:ascii="Arial" w:cs="Arial" w:eastAsia="Arial" w:hAnsi="Arial"/>
                <w:sz w:val="14"/>
                <w:szCs w:val="14"/>
                <w:color w:val="auto"/>
              </w:rPr>
              <w:t>Second Quarter</w:t>
            </w:r>
          </w:p>
        </w:tc>
        <w:tc>
          <w:tcPr>
            <w:tcW w:w="15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Pr>
          <w:p>
            <w:pPr>
              <w:ind w:left="200"/>
              <w:spacing w:after="0"/>
              <w:rPr>
                <w:sz w:val="20"/>
                <w:szCs w:val="20"/>
                <w:color w:val="auto"/>
              </w:rPr>
            </w:pPr>
            <w:r>
              <w:rPr>
                <w:rFonts w:ascii="Arial" w:cs="Arial" w:eastAsia="Arial" w:hAnsi="Arial"/>
                <w:sz w:val="14"/>
                <w:szCs w:val="14"/>
                <w:color w:val="auto"/>
              </w:rPr>
              <w:t>22.16</w:t>
            </w:r>
          </w:p>
        </w:tc>
        <w:tc>
          <w:tcPr>
            <w:tcW w:w="780" w:type="dxa"/>
            <w:vAlign w:val="bottom"/>
            <w:gridSpan w:val="3"/>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right="189"/>
              <w:spacing w:after="0"/>
              <w:rPr>
                <w:sz w:val="20"/>
                <w:szCs w:val="20"/>
                <w:color w:val="auto"/>
              </w:rPr>
            </w:pPr>
            <w:r>
              <w:rPr>
                <w:rFonts w:ascii="Arial" w:cs="Arial" w:eastAsia="Arial" w:hAnsi="Arial"/>
                <w:sz w:val="14"/>
                <w:szCs w:val="14"/>
                <w:color w:val="auto"/>
                <w:w w:val="91"/>
              </w:rPr>
              <w:t>17.19</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0.24</w:t>
            </w:r>
          </w:p>
        </w:tc>
      </w:tr>
      <w:tr>
        <w:trPr>
          <w:trHeight w:val="225"/>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Third Quarter</w:t>
            </w:r>
          </w:p>
        </w:tc>
        <w:tc>
          <w:tcPr>
            <w:tcW w:w="150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18.00</w:t>
            </w:r>
          </w:p>
        </w:tc>
        <w:tc>
          <w:tcPr>
            <w:tcW w:w="780" w:type="dxa"/>
            <w:vAlign w:val="bottom"/>
            <w:gridSpan w:val="3"/>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right="189"/>
              <w:spacing w:after="0"/>
              <w:rPr>
                <w:sz w:val="20"/>
                <w:szCs w:val="20"/>
                <w:color w:val="auto"/>
              </w:rPr>
            </w:pPr>
            <w:r>
              <w:rPr>
                <w:rFonts w:ascii="Arial" w:cs="Arial" w:eastAsia="Arial" w:hAnsi="Arial"/>
                <w:sz w:val="14"/>
                <w:szCs w:val="14"/>
                <w:color w:val="auto"/>
                <w:w w:val="91"/>
              </w:rPr>
              <w:t>14.97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0.24</w:t>
            </w:r>
          </w:p>
        </w:tc>
      </w:tr>
      <w:tr>
        <w:trPr>
          <w:trHeight w:val="240"/>
        </w:trPr>
        <w:tc>
          <w:tcPr>
            <w:tcW w:w="2100" w:type="dxa"/>
            <w:vAlign w:val="bottom"/>
          </w:tcPr>
          <w:p>
            <w:pPr>
              <w:spacing w:after="0"/>
              <w:rPr>
                <w:sz w:val="20"/>
                <w:szCs w:val="20"/>
                <w:color w:val="auto"/>
              </w:rPr>
            </w:pPr>
            <w:r>
              <w:rPr>
                <w:rFonts w:ascii="Arial" w:cs="Arial" w:eastAsia="Arial" w:hAnsi="Arial"/>
                <w:sz w:val="14"/>
                <w:szCs w:val="14"/>
                <w:color w:val="auto"/>
              </w:rPr>
              <w:t>Fourth Quarter</w:t>
            </w:r>
          </w:p>
        </w:tc>
        <w:tc>
          <w:tcPr>
            <w:tcW w:w="15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Pr>
          <w:p>
            <w:pPr>
              <w:ind w:left="200"/>
              <w:spacing w:after="0"/>
              <w:rPr>
                <w:sz w:val="20"/>
                <w:szCs w:val="20"/>
                <w:color w:val="auto"/>
              </w:rPr>
            </w:pPr>
            <w:r>
              <w:rPr>
                <w:rFonts w:ascii="Arial" w:cs="Arial" w:eastAsia="Arial" w:hAnsi="Arial"/>
                <w:sz w:val="14"/>
                <w:szCs w:val="14"/>
                <w:color w:val="auto"/>
              </w:rPr>
              <w:t>16.20</w:t>
            </w:r>
          </w:p>
        </w:tc>
        <w:tc>
          <w:tcPr>
            <w:tcW w:w="780" w:type="dxa"/>
            <w:vAlign w:val="bottom"/>
            <w:gridSpan w:val="3"/>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right="189"/>
              <w:spacing w:after="0"/>
              <w:rPr>
                <w:sz w:val="20"/>
                <w:szCs w:val="20"/>
                <w:color w:val="auto"/>
              </w:rPr>
            </w:pPr>
            <w:r>
              <w:rPr>
                <w:rFonts w:ascii="Arial" w:cs="Arial" w:eastAsia="Arial" w:hAnsi="Arial"/>
                <w:sz w:val="14"/>
                <w:szCs w:val="14"/>
                <w:color w:val="auto"/>
                <w:w w:val="91"/>
              </w:rPr>
              <w:t>12.55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0.24</w:t>
            </w: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Year Ended December 31, 2017</w:t>
            </w:r>
          </w:p>
        </w:tc>
      </w:tr>
      <w:tr>
        <w:trPr>
          <w:trHeight w:val="139"/>
        </w:trPr>
        <w:tc>
          <w:tcPr>
            <w:tcW w:w="2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29"/>
              <w:spacing w:after="0" w:line="139" w:lineRule="exact"/>
              <w:rPr>
                <w:sz w:val="20"/>
                <w:szCs w:val="20"/>
                <w:color w:val="auto"/>
              </w:rPr>
            </w:pPr>
            <w:r>
              <w:rPr>
                <w:rFonts w:ascii="Arial" w:cs="Arial" w:eastAsia="Arial" w:hAnsi="Arial"/>
                <w:sz w:val="14"/>
                <w:szCs w:val="14"/>
                <w:b w:val="1"/>
                <w:bCs w:val="1"/>
                <w:color w:val="auto"/>
                <w:w w:val="98"/>
              </w:rPr>
              <w:t>Sale Price</w:t>
            </w:r>
          </w:p>
        </w:tc>
        <w:tc>
          <w:tcPr>
            <w:tcW w:w="7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Dividend per Share</w:t>
            </w:r>
          </w:p>
        </w:tc>
      </w:tr>
      <w:tr>
        <w:trPr>
          <w:trHeight w:val="205"/>
        </w:trPr>
        <w:tc>
          <w:tcPr>
            <w:tcW w:w="2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High</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2"/>
              </w:rPr>
              <w:t>Low</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common stock</w:t>
            </w:r>
          </w:p>
        </w:tc>
      </w:tr>
      <w:tr>
        <w:trPr>
          <w:trHeight w:val="139"/>
        </w:trPr>
        <w:tc>
          <w:tcPr>
            <w:tcW w:w="21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First Quarter</w:t>
            </w:r>
          </w:p>
        </w:tc>
        <w:tc>
          <w:tcPr>
            <w:tcW w:w="1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9"/>
              <w:spacing w:after="0" w:line="13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19.07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09"/>
              <w:spacing w:after="0" w:line="13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right="189"/>
              <w:spacing w:after="0" w:line="139" w:lineRule="exact"/>
              <w:rPr>
                <w:sz w:val="20"/>
                <w:szCs w:val="20"/>
                <w:color w:val="auto"/>
              </w:rPr>
            </w:pPr>
            <w:r>
              <w:rPr>
                <w:rFonts w:ascii="Arial" w:cs="Arial" w:eastAsia="Arial" w:hAnsi="Arial"/>
                <w:sz w:val="14"/>
                <w:szCs w:val="14"/>
                <w:color w:val="auto"/>
                <w:w w:val="91"/>
              </w:rPr>
              <w:t>15.78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5"/>
              </w:rPr>
              <w:t>0.24</w:t>
            </w:r>
          </w:p>
        </w:tc>
      </w:tr>
      <w:tr>
        <w:trPr>
          <w:trHeight w:val="225"/>
        </w:trPr>
        <w:tc>
          <w:tcPr>
            <w:tcW w:w="2100" w:type="dxa"/>
            <w:vAlign w:val="bottom"/>
          </w:tcPr>
          <w:p>
            <w:pPr>
              <w:spacing w:after="0"/>
              <w:rPr>
                <w:sz w:val="20"/>
                <w:szCs w:val="20"/>
                <w:color w:val="auto"/>
              </w:rPr>
            </w:pPr>
            <w:r>
              <w:rPr>
                <w:rFonts w:ascii="Arial" w:cs="Arial" w:eastAsia="Arial" w:hAnsi="Arial"/>
                <w:sz w:val="14"/>
                <w:szCs w:val="14"/>
                <w:color w:val="auto"/>
              </w:rPr>
              <w:t>Second Quarter</w:t>
            </w:r>
          </w:p>
        </w:tc>
        <w:tc>
          <w:tcPr>
            <w:tcW w:w="15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Pr>
          <w:p>
            <w:pPr>
              <w:ind w:left="200"/>
              <w:spacing w:after="0"/>
              <w:rPr>
                <w:sz w:val="20"/>
                <w:szCs w:val="20"/>
                <w:color w:val="auto"/>
              </w:rPr>
            </w:pPr>
            <w:r>
              <w:rPr>
                <w:rFonts w:ascii="Arial" w:cs="Arial" w:eastAsia="Arial" w:hAnsi="Arial"/>
                <w:sz w:val="14"/>
                <w:szCs w:val="14"/>
                <w:color w:val="auto"/>
              </w:rPr>
              <w:t>18.30</w:t>
            </w:r>
          </w:p>
        </w:tc>
        <w:tc>
          <w:tcPr>
            <w:tcW w:w="780" w:type="dxa"/>
            <w:vAlign w:val="bottom"/>
            <w:gridSpan w:val="3"/>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right="189"/>
              <w:spacing w:after="0"/>
              <w:rPr>
                <w:sz w:val="20"/>
                <w:szCs w:val="20"/>
                <w:color w:val="auto"/>
              </w:rPr>
            </w:pPr>
            <w:r>
              <w:rPr>
                <w:rFonts w:ascii="Arial" w:cs="Arial" w:eastAsia="Arial" w:hAnsi="Arial"/>
                <w:sz w:val="14"/>
                <w:szCs w:val="14"/>
                <w:color w:val="auto"/>
                <w:w w:val="91"/>
              </w:rPr>
              <w:t>14.60</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0.24</w:t>
            </w:r>
          </w:p>
        </w:tc>
      </w:tr>
      <w:tr>
        <w:trPr>
          <w:trHeight w:val="225"/>
        </w:trPr>
        <w:tc>
          <w:tcPr>
            <w:tcW w:w="2100" w:type="dxa"/>
            <w:vAlign w:val="bottom"/>
            <w:shd w:val="clear" w:color="auto" w:fill="CCEEFF"/>
          </w:tcPr>
          <w:p>
            <w:pPr>
              <w:spacing w:after="0"/>
              <w:rPr>
                <w:sz w:val="20"/>
                <w:szCs w:val="20"/>
                <w:color w:val="auto"/>
              </w:rPr>
            </w:pPr>
            <w:r>
              <w:rPr>
                <w:rFonts w:ascii="Arial" w:cs="Arial" w:eastAsia="Arial" w:hAnsi="Arial"/>
                <w:sz w:val="14"/>
                <w:szCs w:val="14"/>
                <w:color w:val="auto"/>
              </w:rPr>
              <w:t>Third Quarter</w:t>
            </w:r>
          </w:p>
        </w:tc>
        <w:tc>
          <w:tcPr>
            <w:tcW w:w="150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18.15</w:t>
            </w:r>
          </w:p>
        </w:tc>
        <w:tc>
          <w:tcPr>
            <w:tcW w:w="780" w:type="dxa"/>
            <w:vAlign w:val="bottom"/>
            <w:gridSpan w:val="3"/>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center"/>
              <w:ind w:right="189"/>
              <w:spacing w:after="0"/>
              <w:rPr>
                <w:sz w:val="20"/>
                <w:szCs w:val="20"/>
                <w:color w:val="auto"/>
              </w:rPr>
            </w:pPr>
            <w:r>
              <w:rPr>
                <w:rFonts w:ascii="Arial" w:cs="Arial" w:eastAsia="Arial" w:hAnsi="Arial"/>
                <w:sz w:val="14"/>
                <w:szCs w:val="14"/>
                <w:color w:val="auto"/>
                <w:w w:val="91"/>
              </w:rPr>
              <w:t>14.60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0.24</w:t>
            </w:r>
          </w:p>
        </w:tc>
      </w:tr>
      <w:tr>
        <w:trPr>
          <w:trHeight w:val="240"/>
        </w:trPr>
        <w:tc>
          <w:tcPr>
            <w:tcW w:w="2100" w:type="dxa"/>
            <w:vAlign w:val="bottom"/>
          </w:tcPr>
          <w:p>
            <w:pPr>
              <w:spacing w:after="0"/>
              <w:rPr>
                <w:sz w:val="20"/>
                <w:szCs w:val="20"/>
                <w:color w:val="auto"/>
              </w:rPr>
            </w:pPr>
            <w:r>
              <w:rPr>
                <w:rFonts w:ascii="Arial" w:cs="Arial" w:eastAsia="Arial" w:hAnsi="Arial"/>
                <w:sz w:val="14"/>
                <w:szCs w:val="14"/>
                <w:color w:val="auto"/>
              </w:rPr>
              <w:t>Fourth Quarter</w:t>
            </w:r>
          </w:p>
        </w:tc>
        <w:tc>
          <w:tcPr>
            <w:tcW w:w="150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620" w:type="dxa"/>
            <w:vAlign w:val="bottom"/>
          </w:tcPr>
          <w:p>
            <w:pPr>
              <w:ind w:left="200"/>
              <w:spacing w:after="0"/>
              <w:rPr>
                <w:sz w:val="20"/>
                <w:szCs w:val="20"/>
                <w:color w:val="auto"/>
              </w:rPr>
            </w:pPr>
            <w:r>
              <w:rPr>
                <w:rFonts w:ascii="Arial" w:cs="Arial" w:eastAsia="Arial" w:hAnsi="Arial"/>
                <w:sz w:val="14"/>
                <w:szCs w:val="14"/>
                <w:color w:val="auto"/>
              </w:rPr>
              <w:t>18.50</w:t>
            </w:r>
          </w:p>
        </w:tc>
        <w:tc>
          <w:tcPr>
            <w:tcW w:w="780" w:type="dxa"/>
            <w:vAlign w:val="bottom"/>
            <w:gridSpan w:val="3"/>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right="189"/>
              <w:spacing w:after="0"/>
              <w:rPr>
                <w:sz w:val="20"/>
                <w:szCs w:val="20"/>
                <w:color w:val="auto"/>
              </w:rPr>
            </w:pPr>
            <w:r>
              <w:rPr>
                <w:rFonts w:ascii="Arial" w:cs="Arial" w:eastAsia="Arial" w:hAnsi="Arial"/>
                <w:sz w:val="14"/>
                <w:szCs w:val="14"/>
                <w:color w:val="auto"/>
                <w:w w:val="91"/>
              </w:rPr>
              <w:t>13.10</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5"/>
              </w:rPr>
              <w:t>0.24</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2" w:lineRule="exact"/>
        <w:rPr>
          <w:sz w:val="20"/>
          <w:szCs w:val="20"/>
          <w:color w:val="auto"/>
        </w:rPr>
      </w:pPr>
    </w:p>
    <w:p>
      <w:pPr>
        <w:ind w:right="20" w:firstLine="635"/>
        <w:spacing w:after="0" w:line="264" w:lineRule="auto"/>
        <w:rPr>
          <w:sz w:val="20"/>
          <w:szCs w:val="20"/>
          <w:color w:val="auto"/>
        </w:rPr>
      </w:pPr>
      <w:r>
        <w:rPr>
          <w:rFonts w:ascii="Arial" w:cs="Arial" w:eastAsia="Arial" w:hAnsi="Arial"/>
          <w:sz w:val="17"/>
          <w:szCs w:val="17"/>
          <w:color w:val="auto"/>
        </w:rPr>
        <w:t>Based on information made available to us by the transfer agent, as of March 13, 2018, there are fifty-five stockholders of record of our Class A common stock, one of which was Cede &amp; Co., a nominee for The Depository Trust Company. All of our Class A common stock held by brokerage firms, banks and other financial institutions as nominees for beneficial owners is considered to be held of record by Cede &amp; Co., who is considered to be one stockholder of record. A substantially greater number of holders of our Class A common stock are “street name” or beneficial holders, whose shares of Class A common stock are held of record by banks, brokers and other financial institutions. Because such shares of Class A common stock are held on behalf of stockholders, and not by the stockholders directly, and because a stockholder can have multiple positions with different brokerage firms, banks and other financial institutions, we are unable to determine the total number of stockholders we have.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Capital Return Policy</w:t>
      </w:r>
    </w:p>
    <w:p>
      <w:pPr>
        <w:spacing w:after="0" w:line="222" w:lineRule="exact"/>
        <w:rPr>
          <w:sz w:val="20"/>
          <w:szCs w:val="20"/>
          <w:color w:val="auto"/>
        </w:rPr>
      </w:pPr>
    </w:p>
    <w:p>
      <w:pPr>
        <w:ind w:right="100" w:firstLine="635"/>
        <w:spacing w:after="0" w:line="254" w:lineRule="auto"/>
        <w:rPr>
          <w:sz w:val="20"/>
          <w:szCs w:val="20"/>
          <w:color w:val="auto"/>
        </w:rPr>
      </w:pPr>
      <w:r>
        <w:rPr>
          <w:rFonts w:ascii="Arial" w:cs="Arial" w:eastAsia="Arial" w:hAnsi="Arial"/>
          <w:sz w:val="18"/>
          <w:szCs w:val="18"/>
          <w:color w:val="auto"/>
        </w:rPr>
        <w:t>Our board of directors has adopted a policy of returning excess cash to our stockholders. Subject to the sole discretion of our board of directors and the considerations discussed below, we intend to pay dividends that will annually equal, in the aggregate, at least 70% of our net income.</w:t>
      </w:r>
    </w:p>
    <w:p>
      <w:pPr>
        <w:spacing w:after="0" w:line="123"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The Company paid cash dividends during the years ended December 31, 2017 and 2016 as represented in the previous table. The Company intends to continue paying regular quarterly dividends to our Class A and Class B common stockholders and to holders of Restricted Stock Units, however, the payment of dividends will be subject to general economic and business conditions, including the Company’s financial condition, results of operations and cash flows, capital requirements, contractual restrictions, including restrictions contained in our Fourth Amended and Restated Credit Agreement, regulatory restrictions, business prospects and other factors that the Company’s board of directors considers relevant. The terms of the Fourth Amended and Restated Credit Agreement and the indenture governing our Notes contain a number of covenants, including a restriction on our and our restricted subsidiaries’ ability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560"/>
        <w:spacing w:after="0" w:line="364" w:lineRule="auto"/>
        <w:rPr>
          <w:sz w:val="20"/>
          <w:szCs w:val="20"/>
          <w:color w:val="auto"/>
        </w:rPr>
      </w:pPr>
      <w:r>
        <w:rPr>
          <w:rFonts w:ascii="Arial" w:cs="Arial" w:eastAsia="Arial" w:hAnsi="Arial"/>
          <w:sz w:val="15"/>
          <w:szCs w:val="15"/>
          <w:color w:val="auto"/>
        </w:rPr>
        <w:t>to pay dividends on, or make distributions in respect of, our equity interests. See “Item 7. Management’s Discussion and Analysis of Financial Condition and Results of Operation – Liquidity and Capital Resources – Long-Term Borrowings”.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w:t>
      </w:r>
    </w:p>
    <w:p>
      <w:pPr>
        <w:spacing w:after="0" w:line="222" w:lineRule="exact"/>
        <w:rPr>
          <w:sz w:val="20"/>
          <w:szCs w:val="20"/>
          <w:color w:val="auto"/>
        </w:rPr>
      </w:pPr>
    </w:p>
    <w:p>
      <w:pPr>
        <w:ind w:right="140"/>
        <w:spacing w:after="0" w:line="317" w:lineRule="auto"/>
        <w:rPr>
          <w:sz w:val="20"/>
          <w:szCs w:val="20"/>
          <w:color w:val="auto"/>
        </w:rPr>
      </w:pPr>
      <w:r>
        <w:rPr>
          <w:rFonts w:ascii="Arial" w:cs="Arial" w:eastAsia="Arial" w:hAnsi="Arial"/>
          <w:sz w:val="15"/>
          <w:szCs w:val="15"/>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as amended, or the Exchange Act except to the extent we specifically incorporate it by reference into such filing. Our stock price performance shown in the graph below is not indicative of future stock price performance.</w:t>
      </w:r>
    </w:p>
    <w:p>
      <w:pPr>
        <w:spacing w:after="0" w:line="147" w:lineRule="exact"/>
        <w:rPr>
          <w:sz w:val="20"/>
          <w:szCs w:val="20"/>
          <w:color w:val="auto"/>
        </w:rPr>
      </w:pPr>
    </w:p>
    <w:p>
      <w:pPr>
        <w:ind w:right="180" w:firstLine="635"/>
        <w:spacing w:after="0" w:line="268" w:lineRule="auto"/>
        <w:rPr>
          <w:sz w:val="20"/>
          <w:szCs w:val="20"/>
          <w:color w:val="auto"/>
        </w:rPr>
      </w:pPr>
      <w:r>
        <w:rPr>
          <w:rFonts w:ascii="Arial" w:cs="Arial" w:eastAsia="Arial" w:hAnsi="Arial"/>
          <w:sz w:val="17"/>
          <w:szCs w:val="17"/>
          <w:color w:val="auto"/>
        </w:rPr>
        <w:t>The stock performance graph below compares the performance of an investment in our Class A common stock, from April 16, 2015, the date of the IPO, through December 31, 2017, with the S&amp;P 500 Index and the NYSE ARCA Securities Broker/Dealer Index. The graph assumes $100 was invested in our Class A common stock, the S&amp;P 500 Index and the NYSE ARCA Securities Broker/Dealer Index. It assumes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121285</wp:posOffset>
            </wp:positionV>
            <wp:extent cx="5241925" cy="3108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41925" cy="310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Period Ending</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Index</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4/16/2015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6/30/2015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12/31/2015</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6/30/2016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12/31/2016</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6/30/2017</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12/31/2017</w:t>
            </w:r>
          </w:p>
        </w:tc>
        <w:tc>
          <w:tcPr>
            <w:tcW w:w="80" w:type="dxa"/>
            <w:vAlign w:val="bottom"/>
            <w:tcBorders>
              <w:bottom w:val="single" w:sz="8" w:color="CCEEFF"/>
            </w:tcBorders>
          </w:tcPr>
          <w:p>
            <w:pPr>
              <w:spacing w:after="0"/>
              <w:rPr>
                <w:sz w:val="18"/>
                <w:szCs w:val="18"/>
                <w:color w:val="auto"/>
              </w:rPr>
            </w:pPr>
          </w:p>
        </w:tc>
      </w:tr>
      <w:tr>
        <w:trPr>
          <w:trHeight w:val="208"/>
        </w:trPr>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Virtu Financial Inc.</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105.88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107.65</w:t>
            </w:r>
          </w:p>
        </w:tc>
        <w:tc>
          <w:tcPr>
            <w:tcW w:w="80" w:type="dxa"/>
            <w:vAlign w:val="bottom"/>
            <w:shd w:val="clear" w:color="auto" w:fill="CCEEFF"/>
          </w:tcPr>
          <w:p>
            <w:pPr>
              <w:spacing w:after="0"/>
              <w:rPr>
                <w:sz w:val="18"/>
                <w:szCs w:val="18"/>
                <w:color w:val="auto"/>
              </w:rPr>
            </w:pPr>
          </w:p>
        </w:tc>
      </w:tr>
      <w:tr>
        <w:trPr>
          <w:trHeight w:val="221"/>
        </w:trPr>
        <w:tc>
          <w:tcPr>
            <w:tcW w:w="2800" w:type="dxa"/>
            <w:vAlign w:val="bottom"/>
            <w:gridSpan w:val="2"/>
          </w:tcPr>
          <w:p>
            <w:pPr>
              <w:spacing w:after="0"/>
              <w:rPr>
                <w:sz w:val="20"/>
                <w:szCs w:val="20"/>
                <w:color w:val="auto"/>
              </w:rPr>
            </w:pPr>
            <w:r>
              <w:rPr>
                <w:rFonts w:ascii="Arial" w:cs="Arial" w:eastAsia="Arial" w:hAnsi="Arial"/>
                <w:sz w:val="16"/>
                <w:szCs w:val="16"/>
                <w:color w:val="auto"/>
              </w:rPr>
              <w:t>S&amp;P 500</w:t>
            </w:r>
          </w:p>
        </w:tc>
        <w:tc>
          <w:tcPr>
            <w:tcW w:w="74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98.37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98.52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102.30</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110.30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120.60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134.38</w:t>
            </w:r>
          </w:p>
        </w:tc>
        <w:tc>
          <w:tcPr>
            <w:tcW w:w="80" w:type="dxa"/>
            <w:vAlign w:val="bottom"/>
          </w:tcPr>
          <w:p>
            <w:pPr>
              <w:spacing w:after="0"/>
              <w:rPr>
                <w:sz w:val="19"/>
                <w:szCs w:val="19"/>
                <w:color w:val="auto"/>
              </w:rPr>
            </w:pPr>
          </w:p>
        </w:tc>
      </w:tr>
      <w:tr>
        <w:trPr>
          <w:trHeight w:val="228"/>
        </w:trPr>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NYSE ARCA Securities Broker/Dealer</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107.58</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w:t>
            </w:r>
          </w:p>
        </w:tc>
        <w:tc>
          <w:tcPr>
            <w:tcW w:w="8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 of Securities</w:t>
      </w:r>
    </w:p>
    <w:p>
      <w:pPr>
        <w:spacing w:after="0" w:line="222" w:lineRule="exact"/>
        <w:rPr>
          <w:sz w:val="20"/>
          <w:szCs w:val="20"/>
          <w:color w:val="auto"/>
        </w:rPr>
      </w:pPr>
    </w:p>
    <w:p>
      <w:pPr>
        <w:ind w:firstLine="635"/>
        <w:spacing w:after="0" w:line="303" w:lineRule="auto"/>
        <w:rPr>
          <w:sz w:val="20"/>
          <w:szCs w:val="20"/>
          <w:color w:val="auto"/>
        </w:rPr>
      </w:pPr>
      <w:r>
        <w:rPr>
          <w:rFonts w:ascii="Arial" w:cs="Arial" w:eastAsia="Arial" w:hAnsi="Arial"/>
          <w:sz w:val="15"/>
          <w:szCs w:val="15"/>
          <w:color w:val="auto"/>
        </w:rPr>
        <w:t>On July 20, 2017, the Company completed the all-cash acquisition of KCG Holdings, Inc. In connection with the Acquisition, the Company issued 8,012,821 shares of the Company’s Class A stock to an affiliate of Temasek for an aggregate purchase price of approximately $125.0 million, and 40,064,103 shares of the Company’s Class A stock to NIH for an aggregate purchase price of approximately $618.7 million, in each case in accordance with terms of an investment agreement in a private placement exempt from the registration requirements of the Securities Act of 1933, as amended, pursuant to Section 4(a)(2) of the Securities Act of 1933, as amended (collectively, the “July 2017 Private Placement”). As a result of the completion of the IPO, the Reorganization Transactions, the Secondary Offerings, the July 2017 Private Placement, and certain other permitted exchanges by current and former employees of Virtu Financial common units for shares of the Company’s Class A common stock, the Company holds an approximately 48.3% interest in Virtu Financial at December 31, 2017.</w:t>
      </w:r>
    </w:p>
    <w:p>
      <w:pPr>
        <w:spacing w:after="0" w:line="157" w:lineRule="exact"/>
        <w:rPr>
          <w:sz w:val="20"/>
          <w:szCs w:val="20"/>
          <w:color w:val="auto"/>
        </w:rPr>
      </w:pPr>
    </w:p>
    <w:p>
      <w:pPr>
        <w:ind w:right="300" w:firstLine="635"/>
        <w:spacing w:after="0" w:line="266"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non-voting common interest units in Virtu Financial (the “Virtu</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 Pursuant to the Exchange Agreement, on November 13, 2017, certain current and former employees elected to exchange 209,448 Virtu Financial Units (along with the corresponding shares of our Class C common stock) held on their behalf on a one-for-one basis for shares of our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provides information about shares of common stock available for future awards under all of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Company’s equity compensation plans as of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securities to be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5"/>
              </w:rPr>
              <w:t>securities</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issued upon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4"/>
              </w:rPr>
              <w:t>exercise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
              <w:spacing w:after="0" w:line="145" w:lineRule="exact"/>
              <w:rPr>
                <w:sz w:val="20"/>
                <w:szCs w:val="20"/>
                <w:color w:val="auto"/>
              </w:rPr>
            </w:pPr>
            <w:r>
              <w:rPr>
                <w:rFonts w:ascii="Arial" w:cs="Arial" w:eastAsia="Arial" w:hAnsi="Arial"/>
                <w:sz w:val="14"/>
                <w:szCs w:val="14"/>
                <w:b w:val="1"/>
                <w:bCs w:val="1"/>
                <w:color w:val="auto"/>
                <w:w w:val="87"/>
              </w:rPr>
              <w:t>exercise price</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outstanding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of outstanding</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future issuance</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options,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88"/>
              </w:rPr>
              <w:t>options,</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2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Plan Category</w:t>
            </w:r>
          </w:p>
        </w:tc>
        <w:tc>
          <w:tcPr>
            <w:tcW w:w="9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warrants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1"/>
              </w:rPr>
              <w:t>warrants and</w:t>
            </w: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rights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plans</w:t>
            </w:r>
          </w:p>
        </w:tc>
        <w:tc>
          <w:tcPr>
            <w:tcW w:w="0" w:type="dxa"/>
            <w:vAlign w:val="bottom"/>
          </w:tcPr>
          <w:p>
            <w:pPr>
              <w:spacing w:after="0"/>
              <w:rPr>
                <w:sz w:val="1"/>
                <w:szCs w:val="1"/>
                <w:color w:val="auto"/>
              </w:rPr>
            </w:pPr>
          </w:p>
        </w:tc>
      </w:tr>
      <w:tr>
        <w:trPr>
          <w:trHeight w:val="107"/>
        </w:trPr>
        <w:tc>
          <w:tcPr>
            <w:tcW w:w="206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Equity compensation plans</w:t>
            </w:r>
          </w:p>
        </w:tc>
        <w:tc>
          <w:tcPr>
            <w:tcW w:w="20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approved by security holders</w:t>
            </w:r>
          </w:p>
        </w:tc>
        <w:tc>
          <w:tcPr>
            <w:tcW w:w="20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2015 Management Incentive Plan</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8,591,047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5,949,864</w:t>
            </w:r>
          </w:p>
        </w:tc>
        <w:tc>
          <w:tcPr>
            <w:tcW w:w="0" w:type="dxa"/>
            <w:vAlign w:val="bottom"/>
          </w:tcPr>
          <w:p>
            <w:pPr>
              <w:spacing w:after="0"/>
              <w:rPr>
                <w:sz w:val="1"/>
                <w:szCs w:val="1"/>
                <w:color w:val="auto"/>
              </w:rPr>
            </w:pPr>
          </w:p>
        </w:tc>
      </w:tr>
      <w:tr>
        <w:trPr>
          <w:trHeight w:val="127"/>
        </w:trPr>
        <w:tc>
          <w:tcPr>
            <w:tcW w:w="2060" w:type="dxa"/>
            <w:vAlign w:val="bottom"/>
          </w:tcPr>
          <w:p>
            <w:pPr>
              <w:spacing w:after="0" w:line="127" w:lineRule="exact"/>
              <w:rPr>
                <w:sz w:val="20"/>
                <w:szCs w:val="20"/>
                <w:color w:val="auto"/>
              </w:rPr>
            </w:pPr>
            <w:r>
              <w:rPr>
                <w:rFonts w:ascii="Arial" w:cs="Arial" w:eastAsia="Arial" w:hAnsi="Arial"/>
                <w:sz w:val="14"/>
                <w:szCs w:val="14"/>
                <w:color w:val="auto"/>
              </w:rPr>
              <w:t>Equity compensation plans not</w:t>
            </w:r>
          </w:p>
        </w:tc>
        <w:tc>
          <w:tcPr>
            <w:tcW w:w="2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60" w:type="dxa"/>
            <w:vAlign w:val="bottom"/>
          </w:tcPr>
          <w:p>
            <w:pPr>
              <w:ind w:left="120"/>
              <w:spacing w:after="0"/>
              <w:rPr>
                <w:sz w:val="20"/>
                <w:szCs w:val="20"/>
                <w:color w:val="auto"/>
              </w:rPr>
            </w:pPr>
            <w:r>
              <w:rPr>
                <w:rFonts w:ascii="Arial" w:cs="Arial" w:eastAsia="Arial" w:hAnsi="Arial"/>
                <w:sz w:val="14"/>
                <w:szCs w:val="14"/>
                <w:color w:val="auto"/>
              </w:rPr>
              <w:t>approved by security holders</w:t>
            </w:r>
          </w:p>
        </w:tc>
        <w:tc>
          <w:tcPr>
            <w:tcW w:w="208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None</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5"/>
        </w:trPr>
        <w:tc>
          <w:tcPr>
            <w:tcW w:w="20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w:t>
            </w:r>
          </w:p>
        </w:tc>
        <w:tc>
          <w:tcPr>
            <w:tcW w:w="20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8,591,047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18.89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5,949,864</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2" w:lineRule="exact"/>
        <w:rPr>
          <w:sz w:val="20"/>
          <w:szCs w:val="20"/>
          <w:color w:val="auto"/>
        </w:rPr>
      </w:pPr>
    </w:p>
    <w:p>
      <w:pPr>
        <w:ind w:firstLine="635"/>
        <w:spacing w:after="0" w:line="304" w:lineRule="auto"/>
        <w:rPr>
          <w:sz w:val="20"/>
          <w:szCs w:val="20"/>
          <w:color w:val="auto"/>
        </w:rPr>
      </w:pPr>
      <w:r>
        <w:rPr>
          <w:rFonts w:ascii="Arial" w:cs="Arial" w:eastAsia="Arial" w:hAnsi="Arial"/>
          <w:sz w:val="15"/>
          <w:szCs w:val="15"/>
          <w:color w:val="auto"/>
        </w:rPr>
        <w:t>The following table sets forth selected historical consolidated financial data for the periods beginning on and after January 1, 2013. We were formed on October 16, 2013 and, prior to the consummation of the Reorganization Transactions and the IPO, did not conduct any activities other than those incident to our formation and the IPO. Our consolidated financial statements reflect, for all the periods prior to April 16, 2015 (the period prior to completion of the Reorganization Transactions), the operations of Virtu Financial and its consolidated subsidiaries, and for all periods on or after April 16, 2015, the operations of the Company and its consolidated subsidiaries (including Virtu Financial). On July 20, 2017 we acquired KCG, which is accounted for under the acquisition method of accounting. Under the acquisition method of accounting, the assets and liabilities of KCG, as of July 20, 2017, were recorded at their respective fair values and added to the carrying value of our existing assets and liabilities. Our reported financial condition, results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79"/>
        <w:spacing w:after="0" w:line="308" w:lineRule="auto"/>
        <w:rPr>
          <w:sz w:val="20"/>
          <w:szCs w:val="20"/>
          <w:color w:val="auto"/>
        </w:rPr>
      </w:pPr>
      <w:r>
        <w:rPr>
          <w:rFonts w:ascii="Arial" w:cs="Arial" w:eastAsia="Arial" w:hAnsi="Arial"/>
          <w:sz w:val="15"/>
          <w:szCs w:val="15"/>
          <w:color w:val="auto"/>
        </w:rPr>
        <w:t>of operations and cash flows for the periods following the Acquisition reflect KCG's and our balances and reflect the impact of purchase accounting adjustments. As we are the accounting acquirer, the financial results for 2017 comprise our results for the entire applicable period and the results of KCG from the Closing Date through December 31, 2017. All periods prior to the Closing Date comprise solely our results. The consolidated statements of comprehensive income data for the years ended December 31, 2017, 2016 and 2015 and the consolidated statements of financial condition data as of December 31, 2017 and 2016 have been derived from our consolidated financial statements included elsewhere in this Form 10-K.</w:t>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firstLine="635"/>
        <w:spacing w:after="0" w:line="254" w:lineRule="auto"/>
        <w:rPr>
          <w:sz w:val="20"/>
          <w:szCs w:val="20"/>
          <w:color w:val="auto"/>
        </w:rPr>
      </w:pPr>
      <w:r>
        <w:rPr>
          <w:rFonts w:ascii="Arial" w:cs="Arial" w:eastAsia="Arial" w:hAnsi="Arial"/>
          <w:sz w:val="18"/>
          <w:szCs w:val="18"/>
          <w:color w:val="auto"/>
        </w:rPr>
        <w:t>The following selected historical financial and other data should be read in conjunction with “Item 7. Management’s Discussion and Analysis of Financial Condition and Results of Operations” and our respective consolidated financial statements and related notes thereto included elsewhere in this Form 10-K.</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(In thousands, except share and per share</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700" w:type="dxa"/>
            <w:vAlign w:val="bottom"/>
            <w:tcBorders>
              <w:top w:val="single" w:sz="8" w:color="CCEEFF"/>
            </w:tcBorders>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Consolidated Statements of Comprehensive</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 Data:</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spacing w:after="0" w:line="145" w:lineRule="exact"/>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Trading income, net</w:t>
            </w:r>
          </w:p>
        </w:tc>
        <w:tc>
          <w:tcPr>
            <w:tcW w:w="1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766,027</w:t>
            </w:r>
          </w:p>
        </w:tc>
        <w:tc>
          <w:tcPr>
            <w:tcW w:w="2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665,465</w:t>
            </w:r>
          </w:p>
        </w:tc>
        <w:tc>
          <w:tcPr>
            <w:tcW w:w="2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757,455</w:t>
            </w:r>
          </w:p>
        </w:tc>
        <w:tc>
          <w:tcPr>
            <w:tcW w:w="2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4"/>
              </w:rPr>
              <w:t>685,150</w:t>
            </w:r>
          </w:p>
        </w:tc>
        <w:tc>
          <w:tcPr>
            <w:tcW w:w="2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4"/>
              </w:rPr>
              <w:t>623,733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rPr>
              <w:t>Interest and dividends income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50,407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26,419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28,136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27,923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31,090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0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rPr>
              <w:t>Commissions, net and technology</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services(1)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116,503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rPr>
              <w:t>Other, net(2)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95,045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Borders>
              <w:top w:val="single" w:sz="8" w:color="CCEEFF"/>
            </w:tcBorders>
            <w:shd w:val="clear" w:color="auto" w:fill="CCEEFF"/>
          </w:tcPr>
          <w:p>
            <w:pPr>
              <w:ind w:left="200"/>
              <w:spacing w:after="0" w:line="139" w:lineRule="exact"/>
              <w:rPr>
                <w:sz w:val="20"/>
                <w:szCs w:val="20"/>
                <w:color w:val="auto"/>
              </w:rPr>
            </w:pPr>
            <w:r>
              <w:rPr>
                <w:rFonts w:ascii="Arial" w:cs="Arial" w:eastAsia="Arial" w:hAnsi="Arial"/>
                <w:sz w:val="14"/>
                <w:szCs w:val="14"/>
                <w:color w:val="auto"/>
              </w:rPr>
              <w:t>Total revenues</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1,027,982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702,272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796,213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723,053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664,505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Operating Expenses: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w w:val="92"/>
              </w:rPr>
              <w:t>Brokerage, exchange and clearance fees,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256,926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221,214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232,469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230,965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195,146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Communication and data processing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131,506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71,001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68,647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68,847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64,689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w w:val="98"/>
              </w:rPr>
              <w:t>Employee compensation and payroll taxes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177,489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85,295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88,026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84,531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78,353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Payments for order flow(3)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27,727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rPr>
              <w:t>Interest and dividends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91,993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56,557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52,423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47,083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45,196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Operations and administrative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65,137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23,039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25,991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21,923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27,215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47,327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29,703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33,629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30,441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23,922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0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w w:val="99"/>
              </w:rPr>
              <w:t>Amortization of purchased intangibles and</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acquired capitalized software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rPr>
              <w:t>Acquisition related retention bonus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2,639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6,705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3"/>
              </w:rPr>
              <w:t>Debt issue cost related to debt refinancing(4)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10,460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w w:val="99"/>
              </w:rPr>
              <w:t>Initial public offering fees and expenses(5)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8,961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7"/>
              </w:rPr>
              <w:t>Transaction advisory fees and expenses(6)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25,270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80"/>
              <w:spacing w:after="0" w:line="145" w:lineRule="exact"/>
              <w:rPr>
                <w:sz w:val="20"/>
                <w:szCs w:val="20"/>
                <w:color w:val="auto"/>
              </w:rPr>
            </w:pPr>
            <w:r>
              <w:rPr>
                <w:rFonts w:ascii="Arial" w:cs="Arial" w:eastAsia="Arial" w:hAnsi="Arial"/>
                <w:sz w:val="14"/>
                <w:szCs w:val="14"/>
                <w:color w:val="auto"/>
              </w:rPr>
              <w:t>Reserve for legal matters(7)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657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5,440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0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w w:val="90"/>
              </w:rPr>
              <w:t>Charges related to share based compensation</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at IPO(8)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44,194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00" w:type="dxa"/>
            <w:vAlign w:val="bottom"/>
          </w:tcPr>
          <w:p>
            <w:pPr>
              <w:ind w:left="80"/>
              <w:spacing w:after="0" w:line="127" w:lineRule="exact"/>
              <w:rPr>
                <w:sz w:val="20"/>
                <w:szCs w:val="20"/>
                <w:color w:val="auto"/>
              </w:rPr>
            </w:pPr>
            <w:r>
              <w:rPr>
                <w:rFonts w:ascii="Arial" w:cs="Arial" w:eastAsia="Arial" w:hAnsi="Arial"/>
                <w:sz w:val="14"/>
                <w:szCs w:val="14"/>
                <w:color w:val="auto"/>
              </w:rPr>
              <w:t>Financing interest expense on long-term</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borrowings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64,107</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28,327</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29,254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914,818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522,681</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580,284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529,495</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476,905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Pr>
          <w:p>
            <w:pPr>
              <w:ind w:left="80"/>
              <w:spacing w:after="0" w:line="139" w:lineRule="exact"/>
              <w:rPr>
                <w:sz w:val="20"/>
                <w:szCs w:val="20"/>
                <w:color w:val="auto"/>
              </w:rPr>
            </w:pPr>
            <w:r>
              <w:rPr>
                <w:rFonts w:ascii="Arial" w:cs="Arial" w:eastAsia="Arial" w:hAnsi="Arial"/>
                <w:sz w:val="14"/>
                <w:szCs w:val="14"/>
                <w:color w:val="auto"/>
              </w:rPr>
              <w:t>Income before income taxes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113,164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179,591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215,929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4"/>
                <w:szCs w:val="14"/>
                <w:color w:val="auto"/>
                <w:w w:val="94"/>
              </w:rPr>
              <w:t>193,558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39" w:lineRule="exact"/>
              <w:rPr>
                <w:sz w:val="20"/>
                <w:szCs w:val="20"/>
                <w:color w:val="auto"/>
              </w:rPr>
            </w:pPr>
            <w:r>
              <w:rPr>
                <w:rFonts w:ascii="Arial" w:cs="Arial" w:eastAsia="Arial" w:hAnsi="Arial"/>
                <w:sz w:val="14"/>
                <w:szCs w:val="14"/>
                <w:color w:val="auto"/>
                <w:w w:val="94"/>
              </w:rPr>
              <w:t>187,600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bottom w:val="single" w:sz="8" w:color="CCEEFF"/>
            </w:tcBorders>
          </w:tcPr>
          <w:p>
            <w:pPr>
              <w:ind w:left="80"/>
              <w:spacing w:after="0" w:line="145" w:lineRule="exact"/>
              <w:rPr>
                <w:sz w:val="20"/>
                <w:szCs w:val="20"/>
                <w:color w:val="auto"/>
              </w:rPr>
            </w:pPr>
            <w:r>
              <w:rPr>
                <w:rFonts w:ascii="Arial" w:cs="Arial" w:eastAsia="Arial" w:hAnsi="Arial"/>
                <w:sz w:val="14"/>
                <w:szCs w:val="14"/>
                <w:color w:val="auto"/>
              </w:rPr>
              <w:t>Provision for income taxes(9)</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94,266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21,251</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18,439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3,501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5,397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2700" w:type="dxa"/>
            <w:vAlign w:val="bottom"/>
          </w:tcPr>
          <w:p>
            <w:pPr>
              <w:spacing w:after="0" w:line="145" w:lineRule="exact"/>
              <w:rPr>
                <w:sz w:val="20"/>
                <w:szCs w:val="20"/>
                <w:color w:val="auto"/>
              </w:rPr>
            </w:pPr>
            <w:r>
              <w:rPr>
                <w:rFonts w:ascii="Arial" w:cs="Arial" w:eastAsia="Arial" w:hAnsi="Arial"/>
                <w:sz w:val="14"/>
                <w:szCs w:val="14"/>
                <w:color w:val="auto"/>
              </w:rPr>
              <w:t>Net income</w:t>
            </w:r>
          </w:p>
        </w:tc>
        <w:tc>
          <w:tcPr>
            <w:tcW w:w="18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18,898</w:t>
            </w:r>
          </w:p>
        </w:tc>
        <w:tc>
          <w:tcPr>
            <w:tcW w:w="2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158,340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197,490</w:t>
            </w: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190,057</w:t>
            </w:r>
          </w:p>
        </w:tc>
        <w:tc>
          <w:tcPr>
            <w:tcW w:w="2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182,203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top w:val="single" w:sz="8" w:color="CCEEFF"/>
            </w:tcBorders>
            <w:shd w:val="clear" w:color="auto" w:fill="CCEEFF"/>
          </w:tcPr>
          <w:p>
            <w:pPr>
              <w:ind w:left="200"/>
              <w:spacing w:after="0" w:line="145" w:lineRule="exact"/>
              <w:rPr>
                <w:sz w:val="20"/>
                <w:szCs w:val="20"/>
                <w:color w:val="auto"/>
              </w:rPr>
            </w:pPr>
            <w:r>
              <w:rPr>
                <w:rFonts w:ascii="Arial" w:cs="Arial" w:eastAsia="Arial" w:hAnsi="Arial"/>
                <w:sz w:val="14"/>
                <w:szCs w:val="14"/>
                <w:color w:val="auto"/>
              </w:rPr>
              <w:t>Noncontrolling interest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(15,959)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(125,360)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(176,603)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00" w:type="dxa"/>
            <w:vAlign w:val="bottom"/>
          </w:tcPr>
          <w:p>
            <w:pPr>
              <w:spacing w:after="0" w:line="127" w:lineRule="exact"/>
              <w:rPr>
                <w:sz w:val="20"/>
                <w:szCs w:val="20"/>
                <w:color w:val="auto"/>
              </w:rPr>
            </w:pPr>
            <w:r>
              <w:rPr>
                <w:rFonts w:ascii="Arial" w:cs="Arial" w:eastAsia="Arial" w:hAnsi="Arial"/>
                <w:sz w:val="14"/>
                <w:szCs w:val="14"/>
                <w:color w:val="auto"/>
              </w:rPr>
              <w:t>Net income available for common</w:t>
            </w: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2,939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32,980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20,887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720" w:type="dxa"/>
            <w:vAlign w:val="bottom"/>
            <w:gridSpan w:val="2"/>
          </w:tcPr>
          <w:p>
            <w:pPr>
              <w:spacing w:after="0" w:line="151" w:lineRule="exact"/>
              <w:rPr>
                <w:sz w:val="20"/>
                <w:szCs w:val="20"/>
                <w:color w:val="auto"/>
              </w:rPr>
            </w:pPr>
            <w:r>
              <w:rPr>
                <w:rFonts w:ascii="Arial" w:cs="Arial" w:eastAsia="Arial" w:hAnsi="Arial"/>
                <w:sz w:val="14"/>
                <w:szCs w:val="14"/>
                <w:color w:val="auto"/>
              </w:rPr>
              <w:t>stockholders</w:t>
            </w:r>
          </w:p>
        </w:tc>
        <w:tc>
          <w:tcPr>
            <w:tcW w:w="1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tcPr>
          <w:p>
            <w:pPr>
              <w:spacing w:after="0" w:line="145" w:lineRule="exact"/>
              <w:rPr>
                <w:sz w:val="20"/>
                <w:szCs w:val="20"/>
                <w:color w:val="auto"/>
              </w:rPr>
            </w:pPr>
            <w:r>
              <w:rPr>
                <w:rFonts w:ascii="Arial" w:cs="Arial" w:eastAsia="Arial" w:hAnsi="Arial"/>
                <w:sz w:val="14"/>
                <w:szCs w:val="14"/>
                <w:b w:val="1"/>
                <w:bCs w:val="1"/>
                <w:color w:val="auto"/>
              </w:rPr>
              <w:t>Earnings per share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Basic</w:t>
            </w:r>
          </w:p>
        </w:tc>
        <w:tc>
          <w:tcPr>
            <w:tcW w:w="1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0.03</w:t>
            </w:r>
          </w:p>
        </w:tc>
        <w:tc>
          <w:tcPr>
            <w:tcW w:w="2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0.83</w:t>
            </w:r>
          </w:p>
        </w:tc>
        <w:tc>
          <w:tcPr>
            <w:tcW w:w="2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200"/>
              <w:spacing w:after="0" w:line="145" w:lineRule="exact"/>
              <w:rPr>
                <w:sz w:val="20"/>
                <w:szCs w:val="20"/>
                <w:color w:val="auto"/>
              </w:rPr>
            </w:pPr>
            <w:r>
              <w:rPr>
                <w:rFonts w:ascii="Arial" w:cs="Arial" w:eastAsia="Arial" w:hAnsi="Arial"/>
                <w:sz w:val="14"/>
                <w:szCs w:val="14"/>
                <w:color w:val="auto"/>
              </w:rPr>
              <w:t>Diluted</w:t>
            </w:r>
          </w:p>
        </w:tc>
        <w:tc>
          <w:tcPr>
            <w:tcW w:w="18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0.03</w:t>
            </w:r>
          </w:p>
        </w:tc>
        <w:tc>
          <w:tcPr>
            <w:tcW w:w="2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0.83</w:t>
            </w:r>
          </w:p>
        </w:tc>
        <w:tc>
          <w:tcPr>
            <w:tcW w:w="2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0.59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700" w:type="dxa"/>
            <w:vAlign w:val="bottom"/>
          </w:tcPr>
          <w:p>
            <w:pPr>
              <w:spacing w:after="0" w:line="123" w:lineRule="exact"/>
              <w:rPr>
                <w:sz w:val="20"/>
                <w:szCs w:val="20"/>
                <w:color w:val="auto"/>
              </w:rPr>
            </w:pPr>
            <w:r>
              <w:rPr>
                <w:rFonts w:ascii="Arial" w:cs="Arial" w:eastAsia="Arial" w:hAnsi="Arial"/>
                <w:sz w:val="14"/>
                <w:szCs w:val="14"/>
                <w:b w:val="1"/>
                <w:bCs w:val="1"/>
                <w:color w:val="auto"/>
              </w:rPr>
              <w:t>Weighted average common shares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4"/>
              </w:rPr>
              <w:t>62,579,147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4"/>
              </w:rPr>
              <w:t>38,539,091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6"/>
              </w:rPr>
              <w:t>34,964,312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Pr>
          <w:p>
            <w:pPr>
              <w:ind w:left="200"/>
              <w:spacing w:after="0" w:line="145"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w w:val="94"/>
              </w:rPr>
              <w:t>62,579,147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w w:val="94"/>
              </w:rPr>
              <w:t>38,539,091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w w:val="96"/>
              </w:rPr>
              <w:t>35,339,585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00" w:type="dxa"/>
            <w:vAlign w:val="bottom"/>
          </w:tcPr>
          <w:p>
            <w:pPr>
              <w:spacing w:after="0" w:line="145" w:lineRule="exact"/>
              <w:rPr>
                <w:sz w:val="20"/>
                <w:szCs w:val="20"/>
                <w:color w:val="auto"/>
              </w:rPr>
            </w:pPr>
            <w:r>
              <w:rPr>
                <w:rFonts w:ascii="Arial" w:cs="Arial" w:eastAsia="Arial" w:hAnsi="Arial"/>
                <w:sz w:val="14"/>
                <w:szCs w:val="14"/>
                <w:color w:val="auto"/>
              </w:rPr>
              <w:t>Net income</w:t>
            </w:r>
          </w:p>
        </w:tc>
        <w:tc>
          <w:tcPr>
            <w:tcW w:w="18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18,898</w:t>
            </w:r>
          </w:p>
        </w:tc>
        <w:tc>
          <w:tcPr>
            <w:tcW w:w="26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158,340</w:t>
            </w:r>
          </w:p>
        </w:tc>
        <w:tc>
          <w:tcPr>
            <w:tcW w:w="24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197,490</w:t>
            </w: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190,057</w:t>
            </w:r>
          </w:p>
        </w:tc>
        <w:tc>
          <w:tcPr>
            <w:tcW w:w="2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182,203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Other comprehensive income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tcBorders>
              <w:bottom w:val="single" w:sz="8" w:color="CCEEFF"/>
            </w:tcBorders>
          </w:tcPr>
          <w:p>
            <w:pPr>
              <w:ind w:left="80"/>
              <w:spacing w:after="0" w:line="145" w:lineRule="exact"/>
              <w:rPr>
                <w:sz w:val="20"/>
                <w:szCs w:val="20"/>
                <w:color w:val="auto"/>
              </w:rPr>
            </w:pPr>
            <w:r>
              <w:rPr>
                <w:rFonts w:ascii="Arial" w:cs="Arial" w:eastAsia="Arial" w:hAnsi="Arial"/>
                <w:sz w:val="14"/>
                <w:szCs w:val="14"/>
                <w:color w:val="auto"/>
              </w:rPr>
              <w:t>Foreign exchange translation adjustment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9,117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(1,165)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(4,255)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(5,032)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1,382</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Comprehensive income</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28,015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157,175</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193,235</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185,025</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4"/>
              </w:rPr>
              <w:t>183,585</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700" w:type="dxa"/>
            <w:vAlign w:val="bottom"/>
          </w:tcPr>
          <w:p>
            <w:pPr>
              <w:ind w:left="80"/>
              <w:spacing w:after="0" w:line="101" w:lineRule="exact"/>
              <w:rPr>
                <w:sz w:val="20"/>
                <w:szCs w:val="20"/>
                <w:color w:val="auto"/>
              </w:rPr>
            </w:pPr>
            <w:r>
              <w:rPr>
                <w:rFonts w:ascii="Arial" w:cs="Arial" w:eastAsia="Arial" w:hAnsi="Arial"/>
                <w:sz w:val="11"/>
                <w:szCs w:val="11"/>
                <w:color w:val="auto"/>
              </w:rPr>
              <w:t>Less: Comprehensive income attributable to</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noncontrolling interest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(124,546)</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(172,249)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00" w:type="dxa"/>
            <w:vAlign w:val="bottom"/>
            <w:shd w:val="clear" w:color="auto" w:fill="CCEEFF"/>
          </w:tcPr>
          <w:p>
            <w:pPr>
              <w:spacing w:after="0" w:line="107" w:lineRule="exact"/>
              <w:rPr>
                <w:sz w:val="20"/>
                <w:szCs w:val="20"/>
                <w:color w:val="auto"/>
              </w:rPr>
            </w:pPr>
            <w:r>
              <w:rPr>
                <w:rFonts w:ascii="Arial" w:cs="Arial" w:eastAsia="Arial" w:hAnsi="Arial"/>
                <w:sz w:val="12"/>
                <w:szCs w:val="12"/>
                <w:color w:val="auto"/>
              </w:rPr>
              <w:t>Comprehensive income attributable to</w:t>
            </w: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6,182</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32,629</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20,986</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common stockholders</w:t>
            </w:r>
          </w:p>
        </w:tc>
        <w:tc>
          <w:tcPr>
            <w:tcW w:w="1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17780</wp:posOffset>
            </wp:positionV>
            <wp:extent cx="26041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9"/>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89"/>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69"/>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103"/>
        </w:trPr>
        <w:tc>
          <w:tcPr>
            <w:tcW w:w="3000" w:type="dxa"/>
            <w:vAlign w:val="bottom"/>
            <w:tcBorders>
              <w:top w:val="single" w:sz="8" w:color="CCEEFF"/>
            </w:tcBorders>
            <w:gridSpan w:val="2"/>
            <w:shd w:val="clear" w:color="auto" w:fill="CCEEFF"/>
          </w:tcPr>
          <w:p>
            <w:pPr>
              <w:spacing w:after="0" w:line="103" w:lineRule="exact"/>
              <w:rPr>
                <w:sz w:val="20"/>
                <w:szCs w:val="20"/>
                <w:color w:val="auto"/>
              </w:rPr>
            </w:pPr>
            <w:r>
              <w:rPr>
                <w:rFonts w:ascii="Arial" w:cs="Arial" w:eastAsia="Arial" w:hAnsi="Arial"/>
                <w:sz w:val="11"/>
                <w:szCs w:val="11"/>
                <w:b w:val="1"/>
                <w:bCs w:val="1"/>
                <w:color w:val="auto"/>
              </w:rPr>
              <w:t>Consolidated Statements of Financial Condition</w:t>
            </w:r>
          </w:p>
        </w:tc>
        <w:tc>
          <w:tcPr>
            <w:tcW w:w="1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r>
      <w:tr>
        <w:trPr>
          <w:trHeight w:val="168"/>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Data:</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25"/>
        </w:trPr>
        <w:tc>
          <w:tcPr>
            <w:tcW w:w="300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532,887</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181,415</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163,235</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75,864</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66,010</w:t>
            </w:r>
          </w:p>
        </w:tc>
        <w:tc>
          <w:tcPr>
            <w:tcW w:w="60" w:type="dxa"/>
            <w:vAlign w:val="bottom"/>
          </w:tcPr>
          <w:p>
            <w:pPr>
              <w:spacing w:after="0"/>
              <w:rPr>
                <w:sz w:val="19"/>
                <w:szCs w:val="19"/>
                <w:color w:val="auto"/>
              </w:rPr>
            </w:pPr>
          </w:p>
        </w:tc>
      </w:tr>
      <w:tr>
        <w:trPr>
          <w:trHeight w:val="225"/>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7,320,006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3,692,390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3,391,930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3,319,458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3,963,570</w:t>
            </w:r>
          </w:p>
        </w:tc>
        <w:tc>
          <w:tcPr>
            <w:tcW w:w="60" w:type="dxa"/>
            <w:vAlign w:val="bottom"/>
            <w:shd w:val="clear" w:color="auto" w:fill="CCEEFF"/>
          </w:tcPr>
          <w:p>
            <w:pPr>
              <w:spacing w:after="0"/>
              <w:rPr>
                <w:sz w:val="19"/>
                <w:szCs w:val="19"/>
                <w:color w:val="auto"/>
              </w:rPr>
            </w:pPr>
          </w:p>
        </w:tc>
      </w:tr>
      <w:tr>
        <w:trPr>
          <w:trHeight w:val="225"/>
        </w:trPr>
        <w:tc>
          <w:tcPr>
            <w:tcW w:w="3000" w:type="dxa"/>
            <w:vAlign w:val="bottom"/>
            <w:gridSpan w:val="2"/>
          </w:tcPr>
          <w:p>
            <w:pPr>
              <w:spacing w:after="0"/>
              <w:rPr>
                <w:sz w:val="20"/>
                <w:szCs w:val="20"/>
                <w:color w:val="auto"/>
              </w:rPr>
            </w:pPr>
            <w:r>
              <w:rPr>
                <w:rFonts w:ascii="Arial" w:cs="Arial" w:eastAsia="Arial" w:hAnsi="Arial"/>
                <w:sz w:val="14"/>
                <w:szCs w:val="14"/>
                <w:color w:val="auto"/>
              </w:rPr>
              <w:t>Senior secured credit facility</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1,388,548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564,957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493,589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495,724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500,827</w:t>
            </w:r>
          </w:p>
        </w:tc>
        <w:tc>
          <w:tcPr>
            <w:tcW w:w="60" w:type="dxa"/>
            <w:vAlign w:val="bottom"/>
          </w:tcPr>
          <w:p>
            <w:pPr>
              <w:spacing w:after="0"/>
              <w:rPr>
                <w:sz w:val="19"/>
                <w:szCs w:val="19"/>
                <w:color w:val="auto"/>
              </w:rPr>
            </w:pPr>
          </w:p>
        </w:tc>
      </w:tr>
      <w:tr>
        <w:trPr>
          <w:trHeight w:val="225"/>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6,168,428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3,157,978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2,834,060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2,812,760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3,510,282</w:t>
            </w:r>
          </w:p>
        </w:tc>
        <w:tc>
          <w:tcPr>
            <w:tcW w:w="60" w:type="dxa"/>
            <w:vAlign w:val="bottom"/>
            <w:shd w:val="clear" w:color="auto" w:fill="CCEEFF"/>
          </w:tcPr>
          <w:p>
            <w:pPr>
              <w:spacing w:after="0"/>
              <w:rPr>
                <w:sz w:val="19"/>
                <w:szCs w:val="19"/>
                <w:color w:val="auto"/>
              </w:rPr>
            </w:pPr>
          </w:p>
        </w:tc>
      </w:tr>
      <w:tr>
        <w:trPr>
          <w:trHeight w:val="225"/>
        </w:trPr>
        <w:tc>
          <w:tcPr>
            <w:tcW w:w="3000" w:type="dxa"/>
            <w:vAlign w:val="bottom"/>
            <w:gridSpan w:val="2"/>
          </w:tcPr>
          <w:p>
            <w:pPr>
              <w:spacing w:after="0"/>
              <w:rPr>
                <w:sz w:val="20"/>
                <w:szCs w:val="20"/>
                <w:color w:val="auto"/>
              </w:rPr>
            </w:pPr>
            <w:r>
              <w:rPr>
                <w:rFonts w:ascii="Arial" w:cs="Arial" w:eastAsia="Arial" w:hAnsi="Arial"/>
                <w:sz w:val="14"/>
                <w:szCs w:val="14"/>
                <w:color w:val="auto"/>
              </w:rPr>
              <w:t>Class A-1 redeemable interest(10)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294,433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250,000</w:t>
            </w:r>
          </w:p>
        </w:tc>
        <w:tc>
          <w:tcPr>
            <w:tcW w:w="60" w:type="dxa"/>
            <w:vAlign w:val="bottom"/>
          </w:tcPr>
          <w:p>
            <w:pPr>
              <w:spacing w:after="0"/>
              <w:rPr>
                <w:sz w:val="19"/>
                <w:szCs w:val="19"/>
                <w:color w:val="auto"/>
              </w:rPr>
            </w:pPr>
          </w:p>
        </w:tc>
      </w:tr>
      <w:tr>
        <w:trPr>
          <w:trHeight w:val="225"/>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Virtu Financial Inc. stockholders' equity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830,569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145,673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203,288</w:t>
            </w:r>
          </w:p>
        </w:tc>
        <w:tc>
          <w:tcPr>
            <w:tcW w:w="60" w:type="dxa"/>
            <w:vAlign w:val="bottom"/>
            <w:shd w:val="clear" w:color="auto" w:fill="CCEEFF"/>
          </w:tcPr>
          <w:p>
            <w:pPr>
              <w:spacing w:after="0"/>
              <w:rPr>
                <w:sz w:val="19"/>
                <w:szCs w:val="19"/>
                <w:color w:val="auto"/>
              </w:rPr>
            </w:pPr>
          </w:p>
        </w:tc>
      </w:tr>
      <w:tr>
        <w:trPr>
          <w:trHeight w:val="225"/>
        </w:trPr>
        <w:tc>
          <w:tcPr>
            <w:tcW w:w="300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321,009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388,739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427,162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25"/>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equity</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1,151,578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534,412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557,870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506,698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453,288</w:t>
            </w:r>
          </w:p>
        </w:tc>
        <w:tc>
          <w:tcPr>
            <w:tcW w:w="60" w:type="dxa"/>
            <w:vAlign w:val="bottom"/>
            <w:shd w:val="clear" w:color="auto" w:fill="CCEEFF"/>
          </w:tcPr>
          <w:p>
            <w:pPr>
              <w:spacing w:after="0"/>
              <w:rPr>
                <w:sz w:val="19"/>
                <w:szCs w:val="19"/>
                <w:color w:val="auto"/>
              </w:rPr>
            </w:pPr>
          </w:p>
        </w:tc>
      </w:tr>
      <w:tr>
        <w:trPr>
          <w:trHeight w:val="106"/>
        </w:trPr>
        <w:tc>
          <w:tcPr>
            <w:tcW w:w="22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305" w:lineRule="exact"/>
        <w:rPr>
          <w:sz w:val="20"/>
          <w:szCs w:val="20"/>
          <w:color w:val="auto"/>
        </w:rPr>
      </w:pPr>
    </w:p>
    <w:p>
      <w:pPr>
        <w:ind w:left="320" w:right="39" w:hanging="319"/>
        <w:spacing w:after="0" w:line="268"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connection with the Acquisition of KCG, we recognized significant revenue increase in commissions, net and technology services for the year ended December 31, 2017. Commissions and fees are primarily affected by changes in our equity, fixed income and futures transaction volumes with institutional clients, client relationships; changes in commission rates; client experience on the various platforms; level of volume based fees from providing liquidity to other trading venues; and the level of soft dollar and commission recapture activity.</w:t>
      </w:r>
    </w:p>
    <w:p>
      <w:pPr>
        <w:spacing w:after="0" w:line="178" w:lineRule="exact"/>
        <w:rPr>
          <w:rFonts w:ascii="Arial" w:cs="Arial" w:eastAsia="Arial" w:hAnsi="Arial"/>
          <w:sz w:val="17"/>
          <w:szCs w:val="17"/>
          <w:color w:val="auto"/>
        </w:rPr>
      </w:pPr>
    </w:p>
    <w:p>
      <w:pPr>
        <w:jc w:val="both"/>
        <w:ind w:left="320" w:right="59" w:hanging="319"/>
        <w:spacing w:after="0" w:line="276" w:lineRule="auto"/>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a result of the 2017 Tax Cuts and Jobs Act (“2017 Tax Act”), we recognized a gain of $86.6 million on the reduction of tax receivable agreement obligation during the year ended December 31, 2017. See Note 5, “Tax Receivable Agreements” in Part II Item 8 “Financial Statements and Supplementary Data” of this Form 10-K.</w:t>
      </w:r>
    </w:p>
    <w:p>
      <w:pPr>
        <w:spacing w:after="0" w:line="172" w:lineRule="exact"/>
        <w:rPr>
          <w:rFonts w:ascii="Arial" w:cs="Arial" w:eastAsia="Arial" w:hAnsi="Arial"/>
          <w:sz w:val="17"/>
          <w:szCs w:val="17"/>
          <w:color w:val="auto"/>
        </w:rPr>
      </w:pPr>
    </w:p>
    <w:p>
      <w:pPr>
        <w:ind w:left="320" w:right="99" w:hanging="319"/>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for order flow are a result of the Acquisition of KGC, and primarily represent payments to broker dealer clients, in the normal course of business, for directing their order flow to us.</w:t>
      </w:r>
    </w:p>
    <w:p>
      <w:pPr>
        <w:spacing w:after="0" w:line="179" w:lineRule="exact"/>
        <w:rPr>
          <w:rFonts w:ascii="Arial" w:cs="Arial" w:eastAsia="Arial" w:hAnsi="Arial"/>
          <w:sz w:val="18"/>
          <w:szCs w:val="18"/>
          <w:color w:val="auto"/>
        </w:rPr>
      </w:pPr>
    </w:p>
    <w:p>
      <w:pPr>
        <w:ind w:left="320" w:right="19" w:hanging="319"/>
        <w:spacing w:after="0" w:line="248"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Virtu Financial entered into a $320.0 million senior secured credit facility in 2011, and it went through multiple rounds of refinancing during the years ended December 31, 2013 and 2016. In 2017, in connection with the Acquisition of KCG, the existing senior secured credit facility was terminated, and Virtu Financial entered into the Fourth Amended and Restated Credit Agreement of $1,150.0 million, and issued senior secured second lien notes of $500.0 million. During the refinancing and termination of the existing credit facility, a portion of certain financing costs that were scheduled to be amortized over the term of the loan, including original issue discount and underwriting and legal fees, were accelerated and recognized at the closing of the transactions.</w:t>
      </w:r>
    </w:p>
    <w:p>
      <w:pPr>
        <w:spacing w:after="0" w:line="196" w:lineRule="exact"/>
        <w:rPr>
          <w:rFonts w:ascii="Arial" w:cs="Arial" w:eastAsia="Arial" w:hAnsi="Arial"/>
          <w:sz w:val="18"/>
          <w:szCs w:val="18"/>
          <w:color w:val="auto"/>
        </w:rPr>
      </w:pPr>
    </w:p>
    <w:p>
      <w:pPr>
        <w:ind w:left="320" w:right="19" w:hanging="319"/>
        <w:spacing w:after="0" w:line="214" w:lineRule="exact"/>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Initial public offering fees and expenses reflect costs directly attributable to our initial public offering process, which was postponed in April 2014. We accounted for such costs in accordance with ASC 340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xml:space="preserve"> ASC 340 states that costs directly attributable to a successfully completed offering of equity securities may be deferred and charged against the gross proceeds of the offering as a reduction of additional paid</w:t>
      </w:r>
      <w:r>
        <w:rPr>
          <w:rFonts w:ascii="MS PGothic" w:cs="MS PGothic" w:eastAsia="MS PGothic" w:hAnsi="MS PGothic"/>
          <w:sz w:val="18"/>
          <w:szCs w:val="18"/>
          <w:color w:val="auto"/>
        </w:rPr>
        <w:t>‑</w:t>
      </w:r>
      <w:r>
        <w:rPr>
          <w:rFonts w:ascii="Arial" w:cs="Arial" w:eastAsia="Arial" w:hAnsi="Arial"/>
          <w:sz w:val="18"/>
          <w:szCs w:val="18"/>
          <w:color w:val="auto"/>
        </w:rPr>
        <w:t>in capital, but for an offering postponed for a period greater than 90 days, the offering costs must be charged as an expense in the period the offering process was postponed.</w:t>
      </w:r>
    </w:p>
    <w:p>
      <w:pPr>
        <w:spacing w:after="0" w:line="203" w:lineRule="exact"/>
        <w:rPr>
          <w:rFonts w:ascii="Arial" w:cs="Arial" w:eastAsia="Arial" w:hAnsi="Arial"/>
          <w:sz w:val="18"/>
          <w:szCs w:val="18"/>
          <w:color w:val="auto"/>
        </w:rPr>
      </w:pPr>
    </w:p>
    <w:p>
      <w:pPr>
        <w:ind w:left="320" w:right="679" w:hanging="319"/>
        <w:spacing w:after="0" w:line="364"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Transaction advisory fees reflect professional fees incurred by us in connection with the Temasek Transaction and Acquisition of KCG, which were consummated on December 31, 2014 and July 20, 2017, respectively.</w:t>
      </w:r>
    </w:p>
    <w:p>
      <w:pPr>
        <w:spacing w:after="0" w:line="111" w:lineRule="exact"/>
        <w:rPr>
          <w:rFonts w:ascii="Arial" w:cs="Arial" w:eastAsia="Arial" w:hAnsi="Arial"/>
          <w:sz w:val="15"/>
          <w:szCs w:val="15"/>
          <w:color w:val="auto"/>
        </w:rPr>
      </w:pPr>
    </w:p>
    <w:p>
      <w:pPr>
        <w:ind w:left="320" w:right="59" w:hanging="319"/>
        <w:spacing w:after="0" w:line="249"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December 2015, the enforcement committee of the AMF fined the Company’s European subsidiary in the amount of €5.0 million (approximately $5.4 million) based on its allegations that the subsidiary of Madison Tyler Holdings, LLC engaged in price manipulation and violations of the AMF General Regulation and Euronext Market Rules. In accordance with the foregoing, we accrued an estimated loss in relation to the fine imposed by the AMF. In May 2017, the fine was reduced to €3.0 million (approximately $3.5 million), subject to an incremental charge of €0.3 million (approximately $0.4 million).</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320" w:right="20" w:hanging="319"/>
        <w:spacing w:after="0" w:line="214" w:lineRule="exact"/>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Represents non</w:t>
      </w:r>
      <w:r>
        <w:rPr>
          <w:rFonts w:ascii="MS PGothic" w:cs="MS PGothic" w:eastAsia="MS PGothic" w:hAnsi="MS PGothic"/>
          <w:sz w:val="15"/>
          <w:szCs w:val="15"/>
          <w:color w:val="auto"/>
        </w:rPr>
        <w:t>‑</w:t>
      </w:r>
      <w:r>
        <w:rPr>
          <w:rFonts w:ascii="Arial" w:cs="Arial" w:eastAsia="Arial" w:hAnsi="Arial"/>
          <w:sz w:val="15"/>
          <w:szCs w:val="15"/>
          <w:color w:val="auto"/>
        </w:rPr>
        <w:t>cash compensation expenses in respect of the outstanding time vested Class B interests of Virtu Financial and East MIP Class B interests recognized at the consummation of the IPO and through the year ended December 31, 2015, net of $9.2 million and $8.5 million in capitalization and amortization, respectively, of the costs attributable to employees incurred in development of software for internal use. We continued to capitalize and amortize the costs related to development on the software for internal use for the years ended December 31, 2017 and 2016.</w:t>
      </w:r>
    </w:p>
    <w:p>
      <w:pPr>
        <w:spacing w:after="0" w:line="202" w:lineRule="exact"/>
        <w:rPr>
          <w:rFonts w:ascii="Arial" w:cs="Arial" w:eastAsia="Arial" w:hAnsi="Arial"/>
          <w:sz w:val="15"/>
          <w:szCs w:val="15"/>
          <w:color w:val="auto"/>
        </w:rPr>
      </w:pPr>
    </w:p>
    <w:p>
      <w:pPr>
        <w:ind w:left="320" w:right="100" w:hanging="319"/>
        <w:spacing w:after="0" w:line="271" w:lineRule="auto"/>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a result of the 2017 Tax Act, the U.S. statutory corporate tax rate has been lowered from 35% to 21% and certain deductions have been eliminated. We have reasonably estimated the effect of the 2017 Tax Act, and recorded a provisional deferred tax expense for the impact of the 2017 Tax Act of approximately $90.6 million. See Note 13, “Income Taxes” in Part II Item 8 “Financial Statements and Supplementary Data” of this Form 10-K.</w:t>
      </w:r>
    </w:p>
    <w:p>
      <w:pPr>
        <w:spacing w:after="0" w:line="175" w:lineRule="exact"/>
        <w:rPr>
          <w:rFonts w:ascii="Arial" w:cs="Arial" w:eastAsia="Arial" w:hAnsi="Arial"/>
          <w:sz w:val="17"/>
          <w:szCs w:val="17"/>
          <w:color w:val="auto"/>
        </w:rPr>
      </w:pPr>
    </w:p>
    <w:p>
      <w:pPr>
        <w:ind w:left="320" w:hanging="319"/>
        <w:spacing w:after="0" w:line="214" w:lineRule="exact"/>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Class A</w:t>
      </w:r>
      <w:r>
        <w:rPr>
          <w:rFonts w:ascii="MS PGothic" w:cs="MS PGothic" w:eastAsia="MS PGothic" w:hAnsi="MS PGothic"/>
          <w:sz w:val="17"/>
          <w:szCs w:val="17"/>
          <w:color w:val="auto"/>
        </w:rPr>
        <w:t>‑</w:t>
      </w:r>
      <w:r>
        <w:rPr>
          <w:rFonts w:ascii="Arial" w:cs="Arial" w:eastAsia="Arial" w:hAnsi="Arial"/>
          <w:sz w:val="17"/>
          <w:szCs w:val="17"/>
          <w:color w:val="auto"/>
        </w:rPr>
        <w:t>1 interests of Virtu Financial were convertible by the holders at any time into an equivalent number of Class A</w:t>
      </w:r>
      <w:r>
        <w:rPr>
          <w:rFonts w:ascii="MS PGothic" w:cs="MS PGothic" w:eastAsia="MS PGothic" w:hAnsi="MS PGothic"/>
          <w:sz w:val="17"/>
          <w:szCs w:val="17"/>
          <w:color w:val="auto"/>
        </w:rPr>
        <w:t>‑</w:t>
      </w:r>
      <w:r>
        <w:rPr>
          <w:rFonts w:ascii="Arial" w:cs="Arial" w:eastAsia="Arial" w:hAnsi="Arial"/>
          <w:sz w:val="17"/>
          <w:szCs w:val="17"/>
          <w:color w:val="auto"/>
        </w:rPr>
        <w:t>2 capital interests of Virtu Financial and, in a sale or other specified capital transaction, holders were entitled to receive distributions up to specified preference amounts before holders of Class A</w:t>
      </w:r>
      <w:r>
        <w:rPr>
          <w:rFonts w:ascii="MS PGothic" w:cs="MS PGothic" w:eastAsia="MS PGothic" w:hAnsi="MS PGothic"/>
          <w:sz w:val="17"/>
          <w:szCs w:val="17"/>
          <w:color w:val="auto"/>
        </w:rPr>
        <w:t>‑</w:t>
      </w:r>
      <w:r>
        <w:rPr>
          <w:rFonts w:ascii="Arial" w:cs="Arial" w:eastAsia="Arial" w:hAnsi="Arial"/>
          <w:sz w:val="17"/>
          <w:szCs w:val="17"/>
          <w:color w:val="auto"/>
        </w:rPr>
        <w:t>2 capital interests of Virtu Financial were entitled to receive distributions. In connection with the Reorganization Transactions, all of the existing equity interests in Virtu Financial were reclassified into Virtu Financial Units. See Note 15, “Capital Structure” within our consolidated financial statements.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7"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i w:val="1"/>
          <w:iCs w:val="1"/>
          <w:color w:val="auto"/>
        </w:rPr>
        <w:t>The following management’s discussion and analysis the years ended December 31, 2017, 2016, and 2015 and should be read in conjunction with the audited consolidated financial statements for the years ended December 31, 2017, 2016 and 2015. This discussion contains forward-looking statements that involve risks and uncertainties. Our actual results could differ materially from those discussed below. Unless otherwise stated, all amounts are presented in thousands of dollars.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3" w:lineRule="exact"/>
        <w:rPr>
          <w:sz w:val="20"/>
          <w:szCs w:val="20"/>
          <w:color w:val="auto"/>
        </w:rPr>
      </w:pPr>
    </w:p>
    <w:p>
      <w:pPr>
        <w:ind w:firstLine="635"/>
        <w:spacing w:after="0" w:line="298" w:lineRule="auto"/>
        <w:rPr>
          <w:sz w:val="20"/>
          <w:szCs w:val="20"/>
          <w:color w:val="auto"/>
        </w:rPr>
      </w:pPr>
      <w:r>
        <w:rPr>
          <w:rFonts w:ascii="Arial" w:cs="Arial" w:eastAsia="Arial" w:hAnsi="Arial"/>
          <w:sz w:val="15"/>
          <w:szCs w:val="15"/>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200" w:lineRule="exact"/>
        <w:rPr>
          <w:sz w:val="20"/>
          <w:szCs w:val="20"/>
          <w:color w:val="auto"/>
        </w:rPr>
      </w:pPr>
    </w:p>
    <w:p>
      <w:pPr>
        <w:spacing w:after="0" w:line="366" w:lineRule="exact"/>
        <w:rPr>
          <w:sz w:val="20"/>
          <w:szCs w:val="20"/>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levels of overall trading activity;</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dependence upon trading counterparties and clearing houses performing their obligations to us;</w:t>
      </w:r>
    </w:p>
    <w:p>
      <w:pPr>
        <w:spacing w:after="0" w:line="145" w:lineRule="exact"/>
        <w:rPr>
          <w:rFonts w:ascii="Arial" w:cs="Arial" w:eastAsia="Arial" w:hAnsi="Arial"/>
          <w:sz w:val="15"/>
          <w:szCs w:val="15"/>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failures of our customized trading platform;</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inherent to the electronic market making business and trading generally;</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in market making activities and execution services;</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dependence on continued access to sources of liquidity;</w:t>
      </w:r>
    </w:p>
    <w:p>
      <w:pPr>
        <w:spacing w:after="0" w:line="110" w:lineRule="exact"/>
        <w:rPr>
          <w:rFonts w:ascii="Arial" w:cs="Arial" w:eastAsia="Arial" w:hAnsi="Arial"/>
          <w:sz w:val="18"/>
          <w:szCs w:val="18"/>
          <w:color w:val="auto"/>
        </w:rPr>
      </w:pPr>
    </w:p>
    <w:p>
      <w:pPr>
        <w:ind w:left="1900" w:hanging="312"/>
        <w:spacing w:after="0" w:line="207" w:lineRule="exact"/>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self</w:t>
      </w:r>
      <w:r>
        <w:rPr>
          <w:rFonts w:ascii="MS PGothic" w:cs="MS PGothic" w:eastAsia="MS PGothic" w:hAnsi="MS PGothic"/>
          <w:sz w:val="18"/>
          <w:szCs w:val="18"/>
          <w:color w:val="auto"/>
        </w:rPr>
        <w:t>‑</w:t>
      </w:r>
      <w:r>
        <w:rPr>
          <w:rFonts w:ascii="Arial" w:cs="Arial" w:eastAsia="Arial" w:hAnsi="Arial"/>
          <w:sz w:val="18"/>
          <w:szCs w:val="18"/>
          <w:color w:val="auto"/>
        </w:rPr>
        <w:t>clearing and other operational elements of our business;</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laws and regulations, including those specific to our industry;</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obligation to comply with applicable regulatory capital requirements;</w:t>
      </w:r>
    </w:p>
    <w:p>
      <w:pPr>
        <w:spacing w:after="0" w:line="110" w:lineRule="exact"/>
        <w:rPr>
          <w:rFonts w:ascii="Arial" w:cs="Arial" w:eastAsia="Arial" w:hAnsi="Arial"/>
          <w:sz w:val="18"/>
          <w:szCs w:val="18"/>
          <w:color w:val="auto"/>
        </w:rPr>
      </w:pPr>
    </w:p>
    <w:p>
      <w:pPr>
        <w:ind w:left="1900" w:hanging="312"/>
        <w:spacing w:after="0" w:line="207" w:lineRule="exact"/>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or other legal and regulatory</w:t>
      </w:r>
      <w:r>
        <w:rPr>
          <w:rFonts w:ascii="MS PGothic" w:cs="MS PGothic" w:eastAsia="MS PGothic" w:hAnsi="MS PGothic"/>
          <w:sz w:val="18"/>
          <w:szCs w:val="18"/>
          <w:color w:val="auto"/>
        </w:rPr>
        <w:t>‑</w:t>
      </w:r>
      <w:r>
        <w:rPr>
          <w:rFonts w:ascii="Arial" w:cs="Arial" w:eastAsia="Arial" w:hAnsi="Arial"/>
          <w:sz w:val="18"/>
          <w:szCs w:val="18"/>
          <w:color w:val="auto"/>
        </w:rPr>
        <w:t>based liabilities;</w:t>
      </w:r>
    </w:p>
    <w:p>
      <w:pPr>
        <w:spacing w:after="0" w:line="110" w:lineRule="exact"/>
        <w:rPr>
          <w:rFonts w:ascii="Arial" w:cs="Arial" w:eastAsia="Arial" w:hAnsi="Arial"/>
          <w:sz w:val="18"/>
          <w:szCs w:val="18"/>
          <w:color w:val="auto"/>
        </w:rPr>
      </w:pPr>
    </w:p>
    <w:p>
      <w:pPr>
        <w:ind w:left="1900" w:right="520" w:hanging="312"/>
        <w:spacing w:after="0" w:line="264" w:lineRule="auto"/>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proposed legislation that would impose taxes on certain financial transactions in the European Union, the U.S. and other jurisdictions;</w:t>
      </w:r>
    </w:p>
    <w:p>
      <w:pPr>
        <w:spacing w:after="0" w:line="73"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obligation to comply with laws and regulations applicable to our international operations;</w:t>
      </w:r>
    </w:p>
    <w:p>
      <w:pPr>
        <w:spacing w:after="0" w:line="110" w:lineRule="exact"/>
        <w:rPr>
          <w:rFonts w:ascii="Arial" w:cs="Arial" w:eastAsia="Arial" w:hAnsi="Arial"/>
          <w:sz w:val="18"/>
          <w:szCs w:val="18"/>
          <w:color w:val="auto"/>
        </w:rPr>
      </w:pPr>
    </w:p>
    <w:p>
      <w:pPr>
        <w:ind w:left="1900" w:right="60" w:hanging="312"/>
        <w:spacing w:after="0" w:line="264" w:lineRule="auto"/>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enhanced media and regulatory scrutiny and its impact upon public perception of us or of companies in our industry;</w:t>
      </w:r>
    </w:p>
    <w:p>
      <w:pPr>
        <w:spacing w:after="0" w:line="73" w:lineRule="exact"/>
        <w:rPr>
          <w:rFonts w:ascii="Arial" w:cs="Arial" w:eastAsia="Arial" w:hAnsi="Arial"/>
          <w:sz w:val="18"/>
          <w:szCs w:val="18"/>
          <w:color w:val="auto"/>
        </w:rPr>
      </w:pPr>
    </w:p>
    <w:p>
      <w:pPr>
        <w:ind w:left="1900" w:hanging="312"/>
        <w:spacing w:after="0"/>
        <w:tabs>
          <w:tab w:leader="none" w:pos="1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need to maintain and continue developing proprietary technologies;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1900" w:hanging="312"/>
        <w:spacing w:after="0"/>
        <w:tabs>
          <w:tab w:leader="none" w:pos="1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failure to maintain system security or otherwise maintain confidential and proprietary information;</w:t>
      </w:r>
    </w:p>
    <w:p>
      <w:pPr>
        <w:spacing w:after="0" w:line="145" w:lineRule="exact"/>
        <w:rPr>
          <w:rFonts w:ascii="Arial" w:cs="Arial" w:eastAsia="Arial" w:hAnsi="Arial"/>
          <w:sz w:val="15"/>
          <w:szCs w:val="15"/>
          <w:color w:val="auto"/>
        </w:rPr>
      </w:pPr>
    </w:p>
    <w:p>
      <w:pPr>
        <w:ind w:left="1900" w:right="560" w:hanging="312"/>
        <w:spacing w:after="0" w:line="264"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the Acquisition of KCG on existing business relationships, operating results, and ongoing business operations generally;</w:t>
      </w:r>
    </w:p>
    <w:p>
      <w:pPr>
        <w:spacing w:after="0" w:line="73" w:lineRule="exact"/>
        <w:rPr>
          <w:rFonts w:ascii="Arial" w:cs="Arial" w:eastAsia="Arial" w:hAnsi="Arial"/>
          <w:sz w:val="18"/>
          <w:szCs w:val="18"/>
          <w:color w:val="auto"/>
        </w:rPr>
      </w:pPr>
    </w:p>
    <w:p>
      <w:pPr>
        <w:ind w:left="1900" w:right="40" w:hanging="312"/>
        <w:spacing w:after="0" w:line="264"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significant costs and significant indebtedness that we incurred in connection with the Acquisition of KCG, and the integration of KCG into our business;</w:t>
      </w:r>
    </w:p>
    <w:p>
      <w:pPr>
        <w:spacing w:after="0" w:line="73" w:lineRule="exact"/>
        <w:rPr>
          <w:rFonts w:ascii="Arial" w:cs="Arial" w:eastAsia="Arial" w:hAnsi="Arial"/>
          <w:sz w:val="18"/>
          <w:szCs w:val="18"/>
          <w:color w:val="auto"/>
        </w:rPr>
      </w:pPr>
    </w:p>
    <w:p>
      <w:pPr>
        <w:ind w:left="1900" w:right="60" w:hanging="312"/>
        <w:spacing w:after="0" w:line="364" w:lineRule="auto"/>
        <w:tabs>
          <w:tab w:leader="none" w:pos="1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risk that we may encounter significant difficulties or delays in integrating the two businesses and the anticipated benefits, costs savings and synergies or capital release may not be achieved;</w:t>
      </w:r>
    </w:p>
    <w:p>
      <w:pPr>
        <w:spacing w:after="0" w:line="5" w:lineRule="exact"/>
        <w:rPr>
          <w:rFonts w:ascii="Arial" w:cs="Arial" w:eastAsia="Arial" w:hAnsi="Arial"/>
          <w:sz w:val="15"/>
          <w:szCs w:val="15"/>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assumption of potential liabilities relating to KCG’s business;</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capacity constraints, system failures, and delays;</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dependence on third party infrastructure or systems;</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open source software;</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in our proprietary technology;</w:t>
      </w:r>
    </w:p>
    <w:p>
      <w:pPr>
        <w:spacing w:after="0" w:line="110" w:lineRule="exact"/>
        <w:rPr>
          <w:rFonts w:ascii="Arial" w:cs="Arial" w:eastAsia="Arial" w:hAnsi="Arial"/>
          <w:sz w:val="18"/>
          <w:szCs w:val="18"/>
          <w:color w:val="auto"/>
        </w:rPr>
      </w:pPr>
    </w:p>
    <w:p>
      <w:pPr>
        <w:ind w:left="1900" w:right="640" w:hanging="312"/>
        <w:spacing w:after="0" w:line="264"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international operations and expansion, including failed acquisitions or dispositions;</w:t>
      </w:r>
    </w:p>
    <w:p>
      <w:pPr>
        <w:spacing w:after="0" w:line="73" w:lineRule="exact"/>
        <w:rPr>
          <w:rFonts w:ascii="Arial" w:cs="Arial" w:eastAsia="Arial" w:hAnsi="Arial"/>
          <w:sz w:val="18"/>
          <w:szCs w:val="18"/>
          <w:color w:val="auto"/>
        </w:rPr>
      </w:pPr>
    </w:p>
    <w:p>
      <w:pPr>
        <w:ind w:left="1900" w:right="60" w:hanging="312"/>
        <w:spacing w:after="0" w:line="250" w:lineRule="auto"/>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86" w:lineRule="exact"/>
        <w:rPr>
          <w:rFonts w:ascii="Arial" w:cs="Arial" w:eastAsia="Arial" w:hAnsi="Arial"/>
          <w:sz w:val="18"/>
          <w:szCs w:val="18"/>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potential growth and associated corporate actions;</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or delay, in accessing the capital markets to sell shares or raise additional capital;</w:t>
      </w:r>
    </w:p>
    <w:p>
      <w:pPr>
        <w:spacing w:after="0" w:line="122" w:lineRule="exact"/>
        <w:rPr>
          <w:rFonts w:ascii="Arial" w:cs="Arial" w:eastAsia="Arial" w:hAnsi="Arial"/>
          <w:sz w:val="17"/>
          <w:szCs w:val="17"/>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key executives and failure to recruit and retain qualified personnel; and</w:t>
      </w:r>
    </w:p>
    <w:p>
      <w:pPr>
        <w:spacing w:after="0" w:line="110" w:lineRule="exact"/>
        <w:rPr>
          <w:rFonts w:ascii="Arial" w:cs="Arial" w:eastAsia="Arial" w:hAnsi="Arial"/>
          <w:sz w:val="18"/>
          <w:szCs w:val="18"/>
          <w:color w:val="auto"/>
        </w:rPr>
      </w:pPr>
    </w:p>
    <w:p>
      <w:pPr>
        <w:ind w:left="1900" w:hanging="312"/>
        <w:spacing w:after="0"/>
        <w:tabs>
          <w:tab w:leader="none" w:pos="1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losing access to a significant exchange or other trading venue.</w:t>
      </w:r>
    </w:p>
    <w:p>
      <w:pPr>
        <w:spacing w:after="0" w:line="177" w:lineRule="exact"/>
        <w:rPr>
          <w:sz w:val="20"/>
          <w:szCs w:val="20"/>
          <w:color w:val="auto"/>
        </w:rPr>
      </w:pPr>
    </w:p>
    <w:p>
      <w:pPr>
        <w:ind w:right="120" w:firstLine="635"/>
        <w:spacing w:after="0" w:line="312" w:lineRule="auto"/>
        <w:rPr>
          <w:sz w:val="20"/>
          <w:szCs w:val="20"/>
          <w:color w:val="auto"/>
        </w:rPr>
      </w:pPr>
      <w:r>
        <w:rPr>
          <w:rFonts w:ascii="Arial" w:cs="Arial" w:eastAsia="Arial" w:hAnsi="Arial"/>
          <w:sz w:val="15"/>
          <w:szCs w:val="15"/>
          <w:color w:val="auto"/>
        </w:rPr>
        <w:t>Our forward-looking statements made herein are made only as of the date of this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196" w:lineRule="exact"/>
        <w:rPr>
          <w:sz w:val="20"/>
          <w:szCs w:val="20"/>
          <w:color w:val="auto"/>
        </w:rPr>
      </w:pPr>
    </w:p>
    <w:p>
      <w:pPr>
        <w:ind w:firstLine="635"/>
        <w:spacing w:after="0" w:line="302" w:lineRule="auto"/>
        <w:rPr>
          <w:sz w:val="20"/>
          <w:szCs w:val="20"/>
          <w:color w:val="auto"/>
        </w:rPr>
      </w:pPr>
      <w:r>
        <w:rPr>
          <w:rFonts w:ascii="Arial" w:cs="Arial" w:eastAsia="Arial" w:hAnsi="Arial"/>
          <w:sz w:val="15"/>
          <w:szCs w:val="15"/>
          <w:color w:val="auto"/>
        </w:rPr>
        <w:t>Our audited consolidated financial statements for the year ended December 31, 2017 reflect our operations and those of our consolidated subsidiaries. As discussed in Note 1 “Organization and Basis of Presentation” and in Note 3 “Acquisition of KCG Holdings Inc.” of Part II Item 8 “Financial Statements and Supplementary Data” of this Form 10-K, we are accounting for the Acquisition of KCG under the acquisition method of accounting. Under the acquisition method of accounting, the assets and liabilities of KCG, as of the Closing Date, were recorded at their respective fair values and added to the carrying value of our existing assets and liabilities. Our reported financial condition, results of operations and cash flows for the periods following the Acquisition reflect KCG's and our balances and reflect the impact of purchase accounting adjustments, including revised amortization and depreciation expense for acquired assets. As we are the accounting acquirer, the financial results for the year ended December 31, 2017 comprise our results for the entire applicable period and the results of KCG from the Closing Date through December 31, 2017. All periods prior to the Closing Date comprise solely our results.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ind w:firstLine="635"/>
        <w:spacing w:after="0" w:line="250" w:lineRule="auto"/>
        <w:rPr>
          <w:sz w:val="20"/>
          <w:szCs w:val="20"/>
          <w:color w:val="auto"/>
        </w:rPr>
      </w:pPr>
      <w:r>
        <w:rPr>
          <w:rFonts w:ascii="Arial" w:cs="Arial" w:eastAsia="Arial" w:hAnsi="Arial"/>
          <w:sz w:val="18"/>
          <w:szCs w:val="18"/>
          <w:color w:val="auto"/>
        </w:rPr>
        <w:t>We are a leading financial services firm that leverages cutting edge technology to deliver liquidity to the global markets and innovative, transparent trading solutions to our clients. We believe that our broad diversification, in combination with our proprietary technology platform and low-cost structure, enables us to facilitate risk transfer between global capital markets participants by supplying competitive liquidity and execution services while at the same time earning attractive margins and returns.</w:t>
      </w:r>
    </w:p>
    <w:p>
      <w:pPr>
        <w:spacing w:after="0" w:line="192" w:lineRule="exact"/>
        <w:rPr>
          <w:sz w:val="20"/>
          <w:szCs w:val="20"/>
          <w:color w:val="auto"/>
        </w:rPr>
      </w:pPr>
    </w:p>
    <w:p>
      <w:pPr>
        <w:ind w:right="20" w:firstLine="635"/>
        <w:spacing w:after="0" w:line="308" w:lineRule="auto"/>
        <w:rPr>
          <w:sz w:val="20"/>
          <w:szCs w:val="20"/>
          <w:color w:val="auto"/>
        </w:rPr>
      </w:pPr>
      <w:r>
        <w:rPr>
          <w:rFonts w:ascii="Arial" w:cs="Arial" w:eastAsia="Arial" w:hAnsi="Arial"/>
          <w:sz w:val="15"/>
          <w:szCs w:val="15"/>
          <w:color w:val="auto"/>
        </w:rPr>
        <w:t>Technology and operational efficiency are at the core of our business, and our focus on market making technology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costs or third party licensing or processing fees.</w:t>
      </w:r>
    </w:p>
    <w:p>
      <w:pPr>
        <w:spacing w:after="0" w:line="153" w:lineRule="exact"/>
        <w:rPr>
          <w:sz w:val="20"/>
          <w:szCs w:val="20"/>
          <w:color w:val="auto"/>
        </w:rPr>
      </w:pPr>
    </w:p>
    <w:p>
      <w:pPr>
        <w:jc w:val="both"/>
        <w:ind w:right="20" w:firstLine="635"/>
        <w:spacing w:after="0" w:line="317" w:lineRule="auto"/>
        <w:rPr>
          <w:sz w:val="20"/>
          <w:szCs w:val="20"/>
          <w:color w:val="auto"/>
        </w:rPr>
      </w:pPr>
      <w:r>
        <w:rPr>
          <w:rFonts w:ascii="Arial" w:cs="Arial" w:eastAsia="Arial" w:hAnsi="Arial"/>
          <w:sz w:val="15"/>
          <w:szCs w:val="15"/>
          <w:color w:val="auto"/>
        </w:rPr>
        <w:t>We believe that technology-enabled market makers like Virtu serve an important role in maintaining and improving the overall health and efficiency of the global capital markets by continuously posting bids and offers for financial instruments and thereby providing market participants a transparent and efficient means to transfer risk. All market participants benefit from the increased liquidity, lower overall trading costs and execution certainty that Virtu provides.</w:t>
      </w:r>
    </w:p>
    <w:p>
      <w:pPr>
        <w:spacing w:after="0" w:line="147" w:lineRule="exact"/>
        <w:rPr>
          <w:sz w:val="20"/>
          <w:szCs w:val="20"/>
          <w:color w:val="auto"/>
        </w:rPr>
      </w:pPr>
    </w:p>
    <w:p>
      <w:pPr>
        <w:ind w:right="20" w:firstLine="635"/>
        <w:spacing w:after="0" w:line="249" w:lineRule="auto"/>
        <w:rPr>
          <w:sz w:val="20"/>
          <w:szCs w:val="20"/>
          <w:color w:val="auto"/>
        </w:rPr>
      </w:pPr>
      <w:r>
        <w:rPr>
          <w:rFonts w:ascii="Arial" w:cs="Arial" w:eastAsia="Arial" w:hAnsi="Arial"/>
          <w:sz w:val="18"/>
          <w:szCs w:val="18"/>
          <w:color w:val="auto"/>
        </w:rPr>
        <w:t>As described in “Acquisition of KCG” below, on the Closing Date, we completed our acquisition of KCG. KCG was a leading independent securities firm offering clients a range of services designed to address trading needs across asset classes, product types and geographies. KCG combined advanced technology with specialized client service across market making, agency execution and trading venues and also engaged in principal trading via exchange-based electronic market making. KCG offered multiple access points to trade global equities, options, futures, fixed income, currencies and commodities available via voice or electronically.</w:t>
      </w:r>
    </w:p>
    <w:p>
      <w:pPr>
        <w:spacing w:after="0" w:line="193" w:lineRule="exact"/>
        <w:rPr>
          <w:sz w:val="20"/>
          <w:szCs w:val="20"/>
          <w:color w:val="auto"/>
        </w:rPr>
      </w:pPr>
    </w:p>
    <w:p>
      <w:pPr>
        <w:ind w:right="80" w:firstLine="635"/>
        <w:spacing w:after="0" w:line="329" w:lineRule="auto"/>
        <w:rPr>
          <w:sz w:val="20"/>
          <w:szCs w:val="20"/>
          <w:color w:val="auto"/>
        </w:rPr>
      </w:pPr>
      <w:r>
        <w:rPr>
          <w:rFonts w:ascii="Arial" w:cs="Arial" w:eastAsia="Arial" w:hAnsi="Arial"/>
          <w:sz w:val="15"/>
          <w:szCs w:val="15"/>
          <w:color w:val="auto"/>
        </w:rPr>
        <w:t>Prior to the Acquisition of KCG, Virtu operated as a single reportable business segment. As a result of the Acquisition of KCG, beginning in the third quarter of 2017, Virtu has three operating segments: Market Making, Execution Services, and Corporate. Our management allocates resources, assesses performance and manages our business according to these segments:</w:t>
      </w:r>
    </w:p>
    <w:p>
      <w:pPr>
        <w:spacing w:after="0" w:line="137" w:lineRule="exact"/>
        <w:rPr>
          <w:sz w:val="20"/>
          <w:szCs w:val="20"/>
          <w:color w:val="auto"/>
        </w:rPr>
      </w:pPr>
    </w:p>
    <w:p>
      <w:pPr>
        <w:ind w:left="1280" w:hanging="32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Making,</w:t>
      </w:r>
    </w:p>
    <w:p>
      <w:pPr>
        <w:spacing w:after="0" w:line="216" w:lineRule="exact"/>
        <w:rPr>
          <w:rFonts w:ascii="Arial" w:cs="Arial" w:eastAsia="Arial" w:hAnsi="Arial"/>
          <w:sz w:val="18"/>
          <w:szCs w:val="18"/>
          <w:color w:val="auto"/>
        </w:rPr>
      </w:pPr>
    </w:p>
    <w:p>
      <w:pPr>
        <w:ind w:left="1280" w:hanging="32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Execution Services, and</w:t>
      </w:r>
    </w:p>
    <w:p>
      <w:pPr>
        <w:spacing w:after="0" w:line="216" w:lineRule="exact"/>
        <w:rPr>
          <w:rFonts w:ascii="Arial" w:cs="Arial" w:eastAsia="Arial" w:hAnsi="Arial"/>
          <w:sz w:val="18"/>
          <w:szCs w:val="18"/>
          <w:color w:val="auto"/>
        </w:rPr>
      </w:pPr>
    </w:p>
    <w:p>
      <w:pPr>
        <w:ind w:left="1280" w:hanging="327"/>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Corporate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believe that the most relevant asset class distinctions and venues for the markets we serve include the following: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Classes</w:t>
            </w:r>
          </w:p>
        </w:tc>
        <w:tc>
          <w:tcPr>
            <w:tcW w:w="180" w:type="dxa"/>
            <w:vAlign w:val="bottom"/>
            <w:tcBorders>
              <w:bottom w:val="single" w:sz="8" w:color="CCEEFF"/>
            </w:tcBorders>
          </w:tcPr>
          <w:p>
            <w:pPr>
              <w:spacing w:after="0"/>
              <w:rPr>
                <w:sz w:val="14"/>
                <w:szCs w:val="14"/>
                <w:color w:val="auto"/>
              </w:rPr>
            </w:pPr>
          </w:p>
        </w:tc>
        <w:tc>
          <w:tcPr>
            <w:tcW w:w="47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Selected Venues in Which We Make Markets</w:t>
            </w:r>
          </w:p>
        </w:tc>
      </w:tr>
      <w:tr>
        <w:trPr>
          <w:trHeight w:val="193"/>
        </w:trPr>
        <w:tc>
          <w:tcPr>
            <w:tcW w:w="23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Americas Equities</w:t>
            </w:r>
          </w:p>
        </w:tc>
        <w:tc>
          <w:tcPr>
            <w:tcW w:w="18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BATS, BM&amp;F Bovespa, CHX, CME, MexDer, NASDAQ,</w:t>
            </w:r>
          </w:p>
        </w:tc>
      </w:tr>
      <w:tr>
        <w:trPr>
          <w:trHeight w:val="212"/>
        </w:trPr>
        <w:tc>
          <w:tcPr>
            <w:tcW w:w="230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NYSE, NYSE Arca, NYSE American, TSX, major private</w:t>
            </w:r>
          </w:p>
        </w:tc>
      </w:tr>
      <w:tr>
        <w:trPr>
          <w:trHeight w:val="224"/>
        </w:trPr>
        <w:tc>
          <w:tcPr>
            <w:tcW w:w="230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liquidity pools</w:t>
            </w:r>
          </w:p>
        </w:tc>
      </w:tr>
      <w:tr>
        <w:trPr>
          <w:trHeight w:val="199"/>
        </w:trPr>
        <w:tc>
          <w:tcPr>
            <w:tcW w:w="2300" w:type="dxa"/>
            <w:vAlign w:val="bottom"/>
          </w:tcPr>
          <w:p>
            <w:pPr>
              <w:spacing w:after="0" w:line="200" w:lineRule="exact"/>
              <w:rPr>
                <w:sz w:val="20"/>
                <w:szCs w:val="20"/>
                <w:color w:val="auto"/>
              </w:rPr>
            </w:pPr>
            <w:r>
              <w:rPr>
                <w:rFonts w:ascii="Arial" w:cs="Arial" w:eastAsia="Arial" w:hAnsi="Arial"/>
                <w:sz w:val="18"/>
                <w:szCs w:val="18"/>
                <w:color w:val="auto"/>
              </w:rPr>
              <w:t>Rest of World Equities</w:t>
            </w:r>
          </w:p>
        </w:tc>
        <w:tc>
          <w:tcPr>
            <w:tcW w:w="4960" w:type="dxa"/>
            <w:vAlign w:val="bottom"/>
            <w:gridSpan w:val="2"/>
          </w:tcPr>
          <w:p>
            <w:pPr>
              <w:ind w:left="180"/>
              <w:spacing w:after="0" w:line="200" w:lineRule="exact"/>
              <w:rPr>
                <w:sz w:val="20"/>
                <w:szCs w:val="20"/>
                <w:color w:val="auto"/>
              </w:rPr>
            </w:pPr>
            <w:r>
              <w:rPr>
                <w:rFonts w:ascii="Arial" w:cs="Arial" w:eastAsia="Arial" w:hAnsi="Arial"/>
                <w:sz w:val="18"/>
                <w:szCs w:val="18"/>
                <w:color w:val="auto"/>
                <w:w w:val="93"/>
              </w:rPr>
              <w:t>Amsterdam, Aquis, ASX, BATS Europe, Bolsa de Madrid, Borsa</w:t>
            </w:r>
          </w:p>
        </w:tc>
      </w:tr>
      <w:tr>
        <w:trPr>
          <w:trHeight w:val="212"/>
        </w:trPr>
        <w:tc>
          <w:tcPr>
            <w:tcW w:w="2300" w:type="dxa"/>
            <w:vAlign w:val="bottom"/>
          </w:tcPr>
          <w:p>
            <w:pPr>
              <w:spacing w:after="0"/>
              <w:rPr>
                <w:sz w:val="18"/>
                <w:szCs w:val="18"/>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w w:val="92"/>
              </w:rPr>
              <w:t>Italiana, Brussels, EUREX, Euronext -Paris, ICE Futures Europe,</w:t>
            </w:r>
          </w:p>
        </w:tc>
      </w:tr>
      <w:tr>
        <w:trPr>
          <w:trHeight w:val="212"/>
        </w:trPr>
        <w:tc>
          <w:tcPr>
            <w:tcW w:w="2300" w:type="dxa"/>
            <w:vAlign w:val="bottom"/>
          </w:tcPr>
          <w:p>
            <w:pPr>
              <w:spacing w:after="0"/>
              <w:rPr>
                <w:sz w:val="18"/>
                <w:szCs w:val="18"/>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w w:val="88"/>
              </w:rPr>
              <w:t>Johannesburg Stock Exchange, Lisbon, LSE, OSE, SBI Japannext,</w:t>
            </w:r>
          </w:p>
        </w:tc>
      </w:tr>
      <w:tr>
        <w:trPr>
          <w:trHeight w:val="223"/>
        </w:trPr>
        <w:tc>
          <w:tcPr>
            <w:tcW w:w="2300" w:type="dxa"/>
            <w:vAlign w:val="bottom"/>
          </w:tcPr>
          <w:p>
            <w:pPr>
              <w:spacing w:after="0"/>
              <w:rPr>
                <w:sz w:val="19"/>
                <w:szCs w:val="19"/>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SGX, SIX Swiss Exchange, TOCOM, TSE</w:t>
            </w:r>
          </w:p>
        </w:tc>
      </w:tr>
      <w:tr>
        <w:trPr>
          <w:trHeight w:val="200"/>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Global FICC, Options, and</w:t>
            </w:r>
          </w:p>
        </w:tc>
        <w:tc>
          <w:tcPr>
            <w:tcW w:w="4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BOX, BrokerTec, CME, Currenex, EBS, eSpeed, Hotspot, ICE,</w:t>
            </w:r>
          </w:p>
        </w:tc>
      </w:tr>
      <w:tr>
        <w:trPr>
          <w:trHeight w:val="212"/>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ICE Futures Europe, LMAX, NASDAQ Energy Exchange, NYSE</w:t>
            </w:r>
          </w:p>
        </w:tc>
      </w:tr>
      <w:tr>
        <w:trPr>
          <w:trHeight w:val="224"/>
        </w:trPr>
        <w:tc>
          <w:tcPr>
            <w:tcW w:w="230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Arca Options, PHLX, Reuters/Fxall, SGX, TOCOM</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Making</w:t>
      </w:r>
    </w:p>
    <w:p>
      <w:pPr>
        <w:spacing w:after="0" w:line="216" w:lineRule="exact"/>
        <w:rPr>
          <w:sz w:val="20"/>
          <w:szCs w:val="20"/>
          <w:color w:val="auto"/>
        </w:rPr>
      </w:pPr>
    </w:p>
    <w:p>
      <w:pPr>
        <w:ind w:right="240" w:firstLine="635"/>
        <w:spacing w:after="0" w:line="250" w:lineRule="auto"/>
        <w:rPr>
          <w:sz w:val="20"/>
          <w:szCs w:val="20"/>
          <w:color w:val="auto"/>
        </w:rPr>
      </w:pPr>
      <w:r>
        <w:rPr>
          <w:rFonts w:ascii="Arial" w:cs="Arial" w:eastAsia="Arial" w:hAnsi="Arial"/>
          <w:sz w:val="18"/>
          <w:szCs w:val="18"/>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Our market structure expertise, broad diversification, and execution technology enables us to provide competitive bids and offers in over 25,000 securities, at over 235 venues, in 36 countries worldwide.</w:t>
      </w:r>
    </w:p>
    <w:p>
      <w:pPr>
        <w:spacing w:after="0" w:line="192" w:lineRule="exact"/>
        <w:rPr>
          <w:sz w:val="20"/>
          <w:szCs w:val="20"/>
          <w:color w:val="auto"/>
        </w:rPr>
      </w:pPr>
    </w:p>
    <w:p>
      <w:pPr>
        <w:ind w:firstLine="635"/>
        <w:spacing w:after="0" w:line="251" w:lineRule="auto"/>
        <w:rPr>
          <w:sz w:val="20"/>
          <w:szCs w:val="20"/>
          <w:color w:val="auto"/>
        </w:rPr>
      </w:pPr>
      <w:r>
        <w:rPr>
          <w:rFonts w:ascii="Arial" w:cs="Arial" w:eastAsia="Arial" w:hAnsi="Arial"/>
          <w:sz w:val="18"/>
          <w:szCs w:val="18"/>
          <w:color w:val="auto"/>
        </w:rPr>
        <w:t>We believe the overall level of volumes and realized volatility in the various markets we serve have the greatest impact on our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Services</w:t>
      </w:r>
    </w:p>
    <w:p>
      <w:pPr>
        <w:spacing w:after="0" w:line="216" w:lineRule="exact"/>
        <w:rPr>
          <w:sz w:val="20"/>
          <w:szCs w:val="20"/>
          <w:color w:val="auto"/>
        </w:rPr>
      </w:pPr>
    </w:p>
    <w:p>
      <w:pPr>
        <w:ind w:right="100" w:firstLine="635"/>
        <w:spacing w:after="0" w:line="264" w:lineRule="auto"/>
        <w:rPr>
          <w:sz w:val="20"/>
          <w:szCs w:val="20"/>
          <w:color w:val="auto"/>
        </w:rPr>
      </w:pPr>
      <w:r>
        <w:rPr>
          <w:rFonts w:ascii="Arial" w:cs="Arial" w:eastAsia="Arial" w:hAnsi="Arial"/>
          <w:sz w:val="17"/>
          <w:szCs w:val="17"/>
          <w:color w:val="auto"/>
        </w:rPr>
        <w:t>We offer agency execution services and trading venues that provide transparent trading in global equities, ETFs, futures and fixed income to institutions, banks and broker dealers. We generally earn commissions as an agent between principals for transactions. Agency based, execution-only trading 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orders in Virtu BondPoint (our fixed income ECN) and in Virtu MatchIt (our ATS for U.S. equities), We also earn technology services revenues by providing our proprietary technology and infrastructure to select third parties for a service fee.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216" w:lineRule="exact"/>
        <w:rPr>
          <w:sz w:val="20"/>
          <w:szCs w:val="20"/>
          <w:color w:val="auto"/>
        </w:rPr>
      </w:pPr>
    </w:p>
    <w:p>
      <w:pPr>
        <w:ind w:right="420" w:firstLine="635"/>
        <w:spacing w:after="0" w:line="364" w:lineRule="auto"/>
        <w:rPr>
          <w:sz w:val="20"/>
          <w:szCs w:val="20"/>
          <w:color w:val="auto"/>
        </w:rPr>
      </w:pPr>
      <w:r>
        <w:rPr>
          <w:rFonts w:ascii="Arial" w:cs="Arial" w:eastAsia="Arial" w:hAnsi="Arial"/>
          <w:sz w:val="15"/>
          <w:szCs w:val="15"/>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Acquisition of KCG</w:t>
      </w:r>
    </w:p>
    <w:p>
      <w:pPr>
        <w:spacing w:after="0" w:line="216" w:lineRule="exact"/>
        <w:rPr>
          <w:sz w:val="20"/>
          <w:szCs w:val="20"/>
          <w:color w:val="auto"/>
        </w:rPr>
      </w:pPr>
    </w:p>
    <w:p>
      <w:pPr>
        <w:ind w:firstLine="635"/>
        <w:spacing w:after="0" w:line="271" w:lineRule="auto"/>
        <w:rPr>
          <w:sz w:val="20"/>
          <w:szCs w:val="20"/>
          <w:color w:val="auto"/>
        </w:rPr>
      </w:pPr>
      <w:r>
        <w:rPr>
          <w:rFonts w:ascii="Arial" w:cs="Arial" w:eastAsia="Arial" w:hAnsi="Arial"/>
          <w:sz w:val="17"/>
          <w:szCs w:val="17"/>
          <w:color w:val="auto"/>
        </w:rPr>
        <w:t>On the Closing Date,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w:t>
      </w:r>
    </w:p>
    <w:p>
      <w:pPr>
        <w:spacing w:after="0" w:line="175" w:lineRule="exact"/>
        <w:rPr>
          <w:sz w:val="20"/>
          <w:szCs w:val="20"/>
          <w:color w:val="auto"/>
        </w:rPr>
      </w:pPr>
    </w:p>
    <w:p>
      <w:pPr>
        <w:ind w:right="80" w:firstLine="635"/>
        <w:spacing w:after="0" w:line="308" w:lineRule="auto"/>
        <w:rPr>
          <w:sz w:val="20"/>
          <w:szCs w:val="20"/>
          <w:color w:val="auto"/>
        </w:rPr>
      </w:pPr>
      <w:r>
        <w:rPr>
          <w:rFonts w:ascii="Arial" w:cs="Arial" w:eastAsia="Arial" w:hAnsi="Arial"/>
          <w:sz w:val="15"/>
          <w:szCs w:val="15"/>
          <w:color w:val="auto"/>
        </w:rPr>
        <w:t>In connection with the financing of the Acquisition, on the Closing Date, the Company issued to (i) Aranda Investments Pte. Ltd. (“Aranda”), an affiliate of Temasek, 6,346,155 shares of the Company’s Class A Common Stock for an aggregate purchase price of approximately $99.0 million and (ii) North Island Holdings I, LP (“NIH”) 39,725,979 shares of the Company Class A Common Stock for an aggregate purchase price of approximately $613.5 million. On August 10, 2017, the Company issued additional 1,666,666 shares and 338,124 shares of the Company Class A Common Stock to Aranda and NIH respectively, for an aggregate additional purchase price of approximately $26.0 million and $5.2 million, respectively.</w:t>
      </w:r>
    </w:p>
    <w:p>
      <w:pPr>
        <w:spacing w:after="0" w:line="153" w:lineRule="exact"/>
        <w:rPr>
          <w:sz w:val="20"/>
          <w:szCs w:val="20"/>
          <w:color w:val="auto"/>
        </w:rPr>
      </w:pPr>
    </w:p>
    <w:p>
      <w:pPr>
        <w:ind w:right="80" w:firstLine="635"/>
        <w:spacing w:after="0" w:line="271" w:lineRule="auto"/>
        <w:rPr>
          <w:sz w:val="20"/>
          <w:szCs w:val="20"/>
          <w:color w:val="auto"/>
        </w:rPr>
      </w:pPr>
      <w:r>
        <w:rPr>
          <w:rFonts w:ascii="Arial" w:cs="Arial" w:eastAsia="Arial" w:hAnsi="Arial"/>
          <w:sz w:val="17"/>
          <w:szCs w:val="17"/>
          <w:color w:val="auto"/>
        </w:rPr>
        <w:t>Also in connection with the financing of the Acquisition, on June 16, 2017, Orchestra Borrower LLC, a wholly owned subsidiary of Virtu Financial (the “Escrow Issuer”) and Orchestra Co-Issuer, Inc. (the “Co-Issuer”) completed the offering of $500 million aggregate principal amount of 6.750% Senior Secured Second Lien Notes due 2022 (the “Notes”). On July 20, 2017, VFH assumed all of the obligations of the Escrow Issuer under the indenture and the Notes.</w:t>
      </w:r>
    </w:p>
    <w:p>
      <w:pPr>
        <w:spacing w:after="0" w:line="175" w:lineRule="exact"/>
        <w:rPr>
          <w:sz w:val="20"/>
          <w:szCs w:val="20"/>
          <w:color w:val="auto"/>
        </w:rPr>
      </w:pPr>
    </w:p>
    <w:p>
      <w:pPr>
        <w:ind w:right="300" w:firstLine="635"/>
        <w:spacing w:after="0" w:line="271" w:lineRule="auto"/>
        <w:rPr>
          <w:sz w:val="20"/>
          <w:szCs w:val="20"/>
          <w:color w:val="auto"/>
        </w:rPr>
      </w:pPr>
      <w:r>
        <w:rPr>
          <w:rFonts w:ascii="Arial" w:cs="Arial" w:eastAsia="Arial" w:hAnsi="Arial"/>
          <w:sz w:val="17"/>
          <w:szCs w:val="17"/>
          <w:color w:val="auto"/>
        </w:rPr>
        <w:t>On June 30, 2017, Virtu Financial and VFH Parent LLC (“VFH”) entered into a fourth amended and restated credit agreement (the “Fourth Amended and Restated Credit Agreement”) for $1.15 billion first lien secured term loans with the lenders party thereto and JPMorgan Chase Bank, N.A., as administrative agent, sole lead arranger and bookrunner, which amended and restated in its entirety VFH’s existing Credit Agreement.</w:t>
      </w:r>
    </w:p>
    <w:p>
      <w:pPr>
        <w:spacing w:after="0" w:line="175" w:lineRule="exact"/>
        <w:rPr>
          <w:sz w:val="20"/>
          <w:szCs w:val="20"/>
          <w:color w:val="auto"/>
        </w:rPr>
      </w:pPr>
    </w:p>
    <w:p>
      <w:pPr>
        <w:ind w:right="120" w:firstLine="635"/>
        <w:spacing w:after="0" w:line="271" w:lineRule="auto"/>
        <w:rPr>
          <w:sz w:val="20"/>
          <w:szCs w:val="20"/>
          <w:color w:val="auto"/>
        </w:rPr>
      </w:pPr>
      <w:r>
        <w:rPr>
          <w:rFonts w:ascii="Arial" w:cs="Arial" w:eastAsia="Arial" w:hAnsi="Arial"/>
          <w:sz w:val="17"/>
          <w:szCs w:val="17"/>
          <w:color w:val="auto"/>
        </w:rPr>
        <w:t>On July 21, 2017, the outstanding 6.875% Senior Secured Notes due 2020 issued by KCG were redeemed at a redemption price equal to 103.438% of the principal amount, plus accrued and unpaid interest, pursuant to the indenture, dated as of March 13, 2015 (as amended, restated, supplemented or otherwise modified), by and among KCG, the subsidiary guarantors party thereto and The Bank of New York Mellon, as trustee and collateral agent.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2015 Management Incentive Plan</w:t>
      </w:r>
    </w:p>
    <w:p>
      <w:pPr>
        <w:spacing w:after="0" w:line="203" w:lineRule="exact"/>
        <w:rPr>
          <w:sz w:val="20"/>
          <w:szCs w:val="20"/>
          <w:color w:val="auto"/>
        </w:rPr>
      </w:pPr>
    </w:p>
    <w:p>
      <w:pPr>
        <w:ind w:right="20" w:firstLine="635"/>
        <w:spacing w:after="0" w:line="249" w:lineRule="auto"/>
        <w:rPr>
          <w:sz w:val="20"/>
          <w:szCs w:val="20"/>
          <w:color w:val="auto"/>
        </w:rPr>
      </w:pPr>
      <w:r>
        <w:rPr>
          <w:rFonts w:ascii="Arial" w:cs="Arial" w:eastAsia="Arial" w:hAnsi="Arial"/>
          <w:sz w:val="18"/>
          <w:szCs w:val="18"/>
          <w:color w:val="auto"/>
        </w:rPr>
        <w:t>The Company’s board of directors and stockholders adopted the 2015 Management Incentive Plan, which became effective upon consummation of the IPO. The 2015 Management Incentive Plan was amended and restated in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80" w:lineRule="exact"/>
        <w:rPr>
          <w:sz w:val="20"/>
          <w:szCs w:val="20"/>
          <w:color w:val="auto"/>
        </w:rPr>
      </w:pPr>
    </w:p>
    <w:p>
      <w:pPr>
        <w:ind w:firstLine="635"/>
        <w:spacing w:after="0" w:line="303" w:lineRule="auto"/>
        <w:rPr>
          <w:sz w:val="20"/>
          <w:szCs w:val="20"/>
          <w:color w:val="auto"/>
        </w:rPr>
      </w:pPr>
      <w:r>
        <w:rPr>
          <w:rFonts w:ascii="Arial" w:cs="Arial" w:eastAsia="Arial" w:hAnsi="Arial"/>
          <w:sz w:val="15"/>
          <w:szCs w:val="15"/>
          <w:color w:val="auto"/>
        </w:rPr>
        <w:t>In connection with the IPO, non-qualified stock options to purchase 9,228,000 shares were granted at the IPO per share price, each of which vests in equal annual installments over a period of four years from grant date and expires not later than 10 years from the date of grant. Subsequent to the IPO and during the year ended December 31, 2017, options to purchase 994,000 shares in the aggregate were forfeited. The fair value of the stock option grants were determined through the application of the Black-Scholes-Merton model and will be recognized on a straight line basis over the vesting period. In connection with and subsequent to the IPO, 1,076,681 shares of immediately vested Class A common stock and 1,579,438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a projected annual forfeiture rate, and will be recognized on a straight line basis over the vesting period.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right="839" w:firstLine="635"/>
        <w:spacing w:after="0" w:line="281" w:lineRule="auto"/>
        <w:rPr>
          <w:sz w:val="20"/>
          <w:szCs w:val="20"/>
          <w:color w:val="auto"/>
        </w:rPr>
      </w:pPr>
      <w:r>
        <w:rPr>
          <w:rFonts w:ascii="Arial" w:cs="Arial" w:eastAsia="Arial" w:hAnsi="Arial"/>
          <w:sz w:val="16"/>
          <w:szCs w:val="16"/>
          <w:color w:val="auto"/>
        </w:rPr>
        <w:t>The following table sets forth: (i) Total revenue, (ii) Total operating expenses and (iii) Income before income taxes and noncontrolling interest of our segments and on a consolidated basis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5"/>
              </w:rPr>
              <w:t>Years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205"/>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Market Making</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3720" w:type="dxa"/>
            <w:vAlign w:val="bottom"/>
          </w:tcPr>
          <w:p>
            <w:pPr>
              <w:ind w:left="320"/>
              <w:spacing w:after="0"/>
              <w:rPr>
                <w:sz w:val="20"/>
                <w:szCs w:val="20"/>
                <w:color w:val="auto"/>
              </w:rPr>
            </w:pPr>
            <w:r>
              <w:rPr>
                <w:rFonts w:ascii="Arial" w:cs="Arial" w:eastAsia="Arial" w:hAnsi="Arial"/>
                <w:sz w:val="14"/>
                <w:szCs w:val="14"/>
                <w:color w:val="auto"/>
              </w:rPr>
              <w:t>Total revenue</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836,707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691,884</w:t>
            </w:r>
          </w:p>
        </w:tc>
        <w:tc>
          <w:tcPr>
            <w:tcW w:w="140" w:type="dxa"/>
            <w:vAlign w:val="bottom"/>
          </w:tcPr>
          <w:p>
            <w:pPr>
              <w:spacing w:after="0"/>
              <w:rPr>
                <w:sz w:val="19"/>
                <w:szCs w:val="19"/>
                <w:color w:val="auto"/>
              </w:rPr>
            </w:pP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785,591</w:t>
            </w:r>
          </w:p>
        </w:tc>
        <w:tc>
          <w:tcPr>
            <w:tcW w:w="100" w:type="dxa"/>
            <w:vAlign w:val="bottom"/>
          </w:tcPr>
          <w:p>
            <w:pPr>
              <w:spacing w:after="0"/>
              <w:rPr>
                <w:sz w:val="19"/>
                <w:szCs w:val="19"/>
                <w:color w:val="auto"/>
              </w:rPr>
            </w:pPr>
          </w:p>
        </w:tc>
      </w:tr>
      <w:tr>
        <w:trPr>
          <w:trHeight w:val="225"/>
        </w:trPr>
        <w:tc>
          <w:tcPr>
            <w:tcW w:w="3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762,074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515,739</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574,148</w:t>
            </w:r>
          </w:p>
        </w:tc>
        <w:tc>
          <w:tcPr>
            <w:tcW w:w="100" w:type="dxa"/>
            <w:vAlign w:val="bottom"/>
            <w:shd w:val="clear" w:color="auto" w:fill="CCEEFF"/>
          </w:tcPr>
          <w:p>
            <w:pPr>
              <w:spacing w:after="0"/>
              <w:rPr>
                <w:sz w:val="19"/>
                <w:szCs w:val="19"/>
                <w:color w:val="auto"/>
              </w:rPr>
            </w:pPr>
          </w:p>
        </w:tc>
      </w:tr>
      <w:tr>
        <w:trPr>
          <w:trHeight w:val="218"/>
        </w:trPr>
        <w:tc>
          <w:tcPr>
            <w:tcW w:w="37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w w:val="98"/>
              </w:rPr>
              <w:t>Income before income taxes and noncontrolling interest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176,145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211,443</w:t>
            </w:r>
          </w:p>
        </w:tc>
        <w:tc>
          <w:tcPr>
            <w:tcW w:w="100" w:type="dxa"/>
            <w:vAlign w:val="bottom"/>
            <w:tcBorders>
              <w:bottom w:val="single" w:sz="8" w:color="CCEEFF"/>
            </w:tcBorders>
          </w:tcPr>
          <w:p>
            <w:pPr>
              <w:spacing w:after="0"/>
              <w:rPr>
                <w:sz w:val="18"/>
                <w:szCs w:val="18"/>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Execution Services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3720" w:type="dxa"/>
            <w:vAlign w:val="bottom"/>
          </w:tcPr>
          <w:p>
            <w:pPr>
              <w:ind w:left="320"/>
              <w:spacing w:after="0"/>
              <w:rPr>
                <w:sz w:val="20"/>
                <w:szCs w:val="20"/>
                <w:color w:val="auto"/>
              </w:rPr>
            </w:pPr>
            <w:r>
              <w:rPr>
                <w:rFonts w:ascii="Arial" w:cs="Arial" w:eastAsia="Arial" w:hAnsi="Arial"/>
                <w:sz w:val="14"/>
                <w:szCs w:val="14"/>
                <w:color w:val="auto"/>
              </w:rPr>
              <w:t>Total revenue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10,622</w:t>
            </w:r>
          </w:p>
        </w:tc>
        <w:tc>
          <w:tcPr>
            <w:tcW w:w="100" w:type="dxa"/>
            <w:vAlign w:val="bottom"/>
          </w:tcPr>
          <w:p>
            <w:pPr>
              <w:spacing w:after="0"/>
              <w:rPr>
                <w:sz w:val="19"/>
                <w:szCs w:val="19"/>
                <w:color w:val="auto"/>
              </w:rPr>
            </w:pPr>
          </w:p>
        </w:tc>
      </w:tr>
      <w:tr>
        <w:trPr>
          <w:trHeight w:val="225"/>
        </w:trPr>
        <w:tc>
          <w:tcPr>
            <w:tcW w:w="3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111,654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5,949</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100" w:type="dxa"/>
            <w:vAlign w:val="bottom"/>
            <w:shd w:val="clear" w:color="auto" w:fill="CCEEFF"/>
          </w:tcPr>
          <w:p>
            <w:pPr>
              <w:spacing w:after="0"/>
              <w:rPr>
                <w:sz w:val="19"/>
                <w:szCs w:val="19"/>
                <w:color w:val="auto"/>
              </w:rPr>
            </w:pPr>
          </w:p>
        </w:tc>
      </w:tr>
      <w:tr>
        <w:trPr>
          <w:trHeight w:val="218"/>
        </w:trPr>
        <w:tc>
          <w:tcPr>
            <w:tcW w:w="37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w w:val="98"/>
              </w:rPr>
              <w:t>Income before income taxes and noncontrolling interest</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w:t>
            </w:r>
          </w:p>
        </w:tc>
        <w:tc>
          <w:tcPr>
            <w:tcW w:w="100" w:type="dxa"/>
            <w:vAlign w:val="bottom"/>
            <w:tcBorders>
              <w:bottom w:val="single" w:sz="8" w:color="CCEEFF"/>
            </w:tcBorders>
          </w:tcPr>
          <w:p>
            <w:pPr>
              <w:spacing w:after="0"/>
              <w:rPr>
                <w:sz w:val="18"/>
                <w:szCs w:val="18"/>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Corporate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3720" w:type="dxa"/>
            <w:vAlign w:val="bottom"/>
          </w:tcPr>
          <w:p>
            <w:pPr>
              <w:ind w:left="320"/>
              <w:spacing w:after="0"/>
              <w:rPr>
                <w:sz w:val="20"/>
                <w:szCs w:val="20"/>
                <w:color w:val="auto"/>
              </w:rPr>
            </w:pPr>
            <w:r>
              <w:rPr>
                <w:rFonts w:ascii="Arial" w:cs="Arial" w:eastAsia="Arial" w:hAnsi="Arial"/>
                <w:sz w:val="14"/>
                <w:szCs w:val="14"/>
                <w:color w:val="auto"/>
              </w:rPr>
              <w:t>Total revenue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r>
      <w:tr>
        <w:trPr>
          <w:trHeight w:val="225"/>
        </w:trPr>
        <w:tc>
          <w:tcPr>
            <w:tcW w:w="3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r>
      <w:tr>
        <w:trPr>
          <w:trHeight w:val="107"/>
        </w:trPr>
        <w:tc>
          <w:tcPr>
            <w:tcW w:w="3720" w:type="dxa"/>
            <w:vAlign w:val="bottom"/>
          </w:tcPr>
          <w:p>
            <w:pPr>
              <w:ind w:left="320"/>
              <w:spacing w:after="0" w:line="107" w:lineRule="exact"/>
              <w:rPr>
                <w:sz w:val="20"/>
                <w:szCs w:val="20"/>
                <w:color w:val="auto"/>
              </w:rPr>
            </w:pPr>
            <w:r>
              <w:rPr>
                <w:rFonts w:ascii="Arial" w:cs="Arial" w:eastAsia="Arial" w:hAnsi="Arial"/>
                <w:sz w:val="12"/>
                <w:szCs w:val="12"/>
                <w:color w:val="auto"/>
              </w:rPr>
              <w:t>Income (loss) before income taxes and noncontrolling</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4"/>
        </w:trPr>
        <w:tc>
          <w:tcPr>
            <w:tcW w:w="37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interest</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51,050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5"/>
        </w:trPr>
        <w:tc>
          <w:tcPr>
            <w:tcW w:w="3720" w:type="dxa"/>
            <w:vAlign w:val="bottom"/>
          </w:tcPr>
          <w:p>
            <w:pPr>
              <w:ind w:left="320"/>
              <w:spacing w:after="0"/>
              <w:rPr>
                <w:sz w:val="20"/>
                <w:szCs w:val="20"/>
                <w:color w:val="auto"/>
              </w:rPr>
            </w:pPr>
            <w:r>
              <w:rPr>
                <w:rFonts w:ascii="Arial" w:cs="Arial" w:eastAsia="Arial" w:hAnsi="Arial"/>
                <w:sz w:val="14"/>
                <w:szCs w:val="14"/>
                <w:color w:val="auto"/>
              </w:rPr>
              <w:t>Total revenue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1,027,982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702,272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796,213</w:t>
            </w:r>
          </w:p>
        </w:tc>
        <w:tc>
          <w:tcPr>
            <w:tcW w:w="100" w:type="dxa"/>
            <w:vAlign w:val="bottom"/>
          </w:tcPr>
          <w:p>
            <w:pPr>
              <w:spacing w:after="0"/>
              <w:rPr>
                <w:sz w:val="19"/>
                <w:szCs w:val="19"/>
                <w:color w:val="auto"/>
              </w:rPr>
            </w:pPr>
          </w:p>
        </w:tc>
      </w:tr>
      <w:tr>
        <w:trPr>
          <w:trHeight w:val="225"/>
        </w:trPr>
        <w:tc>
          <w:tcPr>
            <w:tcW w:w="3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914,818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522,681</w:t>
            </w: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580,284</w:t>
            </w:r>
          </w:p>
        </w:tc>
        <w:tc>
          <w:tcPr>
            <w:tcW w:w="100" w:type="dxa"/>
            <w:vAlign w:val="bottom"/>
            <w:shd w:val="clear" w:color="auto" w:fill="CCEEFF"/>
          </w:tcPr>
          <w:p>
            <w:pPr>
              <w:spacing w:after="0"/>
              <w:rPr>
                <w:sz w:val="19"/>
                <w:szCs w:val="19"/>
                <w:color w:val="auto"/>
              </w:rPr>
            </w:pPr>
          </w:p>
        </w:tc>
      </w:tr>
      <w:tr>
        <w:trPr>
          <w:trHeight w:val="205"/>
        </w:trPr>
        <w:tc>
          <w:tcPr>
            <w:tcW w:w="3720" w:type="dxa"/>
            <w:vAlign w:val="bottom"/>
          </w:tcPr>
          <w:p>
            <w:pPr>
              <w:ind w:left="320"/>
              <w:spacing w:after="0"/>
              <w:rPr>
                <w:sz w:val="20"/>
                <w:szCs w:val="20"/>
                <w:color w:val="auto"/>
              </w:rPr>
            </w:pPr>
            <w:r>
              <w:rPr>
                <w:rFonts w:ascii="Arial" w:cs="Arial" w:eastAsia="Arial" w:hAnsi="Arial"/>
                <w:sz w:val="14"/>
                <w:szCs w:val="14"/>
                <w:color w:val="auto"/>
                <w:w w:val="98"/>
              </w:rPr>
              <w:t>Income before income taxes and noncontrolling interest</w:t>
            </w:r>
          </w:p>
        </w:tc>
        <w:tc>
          <w:tcPr>
            <w:tcW w:w="6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113,164</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179,591</w:t>
            </w:r>
          </w:p>
        </w:tc>
        <w:tc>
          <w:tcPr>
            <w:tcW w:w="140" w:type="dxa"/>
            <w:vAlign w:val="bottom"/>
          </w:tcPr>
          <w:p>
            <w:pPr>
              <w:spacing w:after="0"/>
              <w:rPr>
                <w:sz w:val="17"/>
                <w:szCs w:val="17"/>
                <w:color w:val="auto"/>
              </w:rPr>
            </w:pPr>
          </w:p>
        </w:tc>
        <w:tc>
          <w:tcPr>
            <w:tcW w:w="120" w:type="dxa"/>
            <w:vAlign w:val="bottom"/>
          </w:tcPr>
          <w:p>
            <w:pPr>
              <w:jc w:val="right"/>
              <w:ind w:right="55"/>
              <w:spacing w:after="0"/>
              <w:rPr>
                <w:sz w:val="20"/>
                <w:szCs w:val="20"/>
                <w:color w:val="auto"/>
              </w:rPr>
            </w:pPr>
            <w:r>
              <w:rPr>
                <w:rFonts w:ascii="Arial" w:cs="Arial" w:eastAsia="Arial" w:hAnsi="Arial"/>
                <w:sz w:val="5"/>
                <w:szCs w:val="5"/>
                <w:color w:val="auto"/>
                <w:w w:val="70"/>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215,929</w:t>
            </w:r>
          </w:p>
        </w:tc>
        <w:tc>
          <w:tcPr>
            <w:tcW w:w="100" w:type="dxa"/>
            <w:vAlign w:val="bottom"/>
          </w:tcPr>
          <w:p>
            <w:pPr>
              <w:spacing w:after="0"/>
              <w:rPr>
                <w:sz w:val="17"/>
                <w:szCs w:val="17"/>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95"/>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09"/>
              <w:spacing w:after="0" w:line="13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09"/>
              <w:spacing w:after="0" w:line="13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309"/>
              <w:spacing w:after="0" w:line="13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0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Revenues:</w:t>
            </w: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Trading income, net</w:t>
            </w:r>
          </w:p>
        </w:tc>
        <w:tc>
          <w:tcPr>
            <w:tcW w:w="300" w:type="dxa"/>
            <w:vAlign w:val="bottom"/>
            <w:gridSpan w:val="2"/>
            <w:shd w:val="clear" w:color="auto" w:fill="CCEEFF"/>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766,027</w:t>
            </w:r>
          </w:p>
        </w:tc>
        <w:tc>
          <w:tcPr>
            <w:tcW w:w="380" w:type="dxa"/>
            <w:vAlign w:val="bottom"/>
            <w:gridSpan w:val="2"/>
            <w:shd w:val="clear" w:color="auto" w:fill="CCEEFF"/>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665,465</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15"/>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757,455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Interest and dividends income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50,407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26,419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28,136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Commissions, net and technology services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116,503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10,352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10,622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Other, net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95,045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36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00" w:type="dxa"/>
            <w:vAlign w:val="bottom"/>
            <w:tcBorders>
              <w:top w:val="single" w:sz="8" w:color="CCEEFF"/>
            </w:tcBorders>
            <w:shd w:val="clear" w:color="auto" w:fill="CCEEFF"/>
          </w:tcPr>
          <w:p>
            <w:pPr>
              <w:ind w:left="300"/>
              <w:spacing w:after="0" w:line="139" w:lineRule="exact"/>
              <w:rPr>
                <w:sz w:val="20"/>
                <w:szCs w:val="20"/>
                <w:color w:val="auto"/>
              </w:rPr>
            </w:pPr>
            <w:r>
              <w:rPr>
                <w:rFonts w:ascii="Arial" w:cs="Arial" w:eastAsia="Arial" w:hAnsi="Arial"/>
                <w:sz w:val="14"/>
                <w:szCs w:val="14"/>
                <w:color w:val="auto"/>
              </w:rPr>
              <w:t>Total revenue</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1,027,982</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702,272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796,213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Operating Expenses: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Brokerage, exchange and clearance fees, net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256,926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221,214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232,469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Communication and data processing</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131,506</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71,001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68,647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Employee compensation and payroll taxes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177,489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85,295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88,026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Payments for order flow</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27,727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Interest and dividends expense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91,993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56,557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52,423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Operations and administrative</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65,137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23,039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25,991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47,327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29,703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33,629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00" w:type="dxa"/>
            <w:vAlign w:val="bottom"/>
            <w:shd w:val="clear" w:color="auto" w:fill="CCEEFF"/>
          </w:tcPr>
          <w:p>
            <w:pPr>
              <w:ind w:left="200"/>
              <w:spacing w:after="0" w:line="127" w:lineRule="exact"/>
              <w:rPr>
                <w:sz w:val="20"/>
                <w:szCs w:val="20"/>
                <w:color w:val="auto"/>
              </w:rPr>
            </w:pPr>
            <w:r>
              <w:rPr>
                <w:rFonts w:ascii="Arial" w:cs="Arial" w:eastAsia="Arial" w:hAnsi="Arial"/>
                <w:sz w:val="14"/>
                <w:szCs w:val="14"/>
                <w:color w:val="auto"/>
              </w:rPr>
              <w:t>Amortization of purchased intangibles and acquired</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capitalized software</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Debt issue cost related to debt refinancing</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10,460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5,579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Transaction advisory fees and expenses</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25,270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Pr>
          <w:p>
            <w:pPr>
              <w:ind w:left="200"/>
              <w:spacing w:after="0" w:line="145" w:lineRule="exact"/>
              <w:rPr>
                <w:sz w:val="20"/>
                <w:szCs w:val="20"/>
                <w:color w:val="auto"/>
              </w:rPr>
            </w:pPr>
            <w:r>
              <w:rPr>
                <w:rFonts w:ascii="Arial" w:cs="Arial" w:eastAsia="Arial" w:hAnsi="Arial"/>
                <w:sz w:val="14"/>
                <w:szCs w:val="14"/>
                <w:color w:val="auto"/>
              </w:rPr>
              <w:t>Reserve for legal matters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657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5,440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Charges related to share based compensation at IPO</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772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1,755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44,194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tcBorders>
              <w:bottom w:val="single" w:sz="8" w:color="CCEEFF"/>
            </w:tcBorders>
          </w:tcPr>
          <w:p>
            <w:pPr>
              <w:ind w:left="200"/>
              <w:spacing w:after="0" w:line="145" w:lineRule="exact"/>
              <w:rPr>
                <w:sz w:val="20"/>
                <w:szCs w:val="20"/>
                <w:color w:val="auto"/>
              </w:rPr>
            </w:pPr>
            <w:r>
              <w:rPr>
                <w:rFonts w:ascii="Arial" w:cs="Arial" w:eastAsia="Arial" w:hAnsi="Arial"/>
                <w:sz w:val="14"/>
                <w:szCs w:val="14"/>
                <w:color w:val="auto"/>
              </w:rPr>
              <w:t>Financing interest expense on long-term borrowings</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64,107</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28,327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29,254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00" w:type="dxa"/>
            <w:vAlign w:val="bottom"/>
            <w:shd w:val="clear" w:color="auto" w:fill="CCEEFF"/>
          </w:tcPr>
          <w:p>
            <w:pPr>
              <w:ind w:left="300"/>
              <w:spacing w:after="0" w:line="139" w:lineRule="exact"/>
              <w:rPr>
                <w:sz w:val="20"/>
                <w:szCs w:val="20"/>
                <w:color w:val="auto"/>
              </w:rPr>
            </w:pPr>
            <w:r>
              <w:rPr>
                <w:rFonts w:ascii="Arial" w:cs="Arial" w:eastAsia="Arial" w:hAnsi="Arial"/>
                <w:sz w:val="14"/>
                <w:szCs w:val="14"/>
                <w:color w:val="auto"/>
              </w:rPr>
              <w:t>Total operating expenses</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914,818</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522,681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580,284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00" w:type="dxa"/>
            <w:vAlign w:val="bottom"/>
          </w:tcPr>
          <w:p>
            <w:pPr>
              <w:ind w:left="200"/>
              <w:spacing w:after="0" w:line="139" w:lineRule="exact"/>
              <w:rPr>
                <w:sz w:val="20"/>
                <w:szCs w:val="20"/>
                <w:color w:val="auto"/>
              </w:rPr>
            </w:pPr>
            <w:r>
              <w:rPr>
                <w:rFonts w:ascii="Arial" w:cs="Arial" w:eastAsia="Arial" w:hAnsi="Arial"/>
                <w:sz w:val="14"/>
                <w:szCs w:val="14"/>
                <w:color w:val="auto"/>
              </w:rPr>
              <w:t>Income before income taxes and noncontrolling interest</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113,164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179,591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215,929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0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Provision for income taxes</w:t>
            </w: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94,266</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21,251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18,439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20" w:type="dxa"/>
            <w:vAlign w:val="bottom"/>
            <w:gridSpan w:val="2"/>
          </w:tcPr>
          <w:p>
            <w:pPr>
              <w:spacing w:after="0" w:line="139" w:lineRule="exact"/>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2"/>
                <w:szCs w:val="12"/>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18,898</w:t>
            </w:r>
          </w:p>
        </w:tc>
        <w:tc>
          <w:tcPr>
            <w:tcW w:w="160" w:type="dxa"/>
            <w:vAlign w:val="bottom"/>
          </w:tcPr>
          <w:p>
            <w:pPr>
              <w:spacing w:after="0"/>
              <w:rPr>
                <w:sz w:val="12"/>
                <w:szCs w:val="12"/>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158,340</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55"/>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197,490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16" w:lineRule="exact"/>
        <w:rPr>
          <w:sz w:val="20"/>
          <w:szCs w:val="20"/>
          <w:color w:val="auto"/>
        </w:rPr>
      </w:pPr>
    </w:p>
    <w:p>
      <w:pPr>
        <w:ind w:right="200" w:firstLine="635"/>
        <w:spacing w:after="0" w:line="299" w:lineRule="auto"/>
        <w:rPr>
          <w:sz w:val="20"/>
          <w:szCs w:val="20"/>
          <w:color w:val="auto"/>
        </w:rPr>
      </w:pPr>
      <w:r>
        <w:rPr>
          <w:rFonts w:ascii="Arial" w:cs="Arial" w:eastAsia="Arial" w:hAnsi="Arial"/>
          <w:sz w:val="15"/>
          <w:szCs w:val="15"/>
          <w:color w:val="auto"/>
        </w:rPr>
        <w:t>The majority of our revenue is generated through market making activities and is recorded as trading income, net. In addition, we generate revenues from interest and dividends income as well as the technology services revenue generated by using our proprietary technology to provide technology infrastructure and agency execution services to select third</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parties. Following the Acquisition of KCG, we also earn commissions and commission equivalents from executing trades on behalf of institutional clients.</w:t>
      </w:r>
    </w:p>
    <w:p>
      <w:pPr>
        <w:spacing w:after="0" w:line="192"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b w:val="1"/>
          <w:bCs w:val="1"/>
          <w:i w:val="1"/>
          <w:iCs w:val="1"/>
          <w:color w:val="auto"/>
        </w:rPr>
        <w:t xml:space="preserve">Trading Income, Net. </w:t>
      </w:r>
      <w:r>
        <w:rPr>
          <w:rFonts w:ascii="Arial" w:cs="Arial" w:eastAsia="Arial" w:hAnsi="Arial"/>
          <w:sz w:val="15"/>
          <w:szCs w:val="15"/>
          <w:color w:val="auto"/>
        </w:rPr>
        <w:t>Trading income, net, represents revenue earned from bid/ask spreads. Trading income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generated in the normal course of our market 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three categories: Americas Equities, Rest of World Equities, and Global FICC, options and other. Our trading income, net, results from gains and losses associated with economically neutral trading strategies, which are designed to capture small bid ask spreads and often involve making markets in a derivative versus a correlated instrument that is not a derivative. These transactions often result in a gain or loss on the derivative and a corresponding loss or gain on the non-derivative. Trading income, net, accounted for 75%, 95% and 95% of our total revenues for the years ended December 31, 2017, 2016, and 2015, respectively.</w:t>
      </w:r>
    </w:p>
    <w:p>
      <w:pPr>
        <w:spacing w:after="0" w:line="157" w:lineRule="exact"/>
        <w:rPr>
          <w:sz w:val="20"/>
          <w:szCs w:val="20"/>
          <w:color w:val="auto"/>
        </w:rPr>
      </w:pPr>
    </w:p>
    <w:p>
      <w:pPr>
        <w:ind w:right="160" w:firstLine="635"/>
        <w:spacing w:after="0" w:line="317" w:lineRule="auto"/>
        <w:rPr>
          <w:sz w:val="20"/>
          <w:szCs w:val="20"/>
          <w:color w:val="auto"/>
        </w:rPr>
      </w:pPr>
      <w:r>
        <w:rPr>
          <w:rFonts w:ascii="Arial" w:cs="Arial" w:eastAsia="Arial" w:hAnsi="Arial"/>
          <w:sz w:val="15"/>
          <w:szCs w:val="15"/>
          <w:b w:val="1"/>
          <w:bCs w:val="1"/>
          <w:i w:val="1"/>
          <w:iCs w:val="1"/>
          <w:color w:val="auto"/>
        </w:rPr>
        <w:t xml:space="preserve">Interest and Dividends Income. </w:t>
      </w:r>
      <w:r>
        <w:rPr>
          <w:rFonts w:ascii="Arial" w:cs="Arial" w:eastAsia="Arial" w:hAnsi="Arial"/>
          <w:sz w:val="15"/>
          <w:szCs w:val="15"/>
          <w:color w:val="auto"/>
        </w:rPr>
        <w:t>Our market making activities require us to hold securities on a regular basis, and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generate revenues in the form of interest and dividends income from these securities. Interest is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47" w:lineRule="exact"/>
        <w:rPr>
          <w:sz w:val="20"/>
          <w:szCs w:val="20"/>
          <w:color w:val="auto"/>
        </w:rPr>
      </w:pPr>
    </w:p>
    <w:p>
      <w:pPr>
        <w:ind w:right="60" w:firstLine="635"/>
        <w:spacing w:after="0" w:line="264"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Technology services revenues include technology licensing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agency commission fees. 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 We began providing technology licensing services to a third party in 2013 pursuant to a three-year arrangement, which was renewed for one year on the same terms except for the up-front component in January 2016. In July 2016, we entered into a separate three-year arrangement with another third party to provide technology services.</w:t>
      </w:r>
    </w:p>
    <w:p>
      <w:pPr>
        <w:spacing w:after="0" w:line="185"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Agency commission fees are charged for agency trades executed by us on behalf of third party broker-dealers, institutions and other financial institutions. We began providing agency execution services in April 2016, and revenue is recognized on a trade date basis based on the trade volume executed. Revenues on transactions for which we charge explicit commissions or commission equivalents, which include the majority of our institutional client orders, are included within commissions, net and technology services. Commissions and fees are primarily affected by changes in our equity, fixed income and futures transaction volumes with institutional clients; client relationships; changes in commission rates; client experience on the various platforms; level of volume based fees from providing liquidity to other trading venues; and the level of our soft dollar and commission recapture activity.</w:t>
      </w:r>
    </w:p>
    <w:p>
      <w:pPr>
        <w:spacing w:after="0" w:line="185" w:lineRule="exact"/>
        <w:rPr>
          <w:sz w:val="20"/>
          <w:szCs w:val="20"/>
          <w:color w:val="auto"/>
        </w:rPr>
      </w:pPr>
    </w:p>
    <w:p>
      <w:pPr>
        <w:ind w:right="120" w:firstLine="635"/>
        <w:spacing w:after="0" w:line="250"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In July 2016, we made a minority investment in SBI Japannext Co., Ltd. (“SBI”), a proprietary trading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based in Tokyo, for $38.8 million which was substantially paid in Japanese Yen. In connection with the investment, we issued bonds to certain affiliates of SBI and used the proceeds of ¥3.5 billion to partially finance the transaction. Revenues or losses are recognized due to the changes in fair value of the investment or fluctuations in Japanese Yen conversion rates within other, net.</w:t>
      </w:r>
    </w:p>
    <w:p>
      <w:pPr>
        <w:spacing w:after="0" w:line="152" w:lineRule="exact"/>
        <w:rPr>
          <w:sz w:val="20"/>
          <w:szCs w:val="20"/>
          <w:color w:val="auto"/>
        </w:rPr>
      </w:pPr>
    </w:p>
    <w:p>
      <w:pPr>
        <w:ind w:right="40" w:firstLine="635"/>
        <w:spacing w:after="0" w:line="250" w:lineRule="auto"/>
        <w:rPr>
          <w:sz w:val="20"/>
          <w:szCs w:val="20"/>
          <w:color w:val="auto"/>
        </w:rPr>
      </w:pPr>
      <w:r>
        <w:rPr>
          <w:rFonts w:ascii="Arial" w:cs="Arial" w:eastAsia="Arial" w:hAnsi="Arial"/>
          <w:sz w:val="18"/>
          <w:szCs w:val="18"/>
          <w:color w:val="auto"/>
        </w:rPr>
        <w:t>As discussed in Note 6 “Tax Receivable Agreements” of Part II Item 8 “Financial Statements and Supplementary Data” of this Form 10-K, as a result of the decrease in the U.S. corporate income tax rate to 21% (see “Provision for Income Taxes” below), we recognized $86.6 million gain on the reduction of our tax receivable agreement obligation. As discussed in Note 2. “Summary of Significant Accounting Policies” of Part II Item 8 “Financial Statements and Supplementary Data” of this Form 10-K.</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280" w:firstLine="635"/>
        <w:spacing w:after="0" w:line="254" w:lineRule="auto"/>
        <w:rPr>
          <w:sz w:val="20"/>
          <w:szCs w:val="20"/>
          <w:color w:val="auto"/>
        </w:rPr>
      </w:pPr>
      <w:r>
        <w:rPr>
          <w:rFonts w:ascii="Arial" w:cs="Arial" w:eastAsia="Arial" w:hAnsi="Arial"/>
          <w:sz w:val="18"/>
          <w:szCs w:val="18"/>
          <w:color w:val="auto"/>
        </w:rPr>
        <w:t>We also have interests in two telecommunications joint ventures (“JV”). We record our pro-rata share of each JV’s earnings or losses within other, net while fees related to the use of communication services provided by the JVs are recorded within communications and data processing.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right="200" w:firstLine="635"/>
        <w:spacing w:after="0" w:line="306" w:lineRule="auto"/>
        <w:rPr>
          <w:sz w:val="20"/>
          <w:szCs w:val="20"/>
          <w:color w:val="auto"/>
        </w:rPr>
      </w:pPr>
      <w:r>
        <w:rPr>
          <w:rFonts w:ascii="Arial" w:cs="Arial" w:eastAsia="Arial" w:hAnsi="Arial"/>
          <w:sz w:val="15"/>
          <w:szCs w:val="15"/>
          <w:b w:val="1"/>
          <w:bCs w:val="1"/>
          <w:i w:val="1"/>
          <w:iCs w:val="1"/>
          <w:color w:val="auto"/>
        </w:rPr>
        <w:t xml:space="preserve">Brokerage, Exchange and Clearance Fees, Net. </w:t>
      </w:r>
      <w:r>
        <w:rPr>
          <w:rFonts w:ascii="Arial" w:cs="Arial" w:eastAsia="Arial" w:hAnsi="Arial"/>
          <w:sz w:val="15"/>
          <w:szCs w:val="15"/>
          <w:color w:val="auto"/>
        </w:rPr>
        <w:t>Brokerage, exchange and clearance fees are our most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expenses, which include the direct expenses of executing and clearing transactions that we consummate in the course of our market making activities. Brokerage, exchange and clearance fees primarily consist of fees charged by the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 places are netted against brokerage, exchange and clearance fees.</w:t>
      </w:r>
    </w:p>
    <w:p>
      <w:pPr>
        <w:spacing w:after="0" w:line="154" w:lineRule="exact"/>
        <w:rPr>
          <w:sz w:val="20"/>
          <w:szCs w:val="20"/>
          <w:color w:val="auto"/>
        </w:rPr>
      </w:pPr>
    </w:p>
    <w:p>
      <w:pPr>
        <w:ind w:right="20" w:firstLine="635"/>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are a result of the Acquisition of KCG, and they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 payments to broker dealer clients, in the normal course of business, for directing their order flow to us primarily in U.S. equities. Payments for order flow will fluctuate as we modify our rates and as our percentage of clients whose policy is not to accept payments for order flow varies. Payments for order flow also fluctuate based on U.S. equity share and option volumes, our profitability and the mix of market orders, limit orders, and customer mix.</w:t>
      </w:r>
    </w:p>
    <w:p>
      <w:pPr>
        <w:spacing w:after="0" w:line="179" w:lineRule="exact"/>
        <w:rPr>
          <w:sz w:val="20"/>
          <w:szCs w:val="20"/>
          <w:color w:val="auto"/>
        </w:rPr>
      </w:pPr>
    </w:p>
    <w:p>
      <w:pPr>
        <w:ind w:right="40" w:firstLine="635"/>
        <w:spacing w:after="0" w:line="249" w:lineRule="auto"/>
        <w:rPr>
          <w:sz w:val="20"/>
          <w:szCs w:val="20"/>
          <w:color w:val="auto"/>
        </w:rPr>
      </w:pPr>
      <w:r>
        <w:rPr>
          <w:rFonts w:ascii="Arial" w:cs="Arial" w:eastAsia="Arial" w:hAnsi="Arial"/>
          <w:sz w:val="18"/>
          <w:szCs w:val="18"/>
          <w:b w:val="1"/>
          <w:bCs w:val="1"/>
          <w:i w:val="1"/>
          <w:iCs w:val="1"/>
          <w:color w:val="auto"/>
        </w:rPr>
        <w:t xml:space="preserve">Communication and Data Processing. </w:t>
      </w:r>
      <w:r>
        <w:rPr>
          <w:rFonts w:ascii="Arial" w:cs="Arial" w:eastAsia="Arial" w:hAnsi="Arial"/>
          <w:sz w:val="18"/>
          <w:szCs w:val="18"/>
          <w:color w:val="auto"/>
        </w:rPr>
        <w:t>Communication and data processing represent primarily fixed expenses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leased equipment, equipment co-location, network lines and connectivity for our trading centers and co-location facilities. More specifically, communications expense consists primarily of the cost of voice and data telecommunication lines supporting our business, including connectivity to data centers and exchanges, markets and liquidity pools around the world, and data processing expense consists primarily of market data fees that we pay to third parties to receive price quotes and related information.</w:t>
      </w:r>
    </w:p>
    <w:p>
      <w:pPr>
        <w:spacing w:after="0" w:line="193" w:lineRule="exact"/>
        <w:rPr>
          <w:sz w:val="20"/>
          <w:szCs w:val="20"/>
          <w:color w:val="auto"/>
        </w:rPr>
      </w:pPr>
    </w:p>
    <w:p>
      <w:pPr>
        <w:ind w:right="60" w:firstLine="635"/>
        <w:spacing w:after="0" w:line="264"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and non-cash incentive compensation, employee benefits, payroll taxes, severance and other employee related costs. Non-cash compensation includes, prior to the Reorganization Transactions, the share based-incentive compensation paid to employees in the form of Class A-2 profits interests in Employee Holdco, which formerly held corresponding Class A-2 profits interests in Virtu Financial. Additionally, after the Reorganization Transactions, it includes non-cash compensation expenses with respect to the stock options and restricted stock units granted in connection with and subsequent to the IPO pursuant to the 2015 Management Incentive Plan. We have capitalized and therefore excluded employee compensation and benefits related to software development of $15.7 million, $11.1 million, and $10.1 million for the years ended December 31, 2017, 2016, and 2015, respectively.</w:t>
      </w:r>
    </w:p>
    <w:p>
      <w:pPr>
        <w:spacing w:after="0" w:line="181" w:lineRule="exact"/>
        <w:rPr>
          <w:sz w:val="20"/>
          <w:szCs w:val="20"/>
          <w:color w:val="auto"/>
        </w:rPr>
      </w:pPr>
    </w:p>
    <w:p>
      <w:pPr>
        <w:ind w:right="40" w:firstLine="635"/>
        <w:spacing w:after="0" w:line="254" w:lineRule="auto"/>
        <w:rPr>
          <w:sz w:val="20"/>
          <w:szCs w:val="20"/>
          <w:color w:val="auto"/>
        </w:rPr>
      </w:pPr>
      <w:r>
        <w:rPr>
          <w:rFonts w:ascii="Arial" w:cs="Arial" w:eastAsia="Arial" w:hAnsi="Arial"/>
          <w:sz w:val="18"/>
          <w:szCs w:val="18"/>
          <w:b w:val="1"/>
          <w:bCs w:val="1"/>
          <w:i w:val="1"/>
          <w:iCs w:val="1"/>
          <w:color w:val="auto"/>
        </w:rPr>
        <w:t xml:space="preserve">Interest and Dividends Expense. </w:t>
      </w:r>
      <w:r>
        <w:rPr>
          <w:rFonts w:ascii="Arial" w:cs="Arial" w:eastAsia="Arial" w:hAnsi="Arial"/>
          <w:sz w:val="18"/>
          <w:szCs w:val="18"/>
          <w:color w:val="auto"/>
        </w:rPr>
        <w:t>We incur interest expense from loaning certain equity securities in the general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market making activities pursuant to collateralized lending transactions. Typically, dividend expense is incurred when a dividend is paid on securities sold short.</w:t>
      </w:r>
    </w:p>
    <w:p>
      <w:pPr>
        <w:spacing w:after="0" w:line="189" w:lineRule="exact"/>
        <w:rPr>
          <w:sz w:val="20"/>
          <w:szCs w:val="20"/>
          <w:color w:val="auto"/>
        </w:rPr>
      </w:pPr>
    </w:p>
    <w:p>
      <w:pPr>
        <w:ind w:right="260" w:firstLine="635"/>
        <w:spacing w:after="0" w:line="264"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represents occupancy, recruiting, travel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expense, professional fees and other expenses.</w:t>
      </w:r>
    </w:p>
    <w:p>
      <w:pPr>
        <w:spacing w:after="0" w:line="180" w:lineRule="exact"/>
        <w:rPr>
          <w:sz w:val="20"/>
          <w:szCs w:val="20"/>
          <w:color w:val="auto"/>
        </w:rPr>
      </w:pPr>
    </w:p>
    <w:p>
      <w:pPr>
        <w:ind w:firstLine="635"/>
        <w:spacing w:after="0" w:line="265"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computing and communications hardware, as well as amortization of leasehold improvements and capitalized in-house software development. We depreciate our computer hardware and related software, office hardware and furniture and fixtures on a straight line basis over a period of 3 to 7 years based on the estimated useful life of the underlying asset, and we amortize our capitalized software development costs on a straight line basis over a period of 1.5 to 2.5 years, which represents the estimated useful lives of the underlying software. We amortize leasehold improvements on a straight line basis over the lesser of the life of the improvement or the term of the lease.</w:t>
      </w:r>
    </w:p>
    <w:p>
      <w:pPr>
        <w:spacing w:after="0" w:line="182" w:lineRule="exact"/>
        <w:rPr>
          <w:sz w:val="20"/>
          <w:szCs w:val="20"/>
          <w:color w:val="auto"/>
        </w:rPr>
      </w:pPr>
    </w:p>
    <w:p>
      <w:pPr>
        <w:ind w:right="220" w:firstLine="635"/>
        <w:spacing w:after="0" w:line="364" w:lineRule="auto"/>
        <w:rPr>
          <w:sz w:val="20"/>
          <w:szCs w:val="20"/>
          <w:color w:val="auto"/>
        </w:rPr>
      </w:pPr>
      <w:r>
        <w:rPr>
          <w:rFonts w:ascii="Arial" w:cs="Arial" w:eastAsia="Arial" w:hAnsi="Arial"/>
          <w:sz w:val="15"/>
          <w:szCs w:val="15"/>
          <w:b w:val="1"/>
          <w:bCs w:val="1"/>
          <w:i w:val="1"/>
          <w:iCs w:val="1"/>
          <w:color w:val="auto"/>
        </w:rPr>
        <w:t xml:space="preserve">Amortization of Purchased Intangibles and Acquired Capitalized Software. </w:t>
      </w:r>
      <w:r>
        <w:rPr>
          <w:rFonts w:ascii="Arial" w:cs="Arial" w:eastAsia="Arial" w:hAnsi="Arial"/>
          <w:sz w:val="15"/>
          <w:szCs w:val="15"/>
          <w:color w:val="auto"/>
        </w:rPr>
        <w:t>Amortization of purchased intangibles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acquired capitalized software represents the amortization of $1.9 million, $2.0 million and $175.0 million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of assets acquired in connection with the acquisitions of certain assets from Nyenburgh Holding B.V., Teza and KCG, respectively. These assets are amortized over their useful lives, ranging from 1 to 17 years, except for certain assets which where categorized as indefinite useful life.</w:t>
      </w:r>
    </w:p>
    <w:p>
      <w:pPr>
        <w:spacing w:after="0" w:line="189" w:lineRule="exact"/>
        <w:rPr>
          <w:sz w:val="20"/>
          <w:szCs w:val="20"/>
          <w:color w:val="auto"/>
        </w:rPr>
      </w:pPr>
    </w:p>
    <w:p>
      <w:pPr>
        <w:ind w:firstLine="635"/>
        <w:spacing w:after="0" w:line="254" w:lineRule="auto"/>
        <w:rPr>
          <w:sz w:val="20"/>
          <w:szCs w:val="20"/>
          <w:color w:val="auto"/>
        </w:rPr>
      </w:pPr>
      <w:r>
        <w:rPr>
          <w:rFonts w:ascii="Arial" w:cs="Arial" w:eastAsia="Arial" w:hAnsi="Arial"/>
          <w:sz w:val="18"/>
          <w:szCs w:val="18"/>
          <w:b w:val="1"/>
          <w:bCs w:val="1"/>
          <w:i w:val="1"/>
          <w:iCs w:val="1"/>
          <w:color w:val="auto"/>
        </w:rPr>
        <w:t xml:space="preserve">Debt Issue Costs Related to Debt Refinancing. </w:t>
      </w:r>
      <w:r>
        <w:rPr>
          <w:rFonts w:ascii="Arial" w:cs="Arial" w:eastAsia="Arial" w:hAnsi="Arial"/>
          <w:sz w:val="18"/>
          <w:szCs w:val="18"/>
          <w:color w:val="auto"/>
        </w:rPr>
        <w:t>As a result of the refinancing or early termination of our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accelerate the capitalized debt issue costs and the discount on debt that would otherwise to be amortized or accreted over the life of the loan.</w:t>
      </w:r>
    </w:p>
    <w:p>
      <w:pPr>
        <w:spacing w:after="0" w:line="150" w:lineRule="exact"/>
        <w:rPr>
          <w:sz w:val="20"/>
          <w:szCs w:val="20"/>
          <w:color w:val="auto"/>
        </w:rPr>
      </w:pPr>
    </w:p>
    <w:p>
      <w:pPr>
        <w:ind w:right="100" w:firstLine="635"/>
        <w:spacing w:after="0" w:line="264" w:lineRule="auto"/>
        <w:rPr>
          <w:sz w:val="20"/>
          <w:szCs w:val="20"/>
          <w:color w:val="auto"/>
        </w:rPr>
      </w:pPr>
      <w:r>
        <w:rPr>
          <w:rFonts w:ascii="Arial" w:cs="Arial" w:eastAsia="Arial" w:hAnsi="Arial"/>
          <w:sz w:val="18"/>
          <w:szCs w:val="18"/>
          <w:b w:val="1"/>
          <w:bCs w:val="1"/>
          <w:i w:val="1"/>
          <w:iCs w:val="1"/>
          <w:color w:val="auto"/>
        </w:rPr>
        <w:t xml:space="preserve">Transaction Advisory Fees and Expenses. </w:t>
      </w:r>
      <w:r>
        <w:rPr>
          <w:rFonts w:ascii="Arial" w:cs="Arial" w:eastAsia="Arial" w:hAnsi="Arial"/>
          <w:sz w:val="18"/>
          <w:szCs w:val="18"/>
          <w:color w:val="auto"/>
        </w:rPr>
        <w:t>Transaction advisory fees and expenses primarily reflect professional fees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by us in connection with the Acquisition of KCG.</w:t>
      </w:r>
    </w:p>
    <w:p>
      <w:pPr>
        <w:spacing w:after="0" w:line="153" w:lineRule="exact"/>
        <w:rPr>
          <w:sz w:val="20"/>
          <w:szCs w:val="20"/>
          <w:color w:val="auto"/>
        </w:rPr>
      </w:pPr>
    </w:p>
    <w:p>
      <w:pPr>
        <w:ind w:right="120" w:firstLine="635"/>
        <w:spacing w:after="0" w:line="364" w:lineRule="auto"/>
        <w:rPr>
          <w:sz w:val="20"/>
          <w:szCs w:val="20"/>
          <w:color w:val="auto"/>
        </w:rPr>
      </w:pPr>
      <w:r>
        <w:rPr>
          <w:rFonts w:ascii="Arial" w:cs="Arial" w:eastAsia="Arial" w:hAnsi="Arial"/>
          <w:sz w:val="15"/>
          <w:szCs w:val="15"/>
          <w:b w:val="1"/>
          <w:bCs w:val="1"/>
          <w:i w:val="1"/>
          <w:iCs w:val="1"/>
          <w:color w:val="auto"/>
        </w:rPr>
        <w:t xml:space="preserve">Reserve for Legal Matters. </w:t>
      </w:r>
      <w:r>
        <w:rPr>
          <w:rFonts w:ascii="Arial" w:cs="Arial" w:eastAsia="Arial" w:hAnsi="Arial"/>
          <w:sz w:val="15"/>
          <w:szCs w:val="15"/>
          <w:color w:val="auto"/>
        </w:rPr>
        <w:t>Reserve for legal matters represents the potential legal settlements arriving from on-going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legal matters that might be material for our results of operations and cash flows for any particular reporting period.</w:t>
      </w:r>
    </w:p>
    <w:p>
      <w:pPr>
        <w:spacing w:after="0" w:line="112" w:lineRule="exact"/>
        <w:rPr>
          <w:sz w:val="20"/>
          <w:szCs w:val="20"/>
          <w:color w:val="auto"/>
        </w:rPr>
      </w:pPr>
    </w:p>
    <w:p>
      <w:pPr>
        <w:ind w:right="40" w:firstLine="635"/>
        <w:spacing w:after="0" w:line="250" w:lineRule="auto"/>
        <w:rPr>
          <w:sz w:val="20"/>
          <w:szCs w:val="20"/>
          <w:color w:val="auto"/>
        </w:rPr>
      </w:pPr>
      <w:r>
        <w:rPr>
          <w:rFonts w:ascii="Arial" w:cs="Arial" w:eastAsia="Arial" w:hAnsi="Arial"/>
          <w:sz w:val="18"/>
          <w:szCs w:val="18"/>
          <w:b w:val="1"/>
          <w:bCs w:val="1"/>
          <w:i w:val="1"/>
          <w:iCs w:val="1"/>
          <w:color w:val="auto"/>
        </w:rPr>
        <w:t xml:space="preserve">Charges Related to Share Based Compensation at IPO. </w:t>
      </w:r>
      <w:r>
        <w:rPr>
          <w:rFonts w:ascii="Arial" w:cs="Arial" w:eastAsia="Arial" w:hAnsi="Arial"/>
          <w:sz w:val="18"/>
          <w:szCs w:val="18"/>
          <w:color w:val="auto"/>
        </w:rPr>
        <w:t>At the consummation of the IPO and through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we recognized non-cash compensation expenses in respect of the outstanding time vested Class B and East MIP Class B interests, net of capitalization and amortization of costs attributable to employees incurred in development of software for internal use, as discussed in Note 16 (“Share-based compensation”) of Part II Item 8 “Financial Statements and Supplementary Data” of this Form 10-K.</w:t>
      </w:r>
    </w:p>
    <w:p>
      <w:pPr>
        <w:spacing w:after="0" w:line="192" w:lineRule="exact"/>
        <w:rPr>
          <w:sz w:val="20"/>
          <w:szCs w:val="20"/>
          <w:color w:val="auto"/>
        </w:rPr>
      </w:pPr>
    </w:p>
    <w:p>
      <w:pPr>
        <w:ind w:right="500" w:firstLine="635"/>
        <w:spacing w:after="0" w:line="264" w:lineRule="auto"/>
        <w:rPr>
          <w:sz w:val="20"/>
          <w:szCs w:val="20"/>
          <w:color w:val="auto"/>
        </w:rPr>
      </w:pPr>
      <w:r>
        <w:rPr>
          <w:rFonts w:ascii="Arial" w:cs="Arial" w:eastAsia="Arial" w:hAnsi="Arial"/>
          <w:sz w:val="18"/>
          <w:szCs w:val="18"/>
          <w:b w:val="1"/>
          <w:bCs w:val="1"/>
          <w:i w:val="1"/>
          <w:iCs w:val="1"/>
          <w:color w:val="auto"/>
        </w:rPr>
        <w:t xml:space="preserve">Financing Interest Expense on Long-Term Borrowings. </w:t>
      </w:r>
      <w:r>
        <w:rPr>
          <w:rFonts w:ascii="Arial" w:cs="Arial" w:eastAsia="Arial" w:hAnsi="Arial"/>
          <w:sz w:val="18"/>
          <w:szCs w:val="18"/>
          <w:color w:val="auto"/>
        </w:rPr>
        <w:t>Financing interest expense reflects interest accrued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indebtedness, under our long-term borrowing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6" w:lineRule="exact"/>
        <w:rPr>
          <w:sz w:val="20"/>
          <w:szCs w:val="20"/>
          <w:color w:val="auto"/>
        </w:rPr>
      </w:pPr>
    </w:p>
    <w:p>
      <w:pPr>
        <w:ind w:right="20" w:firstLine="635"/>
        <w:spacing w:after="0" w:line="266" w:lineRule="auto"/>
        <w:rPr>
          <w:sz w:val="20"/>
          <w:szCs w:val="20"/>
          <w:color w:val="auto"/>
        </w:rPr>
      </w:pPr>
      <w:r>
        <w:rPr>
          <w:rFonts w:ascii="Arial" w:cs="Arial" w:eastAsia="Arial" w:hAnsi="Arial"/>
          <w:sz w:val="17"/>
          <w:szCs w:val="17"/>
          <w:color w:val="auto"/>
        </w:rPr>
        <w:t>Prior to the consummation of the Reorganization Transactions and the IPO, our business was historically operated through a limited liability company that is treated as a partnership for U.S. federal income tax purposes, and as such most of our income was not subject to U.S. federal and certain state income taxes. Our income tax expense for historical periods reflects taxes payable by certain of our non-U.S. subsidiaries. Subsequent to consummation of the Reorganization Transactions and the IPO, we are subject to U.S. federal, state and local income tax at the rate applicable to corporations less the rate attributable to the noncontrolling interest in Virtu Financial.</w:t>
      </w:r>
    </w:p>
    <w:p>
      <w:pPr>
        <w:spacing w:after="0" w:line="182" w:lineRule="exact"/>
        <w:rPr>
          <w:sz w:val="20"/>
          <w:szCs w:val="20"/>
          <w:color w:val="auto"/>
        </w:rPr>
      </w:pPr>
    </w:p>
    <w:p>
      <w:pPr>
        <w:ind w:right="20" w:firstLine="635"/>
        <w:spacing w:after="0" w:line="248" w:lineRule="auto"/>
        <w:rPr>
          <w:sz w:val="20"/>
          <w:szCs w:val="20"/>
          <w:color w:val="auto"/>
        </w:rPr>
      </w:pPr>
      <w:r>
        <w:rPr>
          <w:rFonts w:ascii="Arial" w:cs="Arial" w:eastAsia="Arial" w:hAnsi="Arial"/>
          <w:sz w:val="18"/>
          <w:szCs w:val="18"/>
          <w:color w:val="auto"/>
        </w:rPr>
        <w:t>Our effective tax rate is subject to significant variation due to several factors, including variability in our pre-tax and taxable income and loss and the mix of jurisdictions to which they relate, changes in how we do business, acquisitions (including the acquisition of KCG)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6" w:lineRule="exact"/>
        <w:rPr>
          <w:sz w:val="20"/>
          <w:szCs w:val="20"/>
          <w:color w:val="auto"/>
        </w:rPr>
      </w:pPr>
    </w:p>
    <w:p>
      <w:pPr>
        <w:ind w:right="40" w:firstLine="635"/>
        <w:spacing w:after="0" w:line="302" w:lineRule="auto"/>
        <w:rPr>
          <w:sz w:val="20"/>
          <w:szCs w:val="20"/>
          <w:color w:val="auto"/>
        </w:rPr>
      </w:pPr>
      <w:r>
        <w:rPr>
          <w:rFonts w:ascii="Arial" w:cs="Arial" w:eastAsia="Arial" w:hAnsi="Arial"/>
          <w:sz w:val="15"/>
          <w:szCs w:val="15"/>
          <w:color w:val="auto"/>
        </w:rPr>
        <w:t>Public Law No. 115-97, commonly referred to as the The Tax Cuts and Jobs Act (“2017 Tax Act”) was signed into law on December 22, 2017. The 2017 Tax Act significantly revises the U.S. corporate income tax by, among other things, lowering the statutory corporate tax rate from 35% to 21%, and eliminating certain deductions. We have not completed our determination of the accounting implications of the 2017 Tax Act on our tax accruals. However, we have reasonably estimated the effects of the 2017 Tax Act and recorded provisional amounts in our financial statements as of December 31, 2017. We recorded a provisional deferred tax expense for the impact of the 2017 Tax Act of approximately $91.0 million, which is primarily composed of the remeasurement of federal net deferred tax assets as a result of the permanent reduction in the U.S. statutory corporate tax rate to 21% from 35%. As we complete our analysis of the 2017 Tax Act, collect and prepare necessary data, and interpret any additional guidance issued by the U.S. Treasury Department, the IRS, and other standard-setting bodies, we may make adjustments to the provisional amounts. Those adjustments may materially impact our provision for income taxes in the period in which the adjustments are made.</w:t>
      </w:r>
    </w:p>
    <w:p>
      <w:pPr>
        <w:spacing w:after="0" w:line="369" w:lineRule="exact"/>
        <w:rPr>
          <w:sz w:val="20"/>
          <w:szCs w:val="20"/>
          <w:color w:val="auto"/>
        </w:rPr>
      </w:pPr>
    </w:p>
    <w:p>
      <w:pPr>
        <w:ind w:right="580" w:firstLine="635"/>
        <w:spacing w:after="0" w:line="364" w:lineRule="auto"/>
        <w:rPr>
          <w:sz w:val="20"/>
          <w:szCs w:val="20"/>
          <w:color w:val="auto"/>
        </w:rPr>
      </w:pPr>
      <w:r>
        <w:rPr>
          <w:rFonts w:ascii="Arial" w:cs="Arial" w:eastAsia="Arial" w:hAnsi="Arial"/>
          <w:sz w:val="15"/>
          <w:szCs w:val="15"/>
          <w:color w:val="auto"/>
        </w:rPr>
        <w:t>We regularly assess whether it is more likely than not that we will realize our deferred tax assets in each taxing jurisdiction in which we operate. In performing this assessment with respect to each jurisdiction, we review all available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evidence, including actual and expected future earnings, capital gains, and investment in such jurisdiction, the carry-forward periods available to us for tax reporting purposes, and other relevant factors.</w:t>
      </w:r>
    </w:p>
    <w:p>
      <w:pPr>
        <w:spacing w:after="0" w:line="180" w:lineRule="exact"/>
        <w:rPr>
          <w:sz w:val="20"/>
          <w:szCs w:val="20"/>
          <w:color w:val="auto"/>
        </w:rPr>
      </w:pPr>
    </w:p>
    <w:p>
      <w:pPr>
        <w:ind w:right="160" w:firstLine="635"/>
        <w:spacing w:after="0" w:line="264" w:lineRule="auto"/>
        <w:rPr>
          <w:sz w:val="20"/>
          <w:szCs w:val="20"/>
          <w:color w:val="auto"/>
        </w:rPr>
      </w:pPr>
      <w:r>
        <w:rPr>
          <w:rFonts w:ascii="Arial" w:cs="Arial" w:eastAsia="Arial" w:hAnsi="Arial"/>
          <w:sz w:val="18"/>
          <w:szCs w:val="18"/>
          <w:color w:val="auto"/>
        </w:rPr>
        <w:t>See Note 13 “Income Taxes” of Part II Item 8 “Financial Statements and Supplementary Data” of this Form 10-K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Other Items</w:t>
      </w:r>
    </w:p>
    <w:p>
      <w:pPr>
        <w:spacing w:after="0" w:line="222" w:lineRule="exact"/>
        <w:rPr>
          <w:sz w:val="20"/>
          <w:szCs w:val="20"/>
          <w:color w:val="auto"/>
        </w:rPr>
      </w:pPr>
    </w:p>
    <w:p>
      <w:pPr>
        <w:ind w:right="440" w:firstLine="635"/>
        <w:spacing w:after="0" w:line="293" w:lineRule="auto"/>
        <w:rPr>
          <w:sz w:val="20"/>
          <w:szCs w:val="20"/>
          <w:color w:val="auto"/>
        </w:rPr>
      </w:pPr>
      <w:r>
        <w:rPr>
          <w:rFonts w:ascii="Arial" w:cs="Arial" w:eastAsia="Arial" w:hAnsi="Arial"/>
          <w:sz w:val="17"/>
          <w:szCs w:val="17"/>
          <w:color w:val="auto"/>
        </w:rPr>
        <w:t>To supplement our consolidated financial statements presented in accordance with generally accepted accounting principles (“GAAP”), we use the following non-GAAP financial measures of financial performance:</w:t>
      </w:r>
    </w:p>
    <w:p>
      <w:pPr>
        <w:spacing w:after="0" w:line="158" w:lineRule="exact"/>
        <w:rPr>
          <w:sz w:val="20"/>
          <w:szCs w:val="20"/>
          <w:color w:val="auto"/>
        </w:rPr>
      </w:pPr>
    </w:p>
    <w:p>
      <w:pPr>
        <w:ind w:left="640" w:right="20" w:hanging="322"/>
        <w:spacing w:after="0" w:line="264"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and clearance fees, net, and payments for order flow.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181" w:lineRule="exact"/>
        <w:rPr>
          <w:rFonts w:ascii="Arial" w:cs="Arial" w:eastAsia="Arial" w:hAnsi="Arial"/>
          <w:sz w:val="17"/>
          <w:szCs w:val="17"/>
          <w:color w:val="auto"/>
        </w:rPr>
      </w:pPr>
    </w:p>
    <w:p>
      <w:pPr>
        <w:ind w:left="640" w:right="60" w:hanging="322"/>
        <w:spacing w:after="0" w:line="306" w:lineRule="auto"/>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trading related settlement income, other, net, share based compensation, charges related to share based compensation at IPO, 2015 Management Incentive Plan, and charges related to share based compensation at IPO.</w:t>
      </w:r>
    </w:p>
    <w:p>
      <w:pPr>
        <w:spacing w:after="0" w:line="153" w:lineRule="exact"/>
        <w:rPr>
          <w:rFonts w:ascii="Arial" w:cs="Arial" w:eastAsia="Arial" w:hAnsi="Arial"/>
          <w:sz w:val="15"/>
          <w:szCs w:val="15"/>
          <w:color w:val="auto"/>
        </w:rPr>
      </w:pPr>
    </w:p>
    <w:p>
      <w:pPr>
        <w:ind w:left="640" w:right="80" w:hanging="322"/>
        <w:spacing w:after="0" w:line="317" w:lineRule="auto"/>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 corporate tax rate of 35.5% to 37%.</w:t>
      </w:r>
    </w:p>
    <w:p>
      <w:pPr>
        <w:spacing w:after="0" w:line="147" w:lineRule="exact"/>
        <w:rPr>
          <w:sz w:val="20"/>
          <w:szCs w:val="20"/>
          <w:color w:val="auto"/>
        </w:rPr>
      </w:pPr>
    </w:p>
    <w:p>
      <w:pPr>
        <w:ind w:firstLine="635"/>
        <w:spacing w:after="0" w:line="299" w:lineRule="auto"/>
        <w:rPr>
          <w:sz w:val="20"/>
          <w:szCs w:val="20"/>
          <w:color w:val="auto"/>
        </w:rPr>
      </w:pPr>
      <w:r>
        <w:rPr>
          <w:rFonts w:ascii="Arial" w:cs="Arial" w:eastAsia="Arial" w:hAnsi="Arial"/>
          <w:sz w:val="15"/>
          <w:szCs w:val="15"/>
          <w:color w:val="auto"/>
        </w:rPr>
        <w:t>Adjusted Net Trading Income, EBITDA, Adjusted EBITDA, Normalized Adjusted Net Income, Normalized Adjusted Net Income before income taxes, Normalized provision for income taxes and Normalized Adjusted EPS are non-GAAP financial measures used by management in evaluating operating performance and in making strategic decisions. Additional information provided regarding the breakdown of Total ANTI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and Normalized Adjusted EPS provide useful information to investors regarding our results of operations and cash flows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Fourth Amended and Restated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and Normalized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Adjusted EPS differently, and as a result our measures of Adjusted Net Trading Income, Adjusted EBITDA, Normalized Adjusted Net Income, Normalized Adjusted Net Income before income taxes, Normalized provision for income taxes and Normalized Adjusted EPS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65" w:lineRule="exact"/>
        <w:rPr>
          <w:sz w:val="20"/>
          <w:szCs w:val="20"/>
          <w:color w:val="auto"/>
        </w:rPr>
      </w:pPr>
    </w:p>
    <w:p>
      <w:pPr>
        <w:ind w:firstLine="635"/>
        <w:spacing w:after="0" w:line="263" w:lineRule="auto"/>
        <w:rPr>
          <w:sz w:val="20"/>
          <w:szCs w:val="20"/>
          <w:color w:val="auto"/>
        </w:rPr>
      </w:pPr>
      <w:r>
        <w:rPr>
          <w:rFonts w:ascii="Arial" w:cs="Arial" w:eastAsia="Arial" w:hAnsi="Arial"/>
          <w:sz w:val="17"/>
          <w:szCs w:val="17"/>
          <w:color w:val="auto"/>
        </w:rPr>
        <w:t>Adjusted Net Trading Income, EBITDA, Adjusted EBITDA, Normalized Adjusted Net Income, Normalized Adjusted Net Income before income taxes, Normalized provision for income taxes and Normalized Adjusted EPS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and Normalized Adjusted EPS and our EBITDA-based measures have limitations as analytical tools, and you should not consider them in isolation or as substitutes for analysis of our results as reported under U.S. GAAP. Some of these limitations are:</w:t>
      </w:r>
    </w:p>
    <w:p>
      <w:pPr>
        <w:spacing w:after="0" w:line="345" w:lineRule="exact"/>
        <w:rPr>
          <w:sz w:val="20"/>
          <w:szCs w:val="20"/>
          <w:color w:val="auto"/>
        </w:rPr>
      </w:pPr>
    </w:p>
    <w:p>
      <w:pPr>
        <w:ind w:left="960" w:right="940" w:hanging="324"/>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do not reflect every cash expenditure, future requirements for capital expenditures or contractual commitments;</w:t>
      </w:r>
    </w:p>
    <w:p>
      <w:pPr>
        <w:spacing w:after="0" w:line="166" w:lineRule="exact"/>
        <w:rPr>
          <w:rFonts w:ascii="Arial" w:cs="Arial" w:eastAsia="Arial" w:hAnsi="Arial"/>
          <w:sz w:val="18"/>
          <w:szCs w:val="18"/>
          <w:color w:val="auto"/>
        </w:rPr>
      </w:pPr>
    </w:p>
    <w:p>
      <w:pPr>
        <w:ind w:left="960" w:right="140" w:hanging="324"/>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EBITDA-based measures do not reflect the significant interest expense or the cash requirements necessary to service interest or principal payment on our debt;</w:t>
      </w:r>
    </w:p>
    <w:p>
      <w:pPr>
        <w:spacing w:after="0" w:line="166" w:lineRule="exact"/>
        <w:rPr>
          <w:rFonts w:ascii="Arial" w:cs="Arial" w:eastAsia="Arial" w:hAnsi="Arial"/>
          <w:sz w:val="18"/>
          <w:szCs w:val="18"/>
          <w:color w:val="auto"/>
        </w:rPr>
      </w:pPr>
    </w:p>
    <w:p>
      <w:pPr>
        <w:ind w:left="960" w:hanging="324"/>
        <w:spacing w:after="0" w:line="25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176" w:lineRule="exact"/>
        <w:rPr>
          <w:rFonts w:ascii="Arial" w:cs="Arial" w:eastAsia="Arial" w:hAnsi="Arial"/>
          <w:sz w:val="18"/>
          <w:szCs w:val="18"/>
          <w:color w:val="auto"/>
        </w:rPr>
      </w:pPr>
    </w:p>
    <w:p>
      <w:pPr>
        <w:ind w:left="960" w:hanging="324"/>
        <w:spacing w:after="0"/>
        <w:tabs>
          <w:tab w:leader="none" w:pos="9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they are not adjusted for all non-cash income or expense items that are reflected in our statements of cash flows;</w:t>
      </w:r>
    </w:p>
    <w:p>
      <w:pPr>
        <w:spacing w:after="0" w:line="237" w:lineRule="exact"/>
        <w:rPr>
          <w:rFonts w:ascii="Arial" w:cs="Arial" w:eastAsia="Arial" w:hAnsi="Arial"/>
          <w:sz w:val="15"/>
          <w:szCs w:val="15"/>
          <w:color w:val="auto"/>
        </w:rPr>
      </w:pPr>
    </w:p>
    <w:p>
      <w:pPr>
        <w:ind w:left="960" w:right="60" w:hanging="324"/>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 and</w:t>
      </w:r>
    </w:p>
    <w:p>
      <w:pPr>
        <w:spacing w:after="0" w:line="166" w:lineRule="exact"/>
        <w:rPr>
          <w:rFonts w:ascii="Arial" w:cs="Arial" w:eastAsia="Arial" w:hAnsi="Arial"/>
          <w:sz w:val="18"/>
          <w:szCs w:val="18"/>
          <w:color w:val="auto"/>
        </w:rPr>
      </w:pPr>
    </w:p>
    <w:p>
      <w:pPr>
        <w:ind w:left="960" w:hanging="32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do not reflect limitations on our costs related to transferring earnings from our subsidiaries to us.</w:t>
      </w:r>
    </w:p>
    <w:p>
      <w:pPr>
        <w:spacing w:after="0" w:line="203" w:lineRule="exact"/>
        <w:rPr>
          <w:sz w:val="20"/>
          <w:szCs w:val="20"/>
          <w:color w:val="auto"/>
        </w:rPr>
      </w:pPr>
    </w:p>
    <w:p>
      <w:pPr>
        <w:ind w:right="140" w:firstLine="635"/>
        <w:spacing w:after="0" w:line="297" w:lineRule="auto"/>
        <w:rPr>
          <w:sz w:val="20"/>
          <w:szCs w:val="20"/>
          <w:color w:val="auto"/>
        </w:rPr>
      </w:pPr>
      <w:r>
        <w:rPr>
          <w:rFonts w:ascii="Arial" w:cs="Arial" w:eastAsia="Arial" w:hAnsi="Arial"/>
          <w:sz w:val="15"/>
          <w:szCs w:val="15"/>
          <w:color w:val="auto"/>
        </w:rPr>
        <w:t>Because of these limitations, Adjusted Net Trading Income, EBITDA, Adjusted EBITDA and Normalized Adjusted Net Income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and Normalized Adjusted Net Income along with other comparative tools, together with</w:t>
      </w:r>
    </w:p>
    <w:p>
      <w:pPr>
        <w:spacing w:after="0" w:line="3"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U.S. GAAP measurements, to assist in the evaluation of operating performance. These U.S. GAAP measurements include operating Net Income, cash flows from operations and cash flow data. See below a reconciliation of each non-GAAP financial measure to the most directly comparable GAAP measure.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340" w:firstLine="635"/>
        <w:spacing w:after="0" w:line="264" w:lineRule="auto"/>
        <w:rPr>
          <w:sz w:val="20"/>
          <w:szCs w:val="20"/>
          <w:color w:val="auto"/>
        </w:rPr>
      </w:pPr>
      <w:r>
        <w:rPr>
          <w:rFonts w:ascii="Arial" w:cs="Arial" w:eastAsia="Arial" w:hAnsi="Arial"/>
          <w:sz w:val="18"/>
          <w:szCs w:val="18"/>
          <w:color w:val="auto"/>
        </w:rPr>
        <w:t>The following tables reconcile Consolidated Statements of Comprehensive Income to arrive at EBITDA, Adjusted EBITDA, Adjusted Net Trading Income, and selected Operating Margins.</w:t>
      </w:r>
    </w:p>
    <w:p>
      <w:pPr>
        <w:spacing w:after="0" w:line="183"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For the Year Ended</w:t>
      </w:r>
    </w:p>
    <w:p>
      <w:pPr>
        <w:ind w:left="6380"/>
        <w:spacing w:after="0" w:line="227"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9"/>
              <w:spacing w:after="0" w:line="139"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9"/>
              <w:spacing w:after="0" w:line="139"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9"/>
              <w:spacing w:after="0" w:line="139"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Trading income, net</w:t>
            </w:r>
          </w:p>
        </w:tc>
        <w:tc>
          <w:tcPr>
            <w:tcW w:w="360" w:type="dxa"/>
            <w:vAlign w:val="bottom"/>
            <w:gridSpan w:val="2"/>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766,027</w:t>
            </w:r>
          </w:p>
        </w:tc>
        <w:tc>
          <w:tcPr>
            <w:tcW w:w="48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665,465</w:t>
            </w:r>
          </w:p>
        </w:tc>
        <w:tc>
          <w:tcPr>
            <w:tcW w:w="460" w:type="dxa"/>
            <w:vAlign w:val="bottom"/>
            <w:gridSpan w:val="2"/>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757,455</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Interest and dividends income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50,407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26,419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28,136</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Commissions, net and technology services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116,503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10,352</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10,622</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Brokerage, exchange and clearance fees, net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(256,926)</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(221,214)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(232,469)</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Payments for order flow</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(27,727)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Interest and dividends expense</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(91,993)</w:t>
            </w:r>
          </w:p>
        </w:tc>
        <w:tc>
          <w:tcPr>
            <w:tcW w:w="2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(56,557)</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(52,423)</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Adjusted Net Trading Income</w:t>
            </w:r>
          </w:p>
        </w:tc>
        <w:tc>
          <w:tcPr>
            <w:tcW w:w="160" w:type="dxa"/>
            <w:vAlign w:val="bottom"/>
          </w:tcPr>
          <w:p>
            <w:pPr>
              <w:spacing w:after="0"/>
              <w:rPr>
                <w:sz w:val="12"/>
                <w:szCs w:val="12"/>
                <w:color w:val="auto"/>
              </w:rPr>
            </w:pPr>
          </w:p>
        </w:tc>
        <w:tc>
          <w:tcPr>
            <w:tcW w:w="200" w:type="dxa"/>
            <w:vAlign w:val="bottom"/>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556,291</w:t>
            </w:r>
          </w:p>
        </w:tc>
        <w:tc>
          <w:tcPr>
            <w:tcW w:w="28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424,465</w:t>
            </w:r>
          </w:p>
        </w:tc>
        <w:tc>
          <w:tcPr>
            <w:tcW w:w="28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511,321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6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Reconciliation of Net Income to EBITDA and Adjusted EBITDA</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Net Income</w:t>
            </w:r>
          </w:p>
        </w:tc>
        <w:tc>
          <w:tcPr>
            <w:tcW w:w="360" w:type="dxa"/>
            <w:vAlign w:val="bottom"/>
            <w:gridSpan w:val="2"/>
            <w:shd w:val="clear" w:color="auto" w:fill="CCEEFF"/>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18,898</w:t>
            </w:r>
          </w:p>
        </w:tc>
        <w:tc>
          <w:tcPr>
            <w:tcW w:w="480" w:type="dxa"/>
            <w:vAlign w:val="bottom"/>
            <w:gridSpan w:val="2"/>
            <w:shd w:val="clear" w:color="auto" w:fill="CCEEFF"/>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158,340</w:t>
            </w:r>
          </w:p>
        </w:tc>
        <w:tc>
          <w:tcPr>
            <w:tcW w:w="460" w:type="dxa"/>
            <w:vAlign w:val="bottom"/>
            <w:gridSpan w:val="2"/>
            <w:shd w:val="clear" w:color="auto" w:fill="CCEEFF"/>
          </w:tcPr>
          <w:p>
            <w:pPr>
              <w:jc w:val="right"/>
              <w:ind w:right="70"/>
              <w:spacing w:after="0" w:line="14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197,490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Financing interest expense on long-term borrowings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64,107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28,327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29,254</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Debt issue cost related to debt refinancing</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10,460</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5,579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47,327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29,703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33,629</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15,447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211</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tcBorders>
              <w:bottom w:val="single" w:sz="8" w:color="CCEEFF"/>
            </w:tcBorders>
            <w:gridSpan w:val="2"/>
          </w:tcPr>
          <w:p>
            <w:pPr>
              <w:ind w:left="200"/>
              <w:spacing w:after="0" w:line="145" w:lineRule="exact"/>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94,266</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21,251</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18,439</w:t>
            </w:r>
          </w:p>
        </w:tc>
        <w:tc>
          <w:tcPr>
            <w:tcW w:w="6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EBITDA</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250,505</w:t>
            </w:r>
          </w:p>
        </w:tc>
        <w:tc>
          <w:tcPr>
            <w:tcW w:w="2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243,411</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279,023</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Severance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14,911</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1,252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1,065</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Reserve for legal matters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657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5,440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Transaction advisory fees and expenses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25,270</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Termination of office leases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3,671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(319)</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2,729</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Acquisition related retention bonus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23,050</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Trading related settlement income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(628)</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(2,975)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Other, net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(95,045)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Equipment write-off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1,216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428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Share based compensation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21,825</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18,222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15,202</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960" w:type="dxa"/>
            <w:vAlign w:val="bottom"/>
            <w:gridSpan w:val="2"/>
          </w:tcPr>
          <w:p>
            <w:pPr>
              <w:ind w:left="200"/>
              <w:spacing w:after="0" w:line="127" w:lineRule="exact"/>
              <w:rPr>
                <w:sz w:val="20"/>
                <w:szCs w:val="20"/>
                <w:color w:val="auto"/>
              </w:rPr>
            </w:pPr>
            <w:r>
              <w:rPr>
                <w:rFonts w:ascii="Arial" w:cs="Arial" w:eastAsia="Arial" w:hAnsi="Arial"/>
                <w:sz w:val="14"/>
                <w:szCs w:val="14"/>
                <w:color w:val="auto"/>
                <w:w w:val="92"/>
              </w:rPr>
              <w:t>Charges related to share based compensation at IPO, 2015 Management Incentive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gridSpan w:val="2"/>
          </w:tcPr>
          <w:p>
            <w:pPr>
              <w:ind w:left="200"/>
              <w:spacing w:after="0"/>
              <w:rPr>
                <w:sz w:val="20"/>
                <w:szCs w:val="20"/>
                <w:color w:val="auto"/>
              </w:rPr>
            </w:pPr>
            <w:r>
              <w:rPr>
                <w:rFonts w:ascii="Arial" w:cs="Arial" w:eastAsia="Arial" w:hAnsi="Arial"/>
                <w:sz w:val="14"/>
                <w:szCs w:val="14"/>
                <w:color w:val="auto"/>
              </w:rPr>
              <w:t>Plan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5,225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5,606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4,710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Charges related to share based compensation awards at IPO</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740</w:t>
            </w:r>
          </w:p>
        </w:tc>
        <w:tc>
          <w:tcPr>
            <w:tcW w:w="2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1,755</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44,194</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Adjusted EBITDA</w:t>
            </w:r>
          </w:p>
        </w:tc>
        <w:tc>
          <w:tcPr>
            <w:tcW w:w="160" w:type="dxa"/>
            <w:vAlign w:val="bottom"/>
          </w:tcPr>
          <w:p>
            <w:pPr>
              <w:spacing w:after="0"/>
              <w:rPr>
                <w:sz w:val="12"/>
                <w:szCs w:val="12"/>
                <w:color w:val="auto"/>
              </w:rPr>
            </w:pPr>
          </w:p>
        </w:tc>
        <w:tc>
          <w:tcPr>
            <w:tcW w:w="200" w:type="dxa"/>
            <w:vAlign w:val="bottom"/>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251,397</w:t>
            </w:r>
          </w:p>
        </w:tc>
        <w:tc>
          <w:tcPr>
            <w:tcW w:w="28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9" w:lineRule="exact"/>
              <w:rPr>
                <w:sz w:val="20"/>
                <w:szCs w:val="20"/>
                <w:color w:val="auto"/>
              </w:rPr>
            </w:pPr>
            <w:r>
              <w:rPr>
                <w:rFonts w:ascii="Arial" w:cs="Arial" w:eastAsia="Arial" w:hAnsi="Arial"/>
                <w:sz w:val="14"/>
                <w:szCs w:val="14"/>
                <w:color w:val="auto"/>
              </w:rPr>
              <w:t>268,338</w:t>
            </w:r>
          </w:p>
        </w:tc>
        <w:tc>
          <w:tcPr>
            <w:tcW w:w="28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9" w:lineRule="exact"/>
              <w:rPr>
                <w:sz w:val="20"/>
                <w:szCs w:val="20"/>
                <w:color w:val="auto"/>
              </w:rPr>
            </w:pPr>
            <w:r>
              <w:rPr>
                <w:rFonts w:ascii="Arial" w:cs="Arial" w:eastAsia="Arial" w:hAnsi="Arial"/>
                <w:sz w:val="14"/>
                <w:szCs w:val="14"/>
                <w:color w:val="auto"/>
              </w:rPr>
              <w:t>352,363</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27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96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Selected Operating Margins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Net Income Margin (1)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3.4</w:t>
            </w:r>
          </w:p>
        </w:tc>
        <w:tc>
          <w:tcPr>
            <w:tcW w:w="280" w:type="dxa"/>
            <w:vAlign w:val="bottom"/>
            <w:shd w:val="clear" w:color="auto" w:fill="CCEEFF"/>
          </w:tcPr>
          <w:p>
            <w:pPr>
              <w:jc w:val="right"/>
              <w:ind w:right="89"/>
              <w:spacing w:after="0" w:line="145"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37.3</w:t>
            </w:r>
          </w:p>
        </w:tc>
        <w:tc>
          <w:tcPr>
            <w:tcW w:w="280" w:type="dxa"/>
            <w:vAlign w:val="bottom"/>
            <w:shd w:val="clear" w:color="auto" w:fill="CCEEFF"/>
          </w:tcPr>
          <w:p>
            <w:pPr>
              <w:jc w:val="right"/>
              <w:ind w:right="113"/>
              <w:spacing w:after="0"/>
              <w:rPr>
                <w:sz w:val="20"/>
                <w:szCs w:val="20"/>
                <w:color w:val="auto"/>
              </w:rPr>
            </w:pPr>
            <w:r>
              <w:rPr>
                <w:rFonts w:ascii="Arial" w:cs="Arial" w:eastAsia="Arial" w:hAnsi="Arial"/>
                <w:sz w:val="12"/>
                <w:szCs w:val="12"/>
                <w:color w:val="auto"/>
                <w:w w:val="74"/>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38.6</w:t>
            </w:r>
          </w:p>
        </w:tc>
        <w:tc>
          <w:tcPr>
            <w:tcW w:w="600" w:type="dxa"/>
            <w:vAlign w:val="bottom"/>
            <w:shd w:val="clear" w:color="auto" w:fill="CCEEFF"/>
          </w:tcPr>
          <w:p>
            <w:pPr>
              <w:jc w:val="right"/>
              <w:ind w:right="409"/>
              <w:spacing w:after="0" w:line="14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EBITDA Margin (2)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89"/>
              <w:spacing w:after="0" w:line="145" w:lineRule="exact"/>
              <w:rPr>
                <w:sz w:val="20"/>
                <w:szCs w:val="20"/>
                <w:color w:val="auto"/>
              </w:rPr>
            </w:pPr>
            <w:r>
              <w:rPr>
                <w:rFonts w:ascii="Arial" w:cs="Arial" w:eastAsia="Arial" w:hAnsi="Arial"/>
                <w:sz w:val="14"/>
                <w:szCs w:val="14"/>
                <w:color w:val="auto"/>
              </w:rPr>
              <w:t>45.0 %</w:t>
            </w:r>
          </w:p>
        </w:tc>
        <w:tc>
          <w:tcPr>
            <w:tcW w:w="200" w:type="dxa"/>
            <w:vAlign w:val="bottom"/>
          </w:tcPr>
          <w:p>
            <w:pPr>
              <w:spacing w:after="0"/>
              <w:rPr>
                <w:sz w:val="12"/>
                <w:szCs w:val="12"/>
                <w:color w:val="auto"/>
              </w:rPr>
            </w:pPr>
          </w:p>
        </w:tc>
        <w:tc>
          <w:tcPr>
            <w:tcW w:w="1000" w:type="dxa"/>
            <w:vAlign w:val="bottom"/>
            <w:gridSpan w:val="2"/>
          </w:tcPr>
          <w:p>
            <w:pPr>
              <w:jc w:val="right"/>
              <w:ind w:right="113"/>
              <w:spacing w:after="0" w:line="145" w:lineRule="exact"/>
              <w:rPr>
                <w:sz w:val="20"/>
                <w:szCs w:val="20"/>
                <w:color w:val="auto"/>
              </w:rPr>
            </w:pPr>
            <w:r>
              <w:rPr>
                <w:rFonts w:ascii="Arial" w:cs="Arial" w:eastAsia="Arial" w:hAnsi="Arial"/>
                <w:sz w:val="14"/>
                <w:szCs w:val="14"/>
                <w:color w:val="auto"/>
              </w:rPr>
              <w:t>57.3 %</w:t>
            </w:r>
          </w:p>
        </w:tc>
        <w:tc>
          <w:tcPr>
            <w:tcW w:w="180" w:type="dxa"/>
            <w:vAlign w:val="bottom"/>
          </w:tcPr>
          <w:p>
            <w:pPr>
              <w:spacing w:after="0"/>
              <w:rPr>
                <w:sz w:val="12"/>
                <w:szCs w:val="12"/>
                <w:color w:val="auto"/>
              </w:rPr>
            </w:pPr>
          </w:p>
        </w:tc>
        <w:tc>
          <w:tcPr>
            <w:tcW w:w="1340" w:type="dxa"/>
            <w:vAlign w:val="bottom"/>
            <w:gridSpan w:val="2"/>
          </w:tcPr>
          <w:p>
            <w:pPr>
              <w:jc w:val="right"/>
              <w:ind w:right="409"/>
              <w:spacing w:after="0" w:line="145" w:lineRule="exact"/>
              <w:rPr>
                <w:sz w:val="20"/>
                <w:szCs w:val="20"/>
                <w:color w:val="auto"/>
              </w:rPr>
            </w:pPr>
            <w:r>
              <w:rPr>
                <w:rFonts w:ascii="Arial" w:cs="Arial" w:eastAsia="Arial" w:hAnsi="Arial"/>
                <w:sz w:val="14"/>
                <w:szCs w:val="14"/>
                <w:color w:val="auto"/>
              </w:rPr>
              <w:t>54.6 %</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96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Adjusted EBITDA Margin (3)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9"/>
              <w:spacing w:after="0" w:line="145" w:lineRule="exact"/>
              <w:rPr>
                <w:sz w:val="20"/>
                <w:szCs w:val="20"/>
                <w:color w:val="auto"/>
              </w:rPr>
            </w:pPr>
            <w:r>
              <w:rPr>
                <w:rFonts w:ascii="Arial" w:cs="Arial" w:eastAsia="Arial" w:hAnsi="Arial"/>
                <w:sz w:val="14"/>
                <w:szCs w:val="14"/>
                <w:color w:val="auto"/>
              </w:rPr>
              <w:t>45.2 %</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13"/>
              <w:spacing w:after="0" w:line="145" w:lineRule="exact"/>
              <w:rPr>
                <w:sz w:val="20"/>
                <w:szCs w:val="20"/>
                <w:color w:val="auto"/>
              </w:rPr>
            </w:pPr>
            <w:r>
              <w:rPr>
                <w:rFonts w:ascii="Arial" w:cs="Arial" w:eastAsia="Arial" w:hAnsi="Arial"/>
                <w:sz w:val="14"/>
                <w:szCs w:val="14"/>
                <w:color w:val="auto"/>
              </w:rPr>
              <w:t>63.2 %</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9"/>
              <w:spacing w:after="0" w:line="145" w:lineRule="exact"/>
              <w:rPr>
                <w:sz w:val="20"/>
                <w:szCs w:val="20"/>
                <w:color w:val="auto"/>
              </w:rPr>
            </w:pPr>
            <w:r>
              <w:rPr>
                <w:rFonts w:ascii="Arial" w:cs="Arial" w:eastAsia="Arial" w:hAnsi="Arial"/>
                <w:sz w:val="14"/>
                <w:szCs w:val="14"/>
                <w:color w:val="auto"/>
              </w:rPr>
              <w:t>68.9 %</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9"/>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7" w:lineRule="exact"/>
        <w:rPr>
          <w:rFonts w:ascii="Arial" w:cs="Arial" w:eastAsia="Arial" w:hAnsi="Arial"/>
          <w:sz w:val="16"/>
          <w:szCs w:val="16"/>
          <w:color w:val="auto"/>
        </w:rPr>
      </w:pPr>
    </w:p>
    <w:p>
      <w:pPr>
        <w:ind w:left="320" w:hanging="319"/>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spacing w:after="0" w:line="14" w:lineRule="exact"/>
        <w:rPr>
          <w:rFonts w:ascii="Arial" w:cs="Arial" w:eastAsia="Arial" w:hAnsi="Arial"/>
          <w:sz w:val="16"/>
          <w:szCs w:val="16"/>
          <w:color w:val="auto"/>
        </w:rPr>
      </w:pPr>
    </w:p>
    <w:p>
      <w:pPr>
        <w:ind w:left="320" w:hanging="319"/>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880" w:firstLine="635"/>
        <w:spacing w:after="0" w:line="293" w:lineRule="auto"/>
        <w:rPr>
          <w:sz w:val="20"/>
          <w:szCs w:val="20"/>
          <w:color w:val="auto"/>
        </w:rPr>
      </w:pPr>
      <w:r>
        <w:rPr>
          <w:rFonts w:ascii="Arial" w:cs="Arial" w:eastAsia="Arial" w:hAnsi="Arial"/>
          <w:sz w:val="17"/>
          <w:szCs w:val="17"/>
          <w:color w:val="auto"/>
        </w:rPr>
        <w:t>The following tables reconcile Net Income to arrive at Normalized Adjusted Net Income before income taxes, Normalized provision for income taxes, Normalized Adjusted Net Income and Normalized Adjusted EPS.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5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49"/>
              <w:spacing w:after="0" w:line="159"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29"/>
              <w:spacing w:after="0" w:line="159"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29"/>
              <w:spacing w:after="0" w:line="15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7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Reconciliation of Net Income to Normalized Adjusted Net Income</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Net income</w:t>
            </w: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18,898</w:t>
            </w:r>
          </w:p>
        </w:tc>
        <w:tc>
          <w:tcPr>
            <w:tcW w:w="4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158,340</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197,490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Provision for income taxes</w:t>
            </w:r>
          </w:p>
        </w:tc>
        <w:tc>
          <w:tcPr>
            <w:tcW w:w="5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94,266</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21,251</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18,439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80" w:type="dxa"/>
            <w:vAlign w:val="bottom"/>
            <w:gridSpan w:val="2"/>
          </w:tcPr>
          <w:p>
            <w:pPr>
              <w:ind w:left="200"/>
              <w:spacing w:after="0" w:line="139" w:lineRule="exact"/>
              <w:rPr>
                <w:sz w:val="20"/>
                <w:szCs w:val="20"/>
                <w:color w:val="auto"/>
              </w:rPr>
            </w:pPr>
            <w:r>
              <w:rPr>
                <w:rFonts w:ascii="Arial" w:cs="Arial" w:eastAsia="Arial" w:hAnsi="Arial"/>
                <w:sz w:val="14"/>
                <w:szCs w:val="14"/>
                <w:color w:val="auto"/>
              </w:rPr>
              <w:t>Income before income taxes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39" w:lineRule="exact"/>
              <w:rPr>
                <w:sz w:val="20"/>
                <w:szCs w:val="20"/>
                <w:color w:val="auto"/>
              </w:rPr>
            </w:pPr>
            <w:r>
              <w:rPr>
                <w:rFonts w:ascii="Arial" w:cs="Arial" w:eastAsia="Arial" w:hAnsi="Arial"/>
                <w:sz w:val="14"/>
                <w:szCs w:val="14"/>
                <w:color w:val="auto"/>
              </w:rPr>
              <w:t>113,164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4"/>
                <w:szCs w:val="14"/>
                <w:color w:val="auto"/>
              </w:rPr>
              <w:t>179,591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39" w:lineRule="exact"/>
              <w:rPr>
                <w:sz w:val="20"/>
                <w:szCs w:val="20"/>
                <w:color w:val="auto"/>
              </w:rPr>
            </w:pPr>
            <w:r>
              <w:rPr>
                <w:rFonts w:ascii="Arial" w:cs="Arial" w:eastAsia="Arial" w:hAnsi="Arial"/>
                <w:sz w:val="14"/>
                <w:szCs w:val="14"/>
                <w:color w:val="auto"/>
              </w:rPr>
              <w:t>215,929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15,447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Financing interest expense related to KCG transaction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4,626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Debt issue cost related to debt refinancing</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10,460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5,579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Severance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14,911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1,252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1,064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Reserve for legal matters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5,440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Transaction advisory fees and expenses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25,270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994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Termination of office leases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3,671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Equipment write-off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2,849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428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1,719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Acquisition related retention bonus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23,050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Trading related settlement income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(628)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(2,975)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Other, net</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(95,045)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Share based compensation</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21,825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18,222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15,202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80" w:type="dxa"/>
            <w:vAlign w:val="bottom"/>
            <w:gridSpan w:val="2"/>
            <w:shd w:val="clear" w:color="auto" w:fill="CCEEFF"/>
          </w:tcPr>
          <w:p>
            <w:pPr>
              <w:ind w:left="80"/>
              <w:spacing w:after="0" w:line="127" w:lineRule="exact"/>
              <w:rPr>
                <w:sz w:val="20"/>
                <w:szCs w:val="20"/>
                <w:color w:val="auto"/>
              </w:rPr>
            </w:pPr>
            <w:r>
              <w:rPr>
                <w:rFonts w:ascii="Arial" w:cs="Arial" w:eastAsia="Arial" w:hAnsi="Arial"/>
                <w:sz w:val="14"/>
                <w:szCs w:val="14"/>
                <w:color w:val="auto"/>
              </w:rPr>
              <w:t>Charges related to share based compensation at IPO, 2015 Management</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Incentive Plan</w:t>
            </w: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5,225</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tcBorders>
              <w:bottom w:val="single" w:sz="8" w:color="CCEEFF"/>
            </w:tcBorders>
            <w:gridSpan w:val="2"/>
          </w:tcPr>
          <w:p>
            <w:pPr>
              <w:ind w:left="80"/>
              <w:spacing w:after="0" w:line="145" w:lineRule="exact"/>
              <w:rPr>
                <w:sz w:val="20"/>
                <w:szCs w:val="20"/>
                <w:color w:val="auto"/>
              </w:rPr>
            </w:pPr>
            <w:r>
              <w:rPr>
                <w:rFonts w:ascii="Arial" w:cs="Arial" w:eastAsia="Arial" w:hAnsi="Arial"/>
                <w:sz w:val="14"/>
                <w:szCs w:val="14"/>
                <w:color w:val="auto"/>
              </w:rPr>
              <w:t>Charges related to share based compensation awards at IPO</w:t>
            </w:r>
          </w:p>
        </w:tc>
        <w:tc>
          <w:tcPr>
            <w:tcW w:w="5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740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1,755</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44,194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8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color w:val="auto"/>
              </w:rPr>
              <w:t>Normalized Adjusted Net Income before income taxes</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146,222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210,308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291,198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80" w:type="dxa"/>
            <w:vAlign w:val="bottom"/>
            <w:tcBorders>
              <w:bottom w:val="single" w:sz="8" w:color="CCEEFF"/>
            </w:tcBorders>
            <w:gridSpan w:val="2"/>
          </w:tcPr>
          <w:p>
            <w:pPr>
              <w:spacing w:after="0" w:line="145" w:lineRule="exact"/>
              <w:rPr>
                <w:sz w:val="20"/>
                <w:szCs w:val="20"/>
                <w:color w:val="auto"/>
              </w:rPr>
            </w:pPr>
            <w:r>
              <w:rPr>
                <w:rFonts w:ascii="Arial" w:cs="Arial" w:eastAsia="Arial" w:hAnsi="Arial"/>
                <w:sz w:val="14"/>
                <w:szCs w:val="14"/>
                <w:color w:val="auto"/>
              </w:rPr>
              <w:t>Normalized provision for income taxes (1)</w:t>
            </w:r>
          </w:p>
        </w:tc>
        <w:tc>
          <w:tcPr>
            <w:tcW w:w="5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54,102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74,659</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103,375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4680" w:type="dxa"/>
            <w:vAlign w:val="bottom"/>
            <w:gridSpan w:val="2"/>
          </w:tcPr>
          <w:p>
            <w:pPr>
              <w:spacing w:after="0" w:line="145" w:lineRule="exact"/>
              <w:rPr>
                <w:sz w:val="20"/>
                <w:szCs w:val="20"/>
                <w:color w:val="auto"/>
              </w:rPr>
            </w:pPr>
            <w:r>
              <w:rPr>
                <w:rFonts w:ascii="Arial" w:cs="Arial" w:eastAsia="Arial" w:hAnsi="Arial"/>
                <w:sz w:val="14"/>
                <w:szCs w:val="14"/>
                <w:color w:val="auto"/>
              </w:rPr>
              <w:t>Normalized Adjusted Net Income</w:t>
            </w:r>
          </w:p>
        </w:tc>
        <w:tc>
          <w:tcPr>
            <w:tcW w:w="6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92,120</w:t>
            </w:r>
          </w:p>
        </w:tc>
        <w:tc>
          <w:tcPr>
            <w:tcW w:w="42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135,649</w:t>
            </w:r>
          </w:p>
        </w:tc>
        <w:tc>
          <w:tcPr>
            <w:tcW w:w="4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187,823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680" w:type="dxa"/>
            <w:vAlign w:val="bottom"/>
            <w:gridSpan w:val="2"/>
          </w:tcPr>
          <w:p>
            <w:pPr>
              <w:spacing w:after="0" w:line="145" w:lineRule="exact"/>
              <w:rPr>
                <w:sz w:val="20"/>
                <w:szCs w:val="20"/>
                <w:color w:val="auto"/>
              </w:rPr>
            </w:pPr>
            <w:r>
              <w:rPr>
                <w:rFonts w:ascii="Arial" w:cs="Arial" w:eastAsia="Arial" w:hAnsi="Arial"/>
                <w:sz w:val="14"/>
                <w:szCs w:val="14"/>
                <w:color w:val="auto"/>
              </w:rPr>
              <w:t>Weighted Average Adjusted shares outstanding (2)</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161,464,923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139,685,124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138,772,354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Normalized Adjusted EPS</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0.57</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0.97</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9"/>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35.5% to 37%.</w:t>
      </w:r>
    </w:p>
    <w:p>
      <w:pPr>
        <w:spacing w:after="0" w:line="17" w:lineRule="exact"/>
        <w:rPr>
          <w:rFonts w:ascii="Arial" w:cs="Arial" w:eastAsia="Arial" w:hAnsi="Arial"/>
          <w:sz w:val="16"/>
          <w:szCs w:val="16"/>
          <w:color w:val="auto"/>
        </w:rPr>
      </w:pPr>
    </w:p>
    <w:p>
      <w:pPr>
        <w:ind w:left="320" w:right="220" w:hanging="319"/>
        <w:spacing w:after="0" w:line="261"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Assumes that (1) holders of all vested and unvested Virtu Financial Units (together with corresponding shares of Class C common stock), have exercised their right to exchange such Virtu Financial Units for shares of Class A common stock on a one-for-one basis, (2) holders of all Virtu Financial Units (together with corresponding shares of Class D common stock), have exercised their right to exchange such Virtu Financial Units for shares of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2015 Management Incentive Plan during the years ended December 31, 2017, 2016 and 2015.</w:t>
      </w:r>
    </w:p>
    <w:p>
      <w:pPr>
        <w:spacing w:after="0" w:line="367" w:lineRule="exact"/>
        <w:rPr>
          <w:sz w:val="20"/>
          <w:szCs w:val="20"/>
          <w:color w:val="auto"/>
        </w:rPr>
      </w:pPr>
    </w:p>
    <w:p>
      <w:pPr>
        <w:ind w:right="620" w:firstLine="635"/>
        <w:spacing w:after="0" w:line="254" w:lineRule="auto"/>
        <w:rPr>
          <w:sz w:val="20"/>
          <w:szCs w:val="20"/>
          <w:color w:val="auto"/>
        </w:rPr>
      </w:pPr>
      <w:r>
        <w:rPr>
          <w:rFonts w:ascii="Arial" w:cs="Arial" w:eastAsia="Arial" w:hAnsi="Arial"/>
          <w:sz w:val="18"/>
          <w:szCs w:val="18"/>
          <w:color w:val="auto"/>
        </w:rPr>
        <w:t>The following table shows our Trading Income, Net, average daily Trading Income, Net, Adjusted Net Trading Income, average daily Adjusted Net Trading Income and percentage of Adjusted Net Trading Income by asset class for the years ended December 31, 2017, 2016, and 2015.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percentages)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35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Adjusted Net Trading Income by Category: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00"/>
              <w:spacing w:after="0" w:line="116" w:lineRule="exact"/>
              <w:rPr>
                <w:sz w:val="20"/>
                <w:szCs w:val="20"/>
                <w:color w:val="auto"/>
              </w:rPr>
            </w:pPr>
            <w:r>
              <w:rPr>
                <w:rFonts w:ascii="Arial" w:cs="Arial" w:eastAsia="Arial" w:hAnsi="Arial"/>
                <w:sz w:val="13"/>
                <w:szCs w:val="13"/>
                <w:b w:val="1"/>
                <w:bCs w:val="1"/>
                <w:color w:val="auto"/>
                <w:w w:val="93"/>
              </w:rPr>
              <w:t>Average</w:t>
            </w:r>
          </w:p>
        </w:tc>
        <w:tc>
          <w:tcPr>
            <w:tcW w:w="4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20"/>
              <w:spacing w:after="0" w:line="116" w:lineRule="exact"/>
              <w:rPr>
                <w:sz w:val="20"/>
                <w:szCs w:val="20"/>
                <w:color w:val="auto"/>
              </w:rPr>
            </w:pPr>
            <w:r>
              <w:rPr>
                <w:rFonts w:ascii="Arial" w:cs="Arial" w:eastAsia="Arial" w:hAnsi="Arial"/>
                <w:sz w:val="13"/>
                <w:szCs w:val="13"/>
                <w:b w:val="1"/>
                <w:bCs w:val="1"/>
                <w:color w:val="auto"/>
                <w:w w:val="97"/>
              </w:rPr>
              <w:t>Average</w:t>
            </w:r>
          </w:p>
        </w:tc>
        <w:tc>
          <w:tcPr>
            <w:tcW w:w="4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Average Daily</w:t>
            </w:r>
          </w:p>
        </w:tc>
        <w:tc>
          <w:tcPr>
            <w:tcW w:w="4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8"/>
        </w:trPr>
        <w:tc>
          <w:tcPr>
            <w:tcW w:w="26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Daily</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Daily</w:t>
            </w: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Market Making:</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Americas Equities</w:t>
            </w:r>
          </w:p>
        </w:tc>
        <w:tc>
          <w:tcPr>
            <w:tcW w:w="1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275,714</w:t>
            </w:r>
          </w:p>
        </w:tc>
        <w:tc>
          <w:tcPr>
            <w:tcW w:w="18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1,098</w:t>
            </w:r>
          </w:p>
        </w:tc>
        <w:tc>
          <w:tcPr>
            <w:tcW w:w="4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49.6</w:t>
            </w: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82"/>
              </w:rPr>
              <w:t>% $</w:t>
            </w: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w w:val="90"/>
              </w:rPr>
              <w:t>124,246</w:t>
            </w:r>
          </w:p>
        </w:tc>
        <w:tc>
          <w:tcPr>
            <w:tcW w:w="18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493</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29.2</w:t>
            </w: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w w:val="82"/>
              </w:rPr>
              <w:t>% $</w:t>
            </w: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w w:val="90"/>
              </w:rPr>
              <w:t>135,662</w:t>
            </w:r>
          </w:p>
        </w:tc>
        <w:tc>
          <w:tcPr>
            <w:tcW w:w="1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538</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ROW Equities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92,232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367</w:t>
            </w: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94,436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22.2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0"/>
              </w:rPr>
              <w:t>103,478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410</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Global FICC, Options and 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w w:val="94"/>
              </w:rPr>
              <w:t>127,749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509</w:t>
            </w:r>
          </w:p>
        </w:tc>
        <w:tc>
          <w:tcPr>
            <w:tcW w:w="4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23.0</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w w:val="90"/>
              </w:rPr>
              <w:t>195,036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775</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46.0</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w w:val="90"/>
              </w:rPr>
              <w:t>255,129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1,013</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0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Unallocated (1)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(6,243)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6,430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00" w:type="dxa"/>
            <w:vAlign w:val="bottom"/>
            <w:gridSpan w:val="2"/>
          </w:tcPr>
          <w:p>
            <w:pPr>
              <w:spacing w:after="0" w:line="139" w:lineRule="exact"/>
              <w:rPr>
                <w:sz w:val="20"/>
                <w:szCs w:val="20"/>
                <w:color w:val="auto"/>
              </w:rPr>
            </w:pPr>
            <w:r>
              <w:rPr>
                <w:rFonts w:ascii="Arial" w:cs="Arial" w:eastAsia="Arial" w:hAnsi="Arial"/>
                <w:sz w:val="14"/>
                <w:szCs w:val="14"/>
                <w:color w:val="auto"/>
              </w:rPr>
              <w:t>Total market making</w:t>
            </w:r>
          </w:p>
        </w:tc>
        <w:tc>
          <w:tcPr>
            <w:tcW w:w="40" w:type="dxa"/>
            <w:vAlign w:val="bottom"/>
          </w:tcPr>
          <w:p>
            <w:pPr>
              <w:spacing w:after="0"/>
              <w:rPr>
                <w:sz w:val="12"/>
                <w:szCs w:val="12"/>
                <w:color w:val="auto"/>
              </w:rPr>
            </w:pPr>
          </w:p>
        </w:tc>
        <w:tc>
          <w:tcPr>
            <w:tcW w:w="1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w w:val="94"/>
              </w:rPr>
              <w:t>489,452</w:t>
            </w: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1,949</w:t>
            </w:r>
          </w:p>
        </w:tc>
        <w:tc>
          <w:tcPr>
            <w:tcW w:w="40" w:type="dxa"/>
            <w:vAlign w:val="bottom"/>
          </w:tcPr>
          <w:p>
            <w:pPr>
              <w:spacing w:after="0"/>
              <w:rPr>
                <w:sz w:val="12"/>
                <w:szCs w:val="12"/>
                <w:color w:val="auto"/>
              </w:rPr>
            </w:pPr>
          </w:p>
        </w:tc>
        <w:tc>
          <w:tcPr>
            <w:tcW w:w="4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88</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w w:val="90"/>
              </w:rPr>
              <w:t>414,113</w:t>
            </w:r>
          </w:p>
        </w:tc>
        <w:tc>
          <w:tcPr>
            <w:tcW w:w="4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1,645</w:t>
            </w: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97.6</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w w:val="90"/>
              </w:rPr>
              <w:t>500,699</w:t>
            </w:r>
          </w:p>
        </w:tc>
        <w:tc>
          <w:tcPr>
            <w:tcW w:w="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1,987</w:t>
            </w: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Execution Services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67,345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268</w:t>
            </w:r>
          </w:p>
        </w:tc>
        <w:tc>
          <w:tcPr>
            <w:tcW w:w="4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4"/>
                <w:szCs w:val="14"/>
                <w:color w:val="auto"/>
              </w:rPr>
              <w:t>12.1</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10,352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41</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2.4</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10,622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42.15</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Corporate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5" w:lineRule="exact"/>
              <w:rPr>
                <w:sz w:val="20"/>
                <w:szCs w:val="20"/>
                <w:color w:val="auto"/>
              </w:rPr>
            </w:pPr>
            <w:r>
              <w:rPr>
                <w:rFonts w:ascii="Arial" w:cs="Arial" w:eastAsia="Arial" w:hAnsi="Arial"/>
                <w:sz w:val="14"/>
                <w:szCs w:val="14"/>
                <w:color w:val="auto"/>
              </w:rPr>
              <w:t>(506)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6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tcBorders>
              <w:bottom w:val="single" w:sz="8" w:color="auto"/>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bottom w:val="single" w:sz="8" w:color="auto"/>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Adjusted Net Trading Income</w:t>
            </w: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94"/>
              </w:rPr>
              <w:t>556,291</w:t>
            </w: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2,215</w:t>
            </w:r>
          </w:p>
        </w:tc>
        <w:tc>
          <w:tcPr>
            <w:tcW w:w="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100.0</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90"/>
              </w:rPr>
              <w:t>424,465</w:t>
            </w: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1,686</w:t>
            </w: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100.0</w:t>
            </w:r>
          </w:p>
        </w:tc>
        <w:tc>
          <w:tcPr>
            <w:tcW w:w="16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90"/>
              </w:rPr>
              <w:t>511,321</w:t>
            </w:r>
          </w:p>
        </w:tc>
        <w:tc>
          <w:tcPr>
            <w:tcW w:w="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2,029</w:t>
            </w:r>
          </w:p>
        </w:tc>
        <w:tc>
          <w:tcPr>
            <w:tcW w:w="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220" w:firstLine="1"/>
        <w:spacing w:after="0" w:line="356" w:lineRule="auto"/>
        <w:tabs>
          <w:tab w:leader="none" w:pos="8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Under our methodology for recording “trading income, net” in our consolidated statements of comprehensive income from Part II Item 8 “Financial Statements and Supplementary Data” of this Form 10-K, we recognize revenues based on the exit price of assets and</w:t>
      </w:r>
    </w:p>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280"/>
          </w:cols>
          <w:pgMar w:left="1420" w:top="127" w:right="119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5" w:lineRule="exact"/>
        <w:rPr>
          <w:sz w:val="20"/>
          <w:szCs w:val="20"/>
          <w:color w:val="auto"/>
        </w:rPr>
      </w:pPr>
    </w:p>
    <w:p>
      <w:pPr>
        <w:ind w:right="79"/>
        <w:spacing w:after="0" w:line="281" w:lineRule="auto"/>
        <w:rPr>
          <w:sz w:val="20"/>
          <w:szCs w:val="20"/>
          <w:color w:val="auto"/>
        </w:rPr>
      </w:pPr>
      <w:r>
        <w:rPr>
          <w:rFonts w:ascii="Arial" w:cs="Arial" w:eastAsia="Arial" w:hAnsi="Arial"/>
          <w:sz w:val="15"/>
          <w:szCs w:val="15"/>
          <w:color w:val="auto"/>
        </w:rPr>
        <w:t>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GAAP. We do not allocate any resulting differences based on the timing of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22" w:lineRule="exact"/>
        <w:rPr>
          <w:sz w:val="20"/>
          <w:szCs w:val="20"/>
          <w:color w:val="auto"/>
        </w:rPr>
      </w:pPr>
    </w:p>
    <w:p>
      <w:pPr>
        <w:ind w:right="39" w:firstLine="635"/>
        <w:spacing w:after="0" w:line="266" w:lineRule="auto"/>
        <w:rPr>
          <w:sz w:val="20"/>
          <w:szCs w:val="20"/>
          <w:color w:val="auto"/>
        </w:rPr>
      </w:pPr>
      <w:r>
        <w:rPr>
          <w:rFonts w:ascii="Arial" w:cs="Arial" w:eastAsia="Arial" w:hAnsi="Arial"/>
          <w:sz w:val="17"/>
          <w:szCs w:val="17"/>
          <w:color w:val="auto"/>
        </w:rPr>
        <w:t>Our total revenues increased $325.7 million, or 46.4%, to $1,028.0 million for the year ended December 31, 2017, compared to $702.3 million for the year ended December 31, 2016. This increase was primarily attributable to an increase in trading income, net, of $100.5 million, $101.1 million increase in commissions, net and technology services, $24.0 million increase in interest and dividend income, and $95.0 million increase in other, net. These increases were primarily attributable to the Acquisition of KCG, as well as the gain on the reduction of our tax receivable agreement obligation as a result of the 2017 Tax Act during the year ended December 31, 2017.</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shows the total revenues by operating segment for the years ended December 31, 2017 and 2016.</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for percentage)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69"/>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4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Market Making</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Trading income, net</w:t>
            </w:r>
          </w:p>
        </w:tc>
        <w:tc>
          <w:tcPr>
            <w:tcW w:w="460" w:type="dxa"/>
            <w:vAlign w:val="bottom"/>
            <w:gridSpan w:val="2"/>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769,556</w:t>
            </w:r>
          </w:p>
        </w:tc>
        <w:tc>
          <w:tcPr>
            <w:tcW w:w="460" w:type="dxa"/>
            <w:vAlign w:val="bottom"/>
            <w:gridSpan w:val="2"/>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665,465</w:t>
            </w:r>
          </w:p>
        </w:tc>
        <w:tc>
          <w:tcPr>
            <w:tcW w:w="180" w:type="dxa"/>
            <w:vAlign w:val="bottom"/>
          </w:tcPr>
          <w:p>
            <w:pPr>
              <w:spacing w:after="0"/>
              <w:rPr>
                <w:sz w:val="12"/>
                <w:szCs w:val="12"/>
                <w:color w:val="auto"/>
              </w:rPr>
            </w:pPr>
          </w:p>
        </w:tc>
        <w:tc>
          <w:tcPr>
            <w:tcW w:w="1060" w:type="dxa"/>
            <w:vAlign w:val="bottom"/>
            <w:gridSpan w:val="2"/>
          </w:tcPr>
          <w:p>
            <w:pPr>
              <w:jc w:val="center"/>
              <w:ind w:left="69"/>
              <w:spacing w:after="0" w:line="145" w:lineRule="exact"/>
              <w:rPr>
                <w:sz w:val="20"/>
                <w:szCs w:val="20"/>
                <w:color w:val="auto"/>
              </w:rPr>
            </w:pPr>
            <w:r>
              <w:rPr>
                <w:rFonts w:ascii="Arial" w:cs="Arial" w:eastAsia="Arial" w:hAnsi="Arial"/>
                <w:sz w:val="14"/>
                <w:szCs w:val="14"/>
                <w:color w:val="auto"/>
                <w:w w:val="90"/>
              </w:rPr>
              <w:t>15.6%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51,822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26,419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90"/>
              </w:rPr>
              <w:t>96.2%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13,689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1,640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3260" w:type="dxa"/>
            <w:vAlign w:val="bottom"/>
            <w:gridSpan w:val="2"/>
          </w:tcPr>
          <w:p>
            <w:pPr>
              <w:spacing w:after="0" w:line="139" w:lineRule="exact"/>
              <w:rPr>
                <w:sz w:val="20"/>
                <w:szCs w:val="20"/>
                <w:color w:val="auto"/>
              </w:rPr>
            </w:pPr>
            <w:r>
              <w:rPr>
                <w:rFonts w:ascii="Arial" w:cs="Arial" w:eastAsia="Arial" w:hAnsi="Arial"/>
                <w:sz w:val="14"/>
                <w:szCs w:val="14"/>
                <w:color w:val="auto"/>
              </w:rPr>
              <w:t>Total revenues from Market Making</w:t>
            </w:r>
          </w:p>
        </w:tc>
        <w:tc>
          <w:tcPr>
            <w:tcW w:w="2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836,707</w:t>
            </w:r>
          </w:p>
        </w:tc>
        <w:tc>
          <w:tcPr>
            <w:tcW w:w="2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691,884</w:t>
            </w:r>
          </w:p>
        </w:tc>
        <w:tc>
          <w:tcPr>
            <w:tcW w:w="180" w:type="dxa"/>
            <w:vAlign w:val="bottom"/>
          </w:tcPr>
          <w:p>
            <w:pPr>
              <w:spacing w:after="0"/>
              <w:rPr>
                <w:sz w:val="12"/>
                <w:szCs w:val="12"/>
                <w:color w:val="auto"/>
              </w:rPr>
            </w:pPr>
          </w:p>
        </w:tc>
        <w:tc>
          <w:tcPr>
            <w:tcW w:w="1060" w:type="dxa"/>
            <w:vAlign w:val="bottom"/>
            <w:tcBorders>
              <w:top w:val="single" w:sz="8" w:color="auto"/>
            </w:tcBorders>
            <w:gridSpan w:val="2"/>
          </w:tcPr>
          <w:p>
            <w:pPr>
              <w:jc w:val="center"/>
              <w:ind w:left="69"/>
              <w:spacing w:after="0" w:line="139" w:lineRule="exact"/>
              <w:rPr>
                <w:sz w:val="20"/>
                <w:szCs w:val="20"/>
                <w:color w:val="auto"/>
              </w:rPr>
            </w:pPr>
            <w:r>
              <w:rPr>
                <w:rFonts w:ascii="Arial" w:cs="Arial" w:eastAsia="Arial" w:hAnsi="Arial"/>
                <w:sz w:val="14"/>
                <w:szCs w:val="14"/>
                <w:color w:val="auto"/>
                <w:w w:val="90"/>
              </w:rPr>
              <w:t>20.9%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b w:val="1"/>
                <w:bCs w:val="1"/>
                <w:color w:val="auto"/>
              </w:rPr>
              <w:t>Execution Services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Trading income, net</w:t>
            </w:r>
          </w:p>
        </w:tc>
        <w:tc>
          <w:tcPr>
            <w:tcW w:w="460" w:type="dxa"/>
            <w:vAlign w:val="bottom"/>
            <w:gridSpan w:val="2"/>
            <w:shd w:val="clear" w:color="auto" w:fill="CCEEFF"/>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(5,394)</w:t>
            </w:r>
          </w:p>
        </w:tc>
        <w:tc>
          <w:tcPr>
            <w:tcW w:w="460" w:type="dxa"/>
            <w:vAlign w:val="bottom"/>
            <w:gridSpan w:val="2"/>
            <w:shd w:val="clear" w:color="auto" w:fill="CCEEFF"/>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619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102,814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10,352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92"/>
              </w:rPr>
              <w:t>893.2%</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1,096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 revenues from Execution Services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99,135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10,352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gridSpan w:val="2"/>
            <w:shd w:val="clear" w:color="auto" w:fill="CCEEFF"/>
          </w:tcPr>
          <w:p>
            <w:pPr>
              <w:jc w:val="center"/>
              <w:ind w:left="69"/>
              <w:spacing w:after="0" w:line="139" w:lineRule="exact"/>
              <w:rPr>
                <w:sz w:val="20"/>
                <w:szCs w:val="20"/>
                <w:color w:val="auto"/>
              </w:rPr>
            </w:pPr>
            <w:r>
              <w:rPr>
                <w:rFonts w:ascii="Arial" w:cs="Arial" w:eastAsia="Arial" w:hAnsi="Arial"/>
                <w:sz w:val="14"/>
                <w:szCs w:val="14"/>
                <w:color w:val="auto"/>
                <w:w w:val="92"/>
              </w:rPr>
              <w:t>857.6%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Corporate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Trading income, net</w:t>
            </w:r>
          </w:p>
        </w:tc>
        <w:tc>
          <w:tcPr>
            <w:tcW w:w="460" w:type="dxa"/>
            <w:vAlign w:val="bottom"/>
            <w:gridSpan w:val="2"/>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1,865</w:t>
            </w:r>
          </w:p>
        </w:tc>
        <w:tc>
          <w:tcPr>
            <w:tcW w:w="460" w:type="dxa"/>
            <w:vAlign w:val="bottom"/>
            <w:gridSpan w:val="2"/>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(2,034)</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92,309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3260" w:type="dxa"/>
            <w:vAlign w:val="bottom"/>
            <w:gridSpan w:val="2"/>
          </w:tcPr>
          <w:p>
            <w:pPr>
              <w:spacing w:after="0" w:line="139" w:lineRule="exact"/>
              <w:rPr>
                <w:sz w:val="20"/>
                <w:szCs w:val="20"/>
                <w:color w:val="auto"/>
              </w:rPr>
            </w:pPr>
            <w:r>
              <w:rPr>
                <w:rFonts w:ascii="Arial" w:cs="Arial" w:eastAsia="Arial" w:hAnsi="Arial"/>
                <w:sz w:val="14"/>
                <w:szCs w:val="14"/>
                <w:color w:val="auto"/>
              </w:rPr>
              <w:t>Total revenues from Corporate</w:t>
            </w:r>
          </w:p>
        </w:tc>
        <w:tc>
          <w:tcPr>
            <w:tcW w:w="2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92,140</w:t>
            </w:r>
          </w:p>
        </w:tc>
        <w:tc>
          <w:tcPr>
            <w:tcW w:w="200" w:type="dxa"/>
            <w:vAlign w:val="bottom"/>
          </w:tcPr>
          <w:p>
            <w:pPr>
              <w:spacing w:after="0"/>
              <w:rPr>
                <w:sz w:val="12"/>
                <w:szCs w:val="12"/>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rPr>
              <w:t>NM</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Trading income, net</w:t>
            </w:r>
          </w:p>
        </w:tc>
        <w:tc>
          <w:tcPr>
            <w:tcW w:w="460" w:type="dxa"/>
            <w:vAlign w:val="bottom"/>
            <w:gridSpan w:val="2"/>
            <w:shd w:val="clear" w:color="auto" w:fill="CCEEFF"/>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766,027</w:t>
            </w:r>
          </w:p>
        </w:tc>
        <w:tc>
          <w:tcPr>
            <w:tcW w:w="460" w:type="dxa"/>
            <w:vAlign w:val="bottom"/>
            <w:gridSpan w:val="2"/>
            <w:shd w:val="clear" w:color="auto" w:fill="CCEEFF"/>
          </w:tcPr>
          <w:p>
            <w:pPr>
              <w:jc w:val="right"/>
              <w:ind w:right="150"/>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665,465</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90"/>
              </w:rPr>
              <w:t>15.1%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50,407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26,419</w:t>
            </w:r>
          </w:p>
        </w:tc>
        <w:tc>
          <w:tcPr>
            <w:tcW w:w="180" w:type="dxa"/>
            <w:vAlign w:val="bottom"/>
          </w:tcPr>
          <w:p>
            <w:pPr>
              <w:spacing w:after="0"/>
              <w:rPr>
                <w:sz w:val="12"/>
                <w:szCs w:val="12"/>
                <w:color w:val="auto"/>
              </w:rPr>
            </w:pPr>
          </w:p>
        </w:tc>
        <w:tc>
          <w:tcPr>
            <w:tcW w:w="1060" w:type="dxa"/>
            <w:vAlign w:val="bottom"/>
            <w:gridSpan w:val="2"/>
          </w:tcPr>
          <w:p>
            <w:pPr>
              <w:jc w:val="center"/>
              <w:ind w:left="69"/>
              <w:spacing w:after="0" w:line="145" w:lineRule="exact"/>
              <w:rPr>
                <w:sz w:val="20"/>
                <w:szCs w:val="20"/>
                <w:color w:val="auto"/>
              </w:rPr>
            </w:pPr>
            <w:r>
              <w:rPr>
                <w:rFonts w:ascii="Arial" w:cs="Arial" w:eastAsia="Arial" w:hAnsi="Arial"/>
                <w:sz w:val="14"/>
                <w:szCs w:val="14"/>
                <w:color w:val="auto"/>
                <w:w w:val="90"/>
              </w:rPr>
              <w:t>90.8%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116,503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10,352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94"/>
              </w:rPr>
              <w:t>1025.4%</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95,045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1,027,982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702,272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gridSpan w:val="2"/>
            <w:shd w:val="clear" w:color="auto" w:fill="CCEEFF"/>
          </w:tcPr>
          <w:p>
            <w:pPr>
              <w:jc w:val="center"/>
              <w:ind w:left="69"/>
              <w:spacing w:after="0" w:line="139" w:lineRule="exact"/>
              <w:rPr>
                <w:sz w:val="20"/>
                <w:szCs w:val="20"/>
                <w:color w:val="auto"/>
              </w:rPr>
            </w:pPr>
            <w:r>
              <w:rPr>
                <w:rFonts w:ascii="Arial" w:cs="Arial" w:eastAsia="Arial" w:hAnsi="Arial"/>
                <w:sz w:val="14"/>
                <w:szCs w:val="14"/>
                <w:color w:val="auto"/>
                <w:w w:val="90"/>
              </w:rPr>
              <w:t>46.4%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59" w:firstLine="635"/>
        <w:spacing w:after="0" w:line="249" w:lineRule="auto"/>
        <w:rPr>
          <w:sz w:val="20"/>
          <w:szCs w:val="20"/>
          <w:color w:val="auto"/>
        </w:rPr>
      </w:pPr>
      <w:r>
        <w:rPr>
          <w:rFonts w:ascii="Arial" w:cs="Arial" w:eastAsia="Arial" w:hAnsi="Arial"/>
          <w:sz w:val="18"/>
          <w:szCs w:val="18"/>
          <w:b w:val="1"/>
          <w:bCs w:val="1"/>
          <w:i w:val="1"/>
          <w:iCs w:val="1"/>
          <w:color w:val="auto"/>
        </w:rPr>
        <w:t xml:space="preserve">Trading Income, Net. </w:t>
      </w:r>
      <w:r>
        <w:rPr>
          <w:rFonts w:ascii="Arial" w:cs="Arial" w:eastAsia="Arial" w:hAnsi="Arial"/>
          <w:sz w:val="18"/>
          <w:szCs w:val="18"/>
          <w:color w:val="auto"/>
        </w:rPr>
        <w:t>Trading income, net is primarily earned by our Market Making segment. Trading income,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$100.5 million, or 15.1%, to $766.0 million for the year ended December 31, 2017, compared to $665.5 million for the year ended December 31, 2016. The increase was primarily attributable to the Acquisition of KCG.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60" w:firstLine="635"/>
        <w:spacing w:after="0" w:line="250"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Interest and dividends income is primarily earned by our Market Making segment.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dividends income increased $24.0 million, or 90.9%, to $50.4 million for the year ended December 31, 2017, compared to $26.4 million for the year ended December 31, 2016. This increase was primarily attributable to the Acquisition of KCG. As indicated above, rather than analyzing interest and dividends income in isolation, we generally evaluate it in the broader context of our Adjusted Net Trading Income.</w:t>
      </w:r>
    </w:p>
    <w:p>
      <w:pPr>
        <w:spacing w:after="0" w:line="192" w:lineRule="exact"/>
        <w:rPr>
          <w:sz w:val="20"/>
          <w:szCs w:val="20"/>
          <w:color w:val="auto"/>
        </w:rPr>
      </w:pPr>
    </w:p>
    <w:p>
      <w:pPr>
        <w:ind w:right="40" w:firstLine="635"/>
        <w:spacing w:after="0" w:line="317" w:lineRule="auto"/>
        <w:rPr>
          <w:sz w:val="20"/>
          <w:szCs w:val="20"/>
          <w:color w:val="auto"/>
        </w:rPr>
      </w:pPr>
      <w:r>
        <w:rPr>
          <w:rFonts w:ascii="Arial" w:cs="Arial" w:eastAsia="Arial" w:hAnsi="Arial"/>
          <w:sz w:val="15"/>
          <w:szCs w:val="15"/>
          <w:b w:val="1"/>
          <w:bCs w:val="1"/>
          <w:i w:val="1"/>
          <w:iCs w:val="1"/>
          <w:color w:val="auto"/>
        </w:rPr>
        <w:t xml:space="preserve">Commissions, Net and Technology Services. </w:t>
      </w:r>
      <w:r>
        <w:rPr>
          <w:rFonts w:ascii="Arial" w:cs="Arial" w:eastAsia="Arial" w:hAnsi="Arial"/>
          <w:sz w:val="15"/>
          <w:szCs w:val="15"/>
          <w:color w:val="auto"/>
        </w:rPr>
        <w:t>Commissions, net and technology services revenues are primarily earned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our Execution Services segment. Technology services revenue increased $106.1 million, or 1,020.2%, to $116.5 million for the year ended December 31, 2017, compared to $10.4 million for the year ended December 31, 2016. The increase was primarily due to the Acquisition of KCG, as well as agency fee revenues arising from new customers we on-boarded.</w:t>
      </w:r>
    </w:p>
    <w:p>
      <w:pPr>
        <w:spacing w:after="0" w:line="147" w:lineRule="exact"/>
        <w:rPr>
          <w:sz w:val="20"/>
          <w:szCs w:val="20"/>
          <w:color w:val="auto"/>
        </w:rPr>
      </w:pPr>
    </w:p>
    <w:p>
      <w:pPr>
        <w:ind w:right="120" w:firstLine="635"/>
        <w:spacing w:after="0" w:line="329" w:lineRule="auto"/>
        <w:rPr>
          <w:sz w:val="20"/>
          <w:szCs w:val="20"/>
          <w:color w:val="auto"/>
        </w:rPr>
      </w:pPr>
      <w:r>
        <w:rPr>
          <w:rFonts w:ascii="Arial" w:cs="Arial" w:eastAsia="Arial" w:hAnsi="Arial"/>
          <w:sz w:val="15"/>
          <w:szCs w:val="15"/>
          <w:b w:val="1"/>
          <w:bCs w:val="1"/>
          <w:i w:val="1"/>
          <w:iCs w:val="1"/>
          <w:color w:val="auto"/>
        </w:rPr>
        <w:t xml:space="preserve">Other, Net. </w:t>
      </w:r>
      <w:r>
        <w:rPr>
          <w:rFonts w:ascii="Arial" w:cs="Arial" w:eastAsia="Arial" w:hAnsi="Arial"/>
          <w:sz w:val="15"/>
          <w:szCs w:val="15"/>
          <w:color w:val="auto"/>
        </w:rPr>
        <w:t>Other, net revenues are primarily earned by our Corporate segment. Other, net increased $95.0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year ended December 31, 2017, compared to $36 thousand for the year ended December 31, 2016. The increase was primarily due to the gain on reduction of our tax receivable agreement obligation as a result of the 2017 Tax Act.</w:t>
      </w:r>
    </w:p>
    <w:p>
      <w:pPr>
        <w:spacing w:after="0" w:line="98" w:lineRule="exact"/>
        <w:rPr>
          <w:sz w:val="20"/>
          <w:szCs w:val="20"/>
          <w:color w:val="auto"/>
        </w:rPr>
      </w:pPr>
    </w:p>
    <w:p>
      <w:pPr>
        <w:ind w:right="20" w:firstLine="635"/>
        <w:spacing w:after="0" w:line="329" w:lineRule="auto"/>
        <w:rPr>
          <w:sz w:val="20"/>
          <w:szCs w:val="20"/>
          <w:color w:val="auto"/>
        </w:rPr>
      </w:pPr>
      <w:r>
        <w:rPr>
          <w:rFonts w:ascii="Arial" w:cs="Arial" w:eastAsia="Arial" w:hAnsi="Arial"/>
          <w:sz w:val="15"/>
          <w:szCs w:val="15"/>
          <w:color w:val="auto"/>
        </w:rPr>
        <w:t>As discussed in Note 6. “Tax Receivable Agreements” of Part II Item 8 “Financial Statements and Supplementary Data” of this Form 10-K, and Provision for Income Taxes above we recognized a $86.6 million gain on the reduction of our tax receivable agreement obligation which is recorded in Other, net for the year ended December 31, 2017.</w:t>
      </w:r>
    </w:p>
    <w:p>
      <w:pPr>
        <w:spacing w:after="0" w:line="111" w:lineRule="exact"/>
        <w:rPr>
          <w:sz w:val="20"/>
          <w:szCs w:val="20"/>
          <w:color w:val="auto"/>
        </w:rPr>
      </w:pPr>
    </w:p>
    <w:p>
      <w:pPr>
        <w:ind w:right="260" w:firstLine="635"/>
        <w:spacing w:after="0" w:line="264" w:lineRule="auto"/>
        <w:rPr>
          <w:sz w:val="20"/>
          <w:szCs w:val="20"/>
          <w:color w:val="auto"/>
        </w:rPr>
      </w:pPr>
      <w:r>
        <w:rPr>
          <w:rFonts w:ascii="Arial" w:cs="Arial" w:eastAsia="Arial" w:hAnsi="Arial"/>
          <w:sz w:val="18"/>
          <w:szCs w:val="18"/>
          <w:color w:val="auto"/>
        </w:rPr>
        <w:t>The increase in other, net was also attributable to the $3.3 million gain recognized from fair value adjustment in our minority interest in SBI Japannext for the year ended December 31,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Trading Income</w:t>
      </w:r>
    </w:p>
    <w:p>
      <w:pPr>
        <w:spacing w:after="0" w:line="222" w:lineRule="exact"/>
        <w:rPr>
          <w:sz w:val="20"/>
          <w:szCs w:val="20"/>
          <w:color w:val="auto"/>
        </w:rPr>
      </w:pPr>
    </w:p>
    <w:p>
      <w:pPr>
        <w:ind w:right="80" w:firstLine="635"/>
        <w:spacing w:after="0" w:line="306" w:lineRule="auto"/>
        <w:rPr>
          <w:sz w:val="20"/>
          <w:szCs w:val="20"/>
          <w:color w:val="auto"/>
        </w:rPr>
      </w:pPr>
      <w:r>
        <w:rPr>
          <w:rFonts w:ascii="Arial" w:cs="Arial" w:eastAsia="Arial" w:hAnsi="Arial"/>
          <w:sz w:val="15"/>
          <w:szCs w:val="15"/>
          <w:color w:val="auto"/>
        </w:rPr>
        <w:t>Adjusted Net Trading Income increased $131.8 million, or 31.0%, to $556.3 million for the year ended December 31, 2017, compared to $424.5 million for the year ended December 31, 2016. This increase was primarily attributable to the Acquisition of KCG, which resulted in a significant increase in Americas Equities of $151.5 million, or 122%, from the Market Making segment, and a significant increase of $56.9 million, or 569%, from Execution Services for the year ended December 31, 2017. The overall increase was partially offset by a decrease of $2.2 million, or 2%, to $92.2 million in ROW equities and a decrease of $67.3 million, or 35%, to $127.7 million in Global FICC, Options and Other categories in the Market Making segment. The number of trading days for the year ended December 31, 2017 and 2016 were both 252.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2" w:lineRule="exact"/>
        <w:rPr>
          <w:sz w:val="20"/>
          <w:szCs w:val="20"/>
          <w:color w:val="auto"/>
        </w:rPr>
      </w:pPr>
    </w:p>
    <w:p>
      <w:pPr>
        <w:ind w:firstLine="635"/>
        <w:spacing w:after="0" w:line="302" w:lineRule="auto"/>
        <w:rPr>
          <w:sz w:val="20"/>
          <w:szCs w:val="20"/>
          <w:color w:val="auto"/>
        </w:rPr>
      </w:pPr>
      <w:r>
        <w:rPr>
          <w:rFonts w:ascii="Arial" w:cs="Arial" w:eastAsia="Arial" w:hAnsi="Arial"/>
          <w:sz w:val="15"/>
          <w:szCs w:val="15"/>
          <w:color w:val="auto"/>
        </w:rPr>
        <w:t>Our operating expenses increased $392.1 million, or75.0%, to $914.8 million for the year ended December 31, 2017, compared to $522.7 million for the year ended December 31, 2016. The increase in operating expenses was primarily attributable to the Acquisition of KCG, which caused increases in all expense areas except for charges related to share based compensation at IPO. There was an increase in brokerage, exchange, and clearance fees, net of $30.7 million, communication of data processing of $60.5 million, employee compensation and payroll taxes of $92.2 million, interest and dividends expense of $35.4 million, operations and administrative expense of $42.1 million, depreciation and amortization expense of $17.6 million, amortization of purchased intangible and acquired capital software of $15.2 million, debt issue cost related to debt refinancing of $4.9 million, transaction advisory fees and expenses of $25.3 million, reserve for legal matters of $0.7 million, and in financing interest expense on our long-term borrowings of $35.8 million. Additionally we incurred $27.7 million in payments for order flow, which was a new expense for the year ended December 31, 2017.</w:t>
      </w:r>
    </w:p>
    <w:p>
      <w:pPr>
        <w:spacing w:after="0" w:line="158" w:lineRule="exact"/>
        <w:rPr>
          <w:sz w:val="20"/>
          <w:szCs w:val="20"/>
          <w:color w:val="auto"/>
        </w:rPr>
      </w:pPr>
    </w:p>
    <w:p>
      <w:pPr>
        <w:ind w:right="40" w:firstLine="635"/>
        <w:spacing w:after="0" w:line="317" w:lineRule="auto"/>
        <w:rPr>
          <w:sz w:val="20"/>
          <w:szCs w:val="20"/>
          <w:color w:val="auto"/>
        </w:rPr>
      </w:pPr>
      <w:r>
        <w:rPr>
          <w:rFonts w:ascii="Arial" w:cs="Arial" w:eastAsia="Arial" w:hAnsi="Arial"/>
          <w:sz w:val="15"/>
          <w:szCs w:val="15"/>
          <w:b w:val="1"/>
          <w:bCs w:val="1"/>
          <w:i w:val="1"/>
          <w:iCs w:val="1"/>
          <w:color w:val="auto"/>
        </w:rPr>
        <w:t xml:space="preserve">Brokerage, Exchange and Clearance Fees, Net. </w:t>
      </w:r>
      <w:r>
        <w:rPr>
          <w:rFonts w:ascii="Arial" w:cs="Arial" w:eastAsia="Arial" w:hAnsi="Arial"/>
          <w:sz w:val="15"/>
          <w:szCs w:val="15"/>
          <w:color w:val="auto"/>
        </w:rPr>
        <w:t>Brokerage exchange and clearance fees, net, increased $35.7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or16.1%, to $256.9 million for the year ended December 31, 2017, compared to $221.2 million for the year ended December 31, 2016. This increase was primarily attributable to the increases in market volume traded in Americas Equities instruments in which we make markets as a result of the Acquisition of KCG. As indicated above, rather than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analyzing brokerage, exchange and clearance fees, net, in isolation, we generally evaluate it in the broader context of our Adjusted Net Trading Income.</w:t>
      </w:r>
    </w:p>
    <w:p>
      <w:pPr>
        <w:spacing w:after="0" w:line="180" w:lineRule="exact"/>
        <w:rPr>
          <w:sz w:val="20"/>
          <w:szCs w:val="20"/>
          <w:color w:val="auto"/>
        </w:rPr>
      </w:pPr>
    </w:p>
    <w:p>
      <w:pPr>
        <w:ind w:right="480" w:firstLine="635"/>
        <w:spacing w:after="0" w:line="302" w:lineRule="auto"/>
        <w:rPr>
          <w:sz w:val="20"/>
          <w:szCs w:val="20"/>
          <w:color w:val="auto"/>
        </w:rPr>
      </w:pPr>
      <w:r>
        <w:rPr>
          <w:rFonts w:ascii="Arial" w:cs="Arial" w:eastAsia="Arial" w:hAnsi="Arial"/>
          <w:sz w:val="15"/>
          <w:szCs w:val="15"/>
          <w:b w:val="1"/>
          <w:bCs w:val="1"/>
          <w:i w:val="1"/>
          <w:iCs w:val="1"/>
          <w:color w:val="auto"/>
        </w:rPr>
        <w:t xml:space="preserve">Communication and Data Processing. </w:t>
      </w:r>
      <w:r>
        <w:rPr>
          <w:rFonts w:ascii="Arial" w:cs="Arial" w:eastAsia="Arial" w:hAnsi="Arial"/>
          <w:sz w:val="15"/>
          <w:szCs w:val="15"/>
          <w:color w:val="auto"/>
        </w:rPr>
        <w:t>Communication and data processing expense increased $60.5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85.2%, to $131.5 million for the year ended December 31, 2017, compared to $71.0 million for the year ended</w:t>
      </w:r>
    </w:p>
    <w:p>
      <w:pPr>
        <w:spacing w:after="0" w:line="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December 31, 2016. This increase was primarily due to the Acquisition of KCG, which brought on additional connections, co-location connectivity, market data and other subscriptions to us. The increase was partially offset by the reductions in connectivity connections as a result of an on-going effort to consolidate various communication and data processing subscriptions.</w:t>
      </w:r>
    </w:p>
    <w:p>
      <w:pPr>
        <w:spacing w:after="0" w:line="195" w:lineRule="exact"/>
        <w:rPr>
          <w:sz w:val="20"/>
          <w:szCs w:val="20"/>
          <w:color w:val="auto"/>
        </w:rPr>
      </w:pPr>
    </w:p>
    <w:p>
      <w:pPr>
        <w:ind w:right="260" w:firstLine="635"/>
        <w:spacing w:after="0" w:line="302" w:lineRule="auto"/>
        <w:rPr>
          <w:sz w:val="20"/>
          <w:szCs w:val="20"/>
          <w:color w:val="auto"/>
        </w:rPr>
      </w:pPr>
      <w:r>
        <w:rPr>
          <w:rFonts w:ascii="Arial" w:cs="Arial" w:eastAsia="Arial" w:hAnsi="Arial"/>
          <w:sz w:val="15"/>
          <w:szCs w:val="15"/>
          <w:b w:val="1"/>
          <w:bCs w:val="1"/>
          <w:i w:val="1"/>
          <w:iCs w:val="1"/>
          <w:color w:val="auto"/>
        </w:rPr>
        <w:t xml:space="preserve">Employee Compensation and Payroll Taxes. </w:t>
      </w:r>
      <w:r>
        <w:rPr>
          <w:rFonts w:ascii="Arial" w:cs="Arial" w:eastAsia="Arial" w:hAnsi="Arial"/>
          <w:sz w:val="15"/>
          <w:szCs w:val="15"/>
          <w:color w:val="auto"/>
        </w:rPr>
        <w:t>Employee compensation and payroll taxes increased $92.2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108.1%, to $177.5 million for the year ended December 31, 2017, compared to $85.3 million for the year ended</w:t>
      </w:r>
    </w:p>
    <w:p>
      <w:pPr>
        <w:spacing w:after="0" w:line="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December 31, 2016. The increase in compensation levels was primarily attributable to the $23.0 million in Acquisition related retention bonus and the increase in headcount as a result of the Acquisition of KCG. Incentive compensation is recorded at management’s discretion and is generally accrued in connection with the overall level of profitability.</w:t>
      </w:r>
    </w:p>
    <w:p>
      <w:pPr>
        <w:spacing w:after="0" w:line="178" w:lineRule="exact"/>
        <w:rPr>
          <w:sz w:val="20"/>
          <w:szCs w:val="20"/>
          <w:color w:val="auto"/>
        </w:rPr>
      </w:pPr>
    </w:p>
    <w:p>
      <w:pPr>
        <w:ind w:firstLine="635"/>
        <w:spacing w:after="0" w:line="317" w:lineRule="auto"/>
        <w:rPr>
          <w:sz w:val="20"/>
          <w:szCs w:val="20"/>
          <w:color w:val="auto"/>
        </w:rPr>
      </w:pPr>
      <w:r>
        <w:rPr>
          <w:rFonts w:ascii="Arial" w:cs="Arial" w:eastAsia="Arial" w:hAnsi="Arial"/>
          <w:sz w:val="15"/>
          <w:szCs w:val="15"/>
          <w:b w:val="1"/>
          <w:bCs w:val="1"/>
          <w:i w:val="1"/>
          <w:iCs w:val="1"/>
          <w:color w:val="auto"/>
        </w:rPr>
        <w:t xml:space="preserve">Payments for order flow. </w:t>
      </w:r>
      <w:r>
        <w:rPr>
          <w:rFonts w:ascii="Arial" w:cs="Arial" w:eastAsia="Arial" w:hAnsi="Arial"/>
          <w:sz w:val="15"/>
          <w:szCs w:val="15"/>
          <w:color w:val="auto"/>
        </w:rPr>
        <w:t>Payments for order flow were $27.7 million for the year ended December 31, 2017, and were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attributable to the Acquisition of KCG. Payments for order flow primarily represent payments to broker-dealer clients, in the normal course of business, for directing to us their order flow primarily in U.S. equities. Payments for order flow also fluctuate based on U.S. equity share and option volumes, our profitability and the mix of market orders, limit orders, and customer mix.</w:t>
      </w:r>
    </w:p>
    <w:p>
      <w:pPr>
        <w:spacing w:after="0" w:line="147" w:lineRule="exact"/>
        <w:rPr>
          <w:sz w:val="20"/>
          <w:szCs w:val="20"/>
          <w:color w:val="auto"/>
        </w:rPr>
      </w:pPr>
    </w:p>
    <w:p>
      <w:pPr>
        <w:ind w:right="200" w:firstLine="635"/>
        <w:spacing w:after="0" w:line="312" w:lineRule="auto"/>
        <w:rPr>
          <w:sz w:val="20"/>
          <w:szCs w:val="20"/>
          <w:color w:val="auto"/>
        </w:rPr>
      </w:pPr>
      <w:r>
        <w:rPr>
          <w:rFonts w:ascii="Arial" w:cs="Arial" w:eastAsia="Arial" w:hAnsi="Arial"/>
          <w:sz w:val="15"/>
          <w:szCs w:val="15"/>
          <w:b w:val="1"/>
          <w:bCs w:val="1"/>
          <w:i w:val="1"/>
          <w:iCs w:val="1"/>
          <w:color w:val="auto"/>
        </w:rPr>
        <w:t xml:space="preserve">Interest and Dividends Expense. </w:t>
      </w:r>
      <w:r>
        <w:rPr>
          <w:rFonts w:ascii="Arial" w:cs="Arial" w:eastAsia="Arial" w:hAnsi="Arial"/>
          <w:sz w:val="15"/>
          <w:szCs w:val="15"/>
          <w:color w:val="auto"/>
        </w:rPr>
        <w:t>Interest and dividends expense increased $35.4 million, or 62.5%, to $92.0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year ended December 31, 2017, compared to $56.6 million for the year ended December 31, 2016. This increase was primarily attributable to higher interest expense incurred on cash collateral received as part of securities lending transactions resulting from the Acquisition of KCG. As indicated above, rather than analyzing interest and dividends expense in isolation, we generally evaluate it in the broader context of our Adjusted Net Trading Income.</w:t>
      </w:r>
    </w:p>
    <w:p>
      <w:pPr>
        <w:spacing w:after="0" w:line="149" w:lineRule="exact"/>
        <w:rPr>
          <w:sz w:val="20"/>
          <w:szCs w:val="20"/>
          <w:color w:val="auto"/>
        </w:rPr>
      </w:pPr>
    </w:p>
    <w:p>
      <w:pPr>
        <w:ind w:right="60" w:firstLine="635"/>
        <w:spacing w:after="0" w:line="250"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increased $42.1 million, or 183.0%, to $65.1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2017, compared to $23.0 million for the year ended December 31, 2016. This increase was primarily attributable to the increases in legal and other professional fees resulting from the Acquisition of KCG. The increase was partially offset by the cancellation of various legal and professional expenses as a result of an on-going effort to consolidate professional services.</w:t>
      </w:r>
    </w:p>
    <w:p>
      <w:pPr>
        <w:spacing w:after="0" w:line="192" w:lineRule="exact"/>
        <w:rPr>
          <w:sz w:val="20"/>
          <w:szCs w:val="20"/>
          <w:color w:val="auto"/>
        </w:rPr>
      </w:pPr>
    </w:p>
    <w:p>
      <w:pPr>
        <w:ind w:right="40" w:firstLine="635"/>
        <w:spacing w:after="0" w:line="271"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$17.6 million, or 59.3%, to $47.3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2017, compared to $29.7 million for the year ended December 31, 2016. This increase was primarily attributable to depreciation and amortization of additional assets resulting from the Acquisition of KCG and an increase in capital expenditures on telecommunication, networking and other assets.</w:t>
      </w:r>
    </w:p>
    <w:p>
      <w:pPr>
        <w:spacing w:after="0" w:line="136" w:lineRule="exact"/>
        <w:rPr>
          <w:sz w:val="20"/>
          <w:szCs w:val="20"/>
          <w:color w:val="auto"/>
        </w:rPr>
      </w:pPr>
    </w:p>
    <w:p>
      <w:pPr>
        <w:ind w:firstLine="635"/>
        <w:spacing w:after="0" w:line="308" w:lineRule="auto"/>
        <w:rPr>
          <w:sz w:val="20"/>
          <w:szCs w:val="20"/>
          <w:color w:val="auto"/>
        </w:rPr>
      </w:pPr>
      <w:r>
        <w:rPr>
          <w:rFonts w:ascii="Arial" w:cs="Arial" w:eastAsia="Arial" w:hAnsi="Arial"/>
          <w:sz w:val="15"/>
          <w:szCs w:val="15"/>
          <w:b w:val="1"/>
          <w:bCs w:val="1"/>
          <w:i w:val="1"/>
          <w:iCs w:val="1"/>
          <w:color w:val="auto"/>
        </w:rPr>
        <w:t xml:space="preserve">Amortization of Purchased Intangibles and Acquired Capitalized Software. </w:t>
      </w:r>
      <w:r>
        <w:rPr>
          <w:rFonts w:ascii="Arial" w:cs="Arial" w:eastAsia="Arial" w:hAnsi="Arial"/>
          <w:sz w:val="15"/>
          <w:szCs w:val="15"/>
          <w:color w:val="auto"/>
        </w:rPr>
        <w:t>Amortization of purchased intangibles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acquired capitalized software increased $15.2 million, to $15.4 million for the year ended December 31, 2017, compared to $0.2 million for the year ended December 31, 2016. The increase was primarily due to additional intangible assets recognized as part of purchase price accounting for the Teza acquisition and the Acquisition of KCG for $2.0 million and $175.0 million, respectively, as of December 31, 2017. We recognized an aggregated of $15.2 million in amortization expenses related to the Teza acquisition and the Acquisition of KCG for the year ended December 31, 2017.</w:t>
      </w:r>
    </w:p>
    <w:p>
      <w:pPr>
        <w:spacing w:after="0" w:line="153" w:lineRule="exact"/>
        <w:rPr>
          <w:sz w:val="20"/>
          <w:szCs w:val="20"/>
          <w:color w:val="auto"/>
        </w:rPr>
      </w:pPr>
    </w:p>
    <w:p>
      <w:pPr>
        <w:ind w:right="320" w:firstLine="635"/>
        <w:spacing w:after="0" w:line="312" w:lineRule="auto"/>
        <w:rPr>
          <w:sz w:val="20"/>
          <w:szCs w:val="20"/>
          <w:color w:val="auto"/>
        </w:rPr>
      </w:pPr>
      <w:r>
        <w:rPr>
          <w:rFonts w:ascii="Arial" w:cs="Arial" w:eastAsia="Arial" w:hAnsi="Arial"/>
          <w:sz w:val="15"/>
          <w:szCs w:val="15"/>
          <w:b w:val="1"/>
          <w:bCs w:val="1"/>
          <w:i w:val="1"/>
          <w:iCs w:val="1"/>
          <w:color w:val="auto"/>
        </w:rPr>
        <w:t xml:space="preserve">Debt issue cost related to Debt refinancing. </w:t>
      </w:r>
      <w:r>
        <w:rPr>
          <w:rFonts w:ascii="Arial" w:cs="Arial" w:eastAsia="Arial" w:hAnsi="Arial"/>
          <w:sz w:val="15"/>
          <w:szCs w:val="15"/>
          <w:color w:val="auto"/>
        </w:rPr>
        <w:t>Debt issue costs related to debt refinancing increased $4.9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87.5%, to $10.5 million for the year ended December 31, 2017, compared to $5.6 million for the year ended December 31, 2016. The increase was primarily attributable to the recognition of an approximately $5.5 million in acceleration of the debt issue costs associated with the $250 million voluntary prepayment made towards our senior secured first lien term loan, as discussed in Note 10 “Borrowings” of Part II Item 8 “Financial Statements and Supplementary Data” of this Form 10-K.</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firstLine="635"/>
        <w:spacing w:after="0" w:line="276"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 was $25.3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2017. We had no such expense for the year ended December 31, 2016. This expense primarily represents the non-recurring legal and professional fees incurred in connection with the Acquisition of KCG.</w:t>
      </w:r>
    </w:p>
    <w:p>
      <w:pPr>
        <w:spacing w:after="0" w:line="172"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8"/>
          <w:szCs w:val="18"/>
          <w:b w:val="1"/>
          <w:bCs w:val="1"/>
          <w:i w:val="1"/>
          <w:iCs w:val="1"/>
          <w:color w:val="auto"/>
        </w:rPr>
        <w:t xml:space="preserve">Reserve for Legal Matters. </w:t>
      </w:r>
      <w:r>
        <w:rPr>
          <w:rFonts w:ascii="Arial" w:cs="Arial" w:eastAsia="Arial" w:hAnsi="Arial"/>
          <w:sz w:val="18"/>
          <w:szCs w:val="18"/>
          <w:color w:val="auto"/>
        </w:rPr>
        <w:t>Reserve for legal matters increased $0.7 million for the year ended December 31, 2017.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no such expenses for the year ended December 31, 2016. The increase was primarily due to accruals for other legal reserves as a result of the Acquisition of KCG.</w:t>
      </w:r>
    </w:p>
    <w:p>
      <w:pPr>
        <w:spacing w:after="0" w:line="189" w:lineRule="exact"/>
        <w:rPr>
          <w:sz w:val="20"/>
          <w:szCs w:val="20"/>
          <w:color w:val="auto"/>
        </w:rPr>
      </w:pPr>
    </w:p>
    <w:p>
      <w:pPr>
        <w:ind w:right="120" w:firstLine="635"/>
        <w:spacing w:after="0" w:line="250" w:lineRule="auto"/>
        <w:rPr>
          <w:sz w:val="20"/>
          <w:szCs w:val="20"/>
          <w:color w:val="auto"/>
        </w:rPr>
      </w:pPr>
      <w:r>
        <w:rPr>
          <w:rFonts w:ascii="Arial" w:cs="Arial" w:eastAsia="Arial" w:hAnsi="Arial"/>
          <w:sz w:val="18"/>
          <w:szCs w:val="18"/>
          <w:b w:val="1"/>
          <w:bCs w:val="1"/>
          <w:i w:val="1"/>
          <w:iCs w:val="1"/>
          <w:color w:val="auto"/>
        </w:rPr>
        <w:t xml:space="preserve">Charges related to share based compensation at IPO. </w:t>
      </w:r>
      <w:r>
        <w:rPr>
          <w:rFonts w:ascii="Arial" w:cs="Arial" w:eastAsia="Arial" w:hAnsi="Arial"/>
          <w:sz w:val="18"/>
          <w:szCs w:val="18"/>
          <w:color w:val="auto"/>
        </w:rPr>
        <w:t>Charges related to share based compensation at IPO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million, or 55.6%, to $0.8 million for the year ended December 31, 2017, compared to $1.8 million for the year ended December 31, 2016. The decrease was primarily attributable to the fact that certain Class B and East MIP Class B interests became fully vested, and as well as to the increase in forfeitures for the year ended December 31, 2017, comparing to the year ended December 31, 2016.</w:t>
      </w:r>
    </w:p>
    <w:p>
      <w:pPr>
        <w:spacing w:after="0" w:line="192" w:lineRule="exact"/>
        <w:rPr>
          <w:sz w:val="20"/>
          <w:szCs w:val="20"/>
          <w:color w:val="auto"/>
        </w:rPr>
      </w:pPr>
    </w:p>
    <w:p>
      <w:pPr>
        <w:ind w:right="80" w:firstLine="635"/>
        <w:spacing w:after="0" w:line="250" w:lineRule="auto"/>
        <w:rPr>
          <w:sz w:val="20"/>
          <w:szCs w:val="20"/>
          <w:color w:val="auto"/>
        </w:rPr>
      </w:pPr>
      <w:r>
        <w:rPr>
          <w:rFonts w:ascii="Arial" w:cs="Arial" w:eastAsia="Arial" w:hAnsi="Arial"/>
          <w:sz w:val="18"/>
          <w:szCs w:val="18"/>
          <w:b w:val="1"/>
          <w:bCs w:val="1"/>
          <w:i w:val="1"/>
          <w:iCs w:val="1"/>
          <w:color w:val="auto"/>
        </w:rPr>
        <w:t xml:space="preserve">Financing Interest Expense on Long-Term Borrowings. </w:t>
      </w:r>
      <w:r>
        <w:rPr>
          <w:rFonts w:ascii="Arial" w:cs="Arial" w:eastAsia="Arial" w:hAnsi="Arial"/>
          <w:sz w:val="18"/>
          <w:szCs w:val="18"/>
          <w:color w:val="auto"/>
        </w:rPr>
        <w:t>Financing interest expense on long-term borrowings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$35.8 million, or 126.5%, to $64.1 million, compared to $28.3 million for the year ended December 31, 2016. This increase was primarily attributable to the increase in outstanding principal as a result from the refinancing of the senior secured first lien term loan and the offering of the Notes, as discussed in Note 10 “Borrowings” of Part II Item 8 “Financial Statements and Supplementary Data” of this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Following the consummation of the Reorganization Transactions, we incur corporate tax at the U.S. federal income tax</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rate on our taxable income, as adjusted for noncontrolling interest in Virtu Financial. Our income tax expense reflects such U.S.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 as well as taxes payable by certain of our non-U.S. subsidiaries. Our provision for income taxes increased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$73.0 million, to $94.3 million for the year ended December 31, 2017, compared to $21.3 million for the year ended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The increase was primarily attributable to impact of the 2017 Tax Act on our net deferred tax assets, which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decreased in value as a result of the lower U.S. corporate income tax rate effective January 1, 2018. This increase was offset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part by the effect of lower income before income taxes in 2017 compared to 2016, and the tax impact of the 2017 Tax Act on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our tax receivable agreement obligations. See Note 13 “Income Taxes” of Part II Item 8 “Financial Statements and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Data” of this Form 10-K Item for additional information.</w:t>
      </w:r>
    </w:p>
    <w:p>
      <w:pPr>
        <w:spacing w:after="0" w:line="205" w:lineRule="exact"/>
        <w:rPr>
          <w:sz w:val="20"/>
          <w:szCs w:val="20"/>
          <w:color w:val="auto"/>
        </w:rPr>
      </w:pPr>
    </w:p>
    <w:p>
      <w:pPr>
        <w:ind w:right="20" w:firstLine="635"/>
        <w:spacing w:after="0" w:line="264" w:lineRule="auto"/>
        <w:rPr>
          <w:sz w:val="20"/>
          <w:szCs w:val="20"/>
          <w:color w:val="auto"/>
        </w:rPr>
      </w:pPr>
      <w:r>
        <w:rPr>
          <w:rFonts w:ascii="Arial" w:cs="Arial" w:eastAsia="Arial" w:hAnsi="Arial"/>
          <w:sz w:val="17"/>
          <w:szCs w:val="17"/>
          <w:color w:val="auto"/>
        </w:rPr>
        <w:t>On February 8, 2017, the Company issued an earnings release announcing its unaudited financial results for the quarter and year ended December 31, 2017, and furnished a copy of the release as Exhibit 99.1 to the Company’s current report on Form 8-K filed on the same date. The consolidated statements of comprehensive income for the year ended December 31, 2017 in this Annual Report on Form 10-K revised the amount reported as “Net income available for common stockholders” and “Basic and Diluted Earnings per share” of $17.3 million and $0.26, respectively, to $2.9 million and $0.03, respectively (See Item 8, “Financial Statements and Supplementary Data”). The reason for the revision is a change in the Company’s estimated provision for income tax due to the decrease in deferred tax assets as a result of the 2017 Tax Act that was passed on December 22, 2017.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22" w:lineRule="exact"/>
        <w:rPr>
          <w:sz w:val="20"/>
          <w:szCs w:val="20"/>
          <w:color w:val="auto"/>
        </w:rPr>
      </w:pPr>
    </w:p>
    <w:p>
      <w:pPr>
        <w:ind w:right="300" w:firstLine="635"/>
        <w:spacing w:after="0" w:line="276" w:lineRule="auto"/>
        <w:rPr>
          <w:sz w:val="20"/>
          <w:szCs w:val="20"/>
          <w:color w:val="auto"/>
        </w:rPr>
      </w:pPr>
      <w:r>
        <w:rPr>
          <w:rFonts w:ascii="Arial" w:cs="Arial" w:eastAsia="Arial" w:hAnsi="Arial"/>
          <w:sz w:val="17"/>
          <w:szCs w:val="17"/>
          <w:color w:val="auto"/>
        </w:rPr>
        <w:t>Our total revenues decreased $93.9 million, or 11.8%, to $702.3 million for the year ended December 31, 2016, compared to $796.2 million for the year ended December 31, 2015. This decrease was primarily attributable to a decrease in trading income, net, of $92.0 million, and a decrease in interest and dividend income of $1.7 million.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shows the total revenues by operating segment for the years ended December 31, 2016 and 2015.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for percentage)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9"/>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Market Making</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Trading income, net</w:t>
            </w:r>
          </w:p>
        </w:tc>
        <w:tc>
          <w:tcPr>
            <w:tcW w:w="34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665,465</w:t>
            </w:r>
          </w:p>
        </w:tc>
        <w:tc>
          <w:tcPr>
            <w:tcW w:w="34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757,455</w:t>
            </w:r>
          </w:p>
        </w:tc>
        <w:tc>
          <w:tcPr>
            <w:tcW w:w="180" w:type="dxa"/>
            <w:vAlign w:val="bottom"/>
          </w:tcPr>
          <w:p>
            <w:pPr>
              <w:spacing w:after="0"/>
              <w:rPr>
                <w:sz w:val="12"/>
                <w:szCs w:val="12"/>
                <w:color w:val="auto"/>
              </w:rPr>
            </w:pPr>
          </w:p>
        </w:tc>
        <w:tc>
          <w:tcPr>
            <w:tcW w:w="1060" w:type="dxa"/>
            <w:vAlign w:val="bottom"/>
            <w:gridSpan w:val="2"/>
          </w:tcPr>
          <w:p>
            <w:pPr>
              <w:jc w:val="center"/>
              <w:ind w:left="69"/>
              <w:spacing w:after="0" w:line="145" w:lineRule="exact"/>
              <w:rPr>
                <w:sz w:val="20"/>
                <w:szCs w:val="20"/>
                <w:color w:val="auto"/>
              </w:rPr>
            </w:pPr>
            <w:r>
              <w:rPr>
                <w:rFonts w:ascii="Arial" w:cs="Arial" w:eastAsia="Arial" w:hAnsi="Arial"/>
                <w:sz w:val="14"/>
                <w:szCs w:val="14"/>
                <w:color w:val="auto"/>
                <w:w w:val="90"/>
              </w:rPr>
              <w:t>-12.1%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26,419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28,136</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89"/>
              <w:spacing w:after="0" w:line="145" w:lineRule="exact"/>
              <w:rPr>
                <w:sz w:val="20"/>
                <w:szCs w:val="20"/>
                <w:color w:val="auto"/>
              </w:rPr>
            </w:pPr>
            <w:r>
              <w:rPr>
                <w:rFonts w:ascii="Arial" w:cs="Arial" w:eastAsia="Arial" w:hAnsi="Arial"/>
                <w:sz w:val="14"/>
                <w:szCs w:val="14"/>
                <w:color w:val="auto"/>
                <w:w w:val="92"/>
              </w:rPr>
              <w:t>-6.1%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3260" w:type="dxa"/>
            <w:vAlign w:val="bottom"/>
            <w:gridSpan w:val="2"/>
          </w:tcPr>
          <w:p>
            <w:pPr>
              <w:spacing w:after="0" w:line="139" w:lineRule="exact"/>
              <w:rPr>
                <w:sz w:val="20"/>
                <w:szCs w:val="20"/>
                <w:color w:val="auto"/>
              </w:rPr>
            </w:pPr>
            <w:r>
              <w:rPr>
                <w:rFonts w:ascii="Arial" w:cs="Arial" w:eastAsia="Arial" w:hAnsi="Arial"/>
                <w:sz w:val="14"/>
                <w:szCs w:val="14"/>
                <w:color w:val="auto"/>
              </w:rPr>
              <w:t>Total revenues from Market Making</w:t>
            </w:r>
          </w:p>
        </w:tc>
        <w:tc>
          <w:tcPr>
            <w:tcW w:w="20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691,884</w:t>
            </w:r>
          </w:p>
        </w:tc>
        <w:tc>
          <w:tcPr>
            <w:tcW w:w="20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785,591</w:t>
            </w:r>
          </w:p>
        </w:tc>
        <w:tc>
          <w:tcPr>
            <w:tcW w:w="180" w:type="dxa"/>
            <w:vAlign w:val="bottom"/>
          </w:tcPr>
          <w:p>
            <w:pPr>
              <w:spacing w:after="0"/>
              <w:rPr>
                <w:sz w:val="12"/>
                <w:szCs w:val="12"/>
                <w:color w:val="auto"/>
              </w:rPr>
            </w:pPr>
          </w:p>
        </w:tc>
        <w:tc>
          <w:tcPr>
            <w:tcW w:w="1060" w:type="dxa"/>
            <w:vAlign w:val="bottom"/>
            <w:tcBorders>
              <w:top w:val="single" w:sz="8" w:color="auto"/>
            </w:tcBorders>
            <w:gridSpan w:val="2"/>
          </w:tcPr>
          <w:p>
            <w:pPr>
              <w:jc w:val="center"/>
              <w:ind w:left="69"/>
              <w:spacing w:after="0" w:line="139" w:lineRule="exact"/>
              <w:rPr>
                <w:sz w:val="20"/>
                <w:szCs w:val="20"/>
                <w:color w:val="auto"/>
              </w:rPr>
            </w:pPr>
            <w:r>
              <w:rPr>
                <w:rFonts w:ascii="Arial" w:cs="Arial" w:eastAsia="Arial" w:hAnsi="Arial"/>
                <w:sz w:val="14"/>
                <w:szCs w:val="14"/>
                <w:color w:val="auto"/>
                <w:w w:val="90"/>
              </w:rPr>
              <w:t>-11.9%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b w:val="1"/>
                <w:bCs w:val="1"/>
                <w:color w:val="auto"/>
              </w:rPr>
              <w:t>Execution Services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Trading income, net</w:t>
            </w:r>
          </w:p>
        </w:tc>
        <w:tc>
          <w:tcPr>
            <w:tcW w:w="340" w:type="dxa"/>
            <w:vAlign w:val="bottom"/>
            <w:gridSpan w:val="2"/>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10,352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10,622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89"/>
              <w:spacing w:after="0" w:line="145" w:lineRule="exact"/>
              <w:rPr>
                <w:sz w:val="20"/>
                <w:szCs w:val="20"/>
                <w:color w:val="auto"/>
              </w:rPr>
            </w:pPr>
            <w:r>
              <w:rPr>
                <w:rFonts w:ascii="Arial" w:cs="Arial" w:eastAsia="Arial" w:hAnsi="Arial"/>
                <w:sz w:val="14"/>
                <w:szCs w:val="14"/>
                <w:color w:val="auto"/>
                <w:w w:val="92"/>
              </w:rPr>
              <w:t>-2.5%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 revenues from Execution Services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10,352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10,622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gridSpan w:val="2"/>
            <w:shd w:val="clear" w:color="auto" w:fill="CCEEFF"/>
          </w:tcPr>
          <w:p>
            <w:pPr>
              <w:jc w:val="center"/>
              <w:ind w:left="89"/>
              <w:spacing w:after="0" w:line="139" w:lineRule="exact"/>
              <w:rPr>
                <w:sz w:val="20"/>
                <w:szCs w:val="20"/>
                <w:color w:val="auto"/>
              </w:rPr>
            </w:pPr>
            <w:r>
              <w:rPr>
                <w:rFonts w:ascii="Arial" w:cs="Arial" w:eastAsia="Arial" w:hAnsi="Arial"/>
                <w:sz w:val="14"/>
                <w:szCs w:val="14"/>
                <w:color w:val="auto"/>
                <w:w w:val="92"/>
              </w:rPr>
              <w:t>-2.5%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Corporate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Trading income, net</w:t>
            </w:r>
          </w:p>
        </w:tc>
        <w:tc>
          <w:tcPr>
            <w:tcW w:w="34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3260" w:type="dxa"/>
            <w:vAlign w:val="bottom"/>
            <w:gridSpan w:val="2"/>
          </w:tcPr>
          <w:p>
            <w:pPr>
              <w:spacing w:after="0" w:line="139" w:lineRule="exact"/>
              <w:rPr>
                <w:sz w:val="20"/>
                <w:szCs w:val="20"/>
                <w:color w:val="auto"/>
              </w:rPr>
            </w:pPr>
            <w:r>
              <w:rPr>
                <w:rFonts w:ascii="Arial" w:cs="Arial" w:eastAsia="Arial" w:hAnsi="Arial"/>
                <w:sz w:val="14"/>
                <w:szCs w:val="14"/>
                <w:color w:val="auto"/>
              </w:rPr>
              <w:t>Total revenues from Corporate</w:t>
            </w:r>
          </w:p>
        </w:tc>
        <w:tc>
          <w:tcPr>
            <w:tcW w:w="20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36</w:t>
            </w:r>
          </w:p>
        </w:tc>
        <w:tc>
          <w:tcPr>
            <w:tcW w:w="200" w:type="dxa"/>
            <w:vAlign w:val="bottom"/>
          </w:tcPr>
          <w:p>
            <w:pPr>
              <w:spacing w:after="0"/>
              <w:rPr>
                <w:sz w:val="12"/>
                <w:szCs w:val="12"/>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rPr>
              <w:t>NM</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b w:val="1"/>
                <w:bCs w:val="1"/>
                <w:color w:val="auto"/>
              </w:rPr>
              <w:t>Consolidated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Trading income, net</w:t>
            </w:r>
          </w:p>
        </w:tc>
        <w:tc>
          <w:tcPr>
            <w:tcW w:w="340" w:type="dxa"/>
            <w:vAlign w:val="bottom"/>
            <w:gridSpan w:val="2"/>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665,465</w:t>
            </w:r>
          </w:p>
        </w:tc>
        <w:tc>
          <w:tcPr>
            <w:tcW w:w="340" w:type="dxa"/>
            <w:vAlign w:val="bottom"/>
            <w:gridSpan w:val="2"/>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757,455</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69"/>
              <w:spacing w:after="0" w:line="145" w:lineRule="exact"/>
              <w:rPr>
                <w:sz w:val="20"/>
                <w:szCs w:val="20"/>
                <w:color w:val="auto"/>
              </w:rPr>
            </w:pPr>
            <w:r>
              <w:rPr>
                <w:rFonts w:ascii="Arial" w:cs="Arial" w:eastAsia="Arial" w:hAnsi="Arial"/>
                <w:sz w:val="14"/>
                <w:szCs w:val="14"/>
                <w:color w:val="auto"/>
                <w:w w:val="90"/>
              </w:rPr>
              <w:t>-12.1%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Interest and dividends income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26,419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28,136</w:t>
            </w:r>
          </w:p>
        </w:tc>
        <w:tc>
          <w:tcPr>
            <w:tcW w:w="180" w:type="dxa"/>
            <w:vAlign w:val="bottom"/>
          </w:tcPr>
          <w:p>
            <w:pPr>
              <w:spacing w:after="0"/>
              <w:rPr>
                <w:sz w:val="12"/>
                <w:szCs w:val="12"/>
                <w:color w:val="auto"/>
              </w:rPr>
            </w:pPr>
          </w:p>
        </w:tc>
        <w:tc>
          <w:tcPr>
            <w:tcW w:w="1060" w:type="dxa"/>
            <w:vAlign w:val="bottom"/>
            <w:gridSpan w:val="2"/>
          </w:tcPr>
          <w:p>
            <w:pPr>
              <w:jc w:val="center"/>
              <w:ind w:left="89"/>
              <w:spacing w:after="0" w:line="145" w:lineRule="exact"/>
              <w:rPr>
                <w:sz w:val="20"/>
                <w:szCs w:val="20"/>
                <w:color w:val="auto"/>
              </w:rPr>
            </w:pPr>
            <w:r>
              <w:rPr>
                <w:rFonts w:ascii="Arial" w:cs="Arial" w:eastAsia="Arial" w:hAnsi="Arial"/>
                <w:sz w:val="14"/>
                <w:szCs w:val="14"/>
                <w:color w:val="auto"/>
                <w:w w:val="92"/>
              </w:rPr>
              <w:t>-6.1%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Commissions, net and technology services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10,352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10,622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left="89"/>
              <w:spacing w:after="0" w:line="145" w:lineRule="exact"/>
              <w:rPr>
                <w:sz w:val="20"/>
                <w:szCs w:val="20"/>
                <w:color w:val="auto"/>
              </w:rPr>
            </w:pPr>
            <w:r>
              <w:rPr>
                <w:rFonts w:ascii="Arial" w:cs="Arial" w:eastAsia="Arial" w:hAnsi="Arial"/>
                <w:sz w:val="14"/>
                <w:szCs w:val="14"/>
                <w:color w:val="auto"/>
                <w:w w:val="92"/>
              </w:rPr>
              <w:t>-2.5%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spacing w:after="0" w:line="145" w:lineRule="exact"/>
              <w:rPr>
                <w:sz w:val="20"/>
                <w:szCs w:val="20"/>
                <w:color w:val="auto"/>
              </w:rPr>
            </w:pPr>
            <w:r>
              <w:rPr>
                <w:rFonts w:ascii="Arial" w:cs="Arial" w:eastAsia="Arial" w:hAnsi="Arial"/>
                <w:sz w:val="14"/>
                <w:szCs w:val="14"/>
                <w:color w:val="auto"/>
              </w:rPr>
              <w:t>Other, net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36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702,272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796,213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gridSpan w:val="2"/>
            <w:shd w:val="clear" w:color="auto" w:fill="CCEEFF"/>
          </w:tcPr>
          <w:p>
            <w:pPr>
              <w:jc w:val="center"/>
              <w:ind w:left="69"/>
              <w:spacing w:after="0" w:line="139" w:lineRule="exact"/>
              <w:rPr>
                <w:sz w:val="20"/>
                <w:szCs w:val="20"/>
                <w:color w:val="auto"/>
              </w:rPr>
            </w:pPr>
            <w:r>
              <w:rPr>
                <w:rFonts w:ascii="Arial" w:cs="Arial" w:eastAsia="Arial" w:hAnsi="Arial"/>
                <w:sz w:val="14"/>
                <w:szCs w:val="14"/>
                <w:color w:val="auto"/>
                <w:w w:val="90"/>
              </w:rPr>
              <w:t>-11.8%</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35"/>
        <w:spacing w:after="0" w:line="265"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decreased $92.0 million, or 12.1%, to $665.5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2016, compared to $757.5 million for the year ended December 31, 2015. The decrease was primarily attributable to the less favorable conditions in the Americas Equities, Global Currencies, Global Commodities and EMEA Equities categories as a result of overall lower market volume and volatility within those categories during the year ended December 31, 2016.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82" w:lineRule="exact"/>
        <w:rPr>
          <w:sz w:val="20"/>
          <w:szCs w:val="20"/>
          <w:color w:val="auto"/>
        </w:rPr>
      </w:pPr>
    </w:p>
    <w:p>
      <w:pPr>
        <w:ind w:right="40" w:firstLine="635"/>
        <w:spacing w:after="0" w:line="250" w:lineRule="auto"/>
        <w:rPr>
          <w:sz w:val="20"/>
          <w:szCs w:val="20"/>
          <w:color w:val="auto"/>
        </w:rPr>
      </w:pPr>
      <w:r>
        <w:rPr>
          <w:rFonts w:ascii="Arial" w:cs="Arial" w:eastAsia="Arial" w:hAnsi="Arial"/>
          <w:sz w:val="18"/>
          <w:szCs w:val="18"/>
          <w:b w:val="1"/>
          <w:bCs w:val="1"/>
          <w:i w:val="1"/>
          <w:iCs w:val="1"/>
          <w:color w:val="auto"/>
        </w:rPr>
        <w:t xml:space="preserve">Interest and Dividends Income. </w:t>
      </w:r>
      <w:r>
        <w:rPr>
          <w:rFonts w:ascii="Arial" w:cs="Arial" w:eastAsia="Arial" w:hAnsi="Arial"/>
          <w:sz w:val="18"/>
          <w:szCs w:val="18"/>
          <w:color w:val="auto"/>
        </w:rPr>
        <w:t>Interest and dividends income decreased $1.7 million, or 6.0%, to $26.4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2016, compared to $28.1 million for the year ended December 31, 2015. This decrease was primarily attributable to lower interest income earned on cash collateral posted as part of securities borrowed transactions. As indicated above, rather than analyzing interest and dividends income in isolation, we generally evaluate it in the broader context of our Adjusted Net Trading Income.</w:t>
      </w:r>
    </w:p>
    <w:p>
      <w:pPr>
        <w:spacing w:after="0" w:line="192" w:lineRule="exact"/>
        <w:rPr>
          <w:sz w:val="20"/>
          <w:szCs w:val="20"/>
          <w:color w:val="auto"/>
        </w:rPr>
      </w:pPr>
    </w:p>
    <w:p>
      <w:pPr>
        <w:ind w:right="60" w:firstLine="635"/>
        <w:spacing w:after="0" w:line="262"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Commissions, net and technology services revenues include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licensing fees and agency commission fees. Technology licensing fees typically include an initial component earned at the inception of a new contract and a recurring fee that may include both a fixed and variable component, and are recognized ratably over the term of the contract and therefore do not change significantly period over period unless there are new counterparties. Agency commission fees are positively correlated to the volume of the trades executed by our broker dealer subsidiary. Commissions, net and technology services revenue decreased $0.2 million, or 1.9%, to $10.4 million for the year ended December 31, 2016, compared to $10.6 million for the year ended December 31, 2015. The slight decrease in the commissions, net and technology services revenue was mainly due to the upfront fee on one of the arrangements that was fully recognized over the initial three-year term by the second quarter of 2016. The decrease was partially offset by the new technology services contract executed with a new counterparty related to US Treasuries Dealer to Dealer market making on electronic trading venues in July 2016, as well as the agency commission fees generated from agency execution services started in April 2016.</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20" w:firstLine="635"/>
        <w:spacing w:after="0" w:line="25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was incurred as a result of the foreign currency revaluations on the Japanese Yen based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and the SBI Bonds, which were $(3.1) million and $3.2 million, respectively, for the year ended December 31, 2016. There were no such revenues (losses) for the year ended December 31, 2015.</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Trading Income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Net Trading Income decreased $86.8 million, or 17.0%, to $424.5 million for the year ended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compared to $511.3 million for the year ended December 31, 2015. This decrease compared to the prior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period reflects decreases in Adjusted Net Trading Income from Americas Equities trading of $11.4 million, $14.1 million from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EMEA equities $11.4 million from global commodities, $44.8 million from global currencies, and options, fixed income and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other securities of $3.9 million. These decreases in Adjusted Net Trading Income were partially offset by an increase in</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Adjusted Net Trading Income from trading, $5.0 million from APAC equities compared to the prior period. Adjusted Net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Trading Income per day decreased $0.3 million, or 17.3%, to $1.65 million for the year ended December 31, 2016, compared to</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$2.0 million for the year ended December 31, 2015. The number of trading days for the year ended December 31, 2016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2015 were both 252.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2" w:lineRule="exact"/>
        <w:rPr>
          <w:sz w:val="20"/>
          <w:szCs w:val="20"/>
          <w:color w:val="auto"/>
        </w:rPr>
      </w:pPr>
    </w:p>
    <w:p>
      <w:pPr>
        <w:ind w:firstLine="635"/>
        <w:spacing w:after="0" w:line="303" w:lineRule="auto"/>
        <w:rPr>
          <w:sz w:val="20"/>
          <w:szCs w:val="20"/>
          <w:color w:val="auto"/>
        </w:rPr>
      </w:pPr>
      <w:r>
        <w:rPr>
          <w:rFonts w:ascii="Arial" w:cs="Arial" w:eastAsia="Arial" w:hAnsi="Arial"/>
          <w:sz w:val="15"/>
          <w:szCs w:val="15"/>
          <w:color w:val="auto"/>
        </w:rPr>
        <w:t>Our operating expenses decreased $57.6 million, or 9.9%, to $522.7 million for the year ended December 31, 2016, compared to $580.3 million for the year ended December 31, 2015. This decrease was primarily due to decreases in brokerage, exchange, and clearance fees of $11.3 million, employee compensation and payroll taxes of $2.7 million, operations and administrative expense of $3.0 million, depreciation and amortization expense of $3.9 million, reserve for legal matters of $5.4 million, and charges related to share based compensation at IPO of $42.4 million, and $1.0 million decrease in financing interest expense on our long-term borrowings. These decreases in operating expenses were partially offset by increases in communication and data processing expense of $2.4 million, interest and dividends expense of $4.2 million, and increase in debt issue cost related to refinancing of $5.6 million. There was no change for the year ended December 31, 2016 compared to the year ended December 31, 2015 for amortization of purchased intangible and acquired capitalized software.</w:t>
      </w:r>
    </w:p>
    <w:p>
      <w:pPr>
        <w:spacing w:after="0" w:line="157" w:lineRule="exact"/>
        <w:rPr>
          <w:sz w:val="20"/>
          <w:szCs w:val="20"/>
          <w:color w:val="auto"/>
        </w:rPr>
      </w:pPr>
    </w:p>
    <w:p>
      <w:pPr>
        <w:ind w:right="20" w:firstLine="635"/>
        <w:spacing w:after="0" w:line="302" w:lineRule="auto"/>
        <w:rPr>
          <w:sz w:val="20"/>
          <w:szCs w:val="20"/>
          <w:color w:val="auto"/>
        </w:rPr>
      </w:pPr>
      <w:r>
        <w:rPr>
          <w:rFonts w:ascii="Arial" w:cs="Arial" w:eastAsia="Arial" w:hAnsi="Arial"/>
          <w:sz w:val="15"/>
          <w:szCs w:val="15"/>
          <w:b w:val="1"/>
          <w:bCs w:val="1"/>
          <w:i w:val="1"/>
          <w:iCs w:val="1"/>
          <w:color w:val="auto"/>
        </w:rPr>
        <w:t xml:space="preserve">Brokerage, Exchange and Clearance Fees, Net. </w:t>
      </w:r>
      <w:r>
        <w:rPr>
          <w:rFonts w:ascii="Arial" w:cs="Arial" w:eastAsia="Arial" w:hAnsi="Arial"/>
          <w:sz w:val="15"/>
          <w:szCs w:val="15"/>
          <w:color w:val="auto"/>
        </w:rPr>
        <w:t>Brokerage exchange and clearance fees, net, decreased $11.3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4.9%, to $221.2 million for the year ended December 31, 2016, compared to $232.5 million for the year ended</w:t>
      </w:r>
    </w:p>
    <w:p>
      <w:pPr>
        <w:spacing w:after="0" w:line="1"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December 31, 2015. This decrease was primarily attributable to the decreases in market volume and volatility traded in Americas Equities and EMEA Equities instruments in which we make markets. As indicated above, rather than analyzing brokerage, exchange and clearance fees, net, in isolation, we generally evaluate it in the broader context of our Adjusted Net Trading Income.</w:t>
      </w:r>
    </w:p>
    <w:p>
      <w:pPr>
        <w:spacing w:after="0" w:line="195" w:lineRule="exact"/>
        <w:rPr>
          <w:sz w:val="20"/>
          <w:szCs w:val="20"/>
          <w:color w:val="auto"/>
        </w:rPr>
      </w:pPr>
    </w:p>
    <w:p>
      <w:pPr>
        <w:ind w:right="60" w:firstLine="635"/>
        <w:spacing w:after="0" w:line="271"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$2.4 million, or 3.5%,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$71.0 million for the year ended December 31, 2016, compared to $68.6 million for the year ended December 31, 2015. This increase was primarily due to commencement of new connectivity connections, as well as increases in market data fees. The increase was partially offset by reductions in discontinued connectivity connections.</w:t>
      </w:r>
    </w:p>
    <w:p>
      <w:pPr>
        <w:spacing w:after="0" w:line="175" w:lineRule="exact"/>
        <w:rPr>
          <w:sz w:val="20"/>
          <w:szCs w:val="20"/>
          <w:color w:val="auto"/>
        </w:rPr>
      </w:pPr>
    </w:p>
    <w:p>
      <w:pPr>
        <w:jc w:val="both"/>
        <w:ind w:right="320" w:firstLine="635"/>
        <w:spacing w:after="0" w:line="302" w:lineRule="auto"/>
        <w:rPr>
          <w:sz w:val="20"/>
          <w:szCs w:val="20"/>
          <w:color w:val="auto"/>
        </w:rPr>
      </w:pPr>
      <w:r>
        <w:rPr>
          <w:rFonts w:ascii="Arial" w:cs="Arial" w:eastAsia="Arial" w:hAnsi="Arial"/>
          <w:sz w:val="15"/>
          <w:szCs w:val="15"/>
          <w:b w:val="1"/>
          <w:bCs w:val="1"/>
          <w:i w:val="1"/>
          <w:iCs w:val="1"/>
          <w:color w:val="auto"/>
        </w:rPr>
        <w:t xml:space="preserve">Employee Compensation and Payroll Taxes. </w:t>
      </w:r>
      <w:r>
        <w:rPr>
          <w:rFonts w:ascii="Arial" w:cs="Arial" w:eastAsia="Arial" w:hAnsi="Arial"/>
          <w:sz w:val="15"/>
          <w:szCs w:val="15"/>
          <w:color w:val="auto"/>
        </w:rPr>
        <w:t>Employee compensation and payroll taxes decreased $2.7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3.1%, to $85.3 million for the year ended December 31, 2016, compared to $88.0 million for the year ended</w:t>
      </w:r>
    </w:p>
    <w:p>
      <w:pPr>
        <w:spacing w:after="0" w:line="1"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December 31, 2015. The decrease in compensation levels was attributable to the decrease in incentive compensation accrual during the year ended December 31, 2016. Incentive compensation is recorded at management’s discretion and is generally accrued in connection with the overall level of profitability.</w:t>
      </w:r>
    </w:p>
    <w:p>
      <w:pPr>
        <w:spacing w:after="0" w:line="194" w:lineRule="exact"/>
        <w:rPr>
          <w:sz w:val="20"/>
          <w:szCs w:val="20"/>
          <w:color w:val="auto"/>
        </w:rPr>
      </w:pPr>
    </w:p>
    <w:p>
      <w:pPr>
        <w:ind w:firstLine="635"/>
        <w:spacing w:after="0" w:line="250" w:lineRule="auto"/>
        <w:rPr>
          <w:sz w:val="20"/>
          <w:szCs w:val="20"/>
          <w:color w:val="auto"/>
        </w:rPr>
      </w:pPr>
      <w:r>
        <w:rPr>
          <w:rFonts w:ascii="Arial" w:cs="Arial" w:eastAsia="Arial" w:hAnsi="Arial"/>
          <w:sz w:val="18"/>
          <w:szCs w:val="18"/>
          <w:b w:val="1"/>
          <w:bCs w:val="1"/>
          <w:i w:val="1"/>
          <w:iCs w:val="1"/>
          <w:color w:val="auto"/>
        </w:rPr>
        <w:t xml:space="preserve">Interest and Dividends Expense. </w:t>
      </w:r>
      <w:r>
        <w:rPr>
          <w:rFonts w:ascii="Arial" w:cs="Arial" w:eastAsia="Arial" w:hAnsi="Arial"/>
          <w:sz w:val="18"/>
          <w:szCs w:val="18"/>
          <w:color w:val="auto"/>
        </w:rPr>
        <w:t>Interest and dividends expense increased $4.2 million, or 8.0%, to $56.6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2016, compared to $52.4 million for the year ended December 31, 2015. This increase was primarily attributable to higher interest expense incurred on cash collateral received as part of securities lending transactions. As indicated above, rather than analyzing interest and dividends expense in isolation, we generally evaluate it in the broader context of our Adjusted Net Trading Income.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firstLine="635"/>
        <w:spacing w:after="0" w:line="250" w:lineRule="auto"/>
        <w:rPr>
          <w:sz w:val="20"/>
          <w:szCs w:val="20"/>
          <w:color w:val="auto"/>
        </w:rPr>
      </w:pPr>
      <w:r>
        <w:rPr>
          <w:rFonts w:ascii="Arial" w:cs="Arial" w:eastAsia="Arial" w:hAnsi="Arial"/>
          <w:sz w:val="18"/>
          <w:szCs w:val="18"/>
          <w:b w:val="1"/>
          <w:bCs w:val="1"/>
          <w:i w:val="1"/>
          <w:iCs w:val="1"/>
          <w:color w:val="auto"/>
        </w:rPr>
        <w:t xml:space="preserve">Operations and Administrative. </w:t>
      </w:r>
      <w:r>
        <w:rPr>
          <w:rFonts w:ascii="Arial" w:cs="Arial" w:eastAsia="Arial" w:hAnsi="Arial"/>
          <w:sz w:val="18"/>
          <w:szCs w:val="18"/>
          <w:color w:val="auto"/>
        </w:rPr>
        <w:t>Operations and administrative expense decreased $3.0 million, or 11.5%, to $23.0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2016, compared to $26.0 million for the year ended December 31, 2015. This decrease was primarily due to an accelerated expense recognition of approximately $2.7 million from future lease payments of one of our office locations that was abandoned during the year ended December 31, 2015. We had no such expense during year ended December 31, 2016.</w:t>
      </w:r>
    </w:p>
    <w:p>
      <w:pPr>
        <w:spacing w:after="0" w:line="192" w:lineRule="exact"/>
        <w:rPr>
          <w:sz w:val="20"/>
          <w:szCs w:val="20"/>
          <w:color w:val="auto"/>
        </w:rPr>
      </w:pPr>
    </w:p>
    <w:p>
      <w:pPr>
        <w:ind w:right="100" w:firstLine="635"/>
        <w:spacing w:after="0" w:line="299"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decreased $3.9 million, or 11.6%, to $29.7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year ended December 31, 2016, compared to $33.6 million for the year ended December 31, 2015. This decrease was primarily attributable to the decrease in capital expenditures on telecommunication, networking and other assets.</w:t>
      </w:r>
    </w:p>
    <w:p>
      <w:pPr>
        <w:spacing w:after="0" w:line="2" w:lineRule="exact"/>
        <w:rPr>
          <w:sz w:val="20"/>
          <w:szCs w:val="20"/>
          <w:color w:val="auto"/>
        </w:rPr>
      </w:pPr>
    </w:p>
    <w:p>
      <w:pPr>
        <w:jc w:val="both"/>
        <w:ind w:right="200" w:firstLine="635"/>
        <w:spacing w:after="0" w:line="248" w:lineRule="auto"/>
        <w:rPr>
          <w:sz w:val="20"/>
          <w:szCs w:val="20"/>
          <w:color w:val="auto"/>
        </w:rPr>
      </w:pPr>
      <w:r>
        <w:rPr>
          <w:rFonts w:ascii="Arial" w:cs="Arial" w:eastAsia="Arial" w:hAnsi="Arial"/>
          <w:sz w:val="18"/>
          <w:szCs w:val="18"/>
          <w:b w:val="1"/>
          <w:bCs w:val="1"/>
          <w:i w:val="1"/>
          <w:iCs w:val="1"/>
          <w:color w:val="auto"/>
        </w:rPr>
        <w:t xml:space="preserve">Amortization of Purchased Intangibles and Acquired Capitalized Software. </w:t>
      </w:r>
      <w:r>
        <w:rPr>
          <w:rFonts w:ascii="Arial" w:cs="Arial" w:eastAsia="Arial" w:hAnsi="Arial"/>
          <w:sz w:val="18"/>
          <w:szCs w:val="18"/>
          <w:color w:val="auto"/>
        </w:rPr>
        <w:t>Amortization of purchased intangibles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acquired capitalized software did not change, from $0.2 million for the year ended December 31, 2016, compared to $0.2 million for the year ended December 31, 2015.</w:t>
      </w:r>
    </w:p>
    <w:p>
      <w:pPr>
        <w:spacing w:after="0" w:line="194" w:lineRule="exact"/>
        <w:rPr>
          <w:sz w:val="20"/>
          <w:szCs w:val="20"/>
          <w:color w:val="auto"/>
        </w:rPr>
      </w:pPr>
    </w:p>
    <w:p>
      <w:pPr>
        <w:ind w:firstLine="635"/>
        <w:spacing w:after="0" w:line="251" w:lineRule="auto"/>
        <w:rPr>
          <w:sz w:val="20"/>
          <w:szCs w:val="20"/>
          <w:color w:val="auto"/>
        </w:rPr>
      </w:pPr>
      <w:r>
        <w:rPr>
          <w:rFonts w:ascii="Arial" w:cs="Arial" w:eastAsia="Arial" w:hAnsi="Arial"/>
          <w:sz w:val="18"/>
          <w:szCs w:val="18"/>
          <w:b w:val="1"/>
          <w:bCs w:val="1"/>
          <w:i w:val="1"/>
          <w:iCs w:val="1"/>
          <w:color w:val="auto"/>
        </w:rPr>
        <w:t xml:space="preserve">Debt issue cost related to Debt refinancing. </w:t>
      </w:r>
      <w:r>
        <w:rPr>
          <w:rFonts w:ascii="Arial" w:cs="Arial" w:eastAsia="Arial" w:hAnsi="Arial"/>
          <w:sz w:val="18"/>
          <w:szCs w:val="18"/>
          <w:color w:val="auto"/>
        </w:rPr>
        <w:t>Expense from debt issue costs related to debt refinancing was $5.6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2016. These costs reflect nonrecurring expense incurred as a result of refinancing of our senior secured credit facility under long-term borrowings in October 2016. We had no such expense in the year ended December 31, 2015.</w:t>
      </w:r>
    </w:p>
    <w:p>
      <w:pPr>
        <w:spacing w:after="0" w:line="192" w:lineRule="exact"/>
        <w:rPr>
          <w:sz w:val="20"/>
          <w:szCs w:val="20"/>
          <w:color w:val="auto"/>
        </w:rPr>
      </w:pPr>
    </w:p>
    <w:p>
      <w:pPr>
        <w:ind w:right="40" w:firstLine="635"/>
        <w:spacing w:after="0" w:line="312" w:lineRule="auto"/>
        <w:rPr>
          <w:sz w:val="20"/>
          <w:szCs w:val="20"/>
          <w:color w:val="auto"/>
        </w:rPr>
      </w:pPr>
      <w:r>
        <w:rPr>
          <w:rFonts w:ascii="Arial" w:cs="Arial" w:eastAsia="Arial" w:hAnsi="Arial"/>
          <w:sz w:val="15"/>
          <w:szCs w:val="15"/>
          <w:b w:val="1"/>
          <w:bCs w:val="1"/>
          <w:i w:val="1"/>
          <w:iCs w:val="1"/>
          <w:color w:val="auto"/>
        </w:rPr>
        <w:t xml:space="preserve">Reserve for Legal Matters. </w:t>
      </w:r>
      <w:r>
        <w:rPr>
          <w:rFonts w:ascii="Arial" w:cs="Arial" w:eastAsia="Arial" w:hAnsi="Arial"/>
          <w:sz w:val="15"/>
          <w:szCs w:val="15"/>
          <w:color w:val="auto"/>
        </w:rPr>
        <w:t>In December 2015, the enforcement committee of the AMF fined our European subsidiary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amount of €5.0 million (approximately $5.4 million) based on its allegations that the subsidiary of MTH engaged in price manipulation and violations of the AMF General Regulation and Euronext Market Rules. In accordance with the foregoing, though we are currently pursuing our rights of appeal, we have accrued an estimated loss of €5.0 million (approximately $5.4 million) in relation to the fine imposed by the AMF. We had no such expense for the year ended December 31, 2016.</w:t>
      </w:r>
    </w:p>
    <w:p>
      <w:pPr>
        <w:spacing w:after="0" w:line="149" w:lineRule="exact"/>
        <w:rPr>
          <w:sz w:val="20"/>
          <w:szCs w:val="20"/>
          <w:color w:val="auto"/>
        </w:rPr>
      </w:pPr>
    </w:p>
    <w:p>
      <w:pPr>
        <w:ind w:right="120" w:firstLine="635"/>
        <w:spacing w:after="0" w:line="302" w:lineRule="auto"/>
        <w:rPr>
          <w:sz w:val="20"/>
          <w:szCs w:val="20"/>
          <w:color w:val="auto"/>
        </w:rPr>
      </w:pPr>
      <w:r>
        <w:rPr>
          <w:rFonts w:ascii="Arial" w:cs="Arial" w:eastAsia="Arial" w:hAnsi="Arial"/>
          <w:sz w:val="15"/>
          <w:szCs w:val="15"/>
          <w:b w:val="1"/>
          <w:bCs w:val="1"/>
          <w:i w:val="1"/>
          <w:iCs w:val="1"/>
          <w:color w:val="auto"/>
        </w:rPr>
        <w:t xml:space="preserve">Charges related to share based compensation at IPO. </w:t>
      </w:r>
      <w:r>
        <w:rPr>
          <w:rFonts w:ascii="Arial" w:cs="Arial" w:eastAsia="Arial" w:hAnsi="Arial"/>
          <w:sz w:val="15"/>
          <w:szCs w:val="15"/>
          <w:color w:val="auto"/>
        </w:rPr>
        <w:t>At the consummation of the IPO in April 2015, we began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recognizing non-cash compensation expenses in respect to vesting of Class B and East MIP Class B interests. For the year ended December 31, 2015, we recognized compensation expenses of the approximately $44.2 million, which includes a one-time charge upon IPO with respect the outstanding time vested Class B and East MIP Class B interests, net of $9.2 million and $8.5 million in capitalization and amortization of capitalized costs attributable to employees incurred in development of software for internal use, respectively. For the year ended December 31, 2016, the expense was $1.1 million, which reflects monthly charges on the periodic vesting of awards over a specified service period, net of approximately $0.1 million and $0.7 million of capitalization and amortization, respectively. For the year ended December 31, 2015, the expense was $3.5 million, which reflects monthly charges on the periodic vesting of awards over a specified service period, net of approximately $1.1 million and $1.7 million of capitalization and amortization, respectively.</w:t>
      </w:r>
    </w:p>
    <w:p>
      <w:pPr>
        <w:spacing w:after="0" w:line="158" w:lineRule="exact"/>
        <w:rPr>
          <w:sz w:val="20"/>
          <w:szCs w:val="20"/>
          <w:color w:val="auto"/>
        </w:rPr>
      </w:pPr>
    </w:p>
    <w:p>
      <w:pPr>
        <w:ind w:right="200" w:firstLine="635"/>
        <w:spacing w:after="0" w:line="249" w:lineRule="auto"/>
        <w:rPr>
          <w:sz w:val="20"/>
          <w:szCs w:val="20"/>
          <w:color w:val="auto"/>
        </w:rPr>
      </w:pPr>
      <w:r>
        <w:rPr>
          <w:rFonts w:ascii="Arial" w:cs="Arial" w:eastAsia="Arial" w:hAnsi="Arial"/>
          <w:sz w:val="18"/>
          <w:szCs w:val="18"/>
          <w:b w:val="1"/>
          <w:bCs w:val="1"/>
          <w:i w:val="1"/>
          <w:iCs w:val="1"/>
          <w:color w:val="auto"/>
        </w:rPr>
        <w:t xml:space="preserve">Financing Interest Expense on Long-Term Borrowings. </w:t>
      </w:r>
      <w:r>
        <w:rPr>
          <w:rFonts w:ascii="Arial" w:cs="Arial" w:eastAsia="Arial" w:hAnsi="Arial"/>
          <w:sz w:val="18"/>
          <w:szCs w:val="18"/>
          <w:color w:val="auto"/>
        </w:rPr>
        <w:t>Financing interest expense on long-term borrowings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$1.0 million, or 3.4%, to $28.3 million, compared to $29.3 million for the year ended December 31, 2015. This decrease was due to the 0.50% incremental spread reduction after the amendment of our existing senior secured credit facility upon the consummation of the IPO on April 21, 2015, which was partially offset by the increase in financing interest expense due to the increase in the amount of the senior secured credit facility, as discussed in Note 8 to the notes of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2" w:lineRule="exact"/>
        <w:rPr>
          <w:sz w:val="20"/>
          <w:szCs w:val="20"/>
          <w:color w:val="auto"/>
        </w:rPr>
      </w:pPr>
    </w:p>
    <w:p>
      <w:pPr>
        <w:ind w:firstLine="635"/>
        <w:spacing w:after="0" w:line="312" w:lineRule="auto"/>
        <w:rPr>
          <w:sz w:val="20"/>
          <w:szCs w:val="20"/>
          <w:color w:val="auto"/>
        </w:rPr>
      </w:pPr>
      <w:r>
        <w:rPr>
          <w:rFonts w:ascii="Arial" w:cs="Arial" w:eastAsia="Arial" w:hAnsi="Arial"/>
          <w:sz w:val="15"/>
          <w:szCs w:val="15"/>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Provision for income taxes increased $2.9 million, to $21.3 million for the year ended December 31, 2016, compared to $18.4 million for the year ended December 31, 2015. The increase was primarily attributable to the consummation of Reorganization Transactions.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firstLine="635"/>
        <w:spacing w:after="0" w:line="254" w:lineRule="auto"/>
        <w:rPr>
          <w:sz w:val="20"/>
          <w:szCs w:val="20"/>
          <w:color w:val="auto"/>
        </w:rPr>
      </w:pPr>
      <w:r>
        <w:rPr>
          <w:rFonts w:ascii="Arial" w:cs="Arial" w:eastAsia="Arial" w:hAnsi="Arial"/>
          <w:sz w:val="18"/>
          <w:szCs w:val="18"/>
          <w:color w:val="auto"/>
        </w:rPr>
        <w:t>Prior to the Reorganization Transactions, as a limited liability company treated as a partnership for U.S. federal income tax purposes, most of our income has not been subject to corporate tax, but instead our members have been taxed on their proportionate share of our net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16"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As of December 31, 2017, we had $532.9 million in cash and cash equivalents. These balances are maintained primarily to support operating activities and for capital expenditures and for short-term access to liquidity, and other general corporate purposes. As of December 31, 2017, we had borrowings under our short-term credit facilities of approximately $205.7 million, borrowing under broker dealer facilities of $32.0 million, and long-term debt outstanding in an aggregate principal amount of approximately $1431.1 million. As of December 31, 2017, our regulatory capital requirements for domestic U.S. subsidiaries were $7.1 million, in aggregate.</w:t>
      </w:r>
    </w:p>
    <w:p>
      <w:pPr>
        <w:spacing w:after="0" w:line="193" w:lineRule="exact"/>
        <w:rPr>
          <w:sz w:val="20"/>
          <w:szCs w:val="20"/>
          <w:color w:val="auto"/>
        </w:rPr>
      </w:pPr>
    </w:p>
    <w:p>
      <w:pPr>
        <w:ind w:firstLine="635"/>
        <w:spacing w:after="0" w:line="302" w:lineRule="auto"/>
        <w:rPr>
          <w:sz w:val="20"/>
          <w:szCs w:val="20"/>
          <w:color w:val="auto"/>
        </w:rPr>
      </w:pPr>
      <w:r>
        <w:rPr>
          <w:rFonts w:ascii="Arial" w:cs="Arial" w:eastAsia="Arial" w:hAnsi="Arial"/>
          <w:sz w:val="15"/>
          <w:szCs w:val="15"/>
          <w:color w:val="auto"/>
        </w:rPr>
        <w:t>The majority of our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with two of our wholly owned broker-dealer subsidiaries. Additionally, we also maintain a revolving credit facility with three of our wholly owned broker-dealer subsidiaries, as discussed in Note 10 “Borrowing” of Part II Item 8 “Financial Statements and Supplementary Data” of this Form 10-K herein.</w:t>
      </w:r>
    </w:p>
    <w:p>
      <w:pPr>
        <w:spacing w:after="0" w:line="158"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93" w:lineRule="exact"/>
        <w:rPr>
          <w:sz w:val="20"/>
          <w:szCs w:val="20"/>
          <w:color w:val="auto"/>
        </w:rPr>
      </w:pPr>
    </w:p>
    <w:p>
      <w:pPr>
        <w:ind w:right="140" w:firstLine="635"/>
        <w:spacing w:after="0" w:line="312" w:lineRule="auto"/>
        <w:rPr>
          <w:sz w:val="20"/>
          <w:szCs w:val="20"/>
          <w:color w:val="auto"/>
        </w:rPr>
      </w:pPr>
      <w:r>
        <w:rPr>
          <w:rFonts w:ascii="Arial" w:cs="Arial" w:eastAsia="Arial" w:hAnsi="Arial"/>
          <w:sz w:val="15"/>
          <w:szCs w:val="15"/>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creditworthy to minimize risk. We consider highly liquid investments with original maturities of less than three months when acquired to be cash equivalents.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216" w:lineRule="exact"/>
        <w:rPr>
          <w:sz w:val="20"/>
          <w:szCs w:val="20"/>
          <w:color w:val="auto"/>
        </w:rPr>
      </w:pPr>
    </w:p>
    <w:p>
      <w:pPr>
        <w:ind w:firstLine="635"/>
        <w:spacing w:after="0" w:line="300" w:lineRule="auto"/>
        <w:rPr>
          <w:sz w:val="20"/>
          <w:szCs w:val="20"/>
          <w:color w:val="auto"/>
        </w:rPr>
      </w:pPr>
      <w:r>
        <w:rPr>
          <w:rFonts w:ascii="Arial" w:cs="Arial" w:eastAsia="Arial" w:hAnsi="Arial"/>
          <w:sz w:val="15"/>
          <w:szCs w:val="15"/>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the Reorganization Transactions, exchanges of membership interests for Class A common stock or Class B common stock and payments made under the tax receivable agreements. We will retain the remaining 15% of these cash tax savings. We expect that future payments to certain direct or indirect equityholders of Virtu Financial described in Note 16 “Tax Receivable Agreements” to the consolidated financial statements included herein are expected to aggregate to approximately $147.0 million, ranging from approximately $0.3 million to $12.8 million per year over the next 15 years. Such payments will occur only after we have filed our U.S. federal and state income tax returns and realized the cash tax savings from the favorable tax attributes. The first payment was due September 15, 2016, and we made our first payment of $7.0 million in February 2017. Future payments under the tax receivable agreements in respect of subsequent exchanges would be in addition to these amounts. We currently expect to fund these payments from the cash flow from operations generated by our subsidiaries as well as from excess tax distributions that we receive from our subsidiaries.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ind w:right="120" w:firstLine="635"/>
        <w:spacing w:after="0" w:line="264" w:lineRule="auto"/>
        <w:rPr>
          <w:sz w:val="20"/>
          <w:szCs w:val="20"/>
          <w:color w:val="auto"/>
        </w:rPr>
      </w:pPr>
      <w:r>
        <w:rPr>
          <w:rFonts w:ascii="Arial" w:cs="Arial" w:eastAsia="Arial" w:hAnsi="Arial"/>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If the payments under the tax receivable agreements are accelerated, we may be required to raise additional debt or equity to fund such payments. To the extent that we are unable to make payments under the tax receivable agreements for any reason (including because our Fourth Amended and Restated Credit Agreement or the indenture governing our Notes restricts the ability of our subsidiaries to make distributions to us) such payments will be deferred and will accrue interest until paid.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216" w:lineRule="exact"/>
        <w:rPr>
          <w:sz w:val="20"/>
          <w:szCs w:val="20"/>
          <w:color w:val="auto"/>
        </w:rPr>
      </w:pPr>
    </w:p>
    <w:p>
      <w:pPr>
        <w:ind w:right="80" w:firstLine="635"/>
        <w:spacing w:after="0" w:line="312" w:lineRule="auto"/>
        <w:rPr>
          <w:sz w:val="20"/>
          <w:szCs w:val="20"/>
          <w:color w:val="auto"/>
        </w:rPr>
      </w:pPr>
      <w:r>
        <w:rPr>
          <w:rFonts w:ascii="Arial" w:cs="Arial" w:eastAsia="Arial" w:hAnsi="Arial"/>
          <w:sz w:val="15"/>
          <w:szCs w:val="15"/>
          <w:color w:val="auto"/>
        </w:rPr>
        <w:t>Certain of our principal operating subsidiaries are subject to separate regulation and capital requirements in the United States and other jurisdictions. Virtu Financial BD LLC, Virtu Financial Capital Markets LLC and Virtu Americas LLC, which become our subsidiary following the Acquisition of KCG, are registered U.S. broker-dealers, and their primary regulators include the SEC, the Chicago Stock Exchange and FINRA. Virtu Financial Ireland Limited is a registered investment firm under the Market in Financial Instruments Directive, and its primary regulator is the Central Bank of Ireland.</w:t>
      </w:r>
    </w:p>
    <w:p>
      <w:pPr>
        <w:spacing w:after="0" w:line="149" w:lineRule="exact"/>
        <w:rPr>
          <w:sz w:val="20"/>
          <w:szCs w:val="20"/>
          <w:color w:val="auto"/>
        </w:rPr>
      </w:pPr>
    </w:p>
    <w:p>
      <w:pPr>
        <w:ind w:firstLine="635"/>
        <w:spacing w:after="0" w:line="262"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Financial Capital Markets LLC is also subject to rules set forth by NYSE MKT (formerly NYSE Amex) and is required to maintain a certain level of capital in connection with the operation of its DMM business. Virtu Financial Ireland Limited is regulated by the Central Bank of Ireland as an Investment Firm and in accordance with European Union law is required to maintain a minimum amount of regulatory capital based upon its positions, financial conditions, and other factors. In addition to periodic requirements to report its regulatory capital and submit other regulatory reports, Virtu Financial Ireland Limited is required to obtain consent prior to receiving capital contributions or making capital distributions from its regulatory capital. Failure to comply with its regulatory capital requirements could result in regulatory sanction or revocation of its regulatory license. KCG Europe Limited, as an FCA-regulated investment firm is also subject to similar prudential capital requirements.</w:t>
      </w:r>
    </w:p>
    <w:p>
      <w:pPr>
        <w:spacing w:after="0" w:line="184" w:lineRule="exact"/>
        <w:rPr>
          <w:sz w:val="20"/>
          <w:szCs w:val="20"/>
          <w:color w:val="auto"/>
        </w:rPr>
      </w:pPr>
    </w:p>
    <w:p>
      <w:pPr>
        <w:ind w:right="60" w:firstLine="635"/>
        <w:spacing w:after="0" w:line="264" w:lineRule="auto"/>
        <w:rPr>
          <w:sz w:val="20"/>
          <w:szCs w:val="20"/>
          <w:color w:val="auto"/>
        </w:rPr>
      </w:pPr>
      <w:r>
        <w:rPr>
          <w:rFonts w:ascii="Arial" w:cs="Arial" w:eastAsia="Arial" w:hAnsi="Arial"/>
          <w:sz w:val="18"/>
          <w:szCs w:val="18"/>
          <w:color w:val="auto"/>
        </w:rPr>
        <w:t>See Note 18 “Regulatory Requirement” of Part II Item 8 “Financial Statements and Supplementary Data” of this Form 10-K for a discussion of regulatory capital requirements of our regulated subsidiaries.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216" w:lineRule="exact"/>
        <w:rPr>
          <w:sz w:val="20"/>
          <w:szCs w:val="20"/>
          <w:color w:val="auto"/>
        </w:rPr>
      </w:pPr>
    </w:p>
    <w:p>
      <w:pPr>
        <w:ind w:right="120" w:firstLine="635"/>
        <w:spacing w:after="0" w:line="308" w:lineRule="auto"/>
        <w:rPr>
          <w:sz w:val="20"/>
          <w:szCs w:val="20"/>
          <w:color w:val="auto"/>
        </w:rPr>
      </w:pPr>
      <w:r>
        <w:rPr>
          <w:rFonts w:ascii="Arial" w:cs="Arial" w:eastAsia="Arial" w:hAnsi="Arial"/>
          <w:sz w:val="15"/>
          <w:szCs w:val="15"/>
          <w:color w:val="auto"/>
        </w:rPr>
        <w:t>We maintain various broker-dealer facilities and short-term credit facilities as part of our daily trading operations. See Note 10 “Borrowings” of Part II Item 8 “Financial Statements and Supplementary Data” of this Form 10-K for details on the Company’s various credit facilities. As of December 31, 2017, the outstanding principal balance on our broker-dealer facilities was $32.0 million, and the outstanding aggregate short-term credit facilities with various prime brokers was approximately $205.7 million, which was netted within receivables from broker dealers and clearing organizations on the “Consolidated Statement of Financial Condition” of Part II Item 8 “Financial Statements and Supplementary Data” of this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Amended and Restated Credit Agreement</w:t>
      </w:r>
    </w:p>
    <w:p>
      <w:pPr>
        <w:spacing w:after="0" w:line="216" w:lineRule="exact"/>
        <w:rPr>
          <w:sz w:val="20"/>
          <w:szCs w:val="20"/>
          <w:color w:val="auto"/>
        </w:rPr>
      </w:pPr>
    </w:p>
    <w:p>
      <w:pPr>
        <w:ind w:firstLine="635"/>
        <w:spacing w:after="0" w:line="248" w:lineRule="auto"/>
        <w:rPr>
          <w:sz w:val="20"/>
          <w:szCs w:val="20"/>
          <w:color w:val="auto"/>
        </w:rPr>
      </w:pPr>
      <w:r>
        <w:rPr>
          <w:rFonts w:ascii="Arial" w:cs="Arial" w:eastAsia="Arial" w:hAnsi="Arial"/>
          <w:sz w:val="18"/>
          <w:szCs w:val="18"/>
          <w:color w:val="auto"/>
        </w:rPr>
        <w:t>In connection with the Acquisition of KCG, we entered into the Fourth Amended and Restated Credit Agreement, which amended and restated in its entirety the existing Credit Agreement. The Fourth Amended and Restated Credit Agreement, provided for a $540.0 million first lien secured term loan, drawn in its entirety on June 30, 2017, and continued VFH’s existing $100.0 million first lien senior secured revolving credit facility. Also on June 30, 2017, the Escrow Issuer entered into the Escrow Credit Agreement with the lenders party thereto and JPMorgan Chase Bank, N.A., as administrative agent, which provided for a $610.0 million term loan, the proceeds of which were deposited into escrow pending the closing of the Acquisition.</w:t>
      </w:r>
    </w:p>
    <w:p>
      <w:pPr>
        <w:spacing w:after="0" w:line="196" w:lineRule="exact"/>
        <w:rPr>
          <w:sz w:val="20"/>
          <w:szCs w:val="20"/>
          <w:color w:val="auto"/>
        </w:rPr>
      </w:pPr>
    </w:p>
    <w:p>
      <w:pPr>
        <w:ind w:right="20" w:firstLine="635"/>
        <w:spacing w:after="0" w:line="266" w:lineRule="auto"/>
        <w:rPr>
          <w:sz w:val="20"/>
          <w:szCs w:val="20"/>
          <w:color w:val="auto"/>
        </w:rPr>
      </w:pPr>
      <w:r>
        <w:rPr>
          <w:rFonts w:ascii="Arial" w:cs="Arial" w:eastAsia="Arial" w:hAnsi="Arial"/>
          <w:sz w:val="17"/>
          <w:szCs w:val="17"/>
          <w:color w:val="auto"/>
        </w:rPr>
        <w:t>Upon the closing of the Acquisition, the proceeds of the Escrow Term Loan were released to fund in part the Acquisition consideration, the obligations of the Escrow Issuer in respect of the Escrow Term Loan were automatically assumed by VFH Parent, the Escrow Term Loan was deemed to be outstanding under the Fourth Amended and Restated Credit Agreement and the Escrow Credit Agreement and related credit documents automatically terminated and were superseded by the provisions of the Fourth Amended and Restated Credit Agreement. In addition, the first lien senior secured revolving credit facility under the Fourth Amended and Restated Credit Agreement terminated.</w:t>
      </w:r>
    </w:p>
    <w:p>
      <w:pPr>
        <w:spacing w:after="0" w:line="182" w:lineRule="exact"/>
        <w:rPr>
          <w:sz w:val="20"/>
          <w:szCs w:val="20"/>
          <w:color w:val="auto"/>
        </w:rPr>
      </w:pPr>
    </w:p>
    <w:p>
      <w:pPr>
        <w:ind w:right="100" w:firstLine="635"/>
        <w:spacing w:after="0" w:line="249" w:lineRule="auto"/>
        <w:rPr>
          <w:sz w:val="20"/>
          <w:szCs w:val="20"/>
          <w:color w:val="auto"/>
        </w:rPr>
      </w:pPr>
      <w:r>
        <w:rPr>
          <w:rFonts w:ascii="Arial" w:cs="Arial" w:eastAsia="Arial" w:hAnsi="Arial"/>
          <w:sz w:val="18"/>
          <w:szCs w:val="18"/>
          <w:color w:val="auto"/>
        </w:rPr>
        <w:t>Under the Fourth Amended and Restated Credit Agreement, the $1,150.0 million aggregate principal amount of first lien senior secured term loans, including the Escrow Term Loan, will mature on December 30, 2021 and will require scheduled annual amortization payments on each of the first four anniversaries of the closing of the Acquisition in an amount equal to the sum of 7.5% of the original aggregate principal amount of the term loan issued under the Fourth Amended and Restated Credit Agreement and 7.5% of the aggregate principal amount of the Escrow Term Loan outstanding on the closing date of the Acquisition.</w:t>
      </w:r>
    </w:p>
    <w:p>
      <w:pPr>
        <w:spacing w:after="0" w:line="193" w:lineRule="exact"/>
        <w:rPr>
          <w:sz w:val="20"/>
          <w:szCs w:val="20"/>
          <w:color w:val="auto"/>
        </w:rPr>
      </w:pPr>
    </w:p>
    <w:p>
      <w:pPr>
        <w:ind w:firstLine="635"/>
        <w:spacing w:after="0" w:line="304" w:lineRule="auto"/>
        <w:rPr>
          <w:sz w:val="20"/>
          <w:szCs w:val="20"/>
          <w:color w:val="auto"/>
        </w:rPr>
      </w:pPr>
      <w:r>
        <w:rPr>
          <w:rFonts w:ascii="Arial" w:cs="Arial" w:eastAsia="Arial" w:hAnsi="Arial"/>
          <w:sz w:val="15"/>
          <w:szCs w:val="15"/>
          <w:color w:val="auto"/>
        </w:rPr>
        <w:t>All obligations under the Term Loan Facility are unconditionally guaranteed by Virtu Financial and the Company’s existing direct and indirect wholly-owned domestic restricted subsidiaries (including, KCG and its wholly-owned domestic restricted subsidiaries), subject to certain exceptions, including exceptions for our broker dealer subsidiaries and certain immaterial subsidiaries. The Term Loan Facility and related guarantees are secured by first-priority perfected liens, subject to certain exceptions, on substantially all of VFH’s and the guarantors’ existing and future assets, including substantially all material personal property and a pledge of the capital stock of VFH, the guarantors (other than Virtu Financial) and the direct domestic subsidiaries of VFH and the guarantors and 100% of the non-voting capital stock and up to 65.0% of the voting capital stock of foreign subsidiaries that are directly owned by VFH or any of the guarantors.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Amounts outstanding under the Fourth Amended and Restated Credit Agreement bear interest 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5" w:lineRule="exact"/>
        <w:rPr>
          <w:sz w:val="20"/>
          <w:szCs w:val="20"/>
          <w:color w:val="auto"/>
        </w:rPr>
      </w:pPr>
    </w:p>
    <w:p>
      <w:pPr>
        <w:ind w:left="640" w:right="220" w:hanging="322"/>
        <w:spacing w:after="0" w:line="302" w:lineRule="auto"/>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 the case of the term loans, at VFH’s option, at either (a) the greatest of (i) the prime rate in effect, (ii) the NYFRB rate plus 0.50%, (iii) an adjusted LIBOR rate for a Eurodollar borrowing with an interest period of one month plus</w:t>
      </w:r>
    </w:p>
    <w:p>
      <w:pPr>
        <w:ind w:left="640" w:right="300"/>
        <w:spacing w:after="0" w:line="245" w:lineRule="auto"/>
        <w:rPr>
          <w:rFonts w:ascii="Arial" w:cs="Arial" w:eastAsia="Arial" w:hAnsi="Arial"/>
          <w:sz w:val="15"/>
          <w:szCs w:val="15"/>
          <w:color w:val="auto"/>
        </w:rPr>
      </w:pPr>
      <w:r>
        <w:rPr>
          <w:rFonts w:ascii="Arial" w:cs="Arial" w:eastAsia="Arial" w:hAnsi="Arial"/>
          <w:sz w:val="18"/>
          <w:szCs w:val="18"/>
          <w:color w:val="auto"/>
        </w:rPr>
        <w:t>1.00%, and (iv) 2.00% plus, in each case, 2.75% per annum; or (b) the greater of (i) an adjusted LIBOR rate for the interest period in effect and (ii) 1.00% plus, in each case, 3.75% per annum; and</w:t>
      </w:r>
    </w:p>
    <w:p>
      <w:pPr>
        <w:ind w:left="640" w:right="140" w:hanging="322"/>
        <w:spacing w:after="0" w:line="266"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case of revolving loans, at VFH’s option, at either (a) the greatest of (i) the prime rate in effect, (ii) the NYFRB rate plus 0.50%, (iii) an adjusted LIBOR rate for a Eurodollar borrowing with an interest period of one month plus 1.00%, and (iv) 1.00% plus, in each case, 2.00% per annum; or (b) the greater of (i) an adjusted LIBOR rate for the interest period in effect and (ii) zero plus, in each case, 3.00% per annum.</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Fourth Amended and Restated Credit Agreement, we must comply on a quarterly basis with:</w:t>
      </w:r>
    </w:p>
    <w:p>
      <w:pPr>
        <w:spacing w:after="0" w:line="16" w:lineRule="exact"/>
        <w:rPr>
          <w:sz w:val="20"/>
          <w:szCs w:val="20"/>
          <w:color w:val="auto"/>
        </w:rPr>
      </w:pPr>
    </w:p>
    <w:p>
      <w:pPr>
        <w:jc w:val="both"/>
        <w:ind w:left="640" w:right="240" w:hanging="322"/>
        <w:spacing w:after="0" w:line="245"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maximum total net leverage ratio of 5.00 to 1.0 with a step-down to (i) 4.25 to 1.0 from and after the fiscal quarter ending March 31, 2019, (ii) 3.50 to 1.0 from and after the fiscal quarter ending March 31, 2020 and (iii) 3.25 to 1.0 from the fiscal quarter ending March 31, 2021 and thereafter; and</w:t>
      </w:r>
    </w:p>
    <w:p>
      <w:pPr>
        <w:spacing w:after="0" w:line="1" w:lineRule="exact"/>
        <w:rPr>
          <w:rFonts w:ascii="Arial" w:cs="Arial" w:eastAsia="Arial" w:hAnsi="Arial"/>
          <w:sz w:val="18"/>
          <w:szCs w:val="18"/>
          <w:color w:val="auto"/>
        </w:rPr>
      </w:pPr>
    </w:p>
    <w:p>
      <w:pPr>
        <w:ind w:left="640" w:right="320" w:hanging="322"/>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minimum interest coverage ratio of 2.75 to 1.0, stepping up to 3.00 to 1.0 from and after the fiscal quarter ending March 31, 2019.</w:t>
      </w:r>
    </w:p>
    <w:p>
      <w:pPr>
        <w:spacing w:after="0" w:line="192" w:lineRule="exact"/>
        <w:rPr>
          <w:sz w:val="20"/>
          <w:szCs w:val="20"/>
          <w:color w:val="auto"/>
        </w:rPr>
      </w:pPr>
    </w:p>
    <w:p>
      <w:pPr>
        <w:ind w:firstLine="635"/>
        <w:spacing w:after="0" w:line="297" w:lineRule="auto"/>
        <w:rPr>
          <w:sz w:val="20"/>
          <w:szCs w:val="20"/>
          <w:color w:val="auto"/>
        </w:rPr>
      </w:pPr>
      <w:r>
        <w:rPr>
          <w:rFonts w:ascii="Arial" w:cs="Arial" w:eastAsia="Arial" w:hAnsi="Arial"/>
          <w:sz w:val="15"/>
          <w:szCs w:val="15"/>
          <w:color w:val="auto"/>
        </w:rPr>
        <w:t>The Fourth Amended and Restated Credit Agreement contains certain customary affirmative covenants. The negative covenants in the Fourth Amended and Restated Credit Agreement include, among other things, limitations on our ability to do the following, subject to certain exceptions: (i) incur additional debt; (ii) create liens on certain assets; (iii) make certain loans or investments (including acquisitions); (iv) pay dividends on or make distributions in respect of our capital stock or make other restricted junior payments; (v) consolidate, merge, sell or otherwise dispose of all or substantially all of our assets; (vi) sell or otherwise dispose of assets, including equity interests in our subsidiaries; (vii) enter into certain transactions with our affiliates;</w:t>
      </w:r>
    </w:p>
    <w:p>
      <w:pPr>
        <w:spacing w:after="0" w:line="1" w:lineRule="exact"/>
        <w:rPr>
          <w:sz w:val="20"/>
          <w:szCs w:val="20"/>
          <w:color w:val="auto"/>
        </w:rPr>
      </w:pPr>
    </w:p>
    <w:p>
      <w:pPr>
        <w:ind w:right="600" w:firstLine="1"/>
        <w:spacing w:after="0" w:line="279" w:lineRule="auto"/>
        <w:tabs>
          <w:tab w:leader="none" w:pos="397"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enter into swaps, forwards and similar agreements; (ix) enter into sale-leaseback transactions; (x) restrict liens and subsidiary dividends; (xi) change our fiscal year; and (xii) modify the terms of certain debt agreements.</w:t>
      </w:r>
    </w:p>
    <w:p>
      <w:pPr>
        <w:spacing w:after="0" w:line="169" w:lineRule="exact"/>
        <w:rPr>
          <w:sz w:val="20"/>
          <w:szCs w:val="20"/>
          <w:color w:val="auto"/>
        </w:rPr>
      </w:pPr>
    </w:p>
    <w:p>
      <w:pPr>
        <w:ind w:right="120" w:firstLine="635"/>
        <w:spacing w:after="0" w:line="312" w:lineRule="auto"/>
        <w:rPr>
          <w:sz w:val="20"/>
          <w:szCs w:val="20"/>
          <w:color w:val="auto"/>
        </w:rPr>
      </w:pPr>
      <w:r>
        <w:rPr>
          <w:rFonts w:ascii="Arial" w:cs="Arial" w:eastAsia="Arial" w:hAnsi="Arial"/>
          <w:sz w:val="15"/>
          <w:szCs w:val="15"/>
          <w:color w:val="auto"/>
        </w:rPr>
        <w:t>The Fourth Amended and Restated Credit Agreement contains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49" w:lineRule="exact"/>
        <w:rPr>
          <w:sz w:val="20"/>
          <w:szCs w:val="20"/>
          <w:color w:val="auto"/>
        </w:rPr>
      </w:pPr>
    </w:p>
    <w:p>
      <w:pPr>
        <w:jc w:val="both"/>
        <w:ind w:right="220" w:firstLine="635"/>
        <w:spacing w:after="0" w:line="254" w:lineRule="auto"/>
        <w:rPr>
          <w:sz w:val="20"/>
          <w:szCs w:val="20"/>
          <w:color w:val="auto"/>
        </w:rPr>
      </w:pPr>
      <w:r>
        <w:rPr>
          <w:rFonts w:ascii="Arial" w:cs="Arial" w:eastAsia="Arial" w:hAnsi="Arial"/>
          <w:sz w:val="18"/>
          <w:szCs w:val="18"/>
          <w:color w:val="auto"/>
        </w:rPr>
        <w:t>A portion of certain financing costs incurred in connection with the original credit facility that were scheduled to be amortized over the term of the loan, including original issue discount and underwriting and legal fees, were accelerated at the closing of the refinancing.</w:t>
      </w:r>
    </w:p>
    <w:p>
      <w:pPr>
        <w:spacing w:after="0" w:line="189" w:lineRule="exact"/>
        <w:rPr>
          <w:sz w:val="20"/>
          <w:szCs w:val="20"/>
          <w:color w:val="auto"/>
        </w:rPr>
      </w:pPr>
    </w:p>
    <w:p>
      <w:pPr>
        <w:ind w:right="80" w:firstLine="635"/>
        <w:spacing w:after="0" w:line="264" w:lineRule="auto"/>
        <w:rPr>
          <w:sz w:val="20"/>
          <w:szCs w:val="20"/>
          <w:color w:val="auto"/>
        </w:rPr>
      </w:pPr>
      <w:r>
        <w:rPr>
          <w:rFonts w:ascii="Arial" w:cs="Arial" w:eastAsia="Arial" w:hAnsi="Arial"/>
          <w:sz w:val="18"/>
          <w:szCs w:val="18"/>
          <w:color w:val="auto"/>
        </w:rPr>
        <w:t>We were in compliance with all applicable covenants under the Fourth Amended and Restated Credit Agreement as of December 31, 2017.</w:t>
      </w:r>
    </w:p>
    <w:p>
      <w:pPr>
        <w:spacing w:after="0" w:line="180" w:lineRule="exact"/>
        <w:rPr>
          <w:sz w:val="20"/>
          <w:szCs w:val="20"/>
          <w:color w:val="auto"/>
        </w:rPr>
      </w:pPr>
    </w:p>
    <w:p>
      <w:pPr>
        <w:ind w:right="240" w:firstLine="635"/>
        <w:spacing w:after="0" w:line="264" w:lineRule="auto"/>
        <w:rPr>
          <w:sz w:val="20"/>
          <w:szCs w:val="20"/>
          <w:color w:val="auto"/>
        </w:rPr>
      </w:pPr>
      <w:r>
        <w:rPr>
          <w:rFonts w:ascii="Arial" w:cs="Arial" w:eastAsia="Arial" w:hAnsi="Arial"/>
          <w:sz w:val="18"/>
          <w:szCs w:val="18"/>
          <w:color w:val="auto"/>
        </w:rPr>
        <w:t>As of March 13, 2018, we have made total prepayments in the amount of $526.0 million under the Fourth Amended and Restated Credit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Second Lien Notes</w:t>
      </w:r>
    </w:p>
    <w:p>
      <w:pPr>
        <w:spacing w:after="0" w:line="216" w:lineRule="exact"/>
        <w:rPr>
          <w:sz w:val="20"/>
          <w:szCs w:val="20"/>
          <w:color w:val="auto"/>
        </w:rPr>
      </w:pPr>
    </w:p>
    <w:p>
      <w:pPr>
        <w:ind w:right="40" w:firstLine="635"/>
        <w:spacing w:after="0" w:line="312" w:lineRule="auto"/>
        <w:rPr>
          <w:sz w:val="20"/>
          <w:szCs w:val="20"/>
          <w:color w:val="auto"/>
        </w:rPr>
      </w:pPr>
      <w:r>
        <w:rPr>
          <w:rFonts w:ascii="Arial" w:cs="Arial" w:eastAsia="Arial" w:hAnsi="Arial"/>
          <w:sz w:val="15"/>
          <w:szCs w:val="15"/>
          <w:color w:val="auto"/>
        </w:rPr>
        <w:t>On June 16, 2017, the Escrow Issuer and the Co-Issuer completed the offering of $500 million aggregate principal amount of 6.750% Senior Secured Second Lien Notes due 2022 (the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 and December 15, beginning on December 15, 2017.</w:t>
      </w:r>
    </w:p>
    <w:p>
      <w:pPr>
        <w:spacing w:after="0" w:line="149" w:lineRule="exact"/>
        <w:rPr>
          <w:sz w:val="20"/>
          <w:szCs w:val="20"/>
          <w:color w:val="auto"/>
        </w:rPr>
      </w:pPr>
    </w:p>
    <w:p>
      <w:pPr>
        <w:ind w:right="200" w:firstLine="635"/>
        <w:spacing w:after="0" w:line="251" w:lineRule="auto"/>
        <w:rPr>
          <w:sz w:val="20"/>
          <w:szCs w:val="20"/>
          <w:color w:val="auto"/>
        </w:rPr>
      </w:pPr>
      <w:r>
        <w:rPr>
          <w:rFonts w:ascii="Arial" w:cs="Arial" w:eastAsia="Arial" w:hAnsi="Arial"/>
          <w:sz w:val="18"/>
          <w:szCs w:val="18"/>
          <w:color w:val="auto"/>
        </w:rPr>
        <w:t>On July 20, 2017, VFH assumed all of the obligations of the Escrow Issuer under the Indenture and the Notes. The Notes are guaranteed by Virtu Financial and each of Virtu Financial’s wholly-owned domestic restricted subsidiaries that guarantee the Fourth Amended and Restated Credit Agreement, including KCG and certain of its subsidiaries and the Escrow Issuer. We refer to VFH and the Co-Issuer together as, the “Issuers.”</w:t>
      </w:r>
    </w:p>
    <w:p>
      <w:pPr>
        <w:spacing w:after="0" w:line="192" w:lineRule="exact"/>
        <w:rPr>
          <w:sz w:val="20"/>
          <w:szCs w:val="20"/>
          <w:color w:val="auto"/>
        </w:rPr>
      </w:pPr>
    </w:p>
    <w:p>
      <w:pPr>
        <w:ind w:right="40" w:firstLine="635"/>
        <w:spacing w:after="0" w:line="308" w:lineRule="auto"/>
        <w:rPr>
          <w:sz w:val="20"/>
          <w:szCs w:val="20"/>
          <w:color w:val="auto"/>
        </w:rPr>
      </w:pPr>
      <w:r>
        <w:rPr>
          <w:rFonts w:ascii="Arial" w:cs="Arial" w:eastAsia="Arial" w:hAnsi="Arial"/>
          <w:sz w:val="15"/>
          <w:szCs w:val="15"/>
          <w:color w:val="auto"/>
        </w:rPr>
        <w:t>The Notes and the related guarantees are secured by second-priority perfected liens on substantially all of the Issuers’ and guarantors’ existing and future assets, subject to certain exceptions, including all material personal property, a pledge of the capital stock of the Issuers, the guarantors (other than Virtu Financial) and the direct subsidiaries of the Issuers and the guarantors and 100% of the non-voting capital stock and up to 65.0% of the voting capital stock of any now-owned or later-acquired foreign subsidiaries that are directly owned by the Issuers or any of the guarantors, which assets will also secure obligations under the Fourth Amended and Restated Credit Agreement on a first-priority basis.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firstLine="635"/>
        <w:spacing w:after="0" w:line="306" w:lineRule="auto"/>
        <w:rPr>
          <w:sz w:val="20"/>
          <w:szCs w:val="20"/>
          <w:color w:val="auto"/>
        </w:rPr>
      </w:pPr>
      <w:r>
        <w:rPr>
          <w:rFonts w:ascii="Arial" w:cs="Arial" w:eastAsia="Arial" w:hAnsi="Arial"/>
          <w:sz w:val="15"/>
          <w:szCs w:val="15"/>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54" w:lineRule="exact"/>
        <w:rPr>
          <w:sz w:val="20"/>
          <w:szCs w:val="20"/>
          <w:color w:val="auto"/>
        </w:rPr>
      </w:pPr>
    </w:p>
    <w:p>
      <w:pPr>
        <w:ind w:right="60" w:firstLine="635"/>
        <w:spacing w:after="0" w:line="276" w:lineRule="auto"/>
        <w:rPr>
          <w:sz w:val="20"/>
          <w:szCs w:val="20"/>
          <w:color w:val="auto"/>
        </w:rPr>
      </w:pPr>
      <w:r>
        <w:rPr>
          <w:rFonts w:ascii="Arial" w:cs="Arial" w:eastAsia="Arial" w:hAnsi="Arial"/>
          <w:sz w:val="17"/>
          <w:szCs w:val="17"/>
          <w:color w:val="auto"/>
        </w:rPr>
        <w:t>Prior to June 15, 2019, we may redeem some or all of the Notes at a redemption price equal to 100% of the principal amount plus accrued and unpaid interest, if any, to (but not including) the date of redemption, plus an applicable “make whole” premium (calculated based upon the yield of certain U.S. treasury securities plus 0.50%).</w:t>
      </w:r>
    </w:p>
    <w:p>
      <w:pPr>
        <w:spacing w:after="0" w:line="172" w:lineRule="exact"/>
        <w:rPr>
          <w:sz w:val="20"/>
          <w:szCs w:val="20"/>
          <w:color w:val="auto"/>
        </w:rPr>
      </w:pPr>
    </w:p>
    <w:p>
      <w:pPr>
        <w:ind w:firstLine="635"/>
        <w:spacing w:after="0" w:line="254" w:lineRule="auto"/>
        <w:rPr>
          <w:sz w:val="20"/>
          <w:szCs w:val="20"/>
          <w:color w:val="auto"/>
        </w:rPr>
      </w:pPr>
      <w:r>
        <w:rPr>
          <w:rFonts w:ascii="Arial" w:cs="Arial" w:eastAsia="Arial" w:hAnsi="Arial"/>
          <w:sz w:val="18"/>
          <w:szCs w:val="18"/>
          <w:color w:val="auto"/>
        </w:rPr>
        <w:t>Prior to June 15, 2019, we may redeem up to 35% of the aggregate principal amount of the Notes at a redemption price equal to 106.750% of the principal amount thereof, plus accrued and unpaid interest, if any, to (but not including) the date of redemption with the net cash proceeds from certain equity offerings.</w:t>
      </w:r>
    </w:p>
    <w:p>
      <w:pPr>
        <w:spacing w:after="0" w:line="189" w:lineRule="exact"/>
        <w:rPr>
          <w:sz w:val="20"/>
          <w:szCs w:val="20"/>
          <w:color w:val="auto"/>
        </w:rPr>
      </w:pPr>
    </w:p>
    <w:p>
      <w:pPr>
        <w:jc w:val="both"/>
        <w:ind w:right="160" w:firstLine="635"/>
        <w:spacing w:after="0" w:line="254" w:lineRule="auto"/>
        <w:rPr>
          <w:sz w:val="20"/>
          <w:szCs w:val="20"/>
          <w:color w:val="auto"/>
        </w:rPr>
      </w:pPr>
      <w:r>
        <w:rPr>
          <w:rFonts w:ascii="Arial" w:cs="Arial" w:eastAsia="Arial" w:hAnsi="Arial"/>
          <w:sz w:val="18"/>
          <w:szCs w:val="18"/>
          <w:color w:val="auto"/>
        </w:rPr>
        <w:t>On or after June 15, 2019,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Percentage</w:t>
            </w:r>
          </w:p>
        </w:tc>
      </w:tr>
      <w:tr>
        <w:trPr>
          <w:trHeight w:val="139"/>
        </w:trPr>
        <w:tc>
          <w:tcPr>
            <w:tcW w:w="366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2019</w:t>
            </w:r>
          </w:p>
        </w:tc>
        <w:tc>
          <w:tcPr>
            <w:tcW w:w="48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103.375%</w:t>
            </w:r>
          </w:p>
        </w:tc>
        <w:tc>
          <w:tcPr>
            <w:tcW w:w="60" w:type="dxa"/>
            <w:vAlign w:val="bottom"/>
            <w:tcBorders>
              <w:top w:val="single" w:sz="8" w:color="CCEEFF"/>
            </w:tcBorders>
            <w:shd w:val="clear" w:color="auto" w:fill="CCEEFF"/>
          </w:tcPr>
          <w:p>
            <w:pPr>
              <w:spacing w:after="0"/>
              <w:rPr>
                <w:sz w:val="12"/>
                <w:szCs w:val="12"/>
                <w:color w:val="auto"/>
              </w:rPr>
            </w:pPr>
          </w:p>
        </w:tc>
      </w:tr>
      <w:tr>
        <w:trPr>
          <w:trHeight w:val="146"/>
        </w:trPr>
        <w:tc>
          <w:tcPr>
            <w:tcW w:w="3660" w:type="dxa"/>
            <w:vAlign w:val="bottom"/>
          </w:tcPr>
          <w:p>
            <w:pPr>
              <w:spacing w:after="0" w:line="145" w:lineRule="exact"/>
              <w:rPr>
                <w:sz w:val="20"/>
                <w:szCs w:val="20"/>
                <w:color w:val="auto"/>
              </w:rPr>
            </w:pPr>
            <w:r>
              <w:rPr>
                <w:rFonts w:ascii="Arial" w:cs="Arial" w:eastAsia="Arial" w:hAnsi="Arial"/>
                <w:sz w:val="14"/>
                <w:szCs w:val="14"/>
                <w:color w:val="auto"/>
              </w:rPr>
              <w:t>2020</w:t>
            </w:r>
          </w:p>
        </w:tc>
        <w:tc>
          <w:tcPr>
            <w:tcW w:w="48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w w:val="91"/>
              </w:rPr>
              <w:t>101.688%</w:t>
            </w:r>
          </w:p>
        </w:tc>
        <w:tc>
          <w:tcPr>
            <w:tcW w:w="60" w:type="dxa"/>
            <w:vAlign w:val="bottom"/>
          </w:tcPr>
          <w:p>
            <w:pPr>
              <w:spacing w:after="0"/>
              <w:rPr>
                <w:sz w:val="12"/>
                <w:szCs w:val="12"/>
                <w:color w:val="auto"/>
              </w:rPr>
            </w:pPr>
          </w:p>
        </w:tc>
      </w:tr>
      <w:tr>
        <w:trPr>
          <w:trHeight w:val="146"/>
        </w:trPr>
        <w:tc>
          <w:tcPr>
            <w:tcW w:w="41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2021 and thereafter</w:t>
            </w:r>
          </w:p>
        </w:tc>
        <w:tc>
          <w:tcPr>
            <w:tcW w:w="12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1"/>
              </w:rPr>
              <w:t>100.000%</w:t>
            </w:r>
          </w:p>
        </w:tc>
        <w:tc>
          <w:tcPr>
            <w:tcW w:w="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11" w:lineRule="exact"/>
        <w:rPr>
          <w:sz w:val="20"/>
          <w:szCs w:val="20"/>
          <w:color w:val="auto"/>
        </w:rPr>
      </w:pPr>
    </w:p>
    <w:p>
      <w:pPr>
        <w:jc w:val="both"/>
        <w:ind w:right="220" w:firstLine="635"/>
        <w:spacing w:after="0" w:line="254" w:lineRule="auto"/>
        <w:rPr>
          <w:sz w:val="20"/>
          <w:szCs w:val="20"/>
          <w:color w:val="auto"/>
        </w:rPr>
      </w:pPr>
      <w:r>
        <w:rPr>
          <w:rFonts w:ascii="Arial" w:cs="Arial" w:eastAsia="Arial" w:hAnsi="Arial"/>
          <w:sz w:val="18"/>
          <w:szCs w:val="18"/>
          <w:color w:val="auto"/>
        </w:rPr>
        <w:t>Upon the occurrence of specified change of control events as defined in the indenture governing the Notes, we must offer to repurchase the Notes at 101% of the principal amount, plus accrued and unpaid interest, if any, to (but excluding) the purchase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were in compliance with all applicable covenants under the indenture governing our Notes as of December 31,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6" w:lineRule="exact"/>
        <w:rPr>
          <w:sz w:val="20"/>
          <w:szCs w:val="20"/>
          <w:color w:val="auto"/>
        </w:rPr>
      </w:pPr>
    </w:p>
    <w:p>
      <w:pPr>
        <w:ind w:right="160" w:firstLine="635"/>
        <w:spacing w:after="0" w:line="218" w:lineRule="exact"/>
        <w:rPr>
          <w:sz w:val="20"/>
          <w:szCs w:val="20"/>
          <w:color w:val="auto"/>
        </w:rPr>
      </w:pPr>
      <w:r>
        <w:rPr>
          <w:rFonts w:ascii="Arial" w:cs="Arial" w:eastAsia="Arial" w:hAnsi="Arial"/>
          <w:sz w:val="18"/>
          <w:szCs w:val="18"/>
          <w:color w:val="auto"/>
        </w:rPr>
        <w:t>Our main sources of liquidity are cash flow from the operations of our subsidiaries, our broker</w:t>
      </w:r>
      <w:r>
        <w:rPr>
          <w:rFonts w:ascii="MS PGothic" w:cs="MS PGothic" w:eastAsia="MS PGothic" w:hAnsi="MS PGothic"/>
          <w:sz w:val="18"/>
          <w:szCs w:val="18"/>
          <w:color w:val="auto"/>
        </w:rPr>
        <w:t>‑</w:t>
      </w:r>
      <w:r>
        <w:rPr>
          <w:rFonts w:ascii="Arial" w:cs="Arial" w:eastAsia="Arial" w:hAnsi="Arial"/>
          <w:sz w:val="18"/>
          <w:szCs w:val="18"/>
          <w:color w:val="auto"/>
        </w:rPr>
        <w:t>dealer credit facilities (as described above), margin financing provided by our prime brokers and cash on hand.</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summarizes our primary sources and uses of cash for the years ended December 31, 2017, 2016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ectPr>
          <w:pgSz w:w="11900" w:h="16838" w:orient="portrait"/>
          <w:cols w:equalWidth="0" w:num="1">
            <w:col w:w="9040"/>
          </w:cols>
          <w:pgMar w:left="1420" w:top="127" w:right="1439"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4603115"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03115" cy="13462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(used in):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603115" cy="1257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03115" cy="12573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4603115" cy="125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03115" cy="12573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Effect of exchange rate changes on cash and cash equivalents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Net increase in cash, cash equivalents, and restricted cash</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7475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47520" cy="8255"/>
                    </a:xfrm>
                    <a:prstGeom prst="rect">
                      <a:avLst/>
                    </a:prstGeom>
                    <a:noFill/>
                  </pic:spPr>
                </pic:pic>
              </a:graphicData>
            </a:graphic>
          </wp:anchor>
        </w:drawing>
      </w:r>
    </w:p>
    <w:p>
      <w:pPr>
        <w:ind w:left="300"/>
        <w:spacing w:after="0"/>
        <w:tabs>
          <w:tab w:leader="none" w:pos="1160" w:val="left"/>
          <w:tab w:leader="none" w:pos="21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193" w:lineRule="exact"/>
        <w:rPr>
          <w:sz w:val="20"/>
          <w:szCs w:val="20"/>
          <w:color w:val="auto"/>
        </w:rPr>
      </w:pPr>
    </w:p>
    <w:p>
      <w:pPr>
        <w:ind w:left="240" w:hanging="234"/>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290,574   $  239,599   $   260,280</w:t>
      </w:r>
    </w:p>
    <w:p>
      <w:pPr>
        <w:spacing w:after="0" w:line="17"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(838,016)(59,017)</w:t>
      </w:r>
      <w:r>
        <w:rPr>
          <w:rFonts w:ascii="Arial" w:cs="Arial" w:eastAsia="Arial" w:hAnsi="Arial"/>
          <w:sz w:val="14"/>
          <w:szCs w:val="14"/>
          <w:color w:val="auto"/>
        </w:rPr>
        <w:t>(24,299)</w:t>
      </w:r>
    </w:p>
    <w:p>
      <w:pPr>
        <w:spacing w:after="0" w:line="14"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889,797(161,237)</w:t>
      </w:r>
      <w:r>
        <w:rPr>
          <w:rFonts w:ascii="Arial" w:cs="Arial" w:eastAsia="Arial" w:hAnsi="Arial"/>
          <w:sz w:val="14"/>
          <w:szCs w:val="14"/>
          <w:color w:val="auto"/>
        </w:rPr>
        <w:t>(144,355)</w:t>
      </w:r>
    </w:p>
    <w:p>
      <w:pPr>
        <w:spacing w:after="0" w:line="14"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6"/>
          <w:szCs w:val="16"/>
          <w:color w:val="auto"/>
        </w:rPr>
        <w:t>9,117(1,165)</w:t>
      </w:r>
      <w:r>
        <w:rPr>
          <w:rFonts w:ascii="Arial" w:cs="Arial" w:eastAsia="Arial" w:hAnsi="Arial"/>
          <w:sz w:val="14"/>
          <w:szCs w:val="14"/>
          <w:color w:val="auto"/>
        </w:rPr>
        <w:t>(4,255)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7475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47520" cy="8255"/>
                    </a:xfrm>
                    <a:prstGeom prst="rect">
                      <a:avLst/>
                    </a:prstGeom>
                    <a:noFill/>
                  </pic:spPr>
                </pic:pic>
              </a:graphicData>
            </a:graphic>
          </wp:anchor>
        </w:drawing>
      </w:r>
    </w:p>
    <w:p>
      <w:pPr>
        <w:spacing w:after="0" w:line="5" w:lineRule="exact"/>
        <w:rPr>
          <w:sz w:val="20"/>
          <w:szCs w:val="20"/>
          <w:color w:val="auto"/>
        </w:rPr>
      </w:pPr>
    </w:p>
    <w:p>
      <w:pPr>
        <w:spacing w:after="0"/>
        <w:tabs>
          <w:tab w:leader="none" w:pos="220" w:val="left"/>
          <w:tab w:leader="none" w:pos="880" w:val="left"/>
          <w:tab w:leader="none" w:pos="1260" w:val="left"/>
          <w:tab w:leader="none" w:pos="1840" w:val="left"/>
          <w:tab w:leader="none" w:pos="2240" w:val="left"/>
        </w:tabs>
        <w:rPr>
          <w:sz w:val="20"/>
          <w:szCs w:val="20"/>
          <w:color w:val="auto"/>
        </w:rPr>
      </w:pPr>
      <w:r>
        <w:rPr>
          <w:rFonts w:ascii="Arial" w:cs="Arial" w:eastAsia="Arial" w:hAnsi="Arial"/>
          <w:sz w:val="16"/>
          <w:szCs w:val="16"/>
          <w:u w:val="single" w:color="auto"/>
          <w:color w:val="auto"/>
        </w:rPr>
        <w:t>$</w:t>
      </w:r>
      <w:r>
        <w:rPr>
          <w:sz w:val="20"/>
          <w:szCs w:val="20"/>
          <w:color w:val="auto"/>
        </w:rPr>
        <w:tab/>
      </w:r>
      <w:r>
        <w:rPr>
          <w:rFonts w:ascii="Arial" w:cs="Arial" w:eastAsia="Arial" w:hAnsi="Arial"/>
          <w:sz w:val="16"/>
          <w:szCs w:val="16"/>
          <w:u w:val="single" w:color="auto"/>
          <w:color w:val="auto"/>
        </w:rPr>
        <w:t>351,472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18,180</w:t>
        <w:tab/>
        <w:t>$</w:t>
      </w:r>
      <w:r>
        <w:rPr>
          <w:sz w:val="20"/>
          <w:szCs w:val="20"/>
          <w:color w:val="auto"/>
        </w:rPr>
        <w:tab/>
      </w:r>
      <w:r>
        <w:rPr>
          <w:rFonts w:ascii="Arial" w:cs="Arial" w:eastAsia="Arial" w:hAnsi="Arial"/>
          <w:sz w:val="14"/>
          <w:szCs w:val="14"/>
          <w:color w:val="auto"/>
        </w:rPr>
        <w:t>87,371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15240</wp:posOffset>
            </wp:positionV>
            <wp:extent cx="118427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84275" cy="1651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3720" w:space="720"/>
            <w:col w:w="4600"/>
          </w:cols>
          <w:pgMar w:left="1420" w:top="127" w:right="1439"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575437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type w:val="continuous"/>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Net cash provided by operating activities was $290.6 million for the year ended December 31, 2017, compared to</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$239.6 million for the year ended December 31, 2016. The increase of $51.0 million in net cash provided by operating activities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attributable to the Acquisition of KCG, which significantly increased our trading capital.</w:t>
      </w:r>
    </w:p>
    <w:p>
      <w:pPr>
        <w:spacing w:after="0" w:line="205" w:lineRule="exact"/>
        <w:rPr>
          <w:sz w:val="20"/>
          <w:szCs w:val="20"/>
          <w:color w:val="auto"/>
        </w:rPr>
      </w:pPr>
    </w:p>
    <w:p>
      <w:pPr>
        <w:ind w:right="400" w:firstLine="635"/>
        <w:spacing w:after="0" w:line="329" w:lineRule="auto"/>
        <w:rPr>
          <w:sz w:val="20"/>
          <w:szCs w:val="20"/>
          <w:color w:val="auto"/>
        </w:rPr>
      </w:pPr>
      <w:r>
        <w:rPr>
          <w:rFonts w:ascii="Arial" w:cs="Arial" w:eastAsia="Arial" w:hAnsi="Arial"/>
          <w:sz w:val="15"/>
          <w:szCs w:val="15"/>
          <w:color w:val="auto"/>
        </w:rPr>
        <w:t>Net cash provided by operating activities was $239.6 million for the year ended December 31, 2016, compared to $260.3 million for the year ended December 31, 2015. The decrease of $20.7 million in net cash provided by operating activities was primarily attributable to $39.2 million decrease in net income due to decreases in volume and volatility.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6" w:lineRule="exact"/>
        <w:rPr>
          <w:sz w:val="20"/>
          <w:szCs w:val="20"/>
          <w:color w:val="auto"/>
        </w:rPr>
      </w:pPr>
    </w:p>
    <w:p>
      <w:pPr>
        <w:ind w:right="180" w:firstLine="635"/>
        <w:spacing w:after="0" w:line="251" w:lineRule="auto"/>
        <w:rPr>
          <w:sz w:val="20"/>
          <w:szCs w:val="20"/>
          <w:color w:val="auto"/>
        </w:rPr>
      </w:pPr>
      <w:r>
        <w:rPr>
          <w:rFonts w:ascii="Arial" w:cs="Arial" w:eastAsia="Arial" w:hAnsi="Arial"/>
          <w:sz w:val="18"/>
          <w:szCs w:val="18"/>
          <w:color w:val="auto"/>
        </w:rPr>
        <w:t>Net cash used in investing activities was $838.0 million for the year ended December 31, 2017, compared to $59.0 million for the year ended December 31, 2016. The increase of $779.0 million was primarily attributable to the net cash used for the Acquisition of KCG, see Note 3 “Acquisition of KCG Holdings, Inc.” of Part II Item 8 “Financial Statements and Supplementary Data” of this Form 10-K.</w:t>
      </w:r>
    </w:p>
    <w:p>
      <w:pPr>
        <w:spacing w:after="0" w:line="192" w:lineRule="exact"/>
        <w:rPr>
          <w:sz w:val="20"/>
          <w:szCs w:val="20"/>
          <w:color w:val="auto"/>
        </w:rPr>
      </w:pPr>
    </w:p>
    <w:p>
      <w:pPr>
        <w:ind w:right="40" w:firstLine="635"/>
        <w:spacing w:after="0" w:line="276" w:lineRule="auto"/>
        <w:rPr>
          <w:sz w:val="20"/>
          <w:szCs w:val="20"/>
          <w:color w:val="auto"/>
        </w:rPr>
      </w:pPr>
      <w:r>
        <w:rPr>
          <w:rFonts w:ascii="Arial" w:cs="Arial" w:eastAsia="Arial" w:hAnsi="Arial"/>
          <w:sz w:val="17"/>
          <w:szCs w:val="17"/>
          <w:color w:val="auto"/>
        </w:rPr>
        <w:t>Net cash used in investing activities was $59.0 million for the year ended December 31, 2016, compared to $24.3 million for the year ended December 31, 2015. The increase of $34.7 million was primarily attributable to the minority interest investment in SBI, a Proprietary Trading System based in Tokyo, for approximately $38.8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6" w:lineRule="exact"/>
        <w:rPr>
          <w:sz w:val="20"/>
          <w:szCs w:val="20"/>
          <w:color w:val="auto"/>
        </w:rPr>
      </w:pPr>
    </w:p>
    <w:p>
      <w:pPr>
        <w:ind w:right="60" w:firstLine="635"/>
        <w:spacing w:after="0" w:line="265" w:lineRule="auto"/>
        <w:rPr>
          <w:sz w:val="20"/>
          <w:szCs w:val="20"/>
          <w:color w:val="auto"/>
        </w:rPr>
      </w:pPr>
      <w:r>
        <w:rPr>
          <w:rFonts w:ascii="Arial" w:cs="Arial" w:eastAsia="Arial" w:hAnsi="Arial"/>
          <w:sz w:val="17"/>
          <w:szCs w:val="17"/>
          <w:color w:val="auto"/>
        </w:rPr>
        <w:t>Net cash provided by financing activities was $889.8 million for the year ended December 31, 2017 and net cash used in financing activities of $161.2 million for the year ended December 31, 2016. The increase of $1,051.0 million was primarily attributable to the $735 million cash provided from issuance of common stock as part of the Acquisition of KCG, as well as the refinancing of the first lien senior secured credit facility of $1,150 million and the issuance of senior secured second lien notes of $500.0 million during the year ended December 31, 2017. The increase in Net cash provided by financing activities was partially offset by the $250.0 million voluntary prepayment on our Term Loan Facility, and the repayment of certain indebtedness of KCG for $481.0 million.</w:t>
      </w:r>
    </w:p>
    <w:p>
      <w:pPr>
        <w:spacing w:after="0" w:line="182" w:lineRule="exact"/>
        <w:rPr>
          <w:sz w:val="20"/>
          <w:szCs w:val="20"/>
          <w:color w:val="auto"/>
        </w:rPr>
      </w:pPr>
    </w:p>
    <w:p>
      <w:pPr>
        <w:ind w:right="80" w:firstLine="635"/>
        <w:spacing w:after="0" w:line="268" w:lineRule="auto"/>
        <w:rPr>
          <w:sz w:val="20"/>
          <w:szCs w:val="20"/>
          <w:color w:val="auto"/>
        </w:rPr>
      </w:pPr>
      <w:r>
        <w:rPr>
          <w:rFonts w:ascii="Arial" w:cs="Arial" w:eastAsia="Arial" w:hAnsi="Arial"/>
          <w:sz w:val="17"/>
          <w:szCs w:val="17"/>
          <w:color w:val="auto"/>
        </w:rPr>
        <w:t>Net cash used in financing activities was $161.2 million for the year ended December 31, 2016 and $144.4 million for the year ended December 31, 2015. The increase of $16.8 million was primarily attributable to the $50.2 million net cash provided as a result of the completion of the IPO and the Reorganization Transactions during the year ended December 31, 2015, and we had no such events during the year ended December 31, 2016. The increase was partially offset by a decrease of $28.0 million in distributions and dividends during the year ended December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2" w:lineRule="exact"/>
        <w:rPr>
          <w:sz w:val="20"/>
          <w:szCs w:val="20"/>
          <w:color w:val="auto"/>
        </w:rPr>
      </w:pPr>
    </w:p>
    <w:p>
      <w:pPr>
        <w:ind w:right="220" w:firstLine="635"/>
        <w:spacing w:after="0" w:line="264" w:lineRule="auto"/>
        <w:rPr>
          <w:sz w:val="20"/>
          <w:szCs w:val="20"/>
          <w:color w:val="auto"/>
        </w:rPr>
      </w:pPr>
      <w:r>
        <w:rPr>
          <w:rFonts w:ascii="Arial" w:cs="Arial" w:eastAsia="Arial" w:hAnsi="Arial"/>
          <w:sz w:val="18"/>
          <w:szCs w:val="18"/>
          <w:color w:val="auto"/>
        </w:rPr>
        <w:t>The following table reflects our contractual obligations as of December 31, 2017. Amounts we pay in future periods may vary from those reflected in the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periods</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86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w w:val="95"/>
              </w:rPr>
              <w:t>Less than</w:t>
            </w:r>
          </w:p>
        </w:tc>
        <w:tc>
          <w:tcPr>
            <w:tcW w:w="160" w:type="dxa"/>
            <w:vAlign w:val="bottom"/>
          </w:tcPr>
          <w:p>
            <w:pPr>
              <w:spacing w:after="0"/>
              <w:rPr>
                <w:sz w:val="10"/>
                <w:szCs w:val="10"/>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0"/>
                <w:szCs w:val="10"/>
                <w:color w:val="auto"/>
              </w:rPr>
            </w:pPr>
          </w:p>
        </w:tc>
        <w:tc>
          <w:tcPr>
            <w:tcW w:w="740" w:type="dxa"/>
            <w:vAlign w:val="bottom"/>
          </w:tcPr>
          <w:p>
            <w:pPr>
              <w:jc w:val="right"/>
              <w:ind w:right="10"/>
              <w:spacing w:after="0" w:line="116"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68"/>
        </w:trPr>
        <w:tc>
          <w:tcPr>
            <w:tcW w:w="23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39"/>
        </w:trPr>
        <w:tc>
          <w:tcPr>
            <w:tcW w:w="2340" w:type="dxa"/>
            <w:vAlign w:val="bottom"/>
            <w:tcBorders>
              <w:top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Long-term debt obligations(1)</w:t>
            </w:r>
          </w:p>
        </w:tc>
        <w:tc>
          <w:tcPr>
            <w:tcW w:w="9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1,431,059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31,059</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89"/>
              </w:rPr>
              <w:t>1,400,000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340" w:type="dxa"/>
            <w:vAlign w:val="bottom"/>
            <w:gridSpan w:val="2"/>
          </w:tcPr>
          <w:p>
            <w:pPr>
              <w:spacing w:after="0" w:line="145" w:lineRule="exact"/>
              <w:rPr>
                <w:sz w:val="20"/>
                <w:szCs w:val="20"/>
                <w:color w:val="auto"/>
              </w:rPr>
            </w:pPr>
            <w:r>
              <w:rPr>
                <w:rFonts w:ascii="Arial" w:cs="Arial" w:eastAsia="Arial" w:hAnsi="Arial"/>
                <w:sz w:val="14"/>
                <w:szCs w:val="14"/>
                <w:color w:val="auto"/>
              </w:rPr>
              <w:t>Capital leases</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43,530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18,829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24,701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3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Operating leases</w:t>
            </w:r>
          </w:p>
        </w:tc>
        <w:tc>
          <w:tcPr>
            <w:tcW w:w="9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260,084</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33,331</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59,950</w:t>
            </w: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39,080</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127,723</w:t>
            </w:r>
          </w:p>
        </w:tc>
        <w:tc>
          <w:tcPr>
            <w:tcW w:w="0" w:type="dxa"/>
            <w:vAlign w:val="bottom"/>
          </w:tcPr>
          <w:p>
            <w:pPr>
              <w:spacing w:after="0"/>
              <w:rPr>
                <w:sz w:val="1"/>
                <w:szCs w:val="1"/>
                <w:color w:val="auto"/>
              </w:rPr>
            </w:pPr>
          </w:p>
        </w:tc>
      </w:tr>
      <w:tr>
        <w:trPr>
          <w:trHeight w:val="145"/>
        </w:trPr>
        <w:tc>
          <w:tcPr>
            <w:tcW w:w="2340" w:type="dxa"/>
            <w:vAlign w:val="bottom"/>
            <w:gridSpan w:val="2"/>
          </w:tcPr>
          <w:p>
            <w:pPr>
              <w:spacing w:after="0" w:line="139" w:lineRule="exact"/>
              <w:rPr>
                <w:sz w:val="20"/>
                <w:szCs w:val="20"/>
                <w:color w:val="auto"/>
              </w:rPr>
            </w:pPr>
            <w:r>
              <w:rPr>
                <w:rFonts w:ascii="Arial" w:cs="Arial" w:eastAsia="Arial" w:hAnsi="Arial"/>
                <w:sz w:val="14"/>
                <w:szCs w:val="14"/>
                <w:color w:val="auto"/>
              </w:rPr>
              <w:t>Total contractual obligations</w:t>
            </w:r>
          </w:p>
        </w:tc>
        <w:tc>
          <w:tcPr>
            <w:tcW w:w="9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   1,734,673</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9"/>
              <w:spacing w:after="0" w:line="13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52,160</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115,710</w:t>
            </w: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89"/>
              </w:rPr>
              <w:t>1,439,080</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127,723</w:t>
            </w:r>
          </w:p>
        </w:tc>
        <w:tc>
          <w:tcPr>
            <w:tcW w:w="0" w:type="dxa"/>
            <w:vAlign w:val="bottom"/>
          </w:tcPr>
          <w:p>
            <w:pPr>
              <w:spacing w:after="0"/>
              <w:rPr>
                <w:sz w:val="1"/>
                <w:szCs w:val="1"/>
                <w:color w:val="auto"/>
              </w:rPr>
            </w:pPr>
          </w:p>
        </w:tc>
      </w:tr>
      <w:tr>
        <w:trPr>
          <w:trHeight w:val="106"/>
        </w:trPr>
        <w:tc>
          <w:tcPr>
            <w:tcW w:w="2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40" w:right="640" w:hanging="322"/>
        <w:spacing w:after="0" w:line="260"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principal payments under the note, Term Loan Facility and the SBI bonds. Does not include interest payments, commitment fees or utilization fees.</w:t>
      </w:r>
    </w:p>
    <w:p>
      <w:pPr>
        <w:spacing w:after="0" w:line="1"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5"/>
          <w:szCs w:val="15"/>
          <w:color w:val="auto"/>
        </w:rPr>
        <w:t>The contractual obligation table above excludes contractual amounts owed under the tax receivable agreement as the</w:t>
      </w:r>
    </w:p>
    <w:p>
      <w:pPr>
        <w:spacing w:after="0" w:line="4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ultimate amount and timing of the amounts due are not presently known. As of December 31, 2017, a total of $147.0 million has been recorded in amount due pursuant to tax receivable agreement in the consolidated financial</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statements representing management’s best estimate of the amounts currently expected to be owed under the tax receivable agreement, as savings are realized as a result of favorable tax attributes.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2" w:lineRule="exact"/>
        <w:rPr>
          <w:sz w:val="20"/>
          <w:szCs w:val="20"/>
          <w:color w:val="auto"/>
        </w:rPr>
      </w:pPr>
    </w:p>
    <w:p>
      <w:pPr>
        <w:ind w:right="240" w:firstLine="635"/>
        <w:spacing w:after="0" w:line="254"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 except for those described under “Contractual Obligations”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2" w:lineRule="exact"/>
        <w:rPr>
          <w:sz w:val="20"/>
          <w:szCs w:val="20"/>
          <w:color w:val="auto"/>
        </w:rPr>
      </w:pPr>
    </w:p>
    <w:p>
      <w:pPr>
        <w:ind w:right="300" w:firstLine="635"/>
        <w:spacing w:after="0" w:line="264" w:lineRule="auto"/>
        <w:rPr>
          <w:sz w:val="20"/>
          <w:szCs w:val="20"/>
          <w:color w:val="auto"/>
        </w:rPr>
      </w:pPr>
      <w:r>
        <w:rPr>
          <w:rFonts w:ascii="Arial" w:cs="Arial" w:eastAsia="Arial" w:hAnsi="Arial"/>
          <w:sz w:val="18"/>
          <w:szCs w:val="18"/>
          <w:color w:val="auto"/>
        </w:rPr>
        <w:t>We believe inflation has not had a material effect on our financial condition, results of operations, or cash flows for years ended December 31, 2017, 2016 and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2" w:lineRule="exact"/>
        <w:rPr>
          <w:sz w:val="20"/>
          <w:szCs w:val="20"/>
          <w:color w:val="auto"/>
        </w:rPr>
      </w:pPr>
    </w:p>
    <w:p>
      <w:pPr>
        <w:ind w:firstLine="635"/>
        <w:spacing w:after="0" w:line="301"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16" w:lineRule="exact"/>
        <w:rPr>
          <w:sz w:val="20"/>
          <w:szCs w:val="20"/>
          <w:color w:val="auto"/>
        </w:rPr>
      </w:pPr>
    </w:p>
    <w:p>
      <w:pPr>
        <w:ind w:right="120" w:firstLine="635"/>
        <w:spacing w:after="0" w:line="265" w:lineRule="auto"/>
        <w:rPr>
          <w:sz w:val="20"/>
          <w:szCs w:val="20"/>
          <w:color w:val="auto"/>
        </w:rPr>
      </w:pPr>
      <w:r>
        <w:rPr>
          <w:rFonts w:ascii="Arial" w:cs="Arial" w:eastAsia="Arial" w:hAnsi="Arial"/>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82" w:lineRule="exact"/>
        <w:rPr>
          <w:sz w:val="20"/>
          <w:szCs w:val="20"/>
          <w:color w:val="auto"/>
        </w:rPr>
      </w:pPr>
    </w:p>
    <w:p>
      <w:pPr>
        <w:jc w:val="both"/>
        <w:ind w:right="80" w:firstLine="635"/>
        <w:spacing w:after="0" w:line="329"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37" w:lineRule="exact"/>
        <w:rPr>
          <w:sz w:val="20"/>
          <w:szCs w:val="20"/>
          <w:color w:val="auto"/>
        </w:rPr>
      </w:pPr>
    </w:p>
    <w:p>
      <w:pPr>
        <w:ind w:right="560" w:firstLine="635"/>
        <w:spacing w:after="0" w:line="264" w:lineRule="auto"/>
        <w:rPr>
          <w:sz w:val="20"/>
          <w:szCs w:val="20"/>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180" w:lineRule="exact"/>
        <w:rPr>
          <w:sz w:val="20"/>
          <w:szCs w:val="20"/>
          <w:color w:val="auto"/>
        </w:rPr>
      </w:pPr>
    </w:p>
    <w:p>
      <w:pPr>
        <w:ind w:right="260" w:firstLine="635"/>
        <w:spacing w:after="0" w:line="264"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180" w:lineRule="exact"/>
        <w:rPr>
          <w:sz w:val="20"/>
          <w:szCs w:val="20"/>
          <w:color w:val="auto"/>
        </w:rPr>
      </w:pPr>
    </w:p>
    <w:p>
      <w:pPr>
        <w:ind w:right="760" w:firstLine="635"/>
        <w:spacing w:after="0" w:line="264" w:lineRule="auto"/>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80" w:lineRule="exact"/>
        <w:rPr>
          <w:sz w:val="20"/>
          <w:szCs w:val="20"/>
          <w:color w:val="auto"/>
        </w:rPr>
      </w:pPr>
    </w:p>
    <w:p>
      <w:pPr>
        <w:ind w:right="120" w:firstLine="635"/>
        <w:spacing w:after="0" w:line="329" w:lineRule="auto"/>
        <w:rPr>
          <w:sz w:val="20"/>
          <w:szCs w:val="20"/>
          <w:color w:val="auto"/>
        </w:rPr>
      </w:pPr>
      <w:r>
        <w:rPr>
          <w:rFonts w:ascii="Arial" w:cs="Arial" w:eastAsia="Arial" w:hAnsi="Arial"/>
          <w:sz w:val="15"/>
          <w:szCs w:val="15"/>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that are not observable. Estimating the fair value of level 3 financial instruments requires judgments to be made. See Note 11 “Financial Assets and Liabilities” of the Part II Item 8 “Financial Statements and Supplemental Data” on the Form 10-K for further information about fair value measurements.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Income, Net</w:t>
      </w:r>
    </w:p>
    <w:p>
      <w:pPr>
        <w:spacing w:after="0" w:line="216" w:lineRule="exact"/>
        <w:rPr>
          <w:sz w:val="20"/>
          <w:szCs w:val="20"/>
          <w:color w:val="auto"/>
        </w:rPr>
      </w:pPr>
    </w:p>
    <w:p>
      <w:pPr>
        <w:ind w:right="60" w:firstLine="635"/>
        <w:spacing w:after="0" w:line="251" w:lineRule="auto"/>
        <w:rPr>
          <w:sz w:val="20"/>
          <w:szCs w:val="20"/>
          <w:color w:val="auto"/>
        </w:rPr>
      </w:pPr>
      <w:r>
        <w:rPr>
          <w:rFonts w:ascii="Arial" w:cs="Arial" w:eastAsia="Arial" w:hAnsi="Arial"/>
          <w:sz w:val="18"/>
          <w:szCs w:val="18"/>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Dividends Income/Interest and Dividends Expense</w:t>
      </w:r>
    </w:p>
    <w:p>
      <w:pPr>
        <w:spacing w:after="0" w:line="177" w:lineRule="exact"/>
        <w:rPr>
          <w:sz w:val="20"/>
          <w:szCs w:val="20"/>
          <w:color w:val="auto"/>
        </w:rPr>
      </w:pPr>
    </w:p>
    <w:p>
      <w:pPr>
        <w:ind w:right="40" w:firstLine="635"/>
        <w:spacing w:after="0" w:line="251" w:lineRule="auto"/>
        <w:rPr>
          <w:sz w:val="20"/>
          <w:szCs w:val="20"/>
          <w:color w:val="auto"/>
        </w:rPr>
      </w:pPr>
      <w:r>
        <w:rPr>
          <w:rFonts w:ascii="Arial" w:cs="Arial" w:eastAsia="Arial" w:hAnsi="Arial"/>
          <w:sz w:val="18"/>
          <w:szCs w:val="18"/>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net and Technology Services</w:t>
      </w:r>
    </w:p>
    <w:p>
      <w:pPr>
        <w:spacing w:after="0" w:line="216" w:lineRule="exact"/>
        <w:rPr>
          <w:sz w:val="20"/>
          <w:szCs w:val="20"/>
          <w:color w:val="auto"/>
        </w:rPr>
      </w:pPr>
    </w:p>
    <w:p>
      <w:pPr>
        <w:ind w:right="20" w:firstLine="635"/>
        <w:spacing w:after="0" w:line="250" w:lineRule="auto"/>
        <w:rPr>
          <w:sz w:val="20"/>
          <w:szCs w:val="20"/>
          <w:color w:val="auto"/>
        </w:rPr>
      </w:pPr>
      <w:r>
        <w:rPr>
          <w:rFonts w:ascii="Arial" w:cs="Arial" w:eastAsia="Arial" w:hAnsi="Arial"/>
          <w:sz w:val="18"/>
          <w:szCs w:val="18"/>
          <w:color w:val="auto"/>
        </w:rPr>
        <w:t>Commissions, net, which primarily comprise commissions and commission equivalents earned on institutional client orders, are recorded on a trade date basis.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and technology services in the consolidated statements of comprehensive income.</w:t>
      </w:r>
    </w:p>
    <w:p>
      <w:pPr>
        <w:spacing w:after="0" w:line="192"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Income from existing arrangements for technology services is recorded as a services contract in accordance with SEC Topic 13 (Staff Accounting Bulletin No. 104), SEC Topic 13.A.3 (f), with revenue being recognized once persuasive evidence of an arrangement exists, delivery has occurred, the fee is fixed or determinable, and collectability is probable.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6" w:lineRule="exact"/>
        <w:rPr>
          <w:sz w:val="20"/>
          <w:szCs w:val="20"/>
          <w:color w:val="auto"/>
        </w:rPr>
      </w:pPr>
    </w:p>
    <w:p>
      <w:pPr>
        <w:ind w:right="260" w:firstLine="635"/>
        <w:spacing w:after="0" w:line="254" w:lineRule="auto"/>
        <w:rPr>
          <w:sz w:val="20"/>
          <w:szCs w:val="20"/>
          <w:color w:val="auto"/>
        </w:rPr>
      </w:pPr>
      <w:r>
        <w:rPr>
          <w:rFonts w:ascii="Arial" w:cs="Arial" w:eastAsia="Arial" w:hAnsi="Arial"/>
          <w:sz w:val="18"/>
          <w:szCs w:val="18"/>
          <w:color w:val="auto"/>
        </w:rPr>
        <w:t>We account for share-based compensation transactions with employees under the provisions of ASC 718, Compensation: Stock Compensation. Share-based compensation transactions with employees are measured based on the fair value of equity instruments issued.</w:t>
      </w:r>
    </w:p>
    <w:p>
      <w:pPr>
        <w:spacing w:after="0" w:line="189"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18"/>
          <w:szCs w:val="18"/>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89" w:lineRule="exact"/>
        <w:rPr>
          <w:sz w:val="20"/>
          <w:szCs w:val="20"/>
          <w:color w:val="auto"/>
        </w:rPr>
      </w:pPr>
    </w:p>
    <w:p>
      <w:pPr>
        <w:ind w:firstLine="635"/>
        <w:spacing w:after="0" w:line="303" w:lineRule="auto"/>
        <w:rPr>
          <w:sz w:val="20"/>
          <w:szCs w:val="20"/>
          <w:color w:val="auto"/>
        </w:rPr>
      </w:pPr>
      <w:r>
        <w:rPr>
          <w:rFonts w:ascii="Arial" w:cs="Arial" w:eastAsia="Arial" w:hAnsi="Arial"/>
          <w:sz w:val="15"/>
          <w:szCs w:val="15"/>
          <w:color w:val="auto"/>
        </w:rPr>
        <w:t>Share-based awards issued for compensation in connection with or subsequent to the Reorganization Transactions and the IPO pursuant to our 2015 Management Incentive Plan (the “2015 Management Incentive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 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 Receivable Agreement Obligations</w:t>
      </w:r>
    </w:p>
    <w:p>
      <w:pPr>
        <w:spacing w:after="0" w:line="216" w:lineRule="exact"/>
        <w:rPr>
          <w:sz w:val="20"/>
          <w:szCs w:val="20"/>
          <w:color w:val="auto"/>
        </w:rPr>
      </w:pPr>
    </w:p>
    <w:p>
      <w:pPr>
        <w:ind w:right="120" w:firstLine="635"/>
        <w:spacing w:after="0" w:line="254" w:lineRule="auto"/>
        <w:rPr>
          <w:sz w:val="20"/>
          <w:szCs w:val="20"/>
          <w:color w:val="auto"/>
        </w:rPr>
      </w:pPr>
      <w:r>
        <w:rPr>
          <w:rFonts w:ascii="Arial" w:cs="Arial" w:eastAsia="Arial" w:hAnsi="Arial"/>
          <w:sz w:val="18"/>
          <w:szCs w:val="18"/>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9" w:lineRule="exact"/>
        <w:rPr>
          <w:sz w:val="20"/>
          <w:szCs w:val="20"/>
          <w:color w:val="auto"/>
        </w:rPr>
      </w:pPr>
    </w:p>
    <w:p>
      <w:pPr>
        <w:ind w:right="20" w:firstLine="635"/>
        <w:spacing w:after="0" w:line="251" w:lineRule="auto"/>
        <w:rPr>
          <w:sz w:val="20"/>
          <w:szCs w:val="20"/>
          <w:color w:val="auto"/>
        </w:rPr>
      </w:pPr>
      <w:r>
        <w:rPr>
          <w:rFonts w:ascii="Arial" w:cs="Arial" w:eastAsia="Arial" w:hAnsi="Arial"/>
          <w:sz w:val="18"/>
          <w:szCs w:val="18"/>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2" w:lineRule="exact"/>
        <w:rPr>
          <w:sz w:val="20"/>
          <w:szCs w:val="20"/>
          <w:color w:val="auto"/>
        </w:rPr>
      </w:pPr>
    </w:p>
    <w:p>
      <w:pPr>
        <w:ind w:firstLine="635"/>
        <w:spacing w:after="0" w:line="301" w:lineRule="auto"/>
        <w:rPr>
          <w:sz w:val="20"/>
          <w:szCs w:val="20"/>
          <w:color w:val="auto"/>
        </w:rPr>
      </w:pPr>
      <w:r>
        <w:rPr>
          <w:rFonts w:ascii="Arial" w:cs="Arial" w:eastAsia="Arial" w:hAnsi="Arial"/>
          <w:sz w:val="15"/>
          <w:szCs w:val="15"/>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372" w:lineRule="exact"/>
        <w:rPr>
          <w:sz w:val="20"/>
          <w:szCs w:val="20"/>
          <w:color w:val="auto"/>
        </w:rPr>
      </w:pPr>
    </w:p>
    <w:p>
      <w:pPr>
        <w:ind w:right="120" w:firstLine="635"/>
        <w:spacing w:after="0" w:line="296" w:lineRule="auto"/>
        <w:rPr>
          <w:sz w:val="20"/>
          <w:szCs w:val="20"/>
          <w:color w:val="auto"/>
        </w:rPr>
      </w:pPr>
      <w:r>
        <w:rPr>
          <w:rFonts w:ascii="Arial" w:cs="Arial" w:eastAsia="Arial" w:hAnsi="Arial"/>
          <w:sz w:val="15"/>
          <w:szCs w:val="15"/>
          <w:color w:val="auto"/>
        </w:rPr>
        <w:t>The 2017 Tax Act significantly changes how the U.S. taxes corporations. The 2017 Tax Act requires significant judgments to be made in interpretation of its provisions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4" w:lineRule="exact"/>
        <w:rPr>
          <w:sz w:val="20"/>
          <w:szCs w:val="20"/>
          <w:color w:val="auto"/>
        </w:rPr>
      </w:pPr>
    </w:p>
    <w:p>
      <w:pPr>
        <w:ind w:right="140" w:firstLine="635"/>
        <w:spacing w:after="0" w:line="248" w:lineRule="auto"/>
        <w:rPr>
          <w:sz w:val="20"/>
          <w:szCs w:val="20"/>
          <w:color w:val="auto"/>
        </w:rPr>
      </w:pPr>
      <w:r>
        <w:rPr>
          <w:rFonts w:ascii="Arial" w:cs="Arial" w:eastAsia="Arial" w:hAnsi="Arial"/>
          <w:sz w:val="18"/>
          <w:szCs w:val="18"/>
          <w:color w:val="auto"/>
        </w:rPr>
        <w:t>Our tax receivable agreement obligations are closely tied to our U.S. income tax returns, and may be affected by the aforementioned factors that impact our provision for income taxes and actual tax returns, including the impact of the 2017 Tax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16" w:lineRule="exact"/>
        <w:rPr>
          <w:sz w:val="20"/>
          <w:szCs w:val="20"/>
          <w:color w:val="auto"/>
        </w:rPr>
      </w:pPr>
    </w:p>
    <w:p>
      <w:pPr>
        <w:ind w:right="20" w:firstLine="635"/>
        <w:spacing w:after="0" w:line="271"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our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75" w:lineRule="exact"/>
        <w:rPr>
          <w:sz w:val="20"/>
          <w:szCs w:val="20"/>
          <w:color w:val="auto"/>
        </w:rPr>
      </w:pPr>
    </w:p>
    <w:p>
      <w:pPr>
        <w:ind w:right="60" w:firstLine="635"/>
        <w:spacing w:after="0" w:line="266" w:lineRule="auto"/>
        <w:rPr>
          <w:sz w:val="20"/>
          <w:szCs w:val="20"/>
          <w:color w:val="auto"/>
        </w:rPr>
      </w:pPr>
      <w:r>
        <w:rPr>
          <w:rFonts w:ascii="Arial" w:cs="Arial" w:eastAsia="Arial" w:hAnsi="Arial"/>
          <w:sz w:val="17"/>
          <w:szCs w:val="17"/>
          <w:color w:val="auto"/>
        </w:rPr>
        <w:t>The goodwill impairment test is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182" w:lineRule="exact"/>
        <w:rPr>
          <w:sz w:val="20"/>
          <w:szCs w:val="20"/>
          <w:color w:val="auto"/>
        </w:rPr>
      </w:pPr>
    </w:p>
    <w:p>
      <w:pPr>
        <w:ind w:right="220" w:firstLine="635"/>
        <w:spacing w:after="0" w:line="329" w:lineRule="auto"/>
        <w:rPr>
          <w:sz w:val="20"/>
          <w:szCs w:val="20"/>
          <w:color w:val="auto"/>
        </w:rPr>
      </w:pPr>
      <w:r>
        <w:rPr>
          <w:rFonts w:ascii="Arial" w:cs="Arial" w:eastAsia="Arial" w:hAnsi="Arial"/>
          <w:sz w:val="15"/>
          <w:szCs w:val="15"/>
          <w:color w:val="auto"/>
        </w:rPr>
        <w:t>We test goodwill for impairment on an annual basis on July 1 and on an interim basis when certain events or circumstances exist. In the impairment test as of July 1, 2017, the primary valuation method used to estimate the fair value of the our reporting unit was the market capitalization approach based on the market price of its Class A common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 which the management believes to be an appropriate indicator of its fair value. Following the Acquisition, the impairment testing is performed for each segment unit.</w:t>
      </w:r>
    </w:p>
    <w:p>
      <w:pPr>
        <w:spacing w:after="0" w:line="180" w:lineRule="exact"/>
        <w:rPr>
          <w:sz w:val="20"/>
          <w:szCs w:val="20"/>
          <w:color w:val="auto"/>
        </w:rPr>
      </w:pPr>
    </w:p>
    <w:p>
      <w:pPr>
        <w:ind w:right="320" w:firstLine="635"/>
        <w:spacing w:after="0" w:line="364" w:lineRule="auto"/>
        <w:rPr>
          <w:sz w:val="20"/>
          <w:szCs w:val="20"/>
          <w:color w:val="auto"/>
        </w:rPr>
      </w:pPr>
      <w:r>
        <w:rPr>
          <w:rFonts w:ascii="Arial" w:cs="Arial" w:eastAsia="Arial" w:hAnsi="Arial"/>
          <w:sz w:val="15"/>
          <w:szCs w:val="15"/>
          <w:color w:val="auto"/>
        </w:rPr>
        <w:t>We amortize finite-lived intangible assets over their estimated useful lives. We test finite-lived intangible assets for impairment annually or when impairment indicators are present, and if impaired, they are written down to fair value.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2" w:lineRule="exact"/>
        <w:rPr>
          <w:sz w:val="20"/>
          <w:szCs w:val="20"/>
          <w:color w:val="auto"/>
        </w:rPr>
      </w:pPr>
    </w:p>
    <w:p>
      <w:pPr>
        <w:ind w:right="140" w:firstLine="635"/>
        <w:spacing w:after="0" w:line="254"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our consolidated financial statements, see Note 2 “Summary of Significant Accounting Policies” of Part II Item 8 “Financial Statements and Supplementary Data” of this Form 10-K.</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2" w:lineRule="exact"/>
        <w:rPr>
          <w:sz w:val="20"/>
          <w:szCs w:val="20"/>
          <w:color w:val="auto"/>
        </w:rPr>
      </w:pPr>
    </w:p>
    <w:p>
      <w:pPr>
        <w:ind w:right="120" w:firstLine="635"/>
        <w:spacing w:after="0" w:line="293"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58"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color w:val="auto"/>
        </w:rPr>
        <w:t>Our on exchange market making activities are not dependent on the direction of any particular market and are designed to minimize capital at risk at any given time by limiting the notional size of our positions. Our on 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costs.</w:t>
      </w:r>
    </w:p>
    <w:p>
      <w:pPr>
        <w:spacing w:after="0" w:line="157" w:lineRule="exact"/>
        <w:rPr>
          <w:sz w:val="20"/>
          <w:szCs w:val="20"/>
          <w:color w:val="auto"/>
        </w:rPr>
      </w:pPr>
    </w:p>
    <w:p>
      <w:pPr>
        <w:ind w:right="20" w:firstLine="635"/>
        <w:spacing w:after="0" w:line="276"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CRO, the independent risk group and senior management.</w:t>
      </w:r>
    </w:p>
    <w:p>
      <w:pPr>
        <w:spacing w:after="0" w:line="172" w:lineRule="exact"/>
        <w:rPr>
          <w:sz w:val="20"/>
          <w:szCs w:val="20"/>
          <w:color w:val="auto"/>
        </w:rPr>
      </w:pPr>
    </w:p>
    <w:p>
      <w:pPr>
        <w:ind w:right="20" w:firstLine="635"/>
        <w:spacing w:after="0" w:line="251" w:lineRule="auto"/>
        <w:rPr>
          <w:sz w:val="20"/>
          <w:szCs w:val="20"/>
          <w:color w:val="auto"/>
        </w:rPr>
      </w:pPr>
      <w:r>
        <w:rPr>
          <w:rFonts w:ascii="Arial" w:cs="Arial" w:eastAsia="Arial" w:hAnsi="Arial"/>
          <w:sz w:val="18"/>
          <w:szCs w:val="18"/>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Derivative Instruments</w:t>
      </w:r>
    </w:p>
    <w:p>
      <w:pPr>
        <w:spacing w:after="0" w:line="222" w:lineRule="exact"/>
        <w:rPr>
          <w:sz w:val="20"/>
          <w:szCs w:val="20"/>
          <w:color w:val="auto"/>
        </w:rPr>
      </w:pPr>
    </w:p>
    <w:p>
      <w:pPr>
        <w:ind w:firstLine="635"/>
        <w:spacing w:after="0" w:line="302" w:lineRule="auto"/>
        <w:rPr>
          <w:sz w:val="20"/>
          <w:szCs w:val="20"/>
          <w:color w:val="auto"/>
        </w:rPr>
      </w:pPr>
      <w:r>
        <w:rPr>
          <w:rFonts w:ascii="Arial" w:cs="Arial" w:eastAsia="Arial" w:hAnsi="Arial"/>
          <w:sz w:val="15"/>
          <w:szCs w:val="15"/>
          <w:color w:val="auto"/>
        </w:rPr>
        <w:t>In the normal course of business, we utilize derivative financial instruments in connection with our proprietary trading activities. We do not designate our derivative financial instruments as hedging instruments under Financial Accounting Standards Board’s (“FASB”) Accounting Standards Codification (ASC) 815 Derivatives and Hedging, other than derivatives used to reduce the impact of fluctuations in foreign exchange rates on its net investment in certain non-U.S. operations as discussed in Note 12 “Derivative Instruments” of Part II Item 8 “Financial Statements and Supplementary Data” of this Form 10-K. Instead, we carry our derivative instruments at fair value with gains and losses included in trading income, net, in the accompanying consolidated statements of comprehensive income (loss).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58" w:lineRule="exact"/>
        <w:rPr>
          <w:sz w:val="20"/>
          <w:szCs w:val="20"/>
          <w:color w:val="auto"/>
        </w:rPr>
      </w:pPr>
    </w:p>
    <w:p>
      <w:pPr>
        <w:ind w:right="40" w:firstLine="635"/>
        <w:spacing w:after="0" w:line="248" w:lineRule="auto"/>
        <w:rPr>
          <w:sz w:val="20"/>
          <w:szCs w:val="20"/>
          <w:color w:val="auto"/>
        </w:rPr>
      </w:pPr>
      <w:r>
        <w:rPr>
          <w:rFonts w:ascii="Arial" w:cs="Arial" w:eastAsia="Arial" w:hAnsi="Arial"/>
          <w:sz w:val="18"/>
          <w:szCs w:val="18"/>
          <w:i w:val="1"/>
          <w:iCs w:val="1"/>
          <w:color w:val="auto"/>
        </w:rPr>
        <w:t>Futures Contracts</w:t>
      </w:r>
      <w:r>
        <w:rPr>
          <w:rFonts w:ascii="Arial" w:cs="Arial" w:eastAsia="Arial" w:hAnsi="Arial"/>
          <w:sz w:val="18"/>
          <w:szCs w:val="18"/>
          <w:color w:val="auto"/>
        </w:rPr>
        <w:t>. As part of our proprietary market making trading strategies, we use futures contracts to gain</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6" w:lineRule="exact"/>
        <w:rPr>
          <w:sz w:val="20"/>
          <w:szCs w:val="20"/>
          <w:color w:val="auto"/>
        </w:rPr>
      </w:pPr>
    </w:p>
    <w:p>
      <w:pPr>
        <w:jc w:val="both"/>
        <w:ind w:right="340" w:firstLine="635"/>
        <w:spacing w:after="0" w:line="254" w:lineRule="auto"/>
        <w:rPr>
          <w:sz w:val="20"/>
          <w:szCs w:val="20"/>
          <w:color w:val="auto"/>
        </w:rPr>
      </w:pPr>
      <w:r>
        <w:rPr>
          <w:rFonts w:ascii="Arial" w:cs="Arial" w:eastAsia="Arial" w:hAnsi="Arial"/>
          <w:sz w:val="18"/>
          <w:szCs w:val="18"/>
          <w:i w:val="1"/>
          <w:iCs w:val="1"/>
          <w:color w:val="auto"/>
        </w:rPr>
        <w:t>Due from Broker Dealers and Clearing Organizations</w:t>
      </w:r>
      <w:r>
        <w:rPr>
          <w:rFonts w:ascii="Arial" w:cs="Arial" w:eastAsia="Arial" w:hAnsi="Arial"/>
          <w:sz w:val="18"/>
          <w:szCs w:val="18"/>
          <w:color w:val="auto"/>
        </w:rPr>
        <w:t>. Management periodically evaluates our counterparty credit</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exposures to various brokers and clearing organizations with a view to limiting potential losses resulting from counterparty insolvency.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firstLine="635"/>
        <w:spacing w:after="0" w:line="249" w:lineRule="auto"/>
        <w:rPr>
          <w:sz w:val="20"/>
          <w:szCs w:val="20"/>
          <w:color w:val="auto"/>
        </w:rPr>
      </w:pPr>
      <w:r>
        <w:rPr>
          <w:rFonts w:ascii="Arial" w:cs="Arial" w:eastAsia="Arial" w:hAnsi="Arial"/>
          <w:sz w:val="18"/>
          <w:szCs w:val="18"/>
          <w:color w:val="auto"/>
        </w:rPr>
        <w:t>As a result of our international market making activities and accumulated earnings in our foreign subsidiaries, our income and net worth are subject to fluctuation in foreign exchange rates. While we generate revenues in several currencies, a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74" w:lineRule="exact"/>
        <w:rPr>
          <w:sz w:val="20"/>
          <w:szCs w:val="20"/>
          <w:color w:val="auto"/>
        </w:rPr>
      </w:pPr>
    </w:p>
    <w:p>
      <w:pPr>
        <w:ind w:right="120" w:firstLine="635"/>
        <w:spacing w:after="0" w:line="312" w:lineRule="auto"/>
        <w:rPr>
          <w:sz w:val="20"/>
          <w:szCs w:val="20"/>
          <w:color w:val="auto"/>
        </w:rPr>
      </w:pPr>
      <w:r>
        <w:rPr>
          <w:rFonts w:ascii="Arial" w:cs="Arial" w:eastAsia="Arial" w:hAnsi="Arial"/>
          <w:sz w:val="15"/>
          <w:szCs w:val="15"/>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(loss) and changes in equity. Our primary currency translation exposures historically relate to net investments in subsidiaries having functional currencies denominated in the Euro.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0"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color w:val="auto"/>
        </w:rPr>
        <w:t>Our on exchange market making activities are not dependent on the direction of any particular market and are designed to minimize capital at risk at any given time by limiting the notional size of our positions. Our on 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costs.</w:t>
      </w:r>
    </w:p>
    <w:p>
      <w:pPr>
        <w:spacing w:after="0" w:line="157" w:lineRule="exact"/>
        <w:rPr>
          <w:sz w:val="20"/>
          <w:szCs w:val="20"/>
          <w:color w:val="auto"/>
        </w:rPr>
      </w:pPr>
    </w:p>
    <w:p>
      <w:pPr>
        <w:ind w:right="20" w:firstLine="635"/>
        <w:spacing w:after="0" w:line="276"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CRO, the independent risk group and senior management.</w:t>
      </w:r>
    </w:p>
    <w:p>
      <w:pPr>
        <w:spacing w:after="0" w:line="53"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 from brokers, dealers and clearing organizations, respectively, on the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66" w:lineRule="exact"/>
        <w:rPr>
          <w:sz w:val="20"/>
          <w:szCs w:val="20"/>
          <w:color w:val="auto"/>
        </w:rPr>
      </w:pPr>
    </w:p>
    <w:p>
      <w:pPr>
        <w:ind w:right="20" w:firstLine="635"/>
        <w:spacing w:after="0" w:line="251" w:lineRule="auto"/>
        <w:rPr>
          <w:sz w:val="20"/>
          <w:szCs w:val="20"/>
          <w:color w:val="auto"/>
        </w:rPr>
      </w:pPr>
      <w:r>
        <w:rPr>
          <w:rFonts w:ascii="Arial" w:cs="Arial" w:eastAsia="Arial" w:hAnsi="Arial"/>
          <w:sz w:val="18"/>
          <w:szCs w:val="18"/>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60" w:lineRule="exact"/>
        <w:rPr>
          <w:sz w:val="20"/>
          <w:szCs w:val="20"/>
          <w:color w:val="auto"/>
        </w:rPr>
      </w:pPr>
    </w:p>
    <w:p>
      <w:pPr>
        <w:ind w:right="20" w:firstLine="635"/>
        <w:spacing w:after="0" w:line="249" w:lineRule="auto"/>
        <w:rPr>
          <w:sz w:val="20"/>
          <w:szCs w:val="20"/>
          <w:color w:val="auto"/>
        </w:rPr>
      </w:pPr>
      <w:r>
        <w:rPr>
          <w:rFonts w:ascii="Arial" w:cs="Arial" w:eastAsia="Arial" w:hAnsi="Arial"/>
          <w:sz w:val="18"/>
          <w:szCs w:val="18"/>
          <w:color w:val="auto"/>
        </w:rPr>
        <w:t>In the normal course of business, we maintain inventories of exchange-listed and other equity securities, and to a lesser extent, fixed income securities and listed equity options. The fair value of these financial instruments at December 31, 2017 and December 31, 2016 was $2.7 billion and $1.8 billion, respectively, in long positions and $2.4 billion and $1.4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spacing w:after="0" w:line="74" w:lineRule="exact"/>
        <w:rPr>
          <w:sz w:val="20"/>
          <w:szCs w:val="20"/>
          <w:color w:val="auto"/>
        </w:rPr>
      </w:pPr>
    </w:p>
    <w:p>
      <w:pPr>
        <w:ind w:right="440" w:firstLine="635"/>
        <w:spacing w:after="0" w:line="364" w:lineRule="auto"/>
        <w:rPr>
          <w:sz w:val="20"/>
          <w:szCs w:val="20"/>
          <w:color w:val="auto"/>
        </w:rPr>
      </w:pPr>
      <w:r>
        <w:rPr>
          <w:rFonts w:ascii="Arial" w:cs="Arial" w:eastAsia="Arial" w:hAnsi="Arial"/>
          <w:sz w:val="15"/>
          <w:szCs w:val="15"/>
          <w:color w:val="auto"/>
        </w:rPr>
        <w:t>We calculate daily the potential losses that might arise from a series of different stress events. These include both single factor and multi factor shocks to asset prices based off both historical events and hypothetical scenarios.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stress calculations include a full recalculation of any option positions, non-linear positions and leverage. Senior management and the independent risk function carefully monitor the highest stress scenarios to ensure that the Company is not unduly exposed to any extreme events.</w:t>
      </w:r>
    </w:p>
    <w:p>
      <w:pPr>
        <w:spacing w:after="0" w:line="70" w:lineRule="exact"/>
        <w:rPr>
          <w:sz w:val="20"/>
          <w:szCs w:val="20"/>
          <w:color w:val="auto"/>
        </w:rPr>
      </w:pPr>
    </w:p>
    <w:p>
      <w:pPr>
        <w:ind w:right="80" w:firstLine="635"/>
        <w:spacing w:after="0" w:line="308" w:lineRule="auto"/>
        <w:rPr>
          <w:sz w:val="20"/>
          <w:szCs w:val="20"/>
          <w:color w:val="auto"/>
        </w:rPr>
      </w:pPr>
      <w:r>
        <w:rPr>
          <w:rFonts w:ascii="Arial" w:cs="Arial" w:eastAsia="Arial" w:hAnsi="Arial"/>
          <w:sz w:val="15"/>
          <w:szCs w:val="15"/>
          <w:color w:val="auto"/>
        </w:rPr>
        <w:t>The potential change in fair value is estimated to be a gain of $6.5 million using a hypothetical 10% increase in equity prices as of December 31, 2017, and an estimated loss of $9.5 million using a hypothetical 10% decrease in equity prices at December 31, 2017. These estimates take into account the offsetting effect of such hypothetical price movements on the fair value of short positions against long positions, the effect on the fair value of options, futures, nonlinear positions and leverage as well as assumed correlations with non-equity asset classes, such as fixed income, commodities and foreign exchange. The Company relies on internally developed systems in order to model and calculate stress risks to a variety of different scenarios.</w:t>
      </w:r>
    </w:p>
    <w:p>
      <w:pPr>
        <w:spacing w:after="0" w:line="21" w:lineRule="exact"/>
        <w:rPr>
          <w:sz w:val="20"/>
          <w:szCs w:val="20"/>
          <w:color w:val="auto"/>
        </w:rPr>
      </w:pPr>
    </w:p>
    <w:p>
      <w:pPr>
        <w:ind w:firstLine="635"/>
        <w:spacing w:after="0" w:line="266"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with Off Balance Sheet Risk</w:t>
      </w:r>
    </w:p>
    <w:p>
      <w:pPr>
        <w:spacing w:after="0" w:line="222" w:lineRule="exact"/>
        <w:rPr>
          <w:sz w:val="20"/>
          <w:szCs w:val="20"/>
          <w:color w:val="auto"/>
        </w:rPr>
      </w:pPr>
    </w:p>
    <w:p>
      <w:pPr>
        <w:ind w:right="240" w:firstLine="635"/>
        <w:spacing w:after="0" w:line="250" w:lineRule="auto"/>
        <w:rPr>
          <w:sz w:val="20"/>
          <w:szCs w:val="20"/>
          <w:color w:val="auto"/>
        </w:rPr>
      </w:pPr>
      <w:r>
        <w:rPr>
          <w:rFonts w:ascii="Arial" w:cs="Arial" w:eastAsia="Arial" w:hAnsi="Arial"/>
          <w:sz w:val="18"/>
          <w:szCs w:val="18"/>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2" w:lineRule="exact"/>
        <w:rPr>
          <w:sz w:val="20"/>
          <w:szCs w:val="20"/>
          <w:color w:val="auto"/>
        </w:rPr>
      </w:pPr>
    </w:p>
    <w:p>
      <w:pPr>
        <w:ind w:right="100" w:firstLine="635"/>
        <w:spacing w:after="0" w:line="264" w:lineRule="auto"/>
        <w:rPr>
          <w:sz w:val="20"/>
          <w:szCs w:val="20"/>
          <w:color w:val="auto"/>
        </w:rPr>
      </w:pPr>
      <w:r>
        <w:rPr>
          <w:rFonts w:ascii="Arial" w:cs="Arial" w:eastAsia="Arial" w:hAnsi="Arial"/>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135"/>
              <w:spacing w:after="0"/>
              <w:rPr>
                <w:sz w:val="20"/>
                <w:szCs w:val="20"/>
                <w:color w:val="auto"/>
              </w:rPr>
            </w:pPr>
            <w:r>
              <w:rPr>
                <w:rFonts w:ascii="Arial" w:cs="Arial" w:eastAsia="Arial" w:hAnsi="Arial"/>
                <w:sz w:val="14"/>
                <w:szCs w:val="14"/>
                <w:b w:val="1"/>
                <w:bCs w:val="1"/>
                <w:color w:val="auto"/>
              </w:rPr>
              <w:t>PAGE</w:t>
            </w:r>
          </w:p>
        </w:tc>
      </w:tr>
      <w:tr>
        <w:trPr>
          <w:trHeight w:val="168"/>
        </w:trPr>
        <w:tc>
          <w:tcPr>
            <w:tcW w:w="2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NUMBER</w:t>
            </w:r>
          </w:p>
        </w:tc>
      </w:tr>
      <w:tr>
        <w:trPr>
          <w:trHeight w:val="218"/>
        </w:trPr>
        <w:tc>
          <w:tcPr>
            <w:tcW w:w="41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Report of Independent Registered Public Accounting Firm</w:t>
              </w:r>
            </w:hyperlink>
          </w:p>
        </w:tc>
        <w:tc>
          <w:tcPr>
            <w:tcW w:w="4100" w:type="dxa"/>
            <w:vAlign w:val="bottom"/>
            <w:gridSpan w:val="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03"/>
        </w:trPr>
        <w:tc>
          <w:tcPr>
            <w:tcW w:w="59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83">
              <w:r>
                <w:rPr>
                  <w:rFonts w:ascii="Arial" w:cs="Arial" w:eastAsia="Arial" w:hAnsi="Arial"/>
                  <w:sz w:val="18"/>
                  <w:szCs w:val="18"/>
                  <w:color w:val="0000EE"/>
                  <w:w w:val="88"/>
                </w:rPr>
                <w:t>Consolidated Statements of Financial Condition as of December 31, 2017 and 2016</w:t>
              </w:r>
            </w:hyperlink>
          </w:p>
        </w:tc>
        <w:tc>
          <w:tcPr>
            <w:tcW w:w="234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03"/>
        </w:trPr>
        <w:tc>
          <w:tcPr>
            <w:tcW w:w="8240" w:type="dxa"/>
            <w:vAlign w:val="bottom"/>
            <w:gridSpan w:val="9"/>
          </w:tcPr>
          <w:p>
            <w:pPr>
              <w:spacing w:after="0"/>
              <w:rPr>
                <w:rFonts w:ascii="Arial" w:cs="Arial" w:eastAsia="Arial" w:hAnsi="Arial"/>
                <w:sz w:val="18"/>
                <w:szCs w:val="18"/>
                <w:color w:val="0000EE"/>
                <w:w w:val="93"/>
              </w:rPr>
            </w:pPr>
            <w:hyperlink w:anchor="page84">
              <w:r>
                <w:rPr>
                  <w:rFonts w:ascii="Arial" w:cs="Arial" w:eastAsia="Arial" w:hAnsi="Arial"/>
                  <w:sz w:val="18"/>
                  <w:szCs w:val="18"/>
                  <w:color w:val="0000EE"/>
                  <w:w w:val="93"/>
                </w:rPr>
                <w:t>Consolidated Statements of Comprehensive Income for the years ended December 31, 2017, 2016, and 2015</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03"/>
        </w:trPr>
        <w:tc>
          <w:tcPr>
            <w:tcW w:w="7660" w:type="dxa"/>
            <w:vAlign w:val="bottom"/>
            <w:tcBorders>
              <w:top w:val="single" w:sz="8" w:color="0000EE"/>
            </w:tcBorders>
            <w:gridSpan w:val="8"/>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Consolidated Statements of Changes in Equity for the years ended December 31, 2017, 2016, and 2015</w:t>
              </w:r>
            </w:hyperlink>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03"/>
        </w:trPr>
        <w:tc>
          <w:tcPr>
            <w:tcW w:w="6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87">
              <w:r>
                <w:rPr>
                  <w:rFonts w:ascii="Arial" w:cs="Arial" w:eastAsia="Arial" w:hAnsi="Arial"/>
                  <w:sz w:val="18"/>
                  <w:szCs w:val="18"/>
                  <w:color w:val="0000EE"/>
                  <w:w w:val="87"/>
                </w:rPr>
                <w:t>Consolidated Statements of Cash Flows for the years ended December 31, 2017, 2016, and 2015</w:t>
              </w:r>
            </w:hyperlink>
          </w:p>
        </w:tc>
        <w:tc>
          <w:tcPr>
            <w:tcW w:w="460" w:type="dxa"/>
            <w:vAlign w:val="bottom"/>
            <w:tcBorders>
              <w:top w:val="single" w:sz="8" w:color="0000EE"/>
            </w:tcBorders>
          </w:tcPr>
          <w:p>
            <w:pPr>
              <w:spacing w:after="0"/>
              <w:rPr>
                <w:sz w:val="24"/>
                <w:szCs w:val="24"/>
                <w:color w:val="auto"/>
              </w:rPr>
            </w:pPr>
          </w:p>
        </w:tc>
        <w:tc>
          <w:tcPr>
            <w:tcW w:w="96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03"/>
        </w:trPr>
        <w:tc>
          <w:tcPr>
            <w:tcW w:w="8240" w:type="dxa"/>
            <w:vAlign w:val="bottom"/>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03"/>
        </w:trPr>
        <w:tc>
          <w:tcPr>
            <w:tcW w:w="256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Supplemental Financial Information</w:t>
              </w:r>
            </w:hyperlink>
          </w:p>
        </w:tc>
        <w:tc>
          <w:tcPr>
            <w:tcW w:w="1820" w:type="dxa"/>
            <w:vAlign w:val="bottom"/>
            <w:tcBorders>
              <w:top w:val="single" w:sz="8" w:color="0000EE"/>
            </w:tcBorders>
            <w:gridSpan w:val="3"/>
          </w:tcPr>
          <w:p>
            <w:pPr>
              <w:spacing w:after="0"/>
              <w:rPr>
                <w:sz w:val="24"/>
                <w:szCs w:val="24"/>
                <w:color w:val="auto"/>
              </w:rPr>
            </w:pPr>
          </w:p>
        </w:tc>
        <w:tc>
          <w:tcPr>
            <w:tcW w:w="386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03"/>
        </w:trPr>
        <w:tc>
          <w:tcPr>
            <w:tcW w:w="40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35">
              <w:r>
                <w:rPr>
                  <w:rFonts w:ascii="Arial" w:cs="Arial" w:eastAsia="Arial" w:hAnsi="Arial"/>
                  <w:sz w:val="18"/>
                  <w:szCs w:val="18"/>
                  <w:color w:val="0000EE"/>
                  <w:w w:val="88"/>
                </w:rPr>
                <w:t>Consolidated Quarterly Results of Operations (unaudited)</w:t>
              </w:r>
            </w:hyperlink>
          </w:p>
        </w:tc>
        <w:tc>
          <w:tcPr>
            <w:tcW w:w="416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971"/>
        </w:trPr>
        <w:tc>
          <w:tcPr>
            <w:tcW w:w="5900" w:type="dxa"/>
            <w:vAlign w:val="bottom"/>
            <w:gridSpan w:val="5"/>
          </w:tcPr>
          <w:p>
            <w:pPr>
              <w:ind w:left="4440"/>
              <w:spacing w:after="0"/>
              <w:rPr>
                <w:sz w:val="20"/>
                <w:szCs w:val="20"/>
                <w:color w:val="auto"/>
              </w:rPr>
            </w:pPr>
            <w:r>
              <w:rPr>
                <w:rFonts w:ascii="Arial" w:cs="Arial" w:eastAsia="Arial" w:hAnsi="Arial"/>
                <w:sz w:val="18"/>
                <w:szCs w:val="18"/>
                <w:color w:val="auto"/>
              </w:rPr>
              <w:t>81</w:t>
            </w: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6"/>
        </w:trPr>
        <w:tc>
          <w:tcPr>
            <w:tcW w:w="25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Virtu Financial,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9" w:lineRule="exact"/>
        <w:rPr>
          <w:sz w:val="20"/>
          <w:szCs w:val="20"/>
          <w:color w:val="auto"/>
        </w:rPr>
      </w:pPr>
    </w:p>
    <w:p>
      <w:pPr>
        <w:ind w:right="19"/>
        <w:spacing w:after="0" w:line="265" w:lineRule="auto"/>
        <w:rPr>
          <w:sz w:val="20"/>
          <w:szCs w:val="20"/>
          <w:color w:val="auto"/>
        </w:rPr>
      </w:pPr>
      <w:r>
        <w:rPr>
          <w:rFonts w:ascii="Arial" w:cs="Arial" w:eastAsia="Arial" w:hAnsi="Arial"/>
          <w:sz w:val="17"/>
          <w:szCs w:val="17"/>
          <w:color w:val="auto"/>
        </w:rPr>
        <w:t>We have audited the accompanying consolidated statements of financial condition of Virtu Financial, Inc. and Subsidiaries (the ‘‘Company’’) as of December 31, 2017 and 2016, and the related consolidated statements of comprehensive income, changes in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2" w:lineRule="exact"/>
        <w:rPr>
          <w:sz w:val="20"/>
          <w:szCs w:val="20"/>
          <w:color w:val="auto"/>
        </w:rPr>
      </w:pPr>
    </w:p>
    <w:p>
      <w:pPr>
        <w:ind w:right="99"/>
        <w:spacing w:after="0" w:line="250"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right="19"/>
        <w:spacing w:after="0" w:line="24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0" w:lineRule="exact"/>
        <w:rPr>
          <w:sz w:val="20"/>
          <w:szCs w:val="20"/>
          <w:color w:val="auto"/>
        </w:rPr>
      </w:pPr>
    </w:p>
    <w:p>
      <w:pPr>
        <w:ind w:right="59"/>
        <w:spacing w:after="0" w:line="312"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13, 2018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ind w:left="240"/>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198"/>
        </w:trPr>
        <w:tc>
          <w:tcPr>
            <w:tcW w:w="674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interest data)</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532,887</w:t>
            </w:r>
          </w:p>
        </w:tc>
        <w:tc>
          <w:tcPr>
            <w:tcW w:w="340" w:type="dxa"/>
            <w:vAlign w:val="bottom"/>
          </w:tcPr>
          <w:p>
            <w:pPr>
              <w:spacing w:after="0"/>
              <w:rPr>
                <w:sz w:val="17"/>
                <w:szCs w:val="17"/>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181,415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Securities borrowed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1,471,172</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Receivables from broker dealers and clearing organizations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972,018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448,728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Trading assets, at fair value:</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200"/>
              <w:spacing w:after="0"/>
              <w:rPr>
                <w:sz w:val="20"/>
                <w:szCs w:val="20"/>
                <w:color w:val="auto"/>
              </w:rPr>
            </w:pPr>
            <w:r>
              <w:rPr>
                <w:rFonts w:ascii="Arial" w:cs="Arial" w:eastAsia="Arial" w:hAnsi="Arial"/>
                <w:sz w:val="16"/>
                <w:szCs w:val="16"/>
                <w:color w:val="auto"/>
              </w:rPr>
              <w:t>Financial instruments owned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2,117,579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1,683,999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Financial instruments owned and pledged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595,043</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w w:val="97"/>
              </w:rPr>
              <w:t>Property, equipment and capitalized software (net of accumulated depreciation of $375,656 and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$113,184 as of December 31, 2017 and 2016, respectively)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137,018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29,660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844,883</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w w:val="91"/>
              </w:rPr>
              <w:t>Intangibles (net of accumulated amortization of $123,408 and $110,908 as of December 31, 2017 and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December 31, 2016, respectively)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111,224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125,760</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Assets of business held for sale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55,070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Other assets ($98,364 and $36,480, at fair value, as of December 31, 2017 and 2016, respectively)</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357,352</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7,320,006</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3,692,390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Short-term borrowings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27,883</w:t>
            </w:r>
          </w:p>
        </w:tc>
        <w:tc>
          <w:tcPr>
            <w:tcW w:w="340" w:type="dxa"/>
            <w:vAlign w:val="bottom"/>
          </w:tcPr>
          <w:p>
            <w:pPr>
              <w:spacing w:after="0"/>
              <w:rPr>
                <w:sz w:val="17"/>
                <w:szCs w:val="17"/>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Securities loaned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754,687</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Securities sold under agreements to repurchase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390,642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Payables to broker dealers and clearing organizations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716,205</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695,978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Trading liabilities, at fair value: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Financial instruments sold, not yet purchased</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2,384,598</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1,349,155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Tax receivable agreement obligations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147,040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231,404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Accounts payable and accrued expenses and other liabilities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358,825</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Long-term borrowings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1,388,548</w:t>
            </w:r>
          </w:p>
        </w:tc>
        <w:tc>
          <w:tcPr>
            <w:tcW w:w="3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564,957</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6,168,428</w:t>
            </w: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3,157,978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Virtu Financial Inc. Stockholders' equity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w w:val="91"/>
              </w:rPr>
              <w:t>Class A common stock (par value $0.00001), Authorized — 1,000,000,000 and 1,000,000,000 shares,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w w:val="93"/>
              </w:rPr>
              <w:t>Issued — 90,415,532 and 40,436,580 shares, Outstanding — 89,798,609 and 39,983,514 shares at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December 31, 2017 and 2016, respectively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Class B common stock (par value $0.00001), Authorized — 175,000,000 and 175,000,000 shares,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Issued and Outstanding — 0 and 0 shares at December 31, 2017 and 2016, respectively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w w:val="90"/>
              </w:rPr>
              <w:t>Class C common stock (par value $0.00001), Authorized — 90,000,000 and 90,000,000 shares, Issued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 17,880,239 and 19,810,707 shares, Outstanding — 17,880,239 and 19,810,707, at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December 31, 2017 and 2016, respectively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Class D common stock (par value $0.00001), Authorized — 175,000,000 and 175,000,000 shares,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w w:val="97"/>
              </w:rPr>
              <w:t>Issued and Outstanding — 79,610,490 and 79,610,490 shares at December 31, 2017 and 2016,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respectively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w w:val="94"/>
              </w:rPr>
              <w:t>Treasury stock, at cost, 616,923 and 453,066 shares at December 31, 2017 and 2016, respectively</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(11,041)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900,746</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8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(62,129)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2,991</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40" w:type="dxa"/>
            <w:vAlign w:val="bottom"/>
            <w:gridSpan w:val="2"/>
          </w:tcPr>
          <w:p>
            <w:pPr>
              <w:spacing w:after="0"/>
              <w:rPr>
                <w:sz w:val="20"/>
                <w:szCs w:val="20"/>
                <w:color w:val="auto"/>
              </w:rPr>
            </w:pPr>
            <w:r>
              <w:rPr>
                <w:rFonts w:ascii="Arial" w:cs="Arial" w:eastAsia="Arial" w:hAnsi="Arial"/>
                <w:sz w:val="16"/>
                <w:szCs w:val="16"/>
                <w:color w:val="auto"/>
              </w:rPr>
              <w:t>Total Virtu Financial Inc. stockholders' equity</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830,569</w:t>
            </w:r>
          </w:p>
        </w:tc>
        <w:tc>
          <w:tcPr>
            <w:tcW w:w="340" w:type="dxa"/>
            <w:vAlign w:val="bottom"/>
          </w:tcPr>
          <w:p>
            <w:pPr>
              <w:spacing w:after="0"/>
              <w:rPr>
                <w:sz w:val="16"/>
                <w:szCs w:val="16"/>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145,673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321,009</w:t>
            </w: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388,739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4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1,151,578</w:t>
            </w:r>
          </w:p>
        </w:tc>
        <w:tc>
          <w:tcPr>
            <w:tcW w:w="340" w:type="dxa"/>
            <w:vAlign w:val="bottom"/>
          </w:tcPr>
          <w:p>
            <w:pPr>
              <w:spacing w:after="0"/>
              <w:rPr>
                <w:sz w:val="16"/>
                <w:szCs w:val="16"/>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534,412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gridSpan w:val="2"/>
          </w:tcPr>
          <w:p>
            <w:pPr>
              <w:spacing w:after="0"/>
              <w:rPr>
                <w:sz w:val="20"/>
                <w:szCs w:val="20"/>
                <w:color w:val="auto"/>
              </w:rPr>
            </w:pPr>
            <w:r>
              <w:rPr>
                <w:rFonts w:ascii="Arial" w:cs="Arial" w:eastAsia="Arial" w:hAnsi="Arial"/>
                <w:sz w:val="16"/>
                <w:szCs w:val="16"/>
                <w:color w:val="auto"/>
              </w:rPr>
              <w:t>Total liabilities and equity</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7,320,006</w:t>
            </w:r>
          </w:p>
        </w:tc>
        <w:tc>
          <w:tcPr>
            <w:tcW w:w="340" w:type="dxa"/>
            <w:vAlign w:val="bottom"/>
          </w:tcPr>
          <w:p>
            <w:pPr>
              <w:spacing w:after="0"/>
              <w:rPr>
                <w:sz w:val="17"/>
                <w:szCs w:val="17"/>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3,692,390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1000"/>
              <w:spacing w:after="0"/>
              <w:rPr>
                <w:sz w:val="20"/>
                <w:szCs w:val="20"/>
                <w:color w:val="auto"/>
              </w:rPr>
            </w:pPr>
            <w:r>
              <w:rPr>
                <w:rFonts w:ascii="Arial" w:cs="Arial" w:eastAsia="Arial" w:hAnsi="Arial"/>
                <w:sz w:val="16"/>
                <w:szCs w:val="16"/>
                <w:b w:val="1"/>
                <w:bCs w:val="1"/>
                <w:color w:val="auto"/>
                <w:w w:val="98"/>
              </w:rPr>
              <w:t>For the Years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data)</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81"/>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81"/>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Trading income, net</w:t>
            </w:r>
          </w:p>
        </w:tc>
        <w:tc>
          <w:tcPr>
            <w:tcW w:w="34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766,027</w:t>
            </w:r>
          </w:p>
        </w:tc>
        <w:tc>
          <w:tcPr>
            <w:tcW w:w="48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665,465</w:t>
            </w:r>
          </w:p>
        </w:tc>
        <w:tc>
          <w:tcPr>
            <w:tcW w:w="160" w:type="dxa"/>
            <w:vAlign w:val="bottom"/>
          </w:tcPr>
          <w:p>
            <w:pPr>
              <w:spacing w:after="0"/>
              <w:rPr>
                <w:sz w:val="17"/>
                <w:szCs w:val="17"/>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757,455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dividends income</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50,407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Commissions, net and technology services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116,503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95,045</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Pr>
          <w:p>
            <w:pPr>
              <w:ind w:left="300"/>
              <w:spacing w:after="0"/>
              <w:rPr>
                <w:sz w:val="20"/>
                <w:szCs w:val="20"/>
                <w:color w:val="auto"/>
              </w:rPr>
            </w:pPr>
            <w:r>
              <w:rPr>
                <w:rFonts w:ascii="Arial" w:cs="Arial" w:eastAsia="Arial" w:hAnsi="Arial"/>
                <w:sz w:val="16"/>
                <w:szCs w:val="16"/>
                <w:color w:val="auto"/>
              </w:rPr>
              <w:t>Total revenue</w:t>
            </w:r>
          </w:p>
        </w:tc>
        <w:tc>
          <w:tcPr>
            <w:tcW w:w="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1,027,982</w:t>
            </w: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702,272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796,213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Brokerage, exchange and clearance fees, net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256,926</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221,214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Communication and data processing</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131,506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71,001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68,647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Employee compensation and payroll taxes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177,489</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88,026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Payments for order flow</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27,727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and dividends expense</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91,993</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Operations and administrative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65,137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w w:val="91"/>
              </w:rPr>
              <w:t>Amortization of purchased intangibles and acquired capitalized software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15,447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Debt issue cost related to debt refinancing</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Transaction advisory fees and expenses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25,270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Reserve for legal matters</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Charges related to share based compensation at IPO</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44,194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Financing interest expense on long-term borrowings</w:t>
            </w: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64,107</w:t>
            </w: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operating expenses</w:t>
            </w: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914,818</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522,681</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580,284</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before income taxes and noncontrolling interest</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113,164</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179,591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215,929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Provision for income taxes</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94,266</w:t>
            </w: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18,898</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158,340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197,490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Noncontrolling interest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(15,959)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(125,360)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(176,603)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gridSpan w:val="2"/>
          </w:tcPr>
          <w:p>
            <w:pPr>
              <w:spacing w:after="0"/>
              <w:rPr>
                <w:sz w:val="20"/>
                <w:szCs w:val="20"/>
                <w:color w:val="auto"/>
              </w:rPr>
            </w:pPr>
            <w:r>
              <w:rPr>
                <w:rFonts w:ascii="Arial" w:cs="Arial" w:eastAsia="Arial" w:hAnsi="Arial"/>
                <w:sz w:val="16"/>
                <w:szCs w:val="16"/>
                <w:color w:val="auto"/>
              </w:rPr>
              <w:t>Net income available for common stockholders</w:t>
            </w:r>
          </w:p>
        </w:tc>
        <w:tc>
          <w:tcPr>
            <w:tcW w:w="40" w:type="dxa"/>
            <w:vAlign w:val="bottom"/>
          </w:tcPr>
          <w:p>
            <w:pPr>
              <w:spacing w:after="0"/>
              <w:rPr>
                <w:sz w:val="17"/>
                <w:szCs w:val="17"/>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2,939</w:t>
            </w:r>
          </w:p>
        </w:tc>
        <w:tc>
          <w:tcPr>
            <w:tcW w:w="320" w:type="dxa"/>
            <w:vAlign w:val="bottom"/>
          </w:tcPr>
          <w:p>
            <w:pPr>
              <w:spacing w:after="0"/>
              <w:rPr>
                <w:sz w:val="17"/>
                <w:szCs w:val="17"/>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32,980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Earnings per share</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34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62,579,147</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38,539,091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34,964,312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Pr>
          <w:p>
            <w:pPr>
              <w:ind w:left="200"/>
              <w:spacing w:after="0"/>
              <w:rPr>
                <w:sz w:val="20"/>
                <w:szCs w:val="20"/>
                <w:color w:val="auto"/>
              </w:rPr>
            </w:pPr>
            <w:r>
              <w:rPr>
                <w:rFonts w:ascii="Arial" w:cs="Arial" w:eastAsia="Arial" w:hAnsi="Arial"/>
                <w:sz w:val="16"/>
                <w:szCs w:val="16"/>
                <w:color w:val="auto"/>
              </w:rPr>
              <w:t>Diluted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62,579,147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38,539,091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35,339,585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18,898</w:t>
            </w:r>
          </w:p>
        </w:tc>
        <w:tc>
          <w:tcPr>
            <w:tcW w:w="48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158,340</w:t>
            </w:r>
          </w:p>
        </w:tc>
        <w:tc>
          <w:tcPr>
            <w:tcW w:w="160" w:type="dxa"/>
            <w:vAlign w:val="bottom"/>
          </w:tcPr>
          <w:p>
            <w:pPr>
              <w:spacing w:after="0"/>
              <w:rPr>
                <w:sz w:val="17"/>
                <w:szCs w:val="17"/>
                <w:color w:val="auto"/>
              </w:rPr>
            </w:pPr>
          </w:p>
        </w:tc>
        <w:tc>
          <w:tcPr>
            <w:tcW w:w="3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197,490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Foreign exchange translation adjustment, net of taxes</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9,117</w:t>
            </w: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(4,255)</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28,015</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193,235</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(21,833)</w:t>
            </w: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(124,546)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(172,249)</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attributable to common stockholders</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6,182</w:t>
            </w: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20,986</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4" w:name="page85"/>
    <w:bookmarkEnd w:id="84"/>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8" w:lineRule="exact"/>
        <w:rPr>
          <w:sz w:val="20"/>
          <w:szCs w:val="20"/>
          <w:color w:val="auto"/>
        </w:rPr>
      </w:pPr>
    </w:p>
    <w:p>
      <w:pPr>
        <w:jc w:val="center"/>
        <w:ind w:right="480"/>
        <w:spacing w:after="0"/>
        <w:rPr>
          <w:sz w:val="20"/>
          <w:szCs w:val="20"/>
          <w:color w:val="auto"/>
        </w:rPr>
      </w:pPr>
      <w:r>
        <w:rPr>
          <w:rFonts w:ascii="Arial" w:cs="Arial" w:eastAsia="Arial" w:hAnsi="Arial"/>
          <w:sz w:val="12"/>
          <w:szCs w:val="12"/>
          <w:b w:val="1"/>
          <w:bCs w:val="1"/>
          <w:color w:val="auto"/>
        </w:rPr>
        <w:t>Virtu Financial, Inc. and Subsidiaries</w:t>
      </w:r>
    </w:p>
    <w:p>
      <w:pPr>
        <w:spacing w:after="0" w:line="5" w:lineRule="exact"/>
        <w:rPr>
          <w:sz w:val="20"/>
          <w:szCs w:val="20"/>
          <w:color w:val="auto"/>
        </w:rPr>
      </w:pPr>
    </w:p>
    <w:p>
      <w:pPr>
        <w:jc w:val="center"/>
        <w:ind w:right="480"/>
        <w:spacing w:after="0"/>
        <w:rPr>
          <w:sz w:val="20"/>
          <w:szCs w:val="20"/>
          <w:color w:val="auto"/>
        </w:rPr>
      </w:pPr>
      <w:r>
        <w:rPr>
          <w:rFonts w:ascii="Arial" w:cs="Arial" w:eastAsia="Arial" w:hAnsi="Arial"/>
          <w:sz w:val="12"/>
          <w:szCs w:val="12"/>
          <w:b w:val="1"/>
          <w:bCs w:val="1"/>
          <w:color w:val="auto"/>
        </w:rPr>
        <w:t>Consolidated Statements of Changes in Equity</w:t>
      </w:r>
    </w:p>
    <w:tbl>
      <w:tblPr>
        <w:tblLayout w:type="fixed"/>
        <w:tblInd w:w="0" w:type="dxa"/>
        <w:tblCellMar>
          <w:top w:w="0" w:type="dxa"/>
          <w:left w:w="0" w:type="dxa"/>
          <w:bottom w:w="0" w:type="dxa"/>
          <w:right w:w="0" w:type="dxa"/>
        </w:tblCellMar>
      </w:tblPr>
      <w:tr>
        <w:trPr>
          <w:trHeight w:val="94"/>
        </w:trPr>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gridSpan w:val="3"/>
          </w:tcPr>
          <w:p>
            <w:pPr>
              <w:ind w:left="20"/>
              <w:spacing w:after="0" w:line="94" w:lineRule="exact"/>
              <w:rPr>
                <w:sz w:val="20"/>
                <w:szCs w:val="20"/>
                <w:color w:val="auto"/>
              </w:rPr>
            </w:pPr>
            <w:r>
              <w:rPr>
                <w:rFonts w:ascii="Arial" w:cs="Arial" w:eastAsia="Arial" w:hAnsi="Arial"/>
                <w:sz w:val="10"/>
                <w:szCs w:val="10"/>
                <w:b w:val="1"/>
                <w:bCs w:val="1"/>
                <w:color w:val="auto"/>
                <w:w w:val="98"/>
              </w:rPr>
              <w:t>Additional</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ind w:right="87"/>
              <w:spacing w:after="0" w:line="94" w:lineRule="exact"/>
              <w:rPr>
                <w:sz w:val="20"/>
                <w:szCs w:val="20"/>
                <w:color w:val="auto"/>
              </w:rPr>
            </w:pPr>
            <w:r>
              <w:rPr>
                <w:rFonts w:ascii="Arial" w:cs="Arial" w:eastAsia="Arial" w:hAnsi="Arial"/>
                <w:sz w:val="10"/>
                <w:szCs w:val="10"/>
                <w:b w:val="1"/>
                <w:bCs w:val="1"/>
                <w:color w:val="auto"/>
                <w:w w:val="99"/>
              </w:rPr>
              <w:t>Retained</w:t>
            </w:r>
          </w:p>
        </w:tc>
        <w:tc>
          <w:tcPr>
            <w:tcW w:w="760" w:type="dxa"/>
            <w:vAlign w:val="bottom"/>
            <w:gridSpan w:val="2"/>
          </w:tcPr>
          <w:p>
            <w:pPr>
              <w:jc w:val="center"/>
              <w:spacing w:after="0" w:line="94" w:lineRule="exact"/>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jc w:val="center"/>
              <w:ind w:right="88"/>
              <w:spacing w:after="0" w:line="94" w:lineRule="exact"/>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jc w:val="center"/>
              <w:ind w:right="68"/>
              <w:spacing w:after="0" w:line="106" w:lineRule="exact"/>
              <w:rPr>
                <w:sz w:val="20"/>
                <w:szCs w:val="20"/>
                <w:color w:val="auto"/>
              </w:rPr>
            </w:pPr>
            <w:r>
              <w:rPr>
                <w:rFonts w:ascii="Arial" w:cs="Arial" w:eastAsia="Arial" w:hAnsi="Arial"/>
                <w:sz w:val="11"/>
                <w:szCs w:val="11"/>
                <w:b w:val="1"/>
                <w:bCs w:val="1"/>
                <w:color w:val="auto"/>
                <w:w w:val="95"/>
              </w:rPr>
              <w:t>Virtu</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spacing w:after="0"/>
              <w:rPr>
                <w:sz w:val="9"/>
                <w:szCs w:val="9"/>
                <w:color w:val="auto"/>
              </w:rPr>
            </w:pPr>
          </w:p>
        </w:tc>
        <w:tc>
          <w:tcPr>
            <w:tcW w:w="74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Class A</w:t>
            </w:r>
          </w:p>
        </w:tc>
        <w:tc>
          <w:tcPr>
            <w:tcW w:w="280" w:type="dxa"/>
            <w:vAlign w:val="bottom"/>
          </w:tcPr>
          <w:p>
            <w:pPr>
              <w:spacing w:after="0"/>
              <w:rPr>
                <w:sz w:val="9"/>
                <w:szCs w:val="9"/>
                <w:color w:val="auto"/>
              </w:rPr>
            </w:pP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1"/>
                <w:szCs w:val="11"/>
                <w:b w:val="1"/>
                <w:bCs w:val="1"/>
                <w:color w:val="auto"/>
              </w:rPr>
              <w:t>Class C</w:t>
            </w:r>
          </w:p>
        </w:tc>
        <w:tc>
          <w:tcPr>
            <w:tcW w:w="200" w:type="dxa"/>
            <w:vAlign w:val="bottom"/>
          </w:tcPr>
          <w:p>
            <w:pPr>
              <w:spacing w:after="0"/>
              <w:rPr>
                <w:sz w:val="9"/>
                <w:szCs w:val="9"/>
                <w:color w:val="auto"/>
              </w:rPr>
            </w:pPr>
          </w:p>
        </w:tc>
        <w:tc>
          <w:tcPr>
            <w:tcW w:w="74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Class D</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67"/>
              <w:spacing w:after="0"/>
              <w:rPr>
                <w:sz w:val="20"/>
                <w:szCs w:val="20"/>
                <w:color w:val="auto"/>
              </w:rPr>
            </w:pPr>
            <w:r>
              <w:rPr>
                <w:rFonts w:ascii="Arial" w:cs="Arial" w:eastAsia="Arial" w:hAnsi="Arial"/>
                <w:sz w:val="11"/>
                <w:szCs w:val="11"/>
                <w:b w:val="1"/>
                <w:bCs w:val="1"/>
                <w:color w:val="auto"/>
                <w:w w:val="87"/>
              </w:rPr>
              <w:t>Paid-in</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center"/>
              <w:ind w:right="87"/>
              <w:spacing w:after="0"/>
              <w:rPr>
                <w:sz w:val="20"/>
                <w:szCs w:val="20"/>
                <w:color w:val="auto"/>
              </w:rPr>
            </w:pPr>
            <w:r>
              <w:rPr>
                <w:rFonts w:ascii="Arial" w:cs="Arial" w:eastAsia="Arial" w:hAnsi="Arial"/>
                <w:sz w:val="11"/>
                <w:szCs w:val="11"/>
                <w:b w:val="1"/>
                <w:bCs w:val="1"/>
                <w:color w:val="auto"/>
                <w:w w:val="89"/>
              </w:rPr>
              <w:t>Earnings</w:t>
            </w:r>
          </w:p>
        </w:tc>
        <w:tc>
          <w:tcPr>
            <w:tcW w:w="120" w:type="dxa"/>
            <w:vAlign w:val="bottom"/>
          </w:tcPr>
          <w:p>
            <w:pPr>
              <w:spacing w:after="0"/>
              <w:rPr>
                <w:sz w:val="9"/>
                <w:szCs w:val="9"/>
                <w:color w:val="auto"/>
              </w:rPr>
            </w:pPr>
          </w:p>
        </w:tc>
        <w:tc>
          <w:tcPr>
            <w:tcW w:w="640" w:type="dxa"/>
            <w:vAlign w:val="bottom"/>
            <w:vMerge w:val="restart"/>
          </w:tcPr>
          <w:p>
            <w:pPr>
              <w:jc w:val="center"/>
              <w:ind w:right="107"/>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9"/>
                <w:szCs w:val="9"/>
                <w:color w:val="auto"/>
              </w:rPr>
            </w:pPr>
          </w:p>
        </w:tc>
        <w:tc>
          <w:tcPr>
            <w:tcW w:w="580" w:type="dxa"/>
            <w:vAlign w:val="bottom"/>
            <w:gridSpan w:val="2"/>
          </w:tcPr>
          <w:p>
            <w:pPr>
              <w:jc w:val="center"/>
              <w:ind w:right="68"/>
              <w:spacing w:after="0" w:line="106" w:lineRule="exact"/>
              <w:rPr>
                <w:sz w:val="20"/>
                <w:szCs w:val="20"/>
                <w:color w:val="auto"/>
              </w:rPr>
            </w:pPr>
            <w:r>
              <w:rPr>
                <w:rFonts w:ascii="Arial" w:cs="Arial" w:eastAsia="Arial" w:hAnsi="Arial"/>
                <w:sz w:val="11"/>
                <w:szCs w:val="11"/>
                <w:b w:val="1"/>
                <w:bCs w:val="1"/>
                <w:color w:val="auto"/>
                <w:w w:val="87"/>
              </w:rPr>
              <w:t>Financial</w:t>
            </w:r>
          </w:p>
        </w:tc>
        <w:tc>
          <w:tcPr>
            <w:tcW w:w="80" w:type="dxa"/>
            <w:vAlign w:val="bottom"/>
          </w:tcPr>
          <w:p>
            <w:pPr>
              <w:spacing w:after="0"/>
              <w:rPr>
                <w:sz w:val="9"/>
                <w:szCs w:val="9"/>
                <w:color w:val="auto"/>
              </w:rPr>
            </w:pPr>
          </w:p>
        </w:tc>
        <w:tc>
          <w:tcPr>
            <w:tcW w:w="50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auto"/>
              </w:rPr>
              <w:t>Non-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5"/>
              </w:rPr>
              <w:t>(in thousands, except</w:t>
            </w: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4"/>
            <w:vMerge w:val="restart"/>
          </w:tcPr>
          <w:p>
            <w:pPr>
              <w:jc w:val="right"/>
              <w:ind w:right="107"/>
              <w:spacing w:after="0"/>
              <w:rPr>
                <w:sz w:val="20"/>
                <w:szCs w:val="20"/>
                <w:color w:val="auto"/>
              </w:rPr>
            </w:pPr>
            <w:r>
              <w:rPr>
                <w:rFonts w:ascii="Arial" w:cs="Arial" w:eastAsia="Arial" w:hAnsi="Arial"/>
                <w:sz w:val="11"/>
                <w:szCs w:val="11"/>
                <w:b w:val="1"/>
                <w:bCs w:val="1"/>
                <w:color w:val="auto"/>
                <w:w w:val="98"/>
              </w:rPr>
              <w:t>Treasury Stock</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gridSpan w:val="3"/>
            <w:vMerge w:val="restart"/>
          </w:tcPr>
          <w:p>
            <w:pPr>
              <w:jc w:val="right"/>
              <w:ind w:right="287"/>
              <w:spacing w:after="0"/>
              <w:rPr>
                <w:sz w:val="20"/>
                <w:szCs w:val="20"/>
                <w:color w:val="auto"/>
              </w:rPr>
            </w:pPr>
            <w:r>
              <w:rPr>
                <w:rFonts w:ascii="Arial" w:cs="Arial" w:eastAsia="Arial" w:hAnsi="Arial"/>
                <w:sz w:val="11"/>
                <w:szCs w:val="11"/>
                <w:b w:val="1"/>
                <w:bCs w:val="1"/>
                <w:color w:val="auto"/>
              </w:rPr>
              <w:t>Class A-1</w:t>
            </w:r>
          </w:p>
        </w:tc>
        <w:tc>
          <w:tcPr>
            <w:tcW w:w="1140" w:type="dxa"/>
            <w:vAlign w:val="bottom"/>
            <w:gridSpan w:val="3"/>
            <w:vMerge w:val="restart"/>
          </w:tcPr>
          <w:p>
            <w:pPr>
              <w:jc w:val="right"/>
              <w:ind w:right="347"/>
              <w:spacing w:after="0"/>
              <w:rPr>
                <w:sz w:val="20"/>
                <w:szCs w:val="20"/>
                <w:color w:val="auto"/>
              </w:rPr>
            </w:pPr>
            <w:r>
              <w:rPr>
                <w:rFonts w:ascii="Arial" w:cs="Arial" w:eastAsia="Arial" w:hAnsi="Arial"/>
                <w:sz w:val="11"/>
                <w:szCs w:val="11"/>
                <w:b w:val="1"/>
                <w:bCs w:val="1"/>
                <w:color w:val="auto"/>
              </w:rPr>
              <w:t>Class A-2</w:t>
            </w: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jc w:val="center"/>
              <w:ind w:right="88"/>
              <w:spacing w:after="0" w:line="106" w:lineRule="exact"/>
              <w:rPr>
                <w:sz w:val="20"/>
                <w:szCs w:val="20"/>
                <w:color w:val="auto"/>
              </w:rPr>
            </w:pPr>
            <w:r>
              <w:rPr>
                <w:rFonts w:ascii="Arial" w:cs="Arial" w:eastAsia="Arial" w:hAnsi="Arial"/>
                <w:sz w:val="11"/>
                <w:szCs w:val="11"/>
                <w:b w:val="1"/>
                <w:bCs w:val="1"/>
                <w:color w:val="auto"/>
                <w:w w:val="94"/>
              </w:rPr>
              <w:t>Inc.</w:t>
            </w: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10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1020" w:type="dxa"/>
            <w:vAlign w:val="bottom"/>
            <w:gridSpan w:val="4"/>
          </w:tcPr>
          <w:p>
            <w:pPr>
              <w:jc w:val="right"/>
              <w:ind w:right="127"/>
              <w:spacing w:after="0" w:line="119" w:lineRule="exact"/>
              <w:rPr>
                <w:sz w:val="20"/>
                <w:szCs w:val="20"/>
                <w:color w:val="auto"/>
              </w:rPr>
            </w:pPr>
            <w:r>
              <w:rPr>
                <w:rFonts w:ascii="Arial" w:cs="Arial" w:eastAsia="Arial" w:hAnsi="Arial"/>
                <w:sz w:val="11"/>
                <w:szCs w:val="11"/>
                <w:b w:val="1"/>
                <w:bCs w:val="1"/>
                <w:color w:val="auto"/>
              </w:rPr>
              <w:t>Common Stock</w:t>
            </w:r>
          </w:p>
        </w:tc>
        <w:tc>
          <w:tcPr>
            <w:tcW w:w="880" w:type="dxa"/>
            <w:vAlign w:val="bottom"/>
            <w:gridSpan w:val="3"/>
          </w:tcPr>
          <w:p>
            <w:pPr>
              <w:jc w:val="right"/>
              <w:ind w:right="20"/>
              <w:spacing w:after="0" w:line="119"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1020" w:type="dxa"/>
            <w:vAlign w:val="bottom"/>
            <w:gridSpan w:val="4"/>
          </w:tcPr>
          <w:p>
            <w:pPr>
              <w:jc w:val="right"/>
              <w:ind w:right="127"/>
              <w:spacing w:after="0" w:line="119" w:lineRule="exact"/>
              <w:rPr>
                <w:sz w:val="20"/>
                <w:szCs w:val="20"/>
                <w:color w:val="auto"/>
              </w:rPr>
            </w:pPr>
            <w:r>
              <w:rPr>
                <w:rFonts w:ascii="Arial" w:cs="Arial" w:eastAsia="Arial" w:hAnsi="Arial"/>
                <w:sz w:val="11"/>
                <w:szCs w:val="11"/>
                <w:b w:val="1"/>
                <w:bCs w:val="1"/>
                <w:color w:val="auto"/>
              </w:rPr>
              <w:t>Common Stock</w:t>
            </w:r>
          </w:p>
        </w:tc>
        <w:tc>
          <w:tcPr>
            <w:tcW w:w="9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jc w:val="right"/>
              <w:ind w:right="67"/>
              <w:spacing w:after="0" w:line="119" w:lineRule="exact"/>
              <w:rPr>
                <w:sz w:val="20"/>
                <w:szCs w:val="20"/>
                <w:color w:val="auto"/>
              </w:rPr>
            </w:pPr>
            <w:r>
              <w:rPr>
                <w:rFonts w:ascii="Arial" w:cs="Arial" w:eastAsia="Arial" w:hAnsi="Arial"/>
                <w:sz w:val="11"/>
                <w:szCs w:val="11"/>
                <w:b w:val="1"/>
                <w:bCs w:val="1"/>
                <w:color w:val="auto"/>
                <w:w w:val="87"/>
              </w:rPr>
              <w:t>Capital</w:t>
            </w:r>
          </w:p>
        </w:tc>
        <w:tc>
          <w:tcPr>
            <w:tcW w:w="1040" w:type="dxa"/>
            <w:vAlign w:val="bottom"/>
            <w:gridSpan w:val="3"/>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660" w:type="dxa"/>
            <w:vAlign w:val="bottom"/>
            <w:gridSpan w:val="9"/>
          </w:tcPr>
          <w:p>
            <w:pPr>
              <w:spacing w:after="0" w:line="119" w:lineRule="exact"/>
              <w:rPr>
                <w:sz w:val="20"/>
                <w:szCs w:val="20"/>
                <w:color w:val="auto"/>
              </w:rPr>
            </w:pPr>
            <w:r>
              <w:rPr>
                <w:rFonts w:ascii="Arial" w:cs="Arial" w:eastAsia="Arial" w:hAnsi="Arial"/>
                <w:sz w:val="11"/>
                <w:szCs w:val="11"/>
                <w:b w:val="1"/>
                <w:bCs w:val="1"/>
                <w:color w:val="auto"/>
                <w:w w:val="88"/>
              </w:rPr>
              <w:t>(Accumulated Comprehensive Stockholders' Controlling</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20"/>
              <w:spacing w:after="0" w:line="106" w:lineRule="exact"/>
              <w:rPr>
                <w:sz w:val="20"/>
                <w:szCs w:val="20"/>
                <w:color w:val="auto"/>
              </w:rPr>
            </w:pPr>
            <w:r>
              <w:rPr>
                <w:rFonts w:ascii="Arial" w:cs="Arial" w:eastAsia="Arial" w:hAnsi="Arial"/>
                <w:sz w:val="11"/>
                <w:szCs w:val="11"/>
                <w:b w:val="1"/>
                <w:bCs w:val="1"/>
                <w:color w:val="auto"/>
                <w:w w:val="86"/>
              </w:rPr>
              <w:t>share and interest data)</w:t>
            </w:r>
          </w:p>
        </w:tc>
        <w:tc>
          <w:tcPr>
            <w:tcW w:w="560" w:type="dxa"/>
            <w:vAlign w:val="bottom"/>
            <w:tcBorders>
              <w:top w:val="single" w:sz="8" w:color="auto"/>
            </w:tcBorders>
          </w:tcPr>
          <w:p>
            <w:pPr>
              <w:jc w:val="right"/>
              <w:ind w:right="107"/>
              <w:spacing w:after="0" w:line="106" w:lineRule="exact"/>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88"/>
              </w:rPr>
              <w:t>Amounts</w:t>
            </w:r>
          </w:p>
        </w:tc>
        <w:tc>
          <w:tcPr>
            <w:tcW w:w="620" w:type="dxa"/>
            <w:vAlign w:val="bottom"/>
            <w:tcBorders>
              <w:top w:val="single" w:sz="8" w:color="auto"/>
            </w:tcBorders>
          </w:tcPr>
          <w:p>
            <w:pPr>
              <w:jc w:val="right"/>
              <w:ind w:right="127"/>
              <w:spacing w:after="0" w:line="106" w:lineRule="exact"/>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3"/>
          </w:tcPr>
          <w:p>
            <w:pPr>
              <w:spacing w:after="0" w:line="106" w:lineRule="exact"/>
              <w:rPr>
                <w:sz w:val="20"/>
                <w:szCs w:val="20"/>
                <w:color w:val="auto"/>
              </w:rPr>
            </w:pPr>
            <w:r>
              <w:rPr>
                <w:rFonts w:ascii="Arial" w:cs="Arial" w:eastAsia="Arial" w:hAnsi="Arial"/>
                <w:sz w:val="11"/>
                <w:szCs w:val="11"/>
                <w:b w:val="1"/>
                <w:bCs w:val="1"/>
                <w:color w:val="auto"/>
                <w:w w:val="88"/>
              </w:rPr>
              <w:t>Amounts</w:t>
            </w:r>
          </w:p>
        </w:tc>
        <w:tc>
          <w:tcPr>
            <w:tcW w:w="560" w:type="dxa"/>
            <w:vAlign w:val="bottom"/>
            <w:tcBorders>
              <w:top w:val="single" w:sz="8" w:color="auto"/>
            </w:tcBorders>
          </w:tcPr>
          <w:p>
            <w:pPr>
              <w:jc w:val="right"/>
              <w:ind w:right="87"/>
              <w:spacing w:after="0" w:line="106" w:lineRule="exact"/>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3"/>
          </w:tcPr>
          <w:p>
            <w:pPr>
              <w:ind w:left="20"/>
              <w:spacing w:after="0" w:line="106" w:lineRule="exact"/>
              <w:rPr>
                <w:sz w:val="20"/>
                <w:szCs w:val="20"/>
                <w:color w:val="auto"/>
              </w:rPr>
            </w:pPr>
            <w:r>
              <w:rPr>
                <w:rFonts w:ascii="Arial" w:cs="Arial" w:eastAsia="Arial" w:hAnsi="Arial"/>
                <w:sz w:val="11"/>
                <w:szCs w:val="11"/>
                <w:b w:val="1"/>
                <w:bCs w:val="1"/>
                <w:color w:val="auto"/>
                <w:w w:val="83"/>
              </w:rPr>
              <w:t>Amounts</w:t>
            </w:r>
          </w:p>
        </w:tc>
        <w:tc>
          <w:tcPr>
            <w:tcW w:w="480" w:type="dxa"/>
            <w:vAlign w:val="bottom"/>
            <w:tcBorders>
              <w:top w:val="single" w:sz="8" w:color="auto"/>
            </w:tcBorders>
          </w:tcPr>
          <w:p>
            <w:pPr>
              <w:jc w:val="right"/>
              <w:ind w:right="47"/>
              <w:spacing w:after="0" w:line="106" w:lineRule="exact"/>
              <w:rPr>
                <w:sz w:val="20"/>
                <w:szCs w:val="20"/>
                <w:color w:val="auto"/>
              </w:rPr>
            </w:pPr>
            <w:r>
              <w:rPr>
                <w:rFonts w:ascii="Arial" w:cs="Arial" w:eastAsia="Arial" w:hAnsi="Arial"/>
                <w:sz w:val="11"/>
                <w:szCs w:val="11"/>
                <w:b w:val="1"/>
                <w:bCs w:val="1"/>
                <w:color w:val="auto"/>
                <w:w w:val="97"/>
              </w:rPr>
              <w:t>Shares</w:t>
            </w:r>
          </w:p>
        </w:tc>
        <w:tc>
          <w:tcPr>
            <w:tcW w:w="480" w:type="dxa"/>
            <w:vAlign w:val="bottom"/>
            <w:tcBorders>
              <w:top w:val="single" w:sz="8" w:color="auto"/>
            </w:tcBorders>
            <w:gridSpan w:val="3"/>
          </w:tcPr>
          <w:p>
            <w:pPr>
              <w:ind w:left="20"/>
              <w:spacing w:after="0" w:line="106" w:lineRule="exact"/>
              <w:rPr>
                <w:sz w:val="20"/>
                <w:szCs w:val="20"/>
                <w:color w:val="auto"/>
              </w:rPr>
            </w:pPr>
            <w:r>
              <w:rPr>
                <w:rFonts w:ascii="Arial" w:cs="Arial" w:eastAsia="Arial" w:hAnsi="Arial"/>
                <w:sz w:val="11"/>
                <w:szCs w:val="11"/>
                <w:b w:val="1"/>
                <w:bCs w:val="1"/>
                <w:color w:val="auto"/>
                <w:w w:val="88"/>
              </w:rPr>
              <w:t>Amounts</w:t>
            </w:r>
          </w:p>
        </w:tc>
        <w:tc>
          <w:tcPr>
            <w:tcW w:w="540" w:type="dxa"/>
            <w:vAlign w:val="bottom"/>
            <w:tcBorders>
              <w:top w:val="single" w:sz="8" w:color="auto"/>
            </w:tcBorders>
            <w:gridSpan w:val="3"/>
          </w:tcPr>
          <w:p>
            <w:pPr>
              <w:jc w:val="right"/>
              <w:ind w:right="27"/>
              <w:spacing w:after="0" w:line="106" w:lineRule="exact"/>
              <w:rPr>
                <w:sz w:val="20"/>
                <w:szCs w:val="20"/>
                <w:color w:val="auto"/>
              </w:rPr>
            </w:pPr>
            <w:r>
              <w:rPr>
                <w:rFonts w:ascii="Arial" w:cs="Arial" w:eastAsia="Arial" w:hAnsi="Arial"/>
                <w:sz w:val="11"/>
                <w:szCs w:val="11"/>
                <w:b w:val="1"/>
                <w:bCs w:val="1"/>
                <w:color w:val="auto"/>
                <w:w w:val="92"/>
              </w:rPr>
              <w:t>Amounts</w:t>
            </w:r>
          </w:p>
        </w:tc>
        <w:tc>
          <w:tcPr>
            <w:tcW w:w="560" w:type="dxa"/>
            <w:vAlign w:val="bottom"/>
            <w:tcBorders>
              <w:top w:val="single" w:sz="8" w:color="auto"/>
            </w:tcBorders>
          </w:tcPr>
          <w:p>
            <w:pPr>
              <w:jc w:val="right"/>
              <w:ind w:right="47"/>
              <w:spacing w:after="0" w:line="106" w:lineRule="exact"/>
              <w:rPr>
                <w:sz w:val="20"/>
                <w:szCs w:val="20"/>
                <w:color w:val="auto"/>
              </w:rPr>
            </w:pPr>
            <w:r>
              <w:rPr>
                <w:rFonts w:ascii="Arial" w:cs="Arial" w:eastAsia="Arial" w:hAnsi="Arial"/>
                <w:sz w:val="11"/>
                <w:szCs w:val="11"/>
                <w:b w:val="1"/>
                <w:bCs w:val="1"/>
                <w:color w:val="auto"/>
                <w:w w:val="95"/>
              </w:rPr>
              <w:t>Interests</w:t>
            </w:r>
          </w:p>
        </w:tc>
        <w:tc>
          <w:tcPr>
            <w:tcW w:w="480" w:type="dxa"/>
            <w:vAlign w:val="bottom"/>
            <w:tcBorders>
              <w:top w:val="single" w:sz="8" w:color="auto"/>
            </w:tcBorders>
            <w:gridSpan w:val="2"/>
          </w:tcPr>
          <w:p>
            <w:pPr>
              <w:ind w:left="20"/>
              <w:spacing w:after="0" w:line="106" w:lineRule="exact"/>
              <w:rPr>
                <w:sz w:val="20"/>
                <w:szCs w:val="20"/>
                <w:color w:val="auto"/>
              </w:rPr>
            </w:pPr>
            <w:r>
              <w:rPr>
                <w:rFonts w:ascii="Arial" w:cs="Arial" w:eastAsia="Arial" w:hAnsi="Arial"/>
                <w:sz w:val="11"/>
                <w:szCs w:val="11"/>
                <w:b w:val="1"/>
                <w:bCs w:val="1"/>
                <w:color w:val="auto"/>
                <w:w w:val="88"/>
              </w:rPr>
              <w:t>Amounts</w:t>
            </w:r>
          </w:p>
        </w:tc>
        <w:tc>
          <w:tcPr>
            <w:tcW w:w="600" w:type="dxa"/>
            <w:vAlign w:val="bottom"/>
            <w:tcBorders>
              <w:top w:val="single" w:sz="8" w:color="auto"/>
            </w:tcBorders>
          </w:tcPr>
          <w:p>
            <w:pPr>
              <w:jc w:val="right"/>
              <w:ind w:right="67"/>
              <w:spacing w:after="0" w:line="106" w:lineRule="exact"/>
              <w:rPr>
                <w:sz w:val="20"/>
                <w:szCs w:val="20"/>
                <w:color w:val="auto"/>
              </w:rPr>
            </w:pPr>
            <w:r>
              <w:rPr>
                <w:rFonts w:ascii="Arial" w:cs="Arial" w:eastAsia="Arial" w:hAnsi="Arial"/>
                <w:sz w:val="11"/>
                <w:szCs w:val="11"/>
                <w:b w:val="1"/>
                <w:bCs w:val="1"/>
                <w:color w:val="auto"/>
              </w:rPr>
              <w:t>Interests</w:t>
            </w:r>
          </w:p>
        </w:tc>
        <w:tc>
          <w:tcPr>
            <w:tcW w:w="540" w:type="dxa"/>
            <w:vAlign w:val="bottom"/>
            <w:tcBorders>
              <w:top w:val="single" w:sz="8" w:color="auto"/>
            </w:tcBorders>
            <w:gridSpan w:val="2"/>
          </w:tcPr>
          <w:p>
            <w:pPr>
              <w:jc w:val="right"/>
              <w:ind w:right="27"/>
              <w:spacing w:after="0" w:line="106" w:lineRule="exact"/>
              <w:rPr>
                <w:sz w:val="20"/>
                <w:szCs w:val="20"/>
                <w:color w:val="auto"/>
              </w:rPr>
            </w:pPr>
            <w:r>
              <w:rPr>
                <w:rFonts w:ascii="Arial" w:cs="Arial" w:eastAsia="Arial" w:hAnsi="Arial"/>
                <w:sz w:val="11"/>
                <w:szCs w:val="11"/>
                <w:b w:val="1"/>
                <w:bCs w:val="1"/>
                <w:color w:val="auto"/>
                <w:w w:val="92"/>
              </w:rPr>
              <w:t>Amounts</w:t>
            </w:r>
          </w:p>
        </w:tc>
        <w:tc>
          <w:tcPr>
            <w:tcW w:w="100" w:type="dxa"/>
            <w:vAlign w:val="bottom"/>
          </w:tcPr>
          <w:p>
            <w:pPr>
              <w:spacing w:after="0"/>
              <w:rPr>
                <w:sz w:val="9"/>
                <w:szCs w:val="9"/>
                <w:color w:val="auto"/>
              </w:rPr>
            </w:pPr>
          </w:p>
        </w:tc>
        <w:tc>
          <w:tcPr>
            <w:tcW w:w="560" w:type="dxa"/>
            <w:vAlign w:val="bottom"/>
          </w:tcPr>
          <w:p>
            <w:pPr>
              <w:jc w:val="center"/>
              <w:ind w:right="87"/>
              <w:spacing w:after="0" w:line="106" w:lineRule="exact"/>
              <w:rPr>
                <w:sz w:val="20"/>
                <w:szCs w:val="20"/>
                <w:color w:val="auto"/>
              </w:rPr>
            </w:pPr>
            <w:r>
              <w:rPr>
                <w:rFonts w:ascii="Arial" w:cs="Arial" w:eastAsia="Arial" w:hAnsi="Arial"/>
                <w:sz w:val="11"/>
                <w:szCs w:val="11"/>
                <w:b w:val="1"/>
                <w:bCs w:val="1"/>
                <w:color w:val="auto"/>
                <w:w w:val="91"/>
              </w:rPr>
              <w:t>Deficit)</w:t>
            </w:r>
          </w:p>
        </w:tc>
        <w:tc>
          <w:tcPr>
            <w:tcW w:w="760" w:type="dxa"/>
            <w:vAlign w:val="bottom"/>
            <w:gridSpan w:val="2"/>
          </w:tcPr>
          <w:p>
            <w:pPr>
              <w:jc w:val="center"/>
              <w:spacing w:after="0" w:line="106" w:lineRule="exact"/>
              <w:rPr>
                <w:sz w:val="20"/>
                <w:szCs w:val="20"/>
                <w:color w:val="auto"/>
              </w:rPr>
            </w:pPr>
            <w:r>
              <w:rPr>
                <w:rFonts w:ascii="Arial" w:cs="Arial" w:eastAsia="Arial" w:hAnsi="Arial"/>
                <w:sz w:val="11"/>
                <w:szCs w:val="11"/>
                <w:b w:val="1"/>
                <w:bCs w:val="1"/>
                <w:color w:val="auto"/>
                <w:w w:val="85"/>
              </w:rPr>
              <w:t>Income (Loss)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jc w:val="center"/>
              <w:ind w:right="88"/>
              <w:spacing w:after="0" w:line="106" w:lineRule="exact"/>
              <w:rPr>
                <w:sz w:val="20"/>
                <w:szCs w:val="20"/>
                <w:color w:val="auto"/>
              </w:rPr>
            </w:pPr>
            <w:r>
              <w:rPr>
                <w:rFonts w:ascii="Arial" w:cs="Arial" w:eastAsia="Arial" w:hAnsi="Arial"/>
                <w:sz w:val="11"/>
                <w:szCs w:val="11"/>
                <w:b w:val="1"/>
                <w:bCs w:val="1"/>
                <w:color w:val="auto"/>
                <w:w w:val="89"/>
              </w:rPr>
              <w:t>Equity</w:t>
            </w:r>
          </w:p>
        </w:tc>
        <w:tc>
          <w:tcPr>
            <w:tcW w:w="80" w:type="dxa"/>
            <w:vAlign w:val="bottom"/>
          </w:tcPr>
          <w:p>
            <w:pPr>
              <w:spacing w:after="0"/>
              <w:rPr>
                <w:sz w:val="9"/>
                <w:szCs w:val="9"/>
                <w:color w:val="auto"/>
              </w:rPr>
            </w:pPr>
          </w:p>
        </w:tc>
        <w:tc>
          <w:tcPr>
            <w:tcW w:w="500" w:type="dxa"/>
            <w:vAlign w:val="bottom"/>
          </w:tcPr>
          <w:p>
            <w:pPr>
              <w:jc w:val="right"/>
              <w:ind w:right="87"/>
              <w:spacing w:after="0" w:line="106" w:lineRule="exact"/>
              <w:rPr>
                <w:sz w:val="20"/>
                <w:szCs w:val="20"/>
                <w:color w:val="auto"/>
              </w:rPr>
            </w:pPr>
            <w:r>
              <w:rPr>
                <w:rFonts w:ascii="Arial" w:cs="Arial" w:eastAsia="Arial" w:hAnsi="Arial"/>
                <w:sz w:val="11"/>
                <w:szCs w:val="11"/>
                <w:b w:val="1"/>
                <w:bCs w:val="1"/>
                <w:color w:val="auto"/>
                <w:w w:val="85"/>
              </w:rPr>
              <w:t>Interest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jc w:val="right"/>
              <w:ind w:right="87"/>
              <w:spacing w:after="0" w:line="106"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114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40" w:type="dxa"/>
            <w:vAlign w:val="bottom"/>
            <w:tcBorders>
              <w:right w:val="single" w:sz="8" w:color="CCEEFF"/>
            </w:tcBorders>
            <w:shd w:val="clear" w:color="auto" w:fill="CCEEFF"/>
          </w:tcPr>
          <w:p>
            <w:pPr>
              <w:ind w:left="20"/>
              <w:spacing w:after="0" w:line="76" w:lineRule="exact"/>
              <w:rPr>
                <w:sz w:val="20"/>
                <w:szCs w:val="20"/>
                <w:color w:val="auto"/>
              </w:rPr>
            </w:pPr>
            <w:r>
              <w:rPr>
                <w:rFonts w:ascii="Arial" w:cs="Arial" w:eastAsia="Arial" w:hAnsi="Arial"/>
                <w:sz w:val="8"/>
                <w:szCs w:val="8"/>
                <w:color w:val="auto"/>
              </w:rPr>
              <w:t>Balance at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w w:val="97"/>
              </w:rPr>
              <w:t>$</w:t>
            </w: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93"/>
              </w:rPr>
              <w:t>1,964,826</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89"/>
              </w:rPr>
              <w:t>19,648</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90"/>
              </w:rPr>
              <w:t>99,855,666</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90"/>
              </w:rPr>
              <w:t>287,705</w:t>
            </w: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(91,383)</w:t>
            </w:r>
          </w:p>
        </w:tc>
        <w:tc>
          <w:tcPr>
            <w:tcW w:w="1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(3,705)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212,265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212,265</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December 31, 2014</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gridSpan w:val="2"/>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140" w:type="dxa"/>
            <w:vAlign w:val="bottom"/>
          </w:tcPr>
          <w:p>
            <w:pPr>
              <w:ind w:left="120"/>
              <w:spacing w:after="0" w:line="63" w:lineRule="exact"/>
              <w:rPr>
                <w:sz w:val="20"/>
                <w:szCs w:val="20"/>
                <w:color w:val="auto"/>
              </w:rPr>
            </w:pPr>
            <w:r>
              <w:rPr>
                <w:rFonts w:ascii="Arial" w:cs="Arial" w:eastAsia="Arial" w:hAnsi="Arial"/>
                <w:sz w:val="7"/>
                <w:szCs w:val="7"/>
                <w:color w:val="auto"/>
              </w:rPr>
              <w:t>Share based</w:t>
            </w:r>
          </w:p>
        </w:tc>
        <w:tc>
          <w:tcPr>
            <w:tcW w:w="5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w w:val="89"/>
              </w:rPr>
              <w:t>compensation through</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6,418</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438</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438</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438</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April 15, 2015</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Repurchase of</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(13,495)</w:t>
            </w: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Class A-2 interests</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Distribution to</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members through</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(130,000)</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(130,000)</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w w:val="93"/>
              </w:rPr>
              <w:t>(130,000)</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April 15, 2015</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Comprehensive</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w w:val="97"/>
              </w:rPr>
              <w:t>income through April</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15, 2015:</w:t>
            </w:r>
          </w:p>
        </w:tc>
        <w:tc>
          <w:tcPr>
            <w:tcW w:w="5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220"/>
              <w:spacing w:after="0" w:line="106" w:lineRule="exact"/>
              <w:rPr>
                <w:sz w:val="20"/>
                <w:szCs w:val="20"/>
                <w:color w:val="auto"/>
              </w:rPr>
            </w:pPr>
            <w:r>
              <w:rPr>
                <w:rFonts w:ascii="Arial" w:cs="Arial" w:eastAsia="Arial" w:hAnsi="Arial"/>
                <w:sz w:val="11"/>
                <w:szCs w:val="11"/>
                <w:color w:val="auto"/>
              </w:rPr>
              <w:t>Net income</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line="106"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60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83,147</w:t>
            </w:r>
          </w:p>
        </w:tc>
        <w:tc>
          <w:tcPr>
            <w:tcW w:w="120" w:type="dxa"/>
            <w:vAlign w:val="bottom"/>
          </w:tcPr>
          <w:p>
            <w:pPr>
              <w:spacing w:after="0"/>
              <w:rPr>
                <w:sz w:val="9"/>
                <w:szCs w:val="9"/>
                <w:color w:val="auto"/>
              </w:rPr>
            </w:pPr>
          </w:p>
        </w:tc>
        <w:tc>
          <w:tcPr>
            <w:tcW w:w="64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28"/>
              <w:spacing w:after="0" w:line="106" w:lineRule="exact"/>
              <w:rPr>
                <w:sz w:val="20"/>
                <w:szCs w:val="20"/>
                <w:color w:val="auto"/>
              </w:rPr>
            </w:pPr>
            <w:r>
              <w:rPr>
                <w:rFonts w:ascii="Arial" w:cs="Arial" w:eastAsia="Arial" w:hAnsi="Arial"/>
                <w:sz w:val="11"/>
                <w:szCs w:val="11"/>
                <w:color w:val="auto"/>
              </w:rPr>
              <w:t>83,147</w:t>
            </w:r>
          </w:p>
        </w:tc>
        <w:tc>
          <w:tcPr>
            <w:tcW w:w="80" w:type="dxa"/>
            <w:vAlign w:val="bottom"/>
          </w:tcPr>
          <w:p>
            <w:pPr>
              <w:spacing w:after="0"/>
              <w:rPr>
                <w:sz w:val="9"/>
                <w:szCs w:val="9"/>
                <w:color w:val="auto"/>
              </w:rPr>
            </w:pPr>
          </w:p>
        </w:tc>
        <w:tc>
          <w:tcPr>
            <w:tcW w:w="50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jc w:val="right"/>
              <w:ind w:right="7"/>
              <w:spacing w:after="0" w:line="106" w:lineRule="exact"/>
              <w:rPr>
                <w:sz w:val="20"/>
                <w:szCs w:val="20"/>
                <w:color w:val="auto"/>
              </w:rPr>
            </w:pPr>
            <w:r>
              <w:rPr>
                <w:rFonts w:ascii="Arial" w:cs="Arial" w:eastAsia="Arial" w:hAnsi="Arial"/>
                <w:sz w:val="11"/>
                <w:szCs w:val="11"/>
                <w:color w:val="auto"/>
              </w:rPr>
              <w:t>83,147</w:t>
            </w: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220"/>
              <w:spacing w:after="0" w:line="83" w:lineRule="exact"/>
              <w:rPr>
                <w:sz w:val="20"/>
                <w:szCs w:val="20"/>
                <w:color w:val="auto"/>
              </w:rPr>
            </w:pPr>
            <w:r>
              <w:rPr>
                <w:rFonts w:ascii="Arial" w:cs="Arial" w:eastAsia="Arial" w:hAnsi="Arial"/>
                <w:sz w:val="8"/>
                <w:szCs w:val="8"/>
                <w:color w:val="auto"/>
              </w:rPr>
              <w:t>Foreign exchange</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220"/>
              <w:spacing w:after="0" w:line="106" w:lineRule="exact"/>
              <w:rPr>
                <w:sz w:val="20"/>
                <w:szCs w:val="20"/>
                <w:color w:val="auto"/>
              </w:rPr>
            </w:pPr>
            <w:r>
              <w:rPr>
                <w:rFonts w:ascii="Arial" w:cs="Arial" w:eastAsia="Arial" w:hAnsi="Arial"/>
                <w:sz w:val="11"/>
                <w:szCs w:val="11"/>
                <w:color w:val="auto"/>
              </w:rPr>
              <w:t>translation</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(4,633)</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(4,633)</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(4,633)</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adjustment</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Reorganization of</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w w:val="83"/>
              </w:rPr>
              <w:t>18,763,664</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w w:val="90"/>
              </w:rPr>
              <w:t>36,746,041</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w w:val="83"/>
              </w:rPr>
              <w:t>79,610,490</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1</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63,261</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w w:val="88"/>
              </w:rPr>
              <w:t>(1,964,826)</w:t>
            </w:r>
          </w:p>
        </w:tc>
        <w:tc>
          <w:tcPr>
            <w:tcW w:w="60" w:type="dxa"/>
            <w:vAlign w:val="bottom"/>
          </w:tcPr>
          <w:p>
            <w:pPr>
              <w:spacing w:after="0"/>
              <w:rPr>
                <w:sz w:val="7"/>
                <w:szCs w:val="7"/>
                <w:color w:val="auto"/>
              </w:rPr>
            </w:pPr>
          </w:p>
        </w:tc>
        <w:tc>
          <w:tcPr>
            <w:tcW w:w="420" w:type="dxa"/>
            <w:vAlign w:val="bottom"/>
            <w:vMerge w:val="restart"/>
          </w:tcPr>
          <w:p>
            <w:pPr>
              <w:jc w:val="right"/>
              <w:ind w:right="7"/>
              <w:spacing w:after="0"/>
              <w:rPr>
                <w:sz w:val="20"/>
                <w:szCs w:val="20"/>
                <w:color w:val="auto"/>
              </w:rPr>
            </w:pPr>
            <w:r>
              <w:rPr>
                <w:rFonts w:ascii="Arial" w:cs="Arial" w:eastAsia="Arial" w:hAnsi="Arial"/>
                <w:sz w:val="11"/>
                <w:szCs w:val="11"/>
                <w:color w:val="auto"/>
                <w:w w:val="82"/>
              </w:rPr>
              <w:t>(19,648)</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w w:val="86"/>
              </w:rPr>
              <w:t>(99,848,589)</w:t>
            </w:r>
          </w:p>
        </w:tc>
        <w:tc>
          <w:tcPr>
            <w:tcW w:w="60" w:type="dxa"/>
            <w:vAlign w:val="bottom"/>
          </w:tcPr>
          <w:p>
            <w:pPr>
              <w:spacing w:after="0"/>
              <w:rPr>
                <w:sz w:val="7"/>
                <w:szCs w:val="7"/>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w w:val="84"/>
              </w:rPr>
              <w:t>(288,046)</w:t>
            </w:r>
          </w:p>
        </w:tc>
        <w:tc>
          <w:tcPr>
            <w:tcW w:w="100" w:type="dxa"/>
            <w:vAlign w:val="bottom"/>
          </w:tcPr>
          <w:p>
            <w:pPr>
              <w:spacing w:after="0"/>
              <w:rPr>
                <w:sz w:val="7"/>
                <w:szCs w:val="7"/>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138,236</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8,338</w:t>
            </w:r>
          </w:p>
        </w:tc>
        <w:tc>
          <w:tcPr>
            <w:tcW w:w="80" w:type="dxa"/>
            <w:vAlign w:val="bottom"/>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(97,858)</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w w:val="95"/>
              </w:rPr>
              <w:t>392,291</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294,433</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equity structure</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140" w:type="dxa"/>
            <w:vAlign w:val="bottom"/>
            <w:tcBorders>
              <w:top w:val="single" w:sz="8" w:color="CCEEFF"/>
              <w:right w:val="single" w:sz="8" w:color="CCEEFF"/>
            </w:tcBorders>
            <w:shd w:val="clear" w:color="auto" w:fill="CCEEFF"/>
          </w:tcPr>
          <w:p>
            <w:pPr>
              <w:ind w:left="120"/>
              <w:spacing w:after="0" w:line="63" w:lineRule="exact"/>
              <w:rPr>
                <w:sz w:val="20"/>
                <w:szCs w:val="20"/>
                <w:color w:val="auto"/>
              </w:rPr>
            </w:pPr>
            <w:r>
              <w:rPr>
                <w:rFonts w:ascii="Arial" w:cs="Arial" w:eastAsia="Arial" w:hAnsi="Arial"/>
                <w:sz w:val="7"/>
                <w:szCs w:val="7"/>
                <w:color w:val="auto"/>
              </w:rPr>
              <w:t>Balance post-</w:t>
            </w:r>
          </w:p>
        </w:tc>
        <w:tc>
          <w:tcPr>
            <w:tcW w:w="56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83"/>
              </w:rPr>
              <w:t>18,763,664</w:t>
            </w: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90"/>
              </w:rPr>
              <w:t>36,746,041</w:t>
            </w:r>
          </w:p>
        </w:tc>
        <w:tc>
          <w:tcPr>
            <w:tcW w:w="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auto"/>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83"/>
              </w:rPr>
              <w:t>79,610,490</w:t>
            </w:r>
          </w:p>
        </w:tc>
        <w:tc>
          <w:tcPr>
            <w:tcW w:w="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48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63,261</w:t>
            </w:r>
          </w:p>
        </w:tc>
        <w:tc>
          <w:tcPr>
            <w:tcW w:w="56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63,262</w:t>
            </w:r>
          </w:p>
        </w:tc>
        <w:tc>
          <w:tcPr>
            <w:tcW w:w="80" w:type="dxa"/>
            <w:vAlign w:val="bottom"/>
            <w:tcBorders>
              <w:top w:val="single" w:sz="8" w:color="auto"/>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95"/>
              </w:rPr>
              <w:t>392,291</w:t>
            </w: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455,553</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reorganization</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Issuance of Common</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w w:val="97"/>
              </w:rPr>
              <w:t>Stock, net of offering</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w w:val="83"/>
              </w:rPr>
              <w:t>19,012,112</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w w:val="90"/>
              </w:rPr>
              <w:t>327,366</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327,366</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327,366</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costs</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Repurchase of Virtu</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Financial Units and</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Corresponding</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number of Class A</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(3,470,724)</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86"/>
              </w:rPr>
              <w:t>(12,214,224)</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84"/>
              </w:rPr>
              <w:t>(277,153)</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(277,153)</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3"/>
              </w:rPr>
              <w:t>(277,153)</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w w:val="91"/>
              </w:rPr>
              <w:t>and C Common Stock</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Share based</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w w:val="94"/>
              </w:rPr>
              <w:t>compensation vested</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44,908</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44,908</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44,908</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upon the IPO</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Adjustments for</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changes in</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proportionate</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ownership in Virtu</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(22,513)</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(22,513)</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22,513</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Financial</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Issuance of tax</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w w:val="97"/>
              </w:rPr>
              <w:t>(23,041)</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(23,041)</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(23,041)</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w w:val="88"/>
              </w:rPr>
              <w:t>receivable agreements</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Share based</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compensation after</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576,693</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19,278</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19,278</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19,278</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April 15, 2015</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Repurchase of Class C</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(57,106)</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(1,368)</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(1,368)</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(1,368)</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common stock</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Treasury stock</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(169,649)</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(3,819)</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(3,819)</w:t>
            </w: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(3,819)</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purchases</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Comprehensive</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income, after April</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15, 2015:</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220"/>
              <w:spacing w:after="0" w:line="106" w:lineRule="exact"/>
              <w:rPr>
                <w:sz w:val="20"/>
                <w:szCs w:val="20"/>
                <w:color w:val="auto"/>
              </w:rPr>
            </w:pPr>
            <w:r>
              <w:rPr>
                <w:rFonts w:ascii="Arial" w:cs="Arial" w:eastAsia="Arial" w:hAnsi="Arial"/>
                <w:sz w:val="11"/>
                <w:szCs w:val="11"/>
                <w:color w:val="auto"/>
              </w:rPr>
              <w:t>Net income</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line="106"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20,887</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28"/>
              <w:spacing w:after="0" w:line="106" w:lineRule="exact"/>
              <w:rPr>
                <w:sz w:val="20"/>
                <w:szCs w:val="20"/>
                <w:color w:val="auto"/>
              </w:rPr>
            </w:pPr>
            <w:r>
              <w:rPr>
                <w:rFonts w:ascii="Arial" w:cs="Arial" w:eastAsia="Arial" w:hAnsi="Arial"/>
                <w:sz w:val="11"/>
                <w:szCs w:val="11"/>
                <w:color w:val="auto"/>
              </w:rPr>
              <w:t>20,887</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93,456</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jc w:val="right"/>
              <w:ind w:right="7"/>
              <w:spacing w:after="0" w:line="106" w:lineRule="exact"/>
              <w:rPr>
                <w:sz w:val="20"/>
                <w:szCs w:val="20"/>
                <w:color w:val="auto"/>
              </w:rPr>
            </w:pPr>
            <w:r>
              <w:rPr>
                <w:rFonts w:ascii="Arial" w:cs="Arial" w:eastAsia="Arial" w:hAnsi="Arial"/>
                <w:sz w:val="11"/>
                <w:szCs w:val="11"/>
                <w:color w:val="auto"/>
              </w:rPr>
              <w:t>114,343</w:t>
            </w:r>
          </w:p>
        </w:tc>
        <w:tc>
          <w:tcPr>
            <w:tcW w:w="0" w:type="dxa"/>
            <w:vAlign w:val="bottom"/>
          </w:tcPr>
          <w:p>
            <w:pPr>
              <w:spacing w:after="0"/>
              <w:rPr>
                <w:sz w:val="1"/>
                <w:szCs w:val="1"/>
                <w:color w:val="auto"/>
              </w:rPr>
            </w:pPr>
          </w:p>
        </w:tc>
      </w:tr>
      <w:tr>
        <w:trPr>
          <w:trHeight w:val="83"/>
        </w:trPr>
        <w:tc>
          <w:tcPr>
            <w:tcW w:w="1140" w:type="dxa"/>
            <w:vAlign w:val="bottom"/>
          </w:tcPr>
          <w:p>
            <w:pPr>
              <w:ind w:left="220"/>
              <w:spacing w:after="0" w:line="83" w:lineRule="exact"/>
              <w:rPr>
                <w:sz w:val="20"/>
                <w:szCs w:val="20"/>
                <w:color w:val="auto"/>
              </w:rPr>
            </w:pPr>
            <w:r>
              <w:rPr>
                <w:rFonts w:ascii="Arial" w:cs="Arial" w:eastAsia="Arial" w:hAnsi="Arial"/>
                <w:sz w:val="8"/>
                <w:szCs w:val="8"/>
                <w:color w:val="auto"/>
              </w:rPr>
              <w:t>Foreign exchange</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220"/>
              <w:spacing w:after="0" w:line="106" w:lineRule="exact"/>
              <w:rPr>
                <w:sz w:val="20"/>
                <w:szCs w:val="20"/>
                <w:color w:val="auto"/>
              </w:rPr>
            </w:pPr>
            <w:r>
              <w:rPr>
                <w:rFonts w:ascii="Arial" w:cs="Arial" w:eastAsia="Arial" w:hAnsi="Arial"/>
                <w:sz w:val="11"/>
                <w:szCs w:val="11"/>
                <w:color w:val="auto"/>
              </w:rPr>
              <w:t>translation</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9"/>
                <w:szCs w:val="9"/>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279</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378</w:t>
            </w:r>
          </w:p>
        </w:tc>
        <w:tc>
          <w:tcPr>
            <w:tcW w:w="0" w:type="dxa"/>
            <w:vAlign w:val="bottom"/>
          </w:tcPr>
          <w:p>
            <w:pPr>
              <w:spacing w:after="0"/>
              <w:rPr>
                <w:sz w:val="1"/>
                <w:szCs w:val="1"/>
                <w:color w:val="auto"/>
              </w:rPr>
            </w:pPr>
          </w:p>
        </w:tc>
      </w:tr>
      <w:tr>
        <w:trPr>
          <w:trHeight w:val="129"/>
        </w:trPr>
        <w:tc>
          <w:tcPr>
            <w:tcW w:w="1140" w:type="dxa"/>
            <w:vAlign w:val="bottom"/>
          </w:tcPr>
          <w:p>
            <w:pPr>
              <w:ind w:left="220"/>
              <w:spacing w:after="0"/>
              <w:rPr>
                <w:sz w:val="20"/>
                <w:szCs w:val="20"/>
                <w:color w:val="auto"/>
              </w:rPr>
            </w:pPr>
            <w:r>
              <w:rPr>
                <w:rFonts w:ascii="Arial" w:cs="Arial" w:eastAsia="Arial" w:hAnsi="Arial"/>
                <w:sz w:val="11"/>
                <w:szCs w:val="11"/>
                <w:color w:val="auto"/>
              </w:rPr>
              <w:t>adjustment</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Distribution from</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Virtu Financial to</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non-controlling</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interest, after April</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(81,377)</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(81,377)</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15, 2015</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Dividends to Class A</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(17,362)</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(17,362)</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(17,362)</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shareholders</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Issuance of common</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stock in connection</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with secondary</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offering, net of</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93"/>
              </w:rPr>
              <w:t>3,498,113</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7,782</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7,782</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7,782</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offering costs</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Repurchase of Virtu</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Financial Units and</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w w:val="89"/>
              </w:rPr>
              <w:t>corresponding number</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of Class C common</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stock in connection</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with secondary</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w w:val="95"/>
              </w:rPr>
              <w:t>(3,498,113)</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(8,805)</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(8,805)</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(8,805)</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offering</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Issuance of tax</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w w:val="88"/>
              </w:rPr>
              <w:t>receivable agreements</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in connection with</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1,187</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1,187</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1,187</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secondary offering</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20"/>
              <w:spacing w:after="0" w:line="83" w:lineRule="exact"/>
              <w:rPr>
                <w:sz w:val="20"/>
                <w:szCs w:val="20"/>
                <w:color w:val="auto"/>
              </w:rPr>
            </w:pPr>
            <w:r>
              <w:rPr>
                <w:rFonts w:ascii="Arial" w:cs="Arial" w:eastAsia="Arial" w:hAnsi="Arial"/>
                <w:sz w:val="8"/>
                <w:szCs w:val="8"/>
                <w:color w:val="auto"/>
              </w:rPr>
              <w:t>Balance at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w w:val="83"/>
              </w:rPr>
              <w:t>38,379,858</w:t>
            </w:r>
          </w:p>
        </w:tc>
        <w:tc>
          <w:tcPr>
            <w:tcW w:w="18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w w:val="90"/>
              </w:rPr>
              <w:t>20,976,598</w:t>
            </w:r>
          </w:p>
        </w:tc>
        <w:tc>
          <w:tcPr>
            <w:tcW w:w="26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auto"/>
                <w:w w:val="71"/>
              </w:rPr>
              <w:t>$</w:t>
            </w: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w w:val="83"/>
              </w:rPr>
              <w:t>79,610,490</w:t>
            </w:r>
          </w:p>
        </w:tc>
        <w:tc>
          <w:tcPr>
            <w:tcW w:w="18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1</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w w:val="89"/>
              </w:rPr>
              <w:t>(169,649)</w:t>
            </w:r>
          </w:p>
        </w:tc>
        <w:tc>
          <w:tcPr>
            <w:tcW w:w="80" w:type="dxa"/>
            <w:vAlign w:val="bottom"/>
            <w:gridSpan w:val="2"/>
            <w:vMerge w:val="restart"/>
          </w:tcPr>
          <w:p>
            <w:pPr>
              <w:ind w:left="20"/>
              <w:spacing w:after="0"/>
              <w:rPr>
                <w:sz w:val="20"/>
                <w:szCs w:val="20"/>
                <w:color w:val="auto"/>
              </w:rPr>
            </w:pPr>
            <w:r>
              <w:rPr>
                <w:rFonts w:ascii="Arial" w:cs="Arial" w:eastAsia="Arial" w:hAnsi="Arial"/>
                <w:sz w:val="10"/>
                <w:szCs w:val="10"/>
                <w:color w:val="auto"/>
                <w:w w:val="71"/>
              </w:rPr>
              <w:t>$</w:t>
            </w: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w w:val="97"/>
              </w:rPr>
              <w:t>(3,819)</w:t>
            </w:r>
          </w:p>
        </w:tc>
        <w:tc>
          <w:tcPr>
            <w:tcW w:w="80" w:type="dxa"/>
            <w:vAlign w:val="bottom"/>
            <w:gridSpan w:val="2"/>
            <w:vMerge w:val="restart"/>
          </w:tcPr>
          <w:p>
            <w:pPr>
              <w:spacing w:after="0"/>
              <w:rPr>
                <w:sz w:val="20"/>
                <w:szCs w:val="20"/>
                <w:color w:val="auto"/>
              </w:rPr>
            </w:pPr>
            <w:r>
              <w:rPr>
                <w:rFonts w:ascii="Arial" w:cs="Arial" w:eastAsia="Arial" w:hAnsi="Arial"/>
                <w:sz w:val="11"/>
                <w:szCs w:val="11"/>
                <w:color w:val="auto"/>
                <w:w w:val="97"/>
              </w:rPr>
              <w:t>$</w:t>
            </w: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w w:val="90"/>
              </w:rPr>
              <w:t>130,902</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3,525</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99</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130,708</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w w:val="95"/>
              </w:rPr>
              <w:t>427,162</w:t>
            </w:r>
          </w:p>
        </w:tc>
        <w:tc>
          <w:tcPr>
            <w:tcW w:w="60" w:type="dxa"/>
            <w:vAlign w:val="bottom"/>
            <w:gridSpan w:val="2"/>
            <w:vMerge w:val="restart"/>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557,870</w:t>
            </w:r>
          </w:p>
        </w:tc>
        <w:tc>
          <w:tcPr>
            <w:tcW w:w="0" w:type="dxa"/>
            <w:vAlign w:val="bottom"/>
          </w:tcPr>
          <w:p>
            <w:pPr>
              <w:spacing w:after="0"/>
              <w:rPr>
                <w:sz w:val="1"/>
                <w:szCs w:val="1"/>
                <w:color w:val="auto"/>
              </w:rPr>
            </w:pPr>
          </w:p>
        </w:tc>
      </w:tr>
      <w:tr>
        <w:trPr>
          <w:trHeight w:val="129"/>
        </w:trPr>
        <w:tc>
          <w:tcPr>
            <w:tcW w:w="1140" w:type="dxa"/>
            <w:vAlign w:val="bottom"/>
          </w:tcPr>
          <w:p>
            <w:pPr>
              <w:ind w:left="20"/>
              <w:spacing w:after="0"/>
              <w:rPr>
                <w:sz w:val="20"/>
                <w:szCs w:val="20"/>
                <w:color w:val="auto"/>
              </w:rPr>
            </w:pPr>
            <w:r>
              <w:rPr>
                <w:rFonts w:ascii="Arial" w:cs="Arial" w:eastAsia="Arial" w:hAnsi="Arial"/>
                <w:sz w:val="11"/>
                <w:szCs w:val="11"/>
                <w:color w:val="auto"/>
              </w:rPr>
              <w:t>December 31, 2015</w:t>
            </w:r>
          </w:p>
        </w:tc>
        <w:tc>
          <w:tcPr>
            <w:tcW w:w="56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Share based</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953,054</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(58,070)</w:t>
            </w: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24,893</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24,893</w:t>
            </w: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24,893</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compensation</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Repurchase of Class C</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(4,153)</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Arial" w:cs="Arial" w:eastAsia="Arial" w:hAnsi="Arial"/>
                <w:sz w:val="11"/>
                <w:szCs w:val="11"/>
                <w:color w:val="auto"/>
              </w:rPr>
              <w:t>(98)</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common stock</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Treasury stock</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(283,417)</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(4,539)</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(4,539)</w:t>
            </w: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(4,539)</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purchases</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Net income</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line="106"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60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32,980</w:t>
            </w:r>
          </w:p>
        </w:tc>
        <w:tc>
          <w:tcPr>
            <w:tcW w:w="120" w:type="dxa"/>
            <w:vAlign w:val="bottom"/>
          </w:tcPr>
          <w:p>
            <w:pPr>
              <w:spacing w:after="0"/>
              <w:rPr>
                <w:sz w:val="9"/>
                <w:szCs w:val="9"/>
                <w:color w:val="auto"/>
              </w:rPr>
            </w:pPr>
          </w:p>
        </w:tc>
        <w:tc>
          <w:tcPr>
            <w:tcW w:w="64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jc w:val="right"/>
              <w:ind w:right="28"/>
              <w:spacing w:after="0" w:line="106" w:lineRule="exact"/>
              <w:rPr>
                <w:sz w:val="20"/>
                <w:szCs w:val="20"/>
                <w:color w:val="auto"/>
              </w:rPr>
            </w:pPr>
            <w:r>
              <w:rPr>
                <w:rFonts w:ascii="Arial" w:cs="Arial" w:eastAsia="Arial" w:hAnsi="Arial"/>
                <w:sz w:val="11"/>
                <w:szCs w:val="11"/>
                <w:color w:val="auto"/>
              </w:rPr>
              <w:t>32,980</w:t>
            </w:r>
          </w:p>
        </w:tc>
        <w:tc>
          <w:tcPr>
            <w:tcW w:w="80" w:type="dxa"/>
            <w:vAlign w:val="bottom"/>
          </w:tcPr>
          <w:p>
            <w:pPr>
              <w:spacing w:after="0"/>
              <w:rPr>
                <w:sz w:val="9"/>
                <w:szCs w:val="9"/>
                <w:color w:val="auto"/>
              </w:rPr>
            </w:pPr>
          </w:p>
        </w:tc>
        <w:tc>
          <w:tcPr>
            <w:tcW w:w="500" w:type="dxa"/>
            <w:vAlign w:val="bottom"/>
          </w:tcPr>
          <w:p>
            <w:pPr>
              <w:jc w:val="right"/>
              <w:ind w:right="47"/>
              <w:spacing w:after="0" w:line="106" w:lineRule="exact"/>
              <w:rPr>
                <w:sz w:val="20"/>
                <w:szCs w:val="20"/>
                <w:color w:val="auto"/>
              </w:rPr>
            </w:pPr>
            <w:r>
              <w:rPr>
                <w:rFonts w:ascii="Arial" w:cs="Arial" w:eastAsia="Arial" w:hAnsi="Arial"/>
                <w:sz w:val="11"/>
                <w:szCs w:val="11"/>
                <w:color w:val="auto"/>
                <w:w w:val="95"/>
              </w:rPr>
              <w:t>125,360</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jc w:val="right"/>
              <w:ind w:right="7"/>
              <w:spacing w:after="0" w:line="106" w:lineRule="exact"/>
              <w:rPr>
                <w:sz w:val="20"/>
                <w:szCs w:val="20"/>
                <w:color w:val="auto"/>
              </w:rPr>
            </w:pPr>
            <w:r>
              <w:rPr>
                <w:rFonts w:ascii="Arial" w:cs="Arial" w:eastAsia="Arial" w:hAnsi="Arial"/>
                <w:sz w:val="11"/>
                <w:szCs w:val="11"/>
                <w:color w:val="auto"/>
              </w:rPr>
              <w:t>158,340</w:t>
            </w: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Foreign exchange</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(814)</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(1,165)</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w w:val="91"/>
              </w:rPr>
              <w:t>translation adjustment</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Distribution from</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Virtu Financial to</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non-controlling</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ind w:right="7"/>
              <w:spacing w:after="0"/>
              <w:rPr>
                <w:sz w:val="20"/>
                <w:szCs w:val="20"/>
                <w:color w:val="auto"/>
              </w:rPr>
            </w:pPr>
            <w:r>
              <w:rPr>
                <w:rFonts w:ascii="Arial" w:cs="Arial" w:eastAsia="Arial" w:hAnsi="Arial"/>
                <w:sz w:val="11"/>
                <w:szCs w:val="11"/>
                <w:color w:val="auto"/>
                <w:w w:val="89"/>
              </w:rPr>
              <w:t>(162,969)</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w w:val="93"/>
              </w:rPr>
              <w:t>(162,969)</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interest</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Dividends</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line="106"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(37,759)</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spacing w:after="0" w:line="106" w:lineRule="exact"/>
              <w:rPr>
                <w:sz w:val="20"/>
                <w:szCs w:val="20"/>
                <w:color w:val="auto"/>
              </w:rPr>
            </w:pPr>
            <w:r>
              <w:rPr>
                <w:rFonts w:ascii="Arial" w:cs="Arial" w:eastAsia="Arial" w:hAnsi="Arial"/>
                <w:sz w:val="11"/>
                <w:szCs w:val="11"/>
                <w:color w:val="auto"/>
              </w:rPr>
              <w:t>(37,759)</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jc w:val="right"/>
              <w:spacing w:after="0" w:line="106" w:lineRule="exact"/>
              <w:rPr>
                <w:sz w:val="20"/>
                <w:szCs w:val="20"/>
                <w:color w:val="auto"/>
              </w:rPr>
            </w:pPr>
            <w:r>
              <w:rPr>
                <w:rFonts w:ascii="Arial" w:cs="Arial" w:eastAsia="Arial" w:hAnsi="Arial"/>
                <w:sz w:val="11"/>
                <w:szCs w:val="11"/>
                <w:color w:val="auto"/>
              </w:rPr>
              <w:t>(37,759)</w:t>
            </w: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Issuance of common</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stock in connection</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with secondary</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offering, net of</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w w:val="93"/>
              </w:rPr>
              <w:t>1,103,668</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16,677</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16,677</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16,677</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offering costs</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Repurchase of Virtu</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Financial Units and</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w w:val="89"/>
              </w:rPr>
              <w:t>corresponding number</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of Class C common</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stock in connection</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with secondary</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95"/>
              </w:rPr>
              <w:t>(1,103,668)</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(17,383)</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(17,383)</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(17,383)</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offering</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Issuance of tax</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w w:val="88"/>
              </w:rPr>
              <w:t>receivable agreements</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in connection with</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545</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1"/>
                <w:szCs w:val="11"/>
                <w:color w:val="auto"/>
              </w:rPr>
              <w:t>545</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545</w:t>
            </w:r>
          </w:p>
        </w:tc>
        <w:tc>
          <w:tcPr>
            <w:tcW w:w="0" w:type="dxa"/>
            <w:vAlign w:val="bottom"/>
          </w:tcPr>
          <w:p>
            <w:pPr>
              <w:spacing w:after="0"/>
              <w:rPr>
                <w:sz w:val="1"/>
                <w:szCs w:val="1"/>
                <w:color w:val="auto"/>
              </w:rPr>
            </w:pPr>
          </w:p>
        </w:tc>
      </w:tr>
      <w:tr>
        <w:trPr>
          <w:trHeight w:val="129"/>
        </w:trPr>
        <w:tc>
          <w:tcPr>
            <w:tcW w:w="11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secondary offering</w:t>
            </w:r>
          </w:p>
        </w:tc>
        <w:tc>
          <w:tcPr>
            <w:tcW w:w="5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140" w:type="dxa"/>
            <w:vAlign w:val="bottom"/>
            <w:tcBorders>
              <w:right w:val="single" w:sz="8" w:color="CCEEFF"/>
            </w:tcBorders>
            <w:shd w:val="clear" w:color="auto" w:fill="CCEEFF"/>
          </w:tcPr>
          <w:p>
            <w:pPr>
              <w:ind w:left="20"/>
              <w:spacing w:after="0" w:line="63" w:lineRule="exact"/>
              <w:rPr>
                <w:sz w:val="20"/>
                <w:szCs w:val="20"/>
                <w:color w:val="auto"/>
              </w:rPr>
            </w:pPr>
            <w:r>
              <w:rPr>
                <w:rFonts w:ascii="Arial" w:cs="Arial" w:eastAsia="Arial" w:hAnsi="Arial"/>
                <w:sz w:val="7"/>
                <w:szCs w:val="7"/>
                <w:color w:val="auto"/>
              </w:rPr>
              <w:t>Balance at December 31,</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83"/>
              </w:rPr>
              <w:t>40,436,580</w:t>
            </w:r>
          </w:p>
        </w:tc>
        <w:tc>
          <w:tcPr>
            <w:tcW w:w="1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90"/>
              </w:rPr>
              <w:t>19,810,707</w:t>
            </w:r>
          </w:p>
        </w:tc>
        <w:tc>
          <w:tcPr>
            <w:tcW w:w="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83"/>
              </w:rPr>
              <w:t>79,610,490</w:t>
            </w: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(453,066)</w:t>
            </w:r>
          </w:p>
        </w:tc>
        <w:tc>
          <w:tcPr>
            <w:tcW w:w="8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(8,358)</w:t>
            </w:r>
          </w:p>
        </w:tc>
        <w:tc>
          <w:tcPr>
            <w:tcW w:w="8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w w:val="97"/>
              </w:rPr>
              <w:t>$</w:t>
            </w: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90"/>
              </w:rPr>
              <w:t>155,536</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(1,254)</w:t>
            </w:r>
          </w:p>
        </w:tc>
        <w:tc>
          <w:tcPr>
            <w:tcW w:w="120" w:type="dxa"/>
            <w:vAlign w:val="bottom"/>
            <w:vMerge w:val="restart"/>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(252)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145,673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95"/>
              </w:rPr>
              <w:t>388,739</w:t>
            </w:r>
          </w:p>
        </w:tc>
        <w:tc>
          <w:tcPr>
            <w:tcW w:w="6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534,412</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2016</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gridSpan w:val="2"/>
            <w:vMerge w:val="continue"/>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gridSpan w:val="2"/>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Share based</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546,265</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7"/>
              <w:spacing w:after="0"/>
              <w:rPr>
                <w:sz w:val="20"/>
                <w:szCs w:val="20"/>
                <w:color w:val="auto"/>
              </w:rPr>
            </w:pPr>
            <w:r>
              <w:rPr>
                <w:rFonts w:ascii="Arial" w:cs="Arial" w:eastAsia="Arial" w:hAnsi="Arial"/>
                <w:sz w:val="11"/>
                <w:szCs w:val="11"/>
                <w:color w:val="auto"/>
              </w:rPr>
              <w:t>(34,019)</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16,846</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16,846</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16,846</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compensation</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Repurchase of Class C</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(540,686)</w:t>
            </w: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(9,143)</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(9,143)</w:t>
            </w: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(9,143)</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common stock</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Treasury stock</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w w:val="89"/>
              </w:rPr>
              <w:t>(163,857)</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w w:val="97"/>
              </w:rPr>
              <w:t>(2,683)</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1"/>
                <w:szCs w:val="11"/>
                <w:color w:val="auto"/>
              </w:rPr>
              <w:t>(2,683)</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(2,683)</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purchases</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Net income</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line="106"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2,939</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CCEEFF"/>
            </w:tcBorders>
            <w:gridSpan w:val="2"/>
            <w:shd w:val="clear" w:color="auto" w:fill="CCEEFF"/>
          </w:tcPr>
          <w:p>
            <w:pPr>
              <w:jc w:val="right"/>
              <w:ind w:right="28"/>
              <w:spacing w:after="0" w:line="106" w:lineRule="exact"/>
              <w:rPr>
                <w:sz w:val="20"/>
                <w:szCs w:val="20"/>
                <w:color w:val="auto"/>
              </w:rPr>
            </w:pPr>
            <w:r>
              <w:rPr>
                <w:rFonts w:ascii="Arial" w:cs="Arial" w:eastAsia="Arial" w:hAnsi="Arial"/>
                <w:sz w:val="11"/>
                <w:szCs w:val="11"/>
                <w:color w:val="auto"/>
              </w:rPr>
              <w:t>2,939</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jc w:val="right"/>
              <w:ind w:right="47"/>
              <w:spacing w:after="0" w:line="106" w:lineRule="exact"/>
              <w:rPr>
                <w:sz w:val="20"/>
                <w:szCs w:val="20"/>
                <w:color w:val="auto"/>
              </w:rPr>
            </w:pPr>
            <w:r>
              <w:rPr>
                <w:rFonts w:ascii="Arial" w:cs="Arial" w:eastAsia="Arial" w:hAnsi="Arial"/>
                <w:sz w:val="11"/>
                <w:szCs w:val="11"/>
                <w:color w:val="auto"/>
              </w:rPr>
              <w:t>15,959</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jc w:val="right"/>
              <w:ind w:right="7"/>
              <w:spacing w:after="0" w:line="106" w:lineRule="exact"/>
              <w:rPr>
                <w:sz w:val="20"/>
                <w:szCs w:val="20"/>
                <w:color w:val="auto"/>
              </w:rPr>
            </w:pPr>
            <w:r>
              <w:rPr>
                <w:rFonts w:ascii="Arial" w:cs="Arial" w:eastAsia="Arial" w:hAnsi="Arial"/>
                <w:sz w:val="11"/>
                <w:szCs w:val="11"/>
                <w:color w:val="auto"/>
              </w:rPr>
              <w:t>18,898</w:t>
            </w: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Foreign exchange</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3,243</w:t>
            </w:r>
          </w:p>
        </w:tc>
        <w:tc>
          <w:tcPr>
            <w:tcW w:w="80" w:type="dxa"/>
            <w:vAlign w:val="bottom"/>
          </w:tcPr>
          <w:p>
            <w:pPr>
              <w:spacing w:after="0"/>
              <w:rPr>
                <w:sz w:val="7"/>
                <w:szCs w:val="7"/>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3,243</w:t>
            </w:r>
          </w:p>
        </w:tc>
        <w:tc>
          <w:tcPr>
            <w:tcW w:w="80" w:type="dxa"/>
            <w:vAlign w:val="bottom"/>
          </w:tcPr>
          <w:p>
            <w:pPr>
              <w:spacing w:after="0"/>
              <w:rPr>
                <w:sz w:val="7"/>
                <w:szCs w:val="7"/>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5,874</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9,117</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w w:val="91"/>
              </w:rPr>
              <w:t>translation adjustment</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Distribution from</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Virtu Financial to</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non-controlling</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(89,563)</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(89,563)</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interest</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Dividends</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line="106"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48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56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60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1"/>
                <w:szCs w:val="11"/>
                <w:color w:val="auto"/>
              </w:rPr>
              <w:t>(63,814)</w:t>
            </w:r>
          </w:p>
        </w:tc>
        <w:tc>
          <w:tcPr>
            <w:tcW w:w="120" w:type="dxa"/>
            <w:vAlign w:val="bottom"/>
          </w:tcPr>
          <w:p>
            <w:pPr>
              <w:spacing w:after="0"/>
              <w:rPr>
                <w:sz w:val="9"/>
                <w:szCs w:val="9"/>
                <w:color w:val="auto"/>
              </w:rPr>
            </w:pPr>
          </w:p>
        </w:tc>
        <w:tc>
          <w:tcPr>
            <w:tcW w:w="640" w:type="dxa"/>
            <w:vAlign w:val="bottom"/>
          </w:tcPr>
          <w:p>
            <w:pPr>
              <w:jc w:val="right"/>
              <w:ind w:right="27"/>
              <w:spacing w:after="0" w:line="10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tcPr>
          <w:p>
            <w:pPr>
              <w:jc w:val="right"/>
              <w:spacing w:after="0" w:line="106" w:lineRule="exact"/>
              <w:rPr>
                <w:sz w:val="20"/>
                <w:szCs w:val="20"/>
                <w:color w:val="auto"/>
              </w:rPr>
            </w:pPr>
            <w:r>
              <w:rPr>
                <w:rFonts w:ascii="Arial" w:cs="Arial" w:eastAsia="Arial" w:hAnsi="Arial"/>
                <w:sz w:val="11"/>
                <w:szCs w:val="11"/>
                <w:color w:val="auto"/>
              </w:rPr>
              <w:t>(63,814)</w:t>
            </w:r>
          </w:p>
        </w:tc>
        <w:tc>
          <w:tcPr>
            <w:tcW w:w="80" w:type="dxa"/>
            <w:vAlign w:val="bottom"/>
          </w:tcPr>
          <w:p>
            <w:pPr>
              <w:spacing w:after="0"/>
              <w:rPr>
                <w:sz w:val="9"/>
                <w:szCs w:val="9"/>
                <w:color w:val="auto"/>
              </w:rPr>
            </w:pPr>
          </w:p>
        </w:tc>
        <w:tc>
          <w:tcPr>
            <w:tcW w:w="500" w:type="dxa"/>
            <w:vAlign w:val="bottom"/>
          </w:tcPr>
          <w:p>
            <w:pPr>
              <w:jc w:val="right"/>
              <w:ind w:right="47"/>
              <w:spacing w:after="0" w:line="106"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jc w:val="right"/>
              <w:spacing w:after="0" w:line="106" w:lineRule="exact"/>
              <w:rPr>
                <w:sz w:val="20"/>
                <w:szCs w:val="20"/>
                <w:color w:val="auto"/>
              </w:rPr>
            </w:pPr>
            <w:r>
              <w:rPr>
                <w:rFonts w:ascii="Arial" w:cs="Arial" w:eastAsia="Arial" w:hAnsi="Arial"/>
                <w:sz w:val="11"/>
                <w:szCs w:val="11"/>
                <w:color w:val="auto"/>
              </w:rPr>
              <w:t>(63,814)</w:t>
            </w: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Issuance of Class A</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83"/>
              </w:rPr>
              <w:t>48,076,924</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90"/>
              </w:rPr>
              <w:t>735,973</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735,974</w:t>
            </w: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735,974</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common stock</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Issuance of common</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stock in connection</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with employee</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w w:val="93"/>
              </w:rPr>
              <w:t>1,355,763</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40" w:type="dxa"/>
            <w:vAlign w:val="bottom"/>
          </w:tcPr>
          <w:p>
            <w:pPr>
              <w:ind w:left="120"/>
              <w:spacing w:after="0"/>
              <w:rPr>
                <w:sz w:val="20"/>
                <w:szCs w:val="20"/>
                <w:color w:val="auto"/>
              </w:rPr>
            </w:pPr>
            <w:r>
              <w:rPr>
                <w:rFonts w:ascii="Arial" w:cs="Arial" w:eastAsia="Arial" w:hAnsi="Arial"/>
                <w:sz w:val="11"/>
                <w:szCs w:val="11"/>
                <w:color w:val="auto"/>
              </w:rPr>
              <w:t>exchanges</w:t>
            </w: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Borders>
              <w:right w:val="single" w:sz="8" w:color="CCEEFF"/>
            </w:tcBorders>
            <w:shd w:val="clear" w:color="auto" w:fill="CCEEFF"/>
          </w:tcPr>
          <w:p>
            <w:pPr>
              <w:ind w:left="120"/>
              <w:spacing w:after="0" w:line="83" w:lineRule="exact"/>
              <w:rPr>
                <w:sz w:val="20"/>
                <w:szCs w:val="20"/>
                <w:color w:val="auto"/>
              </w:rPr>
            </w:pPr>
            <w:r>
              <w:rPr>
                <w:rFonts w:ascii="Arial" w:cs="Arial" w:eastAsia="Arial" w:hAnsi="Arial"/>
                <w:sz w:val="8"/>
                <w:szCs w:val="8"/>
                <w:color w:val="auto"/>
              </w:rPr>
              <w:t>Repurchase of Virtu</w:t>
            </w: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62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60" w:type="dxa"/>
            <w:vAlign w:val="bottom"/>
            <w:tcBorders>
              <w:right w:val="single" w:sz="8" w:color="CCEEFF"/>
            </w:tcBorders>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6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tcBorders>
              <w:righ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Financial Units and</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w w:val="89"/>
              </w:rPr>
              <w:t>corresponding number</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of Class C common</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stock in connection</w:t>
            </w: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62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shd w:val="clear" w:color="auto" w:fill="CCEEFF"/>
          </w:tcPr>
          <w:p>
            <w:pPr>
              <w:spacing w:after="0"/>
              <w:rPr>
                <w:sz w:val="9"/>
                <w:szCs w:val="9"/>
                <w:color w:val="auto"/>
              </w:rPr>
            </w:pPr>
          </w:p>
        </w:tc>
        <w:tc>
          <w:tcPr>
            <w:tcW w:w="6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Borders>
              <w:right w:val="single" w:sz="8" w:color="CCEEFF"/>
            </w:tcBorders>
            <w:shd w:val="clear" w:color="auto" w:fill="CCEEFF"/>
          </w:tcPr>
          <w:p>
            <w:pPr>
              <w:ind w:left="120"/>
              <w:spacing w:after="0" w:line="106" w:lineRule="exact"/>
              <w:rPr>
                <w:sz w:val="20"/>
                <w:szCs w:val="20"/>
                <w:color w:val="auto"/>
              </w:rPr>
            </w:pPr>
            <w:r>
              <w:rPr>
                <w:rFonts w:ascii="Arial" w:cs="Arial" w:eastAsia="Arial" w:hAnsi="Arial"/>
                <w:sz w:val="11"/>
                <w:szCs w:val="11"/>
                <w:color w:val="auto"/>
              </w:rPr>
              <w:t>with employee</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95"/>
              </w:rPr>
              <w:t>(1,355,763)</w:t>
            </w: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exchanges</w:t>
            </w: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6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tcBorders>
              <w:right w:val="single" w:sz="8" w:color="CCEEFF"/>
            </w:tcBorders>
            <w:vMerge w:val="continue"/>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tcBorders>
              <w:right w:val="single" w:sz="8" w:color="CCEEFF"/>
            </w:tcBorders>
            <w:vMerge w:val="continue"/>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600" w:type="dxa"/>
            <w:vAlign w:val="bottom"/>
            <w:tcBorders>
              <w:right w:val="single" w:sz="8" w:color="CCEEFF"/>
            </w:tcBorders>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140" w:type="dxa"/>
            <w:vAlign w:val="bottom"/>
          </w:tcPr>
          <w:p>
            <w:pPr>
              <w:ind w:left="120"/>
              <w:spacing w:after="0" w:line="83" w:lineRule="exact"/>
              <w:rPr>
                <w:sz w:val="20"/>
                <w:szCs w:val="20"/>
                <w:color w:val="auto"/>
              </w:rPr>
            </w:pPr>
            <w:r>
              <w:rPr>
                <w:rFonts w:ascii="Arial" w:cs="Arial" w:eastAsia="Arial" w:hAnsi="Arial"/>
                <w:sz w:val="8"/>
                <w:szCs w:val="8"/>
                <w:color w:val="auto"/>
              </w:rPr>
              <w:t>Issuance of tax</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w w:val="88"/>
              </w:rPr>
              <w:t>receivable agreements</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40" w:type="dxa"/>
            <w:vAlign w:val="bottom"/>
          </w:tcPr>
          <w:p>
            <w:pPr>
              <w:ind w:left="120"/>
              <w:spacing w:after="0" w:line="106" w:lineRule="exact"/>
              <w:rPr>
                <w:sz w:val="20"/>
                <w:szCs w:val="20"/>
                <w:color w:val="auto"/>
              </w:rPr>
            </w:pPr>
            <w:r>
              <w:rPr>
                <w:rFonts w:ascii="Arial" w:cs="Arial" w:eastAsia="Arial" w:hAnsi="Arial"/>
                <w:sz w:val="11"/>
                <w:szCs w:val="11"/>
                <w:color w:val="auto"/>
              </w:rPr>
              <w:t>in connection with</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Arial" w:cs="Arial" w:eastAsia="Arial" w:hAnsi="Arial"/>
                <w:sz w:val="11"/>
                <w:szCs w:val="11"/>
                <w:color w:val="auto"/>
              </w:rPr>
              <w:t>—</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vMerge w:val="restart"/>
          </w:tcPr>
          <w:p>
            <w:pPr>
              <w:jc w:val="right"/>
              <w:ind w:right="27"/>
              <w:spacing w:after="0"/>
              <w:rPr>
                <w:sz w:val="20"/>
                <w:szCs w:val="20"/>
                <w:color w:val="auto"/>
              </w:rPr>
            </w:pPr>
            <w:r>
              <w:rPr>
                <w:rFonts w:ascii="Arial" w:cs="Arial" w:eastAsia="Arial" w:hAnsi="Arial"/>
                <w:sz w:val="11"/>
                <w:szCs w:val="11"/>
                <w:color w:val="auto"/>
              </w:rPr>
              <w:t>1,534</w:t>
            </w: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2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48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6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28"/>
              <w:spacing w:after="0"/>
              <w:rPr>
                <w:sz w:val="20"/>
                <w:szCs w:val="20"/>
                <w:color w:val="auto"/>
              </w:rPr>
            </w:pPr>
            <w:r>
              <w:rPr>
                <w:rFonts w:ascii="Arial" w:cs="Arial" w:eastAsia="Arial" w:hAnsi="Arial"/>
                <w:sz w:val="11"/>
                <w:szCs w:val="11"/>
                <w:color w:val="auto"/>
              </w:rPr>
              <w:t>1,534</w:t>
            </w:r>
          </w:p>
        </w:tc>
        <w:tc>
          <w:tcPr>
            <w:tcW w:w="80" w:type="dxa"/>
            <w:vAlign w:val="bottom"/>
          </w:tcPr>
          <w:p>
            <w:pPr>
              <w:spacing w:after="0"/>
              <w:rPr>
                <w:sz w:val="9"/>
                <w:szCs w:val="9"/>
                <w:color w:val="auto"/>
              </w:rPr>
            </w:pPr>
          </w:p>
        </w:tc>
        <w:tc>
          <w:tcPr>
            <w:tcW w:w="500" w:type="dxa"/>
            <w:vAlign w:val="bottom"/>
            <w:vMerge w:val="restart"/>
          </w:tcPr>
          <w:p>
            <w:pPr>
              <w:jc w:val="right"/>
              <w:ind w:right="4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vMerge w:val="restart"/>
          </w:tcPr>
          <w:p>
            <w:pPr>
              <w:jc w:val="right"/>
              <w:ind w:right="7"/>
              <w:spacing w:after="0"/>
              <w:rPr>
                <w:sz w:val="20"/>
                <w:szCs w:val="20"/>
                <w:color w:val="auto"/>
              </w:rPr>
            </w:pPr>
            <w:r>
              <w:rPr>
                <w:rFonts w:ascii="Arial" w:cs="Arial" w:eastAsia="Arial" w:hAnsi="Arial"/>
                <w:sz w:val="11"/>
                <w:szCs w:val="11"/>
                <w:color w:val="auto"/>
              </w:rPr>
              <w:t>1,534</w:t>
            </w:r>
          </w:p>
        </w:tc>
        <w:tc>
          <w:tcPr>
            <w:tcW w:w="0" w:type="dxa"/>
            <w:vAlign w:val="bottom"/>
          </w:tcPr>
          <w:p>
            <w:pPr>
              <w:spacing w:after="0"/>
              <w:rPr>
                <w:sz w:val="1"/>
                <w:szCs w:val="1"/>
                <w:color w:val="auto"/>
              </w:rPr>
            </w:pPr>
          </w:p>
        </w:tc>
      </w:tr>
      <w:tr>
        <w:trPr>
          <w:trHeight w:val="129"/>
        </w:trPr>
        <w:tc>
          <w:tcPr>
            <w:tcW w:w="114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w w:val="99"/>
              </w:rPr>
              <w:t>employee exchange</w:t>
            </w:r>
          </w:p>
        </w:tc>
        <w:tc>
          <w:tcPr>
            <w:tcW w:w="5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140" w:type="dxa"/>
            <w:vAlign w:val="bottom"/>
            <w:tcBorders>
              <w:right w:val="single" w:sz="8" w:color="CCEEFF"/>
            </w:tcBorders>
            <w:shd w:val="clear" w:color="auto" w:fill="CCEEFF"/>
          </w:tcPr>
          <w:p>
            <w:pPr>
              <w:ind w:left="20"/>
              <w:spacing w:after="0" w:line="63" w:lineRule="exact"/>
              <w:rPr>
                <w:sz w:val="20"/>
                <w:szCs w:val="20"/>
                <w:color w:val="auto"/>
              </w:rPr>
            </w:pPr>
            <w:r>
              <w:rPr>
                <w:rFonts w:ascii="Arial" w:cs="Arial" w:eastAsia="Arial" w:hAnsi="Arial"/>
                <w:sz w:val="7"/>
                <w:szCs w:val="7"/>
                <w:color w:val="auto"/>
              </w:rPr>
              <w:t>Balance at December 31,</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83"/>
              </w:rPr>
              <w:t>90,415,532</w:t>
            </w: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6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90"/>
              </w:rPr>
              <w:t>17,880,239</w:t>
            </w: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83"/>
              </w:rPr>
              <w:t>79,610,490</w:t>
            </w: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89"/>
              </w:rPr>
              <w:t>(616,923)</w:t>
            </w: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82"/>
              </w:rPr>
              <w:t>(11,041)</w:t>
            </w: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w w:val="90"/>
              </w:rPr>
              <w:t>900,746</w:t>
            </w:r>
          </w:p>
        </w:tc>
        <w:tc>
          <w:tcPr>
            <w:tcW w:w="56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5"/>
                <w:szCs w:val="5"/>
                <w:color w:val="auto"/>
              </w:rPr>
            </w:pPr>
          </w:p>
        </w:tc>
        <w:tc>
          <w:tcPr>
            <w:tcW w:w="42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60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5"/>
                <w:szCs w:val="5"/>
                <w:color w:val="auto"/>
              </w:rPr>
            </w:pPr>
          </w:p>
        </w:tc>
        <w:tc>
          <w:tcPr>
            <w:tcW w:w="48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5"/>
                <w:szCs w:val="5"/>
                <w:color w:val="auto"/>
              </w:rPr>
            </w:pPr>
          </w:p>
        </w:tc>
        <w:tc>
          <w:tcPr>
            <w:tcW w:w="5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(62,129)</w:t>
            </w:r>
          </w:p>
        </w:tc>
        <w:tc>
          <w:tcPr>
            <w:tcW w:w="120" w:type="dxa"/>
            <w:vAlign w:val="bottom"/>
            <w:shd w:val="clear" w:color="auto" w:fill="CCEEFF"/>
          </w:tcPr>
          <w:p>
            <w:pPr>
              <w:spacing w:after="0"/>
              <w:rPr>
                <w:sz w:val="5"/>
                <w:szCs w:val="5"/>
                <w:color w:val="auto"/>
              </w:rPr>
            </w:pPr>
          </w:p>
        </w:tc>
        <w:tc>
          <w:tcPr>
            <w:tcW w:w="640" w:type="dxa"/>
            <w:vAlign w:val="bottom"/>
            <w:tcBorders>
              <w:right w:val="single" w:sz="8" w:color="CCEEFF"/>
            </w:tcBorders>
            <w:vMerge w:val="restart"/>
            <w:shd w:val="clear" w:color="auto" w:fill="CCEEFF"/>
          </w:tcPr>
          <w:p>
            <w:pPr>
              <w:jc w:val="right"/>
              <w:ind w:right="27"/>
              <w:spacing w:after="0"/>
              <w:rPr>
                <w:sz w:val="20"/>
                <w:szCs w:val="20"/>
                <w:color w:val="auto"/>
              </w:rPr>
            </w:pPr>
            <w:r>
              <w:rPr>
                <w:rFonts w:ascii="Arial" w:cs="Arial" w:eastAsia="Arial" w:hAnsi="Arial"/>
                <w:sz w:val="11"/>
                <w:szCs w:val="11"/>
                <w:color w:val="auto"/>
              </w:rPr>
              <w:t>2,991</w:t>
            </w:r>
          </w:p>
        </w:tc>
        <w:tc>
          <w:tcPr>
            <w:tcW w:w="80" w:type="dxa"/>
            <w:vAlign w:val="bottom"/>
            <w:shd w:val="clear" w:color="auto" w:fill="CCEEFF"/>
          </w:tcPr>
          <w:p>
            <w:pPr>
              <w:spacing w:after="0"/>
              <w:rPr>
                <w:sz w:val="5"/>
                <w:szCs w:val="5"/>
                <w:color w:val="auto"/>
              </w:rPr>
            </w:pPr>
          </w:p>
        </w:tc>
        <w:tc>
          <w:tcPr>
            <w:tcW w:w="58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Arial" w:cs="Arial" w:eastAsia="Arial" w:hAnsi="Arial"/>
                <w:sz w:val="11"/>
                <w:szCs w:val="11"/>
                <w:color w:val="auto"/>
              </w:rPr>
              <w:t>830,569</w:t>
            </w:r>
          </w:p>
        </w:tc>
        <w:tc>
          <w:tcPr>
            <w:tcW w:w="80" w:type="dxa"/>
            <w:vAlign w:val="bottom"/>
            <w:shd w:val="clear" w:color="auto" w:fill="CCEEFF"/>
          </w:tcPr>
          <w:p>
            <w:pPr>
              <w:spacing w:after="0"/>
              <w:rPr>
                <w:sz w:val="5"/>
                <w:szCs w:val="5"/>
                <w:color w:val="auto"/>
              </w:rPr>
            </w:pPr>
          </w:p>
        </w:tc>
        <w:tc>
          <w:tcPr>
            <w:tcW w:w="500" w:type="dxa"/>
            <w:vAlign w:val="bottom"/>
            <w:tcBorders>
              <w:right w:val="single" w:sz="8" w:color="CCEEFF"/>
            </w:tcBorders>
            <w:vMerge w:val="restart"/>
            <w:shd w:val="clear" w:color="auto" w:fill="CCEEFF"/>
          </w:tcPr>
          <w:p>
            <w:pPr>
              <w:jc w:val="right"/>
              <w:ind w:right="47"/>
              <w:spacing w:after="0"/>
              <w:rPr>
                <w:sz w:val="20"/>
                <w:szCs w:val="20"/>
                <w:color w:val="auto"/>
              </w:rPr>
            </w:pPr>
            <w:r>
              <w:rPr>
                <w:rFonts w:ascii="Arial" w:cs="Arial" w:eastAsia="Arial" w:hAnsi="Arial"/>
                <w:sz w:val="11"/>
                <w:szCs w:val="11"/>
                <w:color w:val="auto"/>
                <w:w w:val="95"/>
              </w:rPr>
              <w:t>321,009</w:t>
            </w: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80" w:type="dxa"/>
            <w:vAlign w:val="bottom"/>
            <w:tcBorders>
              <w:right w:val="single" w:sz="8" w:color="CCEEFF"/>
            </w:tcBorders>
            <w:vMerge w:val="restart"/>
            <w:shd w:val="clear" w:color="auto" w:fill="CCEEFF"/>
          </w:tcPr>
          <w:p>
            <w:pPr>
              <w:jc w:val="right"/>
              <w:ind w:right="7"/>
              <w:spacing w:after="0"/>
              <w:rPr>
                <w:sz w:val="20"/>
                <w:szCs w:val="20"/>
                <w:color w:val="auto"/>
              </w:rPr>
            </w:pPr>
            <w:r>
              <w:rPr>
                <w:rFonts w:ascii="Arial" w:cs="Arial" w:eastAsia="Arial" w:hAnsi="Arial"/>
                <w:sz w:val="11"/>
                <w:szCs w:val="11"/>
                <w:color w:val="auto"/>
                <w:w w:val="81"/>
              </w:rPr>
              <w:t>1,151,578</w:t>
            </w:r>
          </w:p>
        </w:tc>
        <w:tc>
          <w:tcPr>
            <w:tcW w:w="0" w:type="dxa"/>
            <w:vAlign w:val="bottom"/>
          </w:tcPr>
          <w:p>
            <w:pPr>
              <w:spacing w:after="0"/>
              <w:rPr>
                <w:sz w:val="1"/>
                <w:szCs w:val="1"/>
                <w:color w:val="auto"/>
              </w:rPr>
            </w:pPr>
          </w:p>
        </w:tc>
      </w:tr>
      <w:tr>
        <w:trPr>
          <w:trHeight w:val="116"/>
        </w:trPr>
        <w:tc>
          <w:tcPr>
            <w:tcW w:w="1140" w:type="dxa"/>
            <w:vAlign w:val="bottom"/>
            <w:tcBorders>
              <w:right w:val="single" w:sz="8" w:color="CCEEFF"/>
            </w:tcBorders>
            <w:shd w:val="clear" w:color="auto" w:fill="CCEEFF"/>
          </w:tcPr>
          <w:p>
            <w:pPr>
              <w:ind w:left="20"/>
              <w:spacing w:after="0" w:line="116" w:lineRule="exact"/>
              <w:rPr>
                <w:sz w:val="20"/>
                <w:szCs w:val="20"/>
                <w:color w:val="auto"/>
              </w:rPr>
            </w:pPr>
            <w:r>
              <w:rPr>
                <w:rFonts w:ascii="Arial" w:cs="Arial" w:eastAsia="Arial" w:hAnsi="Arial"/>
                <w:sz w:val="11"/>
                <w:szCs w:val="11"/>
                <w:color w:val="auto"/>
              </w:rPr>
              <w:t>2017</w:t>
            </w:r>
          </w:p>
        </w:tc>
        <w:tc>
          <w:tcPr>
            <w:tcW w:w="56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tcBorders>
              <w:right w:val="single" w:sz="8" w:color="CCEEFF"/>
            </w:tcBorders>
            <w:vMerge w:val="continue"/>
            <w:shd w:val="clear" w:color="auto" w:fill="CCEEFF"/>
          </w:tcPr>
          <w:p>
            <w:pPr>
              <w:spacing w:after="0"/>
              <w:rPr>
                <w:sz w:val="10"/>
                <w:szCs w:val="10"/>
                <w:color w:val="auto"/>
              </w:rPr>
            </w:pPr>
          </w:p>
        </w:tc>
        <w:tc>
          <w:tcPr>
            <w:tcW w:w="620" w:type="dxa"/>
            <w:vAlign w:val="bottom"/>
            <w:tcBorders>
              <w:right w:val="single" w:sz="8" w:color="CCEEFF"/>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56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tcBorders>
              <w:right w:val="single" w:sz="8" w:color="CCEEFF"/>
            </w:tcBorders>
            <w:vMerge w:val="continue"/>
            <w:shd w:val="clear" w:color="auto" w:fill="CCEEFF"/>
          </w:tcPr>
          <w:p>
            <w:pPr>
              <w:spacing w:after="0"/>
              <w:rPr>
                <w:sz w:val="10"/>
                <w:szCs w:val="10"/>
                <w:color w:val="auto"/>
              </w:rPr>
            </w:pPr>
          </w:p>
        </w:tc>
        <w:tc>
          <w:tcPr>
            <w:tcW w:w="48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60" w:type="dxa"/>
            <w:vAlign w:val="bottom"/>
            <w:tcBorders>
              <w:right w:val="single" w:sz="8" w:color="CCEEFF"/>
            </w:tcBorders>
            <w:vMerge w:val="continue"/>
            <w:shd w:val="clear" w:color="auto" w:fill="CCEEFF"/>
          </w:tcPr>
          <w:p>
            <w:pPr>
              <w:spacing w:after="0"/>
              <w:rPr>
                <w:sz w:val="10"/>
                <w:szCs w:val="10"/>
                <w:color w:val="auto"/>
              </w:rPr>
            </w:pPr>
          </w:p>
        </w:tc>
        <w:tc>
          <w:tcPr>
            <w:tcW w:w="56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right w:val="single" w:sz="8" w:color="CCEEFF"/>
            </w:tcBorders>
            <w:vMerge w:val="continue"/>
            <w:shd w:val="clear" w:color="auto" w:fill="CCEEFF"/>
          </w:tcPr>
          <w:p>
            <w:pPr>
              <w:spacing w:after="0"/>
              <w:rPr>
                <w:sz w:val="10"/>
                <w:szCs w:val="10"/>
                <w:color w:val="auto"/>
              </w:rPr>
            </w:pPr>
          </w:p>
        </w:tc>
        <w:tc>
          <w:tcPr>
            <w:tcW w:w="60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CCEEFF"/>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tcBorders>
              <w:right w:val="single" w:sz="8" w:color="CCEEFF"/>
            </w:tcBorders>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CCEEFF"/>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tcBorders>
              <w:right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140" w:type="dxa"/>
            <w:vAlign w:val="bottom"/>
            <w:tcBorders>
              <w:right w:val="single" w:sz="8" w:color="CCEEFF"/>
            </w:tcBorders>
            <w:shd w:val="clear" w:color="auto" w:fill="CCEEFF"/>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620" w:top="127" w:right="139" w:bottom="0" w:gutter="0" w:footer="0" w:header="0"/>
        </w:sectPr>
      </w:pPr>
    </w:p>
    <w:bookmarkStart w:id="85" w:name="page86"/>
    <w:bookmarkEnd w:id="85"/>
    <w:p>
      <w:pPr>
        <w:jc w:val="center"/>
        <w:spacing w:after="0"/>
        <w:rPr>
          <w:sz w:val="20"/>
          <w:szCs w:val="20"/>
          <w:color w:val="auto"/>
        </w:rPr>
      </w:pPr>
      <w:r>
        <w:rPr>
          <w:rFonts w:ascii="Arial" w:cs="Arial" w:eastAsia="Arial" w:hAnsi="Arial"/>
          <w:sz w:val="10"/>
          <w:szCs w:val="10"/>
          <w:color w:val="auto"/>
        </w:rPr>
        <w:t>See accompanying notes to the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-514350</wp:posOffset>
            </wp:positionH>
            <wp:positionV relativeFrom="paragraph">
              <wp:posOffset>99695</wp:posOffset>
            </wp:positionV>
            <wp:extent cx="67621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621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tbl>
      <w:tblPr>
        <w:tblLayout w:type="fixed"/>
        <w:tblInd w:w="0" w:type="dxa"/>
        <w:tblCellMar>
          <w:top w:w="0" w:type="dxa"/>
          <w:left w:w="0" w:type="dxa"/>
          <w:bottom w:w="0" w:type="dxa"/>
          <w:right w:w="0" w:type="dxa"/>
        </w:tblCellMar>
      </w:tblPr>
      <w:tr>
        <w:trPr>
          <w:trHeight w:val="142"/>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2600" w:type="dxa"/>
            <w:vAlign w:val="bottom"/>
            <w:gridSpan w:val="6"/>
          </w:tcPr>
          <w:p>
            <w:pPr>
              <w:jc w:val="right"/>
              <w:ind w:right="10"/>
              <w:spacing w:after="0" w:line="142" w:lineRule="exact"/>
              <w:rPr>
                <w:sz w:val="20"/>
                <w:szCs w:val="20"/>
                <w:color w:val="auto"/>
              </w:rPr>
            </w:pPr>
            <w:r>
              <w:rPr>
                <w:rFonts w:ascii="Arial" w:cs="Arial" w:eastAsia="Arial" w:hAnsi="Arial"/>
                <w:sz w:val="14"/>
                <w:szCs w:val="14"/>
                <w:b w:val="1"/>
                <w:bCs w:val="1"/>
                <w:color w:val="auto"/>
              </w:rPr>
              <w:t>For the Years ended December 31,</w:t>
            </w:r>
          </w:p>
        </w:tc>
        <w:tc>
          <w:tcPr>
            <w:tcW w:w="66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7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Cash flows from operating activities</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49"/>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18,898</w:t>
            </w:r>
          </w:p>
        </w:tc>
        <w:tc>
          <w:tcPr>
            <w:tcW w:w="3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158,340</w:t>
            </w:r>
          </w:p>
        </w:tc>
        <w:tc>
          <w:tcPr>
            <w:tcW w:w="3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197,490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47,327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29,703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33,629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15,447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211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211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Debt issue cost related to debt refinancing</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10,460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5,579</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Amortization of debt issuance costs and deferred financing fees</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5,822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1,690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1,755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Termination of office leases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3,671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Share based compensation</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26,259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22,866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61,878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Reserve for legal matters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5,440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Equipment writeoff</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1,216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428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559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Tax receivable agreement obligation reduction</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(86,599)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Deferred taxes</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102,973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13,313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3,985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(4,577)</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(1,070)</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Securities borrowed</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155,277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233,291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31,638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Securities purchased under agreements to resell</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16,894</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14,981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16,482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Receivables from broker dealers and clearing organizations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26,145</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27,808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(88,884)</w:t>
            </w:r>
          </w:p>
        </w:tc>
        <w:tc>
          <w:tcPr>
            <w:tcW w:w="0" w:type="dxa"/>
            <w:vAlign w:val="bottom"/>
          </w:tcPr>
          <w:p>
            <w:pPr>
              <w:spacing w:after="0"/>
              <w:rPr>
                <w:sz w:val="1"/>
                <w:szCs w:val="1"/>
                <w:color w:val="auto"/>
              </w:rPr>
            </w:pPr>
          </w:p>
        </w:tc>
      </w:tr>
      <w:tr>
        <w:trPr>
          <w:trHeight w:val="146"/>
        </w:trPr>
        <w:tc>
          <w:tcPr>
            <w:tcW w:w="68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Trading assets, at fair value</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1,210,599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(530,668)</w:t>
            </w: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247,094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44,494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772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(5,796)</w:t>
            </w:r>
          </w:p>
        </w:tc>
        <w:tc>
          <w:tcPr>
            <w:tcW w:w="0" w:type="dxa"/>
            <w:vAlign w:val="bottom"/>
          </w:tcPr>
          <w:p>
            <w:pPr>
              <w:spacing w:after="0"/>
              <w:rPr>
                <w:sz w:val="1"/>
                <w:szCs w:val="1"/>
                <w:color w:val="auto"/>
              </w:rPr>
            </w:pPr>
          </w:p>
        </w:tc>
      </w:tr>
      <w:tr>
        <w:trPr>
          <w:trHeight w:val="146"/>
        </w:trPr>
        <w:tc>
          <w:tcPr>
            <w:tcW w:w="68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Securities loaned</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366,295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(302,400)</w:t>
            </w:r>
          </w:p>
        </w:tc>
        <w:tc>
          <w:tcPr>
            <w:tcW w:w="28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26,741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Securities sold under agreements to repurchase</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(450,964)</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46"/>
        </w:trPr>
        <w:tc>
          <w:tcPr>
            <w:tcW w:w="68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Payables to broker dealers and clearing organizations</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(516,376)</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209,374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(199,599)</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4"/>
                <w:szCs w:val="14"/>
                <w:color w:val="auto"/>
              </w:rPr>
              <w:t>Trading liabilities, at fair value</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(721,204)</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370,065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(58,544)</w:t>
            </w:r>
          </w:p>
        </w:tc>
        <w:tc>
          <w:tcPr>
            <w:tcW w:w="0" w:type="dxa"/>
            <w:vAlign w:val="bottom"/>
          </w:tcPr>
          <w:p>
            <w:pPr>
              <w:spacing w:after="0"/>
              <w:rPr>
                <w:sz w:val="1"/>
                <w:szCs w:val="1"/>
                <w:color w:val="auto"/>
              </w:rPr>
            </w:pPr>
          </w:p>
        </w:tc>
      </w:tr>
      <w:tr>
        <w:trPr>
          <w:trHeight w:val="146"/>
        </w:trPr>
        <w:tc>
          <w:tcPr>
            <w:tcW w:w="6820" w:type="dxa"/>
            <w:vAlign w:val="bottom"/>
            <w:gridSpan w:val="2"/>
          </w:tcPr>
          <w:p>
            <w:pPr>
              <w:ind w:left="220"/>
              <w:spacing w:after="0" w:line="145" w:lineRule="exact"/>
              <w:rPr>
                <w:sz w:val="20"/>
                <w:szCs w:val="20"/>
                <w:color w:val="auto"/>
              </w:rPr>
            </w:pPr>
            <w:r>
              <w:rPr>
                <w:rFonts w:ascii="Arial" w:cs="Arial" w:eastAsia="Arial" w:hAnsi="Arial"/>
                <w:sz w:val="14"/>
                <w:szCs w:val="14"/>
                <w:color w:val="auto"/>
              </w:rPr>
              <w:t>Accounts payable and accrued expenses and other liabilities</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17,860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(14,684)</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(13,392)</w:t>
            </w:r>
          </w:p>
        </w:tc>
        <w:tc>
          <w:tcPr>
            <w:tcW w:w="0" w:type="dxa"/>
            <w:vAlign w:val="bottom"/>
          </w:tcPr>
          <w:p>
            <w:pPr>
              <w:spacing w:after="0"/>
              <w:rPr>
                <w:sz w:val="1"/>
                <w:szCs w:val="1"/>
                <w:color w:val="auto"/>
              </w:rPr>
            </w:pPr>
          </w:p>
        </w:tc>
      </w:tr>
      <w:tr>
        <w:trPr>
          <w:trHeight w:val="139"/>
        </w:trPr>
        <w:tc>
          <w:tcPr>
            <w:tcW w:w="6820" w:type="dxa"/>
            <w:vAlign w:val="bottom"/>
            <w:tcBorders>
              <w:top w:val="single" w:sz="8" w:color="CCEEFF"/>
            </w:tcBorders>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290,574</w:t>
            </w:r>
          </w:p>
        </w:tc>
        <w:tc>
          <w:tcPr>
            <w:tcW w:w="3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239,599</w:t>
            </w: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260,280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Development of capitalized software</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(14,158)</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(8,404)</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(8,028)</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Acquisition of property and equipment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(18,932)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(11,859)</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(16,271)</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Investment in SBI Japannext</w:t>
            </w:r>
          </w:p>
        </w:tc>
        <w:tc>
          <w:tcPr>
            <w:tcW w:w="200" w:type="dxa"/>
            <w:vAlign w:val="bottom"/>
          </w:tcPr>
          <w:p>
            <w:pPr>
              <w:spacing w:after="0"/>
              <w:rPr>
                <w:sz w:val="12"/>
                <w:szCs w:val="12"/>
                <w:color w:val="auto"/>
              </w:rPr>
            </w:pPr>
          </w:p>
        </w:tc>
        <w:tc>
          <w:tcPr>
            <w:tcW w:w="106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(38,754)</w:t>
            </w:r>
          </w:p>
        </w:tc>
        <w:tc>
          <w:tcPr>
            <w:tcW w:w="280" w:type="dxa"/>
            <w:vAlign w:val="bottom"/>
          </w:tcPr>
          <w:p>
            <w:pPr>
              <w:spacing w:after="0"/>
              <w:rPr>
                <w:sz w:val="12"/>
                <w:szCs w:val="12"/>
                <w:color w:val="auto"/>
              </w:rPr>
            </w:pP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Acquisition of KCG Holdings, net of cash acquired, described in Note 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(799,632)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Acquisition of Teza Technologies</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(5,594)</w:t>
            </w:r>
          </w:p>
        </w:tc>
        <w:tc>
          <w:tcPr>
            <w:tcW w:w="200" w:type="dxa"/>
            <w:vAlign w:val="bottom"/>
          </w:tcPr>
          <w:p>
            <w:pPr>
              <w:spacing w:after="0"/>
              <w:rPr>
                <w:sz w:val="12"/>
                <w:szCs w:val="12"/>
                <w:color w:val="auto"/>
              </w:rPr>
            </w:pPr>
          </w:p>
        </w:tc>
        <w:tc>
          <w:tcPr>
            <w:tcW w:w="106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Proceeds from sale of DMM business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300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6820" w:type="dxa"/>
            <w:vAlign w:val="bottom"/>
            <w:gridSpan w:val="2"/>
          </w:tcPr>
          <w:p>
            <w:pPr>
              <w:ind w:left="320"/>
              <w:spacing w:after="0" w:line="13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(838,016)</w:t>
            </w: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(59,017)</w:t>
            </w: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(24,299)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Distribution to members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(130,000)</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Distribution from Virtu Financial to non-controlling interest</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(89,563)</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(162,969)</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(81,377)</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Dividends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(63,814)</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(37,759)</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(17,362)</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Repurchase of Class A-2 interests</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(11,143)</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Repurchase of Class C common stock</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(98)</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Purchase of treasury stock</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(2,683)</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(4,539)</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(3,819)</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Short-term borrowings, net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7,000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(20,000)</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Proceeds from long-term borrowings</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1,115,036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75,753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Repayment of senior secured credit facility</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(256,473)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(3,825)</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Repayment of KCG Notes</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(480,987)</w:t>
            </w:r>
          </w:p>
        </w:tc>
        <w:tc>
          <w:tcPr>
            <w:tcW w:w="200" w:type="dxa"/>
            <w:vAlign w:val="bottom"/>
          </w:tcPr>
          <w:p>
            <w:pPr>
              <w:spacing w:after="0"/>
              <w:rPr>
                <w:sz w:val="12"/>
                <w:szCs w:val="12"/>
                <w:color w:val="auto"/>
              </w:rPr>
            </w:pPr>
          </w:p>
        </w:tc>
        <w:tc>
          <w:tcPr>
            <w:tcW w:w="1060" w:type="dxa"/>
            <w:vAlign w:val="bottom"/>
            <w:gridSpan w:val="2"/>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Tax receivable agreement obligations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(7,045)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Debt issuance costs</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(56,505)</w:t>
            </w: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(5,094)</w:t>
            </w:r>
          </w:p>
        </w:tc>
        <w:tc>
          <w:tcPr>
            <w:tcW w:w="280" w:type="dxa"/>
            <w:vAlign w:val="bottom"/>
          </w:tcPr>
          <w:p>
            <w:pPr>
              <w:spacing w:after="0"/>
              <w:rPr>
                <w:sz w:val="12"/>
                <w:szCs w:val="12"/>
                <w:color w:val="auto"/>
              </w:rPr>
            </w:pPr>
          </w:p>
        </w:tc>
        <w:tc>
          <w:tcPr>
            <w:tcW w:w="7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Issuance of common stock, net of offering costs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735,974</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327,366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20" w:type="dxa"/>
            <w:vAlign w:val="bottom"/>
            <w:gridSpan w:val="2"/>
          </w:tcPr>
          <w:p>
            <w:pPr>
              <w:ind w:left="120"/>
              <w:spacing w:after="0" w:line="127" w:lineRule="exact"/>
              <w:rPr>
                <w:sz w:val="20"/>
                <w:szCs w:val="20"/>
                <w:color w:val="auto"/>
              </w:rPr>
            </w:pPr>
            <w:r>
              <w:rPr>
                <w:rFonts w:ascii="Arial" w:cs="Arial" w:eastAsia="Arial" w:hAnsi="Arial"/>
                <w:sz w:val="14"/>
                <w:szCs w:val="14"/>
                <w:color w:val="auto"/>
                <w:w w:val="94"/>
              </w:rPr>
              <w:t>Repurchase of Virtu Financial Units and corresponding number of Class A and C common stock in connection with</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820" w:type="dxa"/>
            <w:vAlign w:val="bottom"/>
            <w:gridSpan w:val="2"/>
          </w:tcPr>
          <w:p>
            <w:pPr>
              <w:ind w:left="120"/>
              <w:spacing w:after="0"/>
              <w:rPr>
                <w:sz w:val="20"/>
                <w:szCs w:val="20"/>
                <w:color w:val="auto"/>
              </w:rPr>
            </w:pPr>
            <w:r>
              <w:rPr>
                <w:rFonts w:ascii="Arial" w:cs="Arial" w:eastAsia="Arial" w:hAnsi="Arial"/>
                <w:sz w:val="14"/>
                <w:szCs w:val="14"/>
                <w:color w:val="auto"/>
              </w:rPr>
              <w:t>secondary offering</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(277,153)</w:t>
            </w: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16,677</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7,782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20" w:type="dxa"/>
            <w:vAlign w:val="bottom"/>
            <w:gridSpan w:val="2"/>
          </w:tcPr>
          <w:p>
            <w:pPr>
              <w:ind w:left="120"/>
              <w:spacing w:after="0" w:line="127" w:lineRule="exact"/>
              <w:rPr>
                <w:sz w:val="20"/>
                <w:szCs w:val="20"/>
                <w:color w:val="auto"/>
              </w:rPr>
            </w:pPr>
            <w:r>
              <w:rPr>
                <w:rFonts w:ascii="Arial" w:cs="Arial" w:eastAsia="Arial" w:hAnsi="Arial"/>
                <w:sz w:val="14"/>
                <w:szCs w:val="14"/>
                <w:color w:val="auto"/>
                <w:w w:val="99"/>
              </w:rPr>
              <w:t>Repurchase of Virtu Financial Units and corresponding number of Class C common stock in connection with</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820" w:type="dxa"/>
            <w:vAlign w:val="bottom"/>
            <w:gridSpan w:val="2"/>
          </w:tcPr>
          <w:p>
            <w:pPr>
              <w:ind w:left="120"/>
              <w:spacing w:after="0"/>
              <w:rPr>
                <w:sz w:val="20"/>
                <w:szCs w:val="20"/>
                <w:color w:val="auto"/>
              </w:rPr>
            </w:pPr>
            <w:r>
              <w:rPr>
                <w:rFonts w:ascii="Arial" w:cs="Arial" w:eastAsia="Arial" w:hAnsi="Arial"/>
                <w:sz w:val="14"/>
                <w:szCs w:val="14"/>
                <w:color w:val="auto"/>
              </w:rPr>
              <w:t>secondary offering</w:t>
            </w:r>
          </w:p>
        </w:tc>
        <w:tc>
          <w:tcPr>
            <w:tcW w:w="2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(17,383)</w:t>
            </w:r>
          </w:p>
        </w:tc>
        <w:tc>
          <w:tcPr>
            <w:tcW w:w="2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(8,805)</w:t>
            </w:r>
          </w:p>
        </w:tc>
        <w:tc>
          <w:tcPr>
            <w:tcW w:w="0" w:type="dxa"/>
            <w:vAlign w:val="bottom"/>
          </w:tcPr>
          <w:p>
            <w:pPr>
              <w:spacing w:after="0"/>
              <w:rPr>
                <w:sz w:val="1"/>
                <w:szCs w:val="1"/>
                <w:color w:val="auto"/>
              </w:rPr>
            </w:pPr>
          </w:p>
        </w:tc>
      </w:tr>
      <w:tr>
        <w:trPr>
          <w:trHeight w:val="139"/>
        </w:trPr>
        <w:tc>
          <w:tcPr>
            <w:tcW w:w="6820" w:type="dxa"/>
            <w:vAlign w:val="bottom"/>
            <w:tcBorders>
              <w:top w:val="single" w:sz="8" w:color="CCEEFF"/>
            </w:tcBorders>
            <w:gridSpan w:val="2"/>
            <w:shd w:val="clear" w:color="auto" w:fill="CCEEFF"/>
          </w:tcPr>
          <w:p>
            <w:pPr>
              <w:ind w:left="320"/>
              <w:spacing w:after="0" w:line="139"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889,797</w:t>
            </w:r>
          </w:p>
        </w:tc>
        <w:tc>
          <w:tcPr>
            <w:tcW w:w="3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(161,237)</w:t>
            </w:r>
          </w:p>
        </w:tc>
        <w:tc>
          <w:tcPr>
            <w:tcW w:w="3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(144,355)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Effect of exchange rate changes on cash and cash equivalents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9,117</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(1,165)</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(4,255)</w:t>
            </w:r>
          </w:p>
        </w:tc>
        <w:tc>
          <w:tcPr>
            <w:tcW w:w="0" w:type="dxa"/>
            <w:vAlign w:val="bottom"/>
          </w:tcPr>
          <w:p>
            <w:pPr>
              <w:spacing w:after="0"/>
              <w:rPr>
                <w:sz w:val="1"/>
                <w:szCs w:val="1"/>
                <w:color w:val="auto"/>
              </w:rPr>
            </w:pPr>
          </w:p>
        </w:tc>
      </w:tr>
      <w:tr>
        <w:trPr>
          <w:trHeight w:val="139"/>
        </w:trPr>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Net increase in cash and cash equivalents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351,472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18,180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87,371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tcBorders>
              <w:bottom w:val="single" w:sz="8" w:color="CCEEFF"/>
            </w:tcBorders>
            <w:gridSpan w:val="2"/>
          </w:tcPr>
          <w:p>
            <w:pPr>
              <w:spacing w:after="0" w:line="145" w:lineRule="exact"/>
              <w:rPr>
                <w:sz w:val="20"/>
                <w:szCs w:val="20"/>
                <w:color w:val="auto"/>
              </w:rPr>
            </w:pPr>
            <w:r>
              <w:rPr>
                <w:rFonts w:ascii="Arial" w:cs="Arial" w:eastAsia="Arial" w:hAnsi="Arial"/>
                <w:sz w:val="14"/>
                <w:szCs w:val="14"/>
                <w:color w:val="auto"/>
              </w:rPr>
              <w:t>Cash and cash equivalents beginning of period</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181,415</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163,235</w:t>
            </w: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75,864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820" w:type="dxa"/>
            <w:vAlign w:val="bottom"/>
            <w:tcBorders>
              <w:bottom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shd w:val="clear" w:color="auto" w:fill="CCEEFF"/>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532,887</w:t>
            </w:r>
          </w:p>
        </w:tc>
        <w:tc>
          <w:tcPr>
            <w:tcW w:w="3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181,415</w:t>
            </w:r>
          </w:p>
        </w:tc>
        <w:tc>
          <w:tcPr>
            <w:tcW w:w="3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163,235</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Supplementary disclosure of cash flow information</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tcPr>
          <w:p>
            <w:pPr>
              <w:ind w:left="120"/>
              <w:spacing w:after="0" w:line="145" w:lineRule="exact"/>
              <w:rPr>
                <w:sz w:val="20"/>
                <w:szCs w:val="20"/>
                <w:color w:val="auto"/>
              </w:rPr>
            </w:pPr>
            <w:r>
              <w:rPr>
                <w:rFonts w:ascii="Arial" w:cs="Arial" w:eastAsia="Arial" w:hAnsi="Arial"/>
                <w:sz w:val="14"/>
                <w:szCs w:val="14"/>
                <w:color w:val="auto"/>
              </w:rPr>
              <w:t>Cash paid for interest</w:t>
            </w:r>
          </w:p>
        </w:tc>
        <w:tc>
          <w:tcPr>
            <w:tcW w:w="200" w:type="dxa"/>
            <w:vAlign w:val="bottom"/>
          </w:tcPr>
          <w:p>
            <w:pPr>
              <w:jc w:val="right"/>
              <w:ind w:right="49"/>
              <w:spacing w:after="0" w:line="14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112,982</w:t>
            </w:r>
          </w:p>
        </w:tc>
        <w:tc>
          <w:tcPr>
            <w:tcW w:w="3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54,872</w:t>
            </w:r>
          </w:p>
        </w:tc>
        <w:tc>
          <w:tcPr>
            <w:tcW w:w="3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63,230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20" w:type="dxa"/>
            <w:vAlign w:val="bottom"/>
            <w:gridSpan w:val="2"/>
            <w:shd w:val="clear" w:color="auto" w:fill="CCEEFF"/>
          </w:tcPr>
          <w:p>
            <w:pPr>
              <w:ind w:left="120"/>
              <w:spacing w:after="0" w:line="145" w:lineRule="exact"/>
              <w:rPr>
                <w:sz w:val="20"/>
                <w:szCs w:val="20"/>
                <w:color w:val="auto"/>
              </w:rPr>
            </w:pPr>
            <w:r>
              <w:rPr>
                <w:rFonts w:ascii="Arial" w:cs="Arial" w:eastAsia="Arial" w:hAnsi="Arial"/>
                <w:sz w:val="14"/>
                <w:szCs w:val="14"/>
                <w:color w:val="auto"/>
              </w:rPr>
              <w:t>Cash paid for taxes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5,976</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16,175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12,875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Non-cash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6602730" cy="927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2730" cy="92710"/>
                    </a:xfrm>
                    <a:prstGeom prst="rect">
                      <a:avLst/>
                    </a:prstGeom>
                    <a:noFill/>
                  </pic:spPr>
                </pic:pic>
              </a:graphicData>
            </a:graphic>
          </wp:anchor>
        </w:drawing>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61098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00"/>
          </w:cols>
          <w:pgMar w:left="740" w:top="127" w:right="75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140" w:type="dxa"/>
            <w:vAlign w:val="bottom"/>
          </w:tcPr>
          <w:p>
            <w:pPr>
              <w:ind w:left="120"/>
              <w:spacing w:after="0"/>
              <w:rPr>
                <w:sz w:val="20"/>
                <w:szCs w:val="20"/>
                <w:color w:val="auto"/>
              </w:rPr>
            </w:pPr>
            <w:r>
              <w:rPr>
                <w:rFonts w:ascii="Arial" w:cs="Arial" w:eastAsia="Arial" w:hAnsi="Arial"/>
                <w:sz w:val="14"/>
                <w:szCs w:val="14"/>
                <w:color w:val="auto"/>
              </w:rPr>
              <w:t>Share based compensation to developers relating to capitalized software</w:t>
            </w:r>
          </w:p>
        </w:tc>
        <w:tc>
          <w:tcPr>
            <w:tcW w:w="100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1,605</w:t>
            </w:r>
          </w:p>
        </w:tc>
        <w:tc>
          <w:tcPr>
            <w:tcW w:w="50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2,750</w:t>
            </w:r>
          </w:p>
        </w:tc>
        <w:tc>
          <w:tcPr>
            <w:tcW w:w="440" w:type="dxa"/>
            <w:vAlign w:val="bottom"/>
          </w:tcPr>
          <w:p>
            <w:pPr>
              <w:spacing w:after="0"/>
              <w:rPr>
                <w:sz w:val="14"/>
                <w:szCs w:val="14"/>
                <w:color w:val="auto"/>
              </w:rPr>
            </w:pPr>
          </w:p>
        </w:tc>
        <w:tc>
          <w:tcPr>
            <w:tcW w:w="800" w:type="dxa"/>
            <w:vAlign w:val="bottom"/>
          </w:tcPr>
          <w:p>
            <w:pPr>
              <w:jc w:val="right"/>
              <w:ind w:right="89"/>
              <w:spacing w:after="0"/>
              <w:rPr>
                <w:sz w:val="20"/>
                <w:szCs w:val="20"/>
                <w:color w:val="auto"/>
              </w:rPr>
            </w:pPr>
            <w:r>
              <w:rPr>
                <w:rFonts w:ascii="Arial" w:cs="Arial" w:eastAsia="Arial" w:hAnsi="Arial"/>
                <w:sz w:val="14"/>
                <w:szCs w:val="14"/>
                <w:color w:val="auto"/>
              </w:rPr>
              <w:t>11,278</w:t>
            </w:r>
          </w:p>
        </w:tc>
      </w:tr>
      <w:tr>
        <w:trPr>
          <w:trHeight w:val="146"/>
        </w:trPr>
        <w:tc>
          <w:tcPr>
            <w:tcW w:w="61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See Note 3 for a description of non-cash investing activities relating to the acquisition of KCG</w:t>
            </w: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6"/>
        </w:trPr>
        <w:tc>
          <w:tcPr>
            <w:tcW w:w="6140" w:type="dxa"/>
            <w:vAlign w:val="bottom"/>
          </w:tcPr>
          <w:p>
            <w:pPr>
              <w:spacing w:after="0" w:line="145" w:lineRule="exact"/>
              <w:rPr>
                <w:sz w:val="20"/>
                <w:szCs w:val="20"/>
                <w:color w:val="auto"/>
              </w:rPr>
            </w:pPr>
            <w:r>
              <w:rPr>
                <w:rFonts w:ascii="Arial" w:cs="Arial" w:eastAsia="Arial" w:hAnsi="Arial"/>
                <w:sz w:val="14"/>
                <w:szCs w:val="14"/>
                <w:b w:val="1"/>
                <w:bCs w:val="1"/>
                <w:color w:val="auto"/>
              </w:rPr>
              <w:t>Non-cash financing activities</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6"/>
        </w:trPr>
        <w:tc>
          <w:tcPr>
            <w:tcW w:w="61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Tax receivable agreement described in Note 6</w:t>
            </w:r>
          </w:p>
        </w:tc>
        <w:tc>
          <w:tcPr>
            <w:tcW w:w="1000" w:type="dxa"/>
            <w:vAlign w:val="bottom"/>
            <w:shd w:val="clear" w:color="auto" w:fill="CCEEFF"/>
          </w:tcPr>
          <w:p>
            <w:pPr>
              <w:jc w:val="right"/>
              <w:ind w:right="169"/>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9"/>
              <w:spacing w:after="0" w:line="145" w:lineRule="exact"/>
              <w:rPr>
                <w:sz w:val="20"/>
                <w:szCs w:val="20"/>
                <w:color w:val="auto"/>
              </w:rPr>
            </w:pPr>
            <w:r>
              <w:rPr>
                <w:rFonts w:ascii="Arial" w:cs="Arial" w:eastAsia="Arial" w:hAnsi="Arial"/>
                <w:sz w:val="14"/>
                <w:szCs w:val="14"/>
                <w:color w:val="auto"/>
              </w:rPr>
              <w:t>1,534</w:t>
            </w:r>
          </w:p>
        </w:tc>
        <w:tc>
          <w:tcPr>
            <w:tcW w:w="500" w:type="dxa"/>
            <w:vAlign w:val="bottom"/>
            <w:shd w:val="clear" w:color="auto" w:fill="CCEEFF"/>
          </w:tcPr>
          <w:p>
            <w:pPr>
              <w:jc w:val="right"/>
              <w:ind w:right="189"/>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9"/>
              <w:spacing w:after="0" w:line="145" w:lineRule="exact"/>
              <w:rPr>
                <w:sz w:val="20"/>
                <w:szCs w:val="20"/>
                <w:color w:val="auto"/>
              </w:rPr>
            </w:pPr>
            <w:r>
              <w:rPr>
                <w:rFonts w:ascii="Arial" w:cs="Arial" w:eastAsia="Arial" w:hAnsi="Arial"/>
                <w:sz w:val="14"/>
                <w:szCs w:val="14"/>
                <w:color w:val="auto"/>
              </w:rPr>
              <w:t>545</w:t>
            </w:r>
          </w:p>
        </w:tc>
        <w:tc>
          <w:tcPr>
            <w:tcW w:w="440" w:type="dxa"/>
            <w:vAlign w:val="bottom"/>
            <w:shd w:val="clear" w:color="auto" w:fill="CCEEFF"/>
          </w:tcPr>
          <w:p>
            <w:pPr>
              <w:jc w:val="right"/>
              <w:ind w:right="129"/>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line="145" w:lineRule="exact"/>
              <w:rPr>
                <w:sz w:val="20"/>
                <w:szCs w:val="20"/>
                <w:color w:val="auto"/>
              </w:rPr>
            </w:pPr>
            <w:r>
              <w:rPr>
                <w:rFonts w:ascii="Arial" w:cs="Arial" w:eastAsia="Arial" w:hAnsi="Arial"/>
                <w:sz w:val="14"/>
                <w:szCs w:val="14"/>
                <w:color w:val="auto"/>
              </w:rPr>
              <w:t>(21,854)</w:t>
            </w:r>
          </w:p>
        </w:tc>
      </w:tr>
      <w:tr>
        <w:trPr>
          <w:trHeight w:val="146"/>
        </w:trPr>
        <w:tc>
          <w:tcPr>
            <w:tcW w:w="6140" w:type="dxa"/>
            <w:vAlign w:val="bottom"/>
          </w:tcPr>
          <w:p>
            <w:pPr>
              <w:ind w:left="120"/>
              <w:spacing w:after="0" w:line="145" w:lineRule="exact"/>
              <w:rPr>
                <w:sz w:val="20"/>
                <w:szCs w:val="20"/>
                <w:color w:val="auto"/>
              </w:rPr>
            </w:pPr>
            <w:r>
              <w:rPr>
                <w:rFonts w:ascii="Arial" w:cs="Arial" w:eastAsia="Arial" w:hAnsi="Arial"/>
                <w:sz w:val="14"/>
                <w:szCs w:val="14"/>
                <w:color w:val="auto"/>
              </w:rPr>
              <w:t>Discount on issuance of senior secured credit facility</w:t>
            </w:r>
          </w:p>
        </w:tc>
        <w:tc>
          <w:tcPr>
            <w:tcW w:w="1000" w:type="dxa"/>
            <w:vAlign w:val="bottom"/>
          </w:tcPr>
          <w:p>
            <w:pPr>
              <w:spacing w:after="0"/>
              <w:rPr>
                <w:sz w:val="12"/>
                <w:szCs w:val="12"/>
                <w:color w:val="auto"/>
              </w:rPr>
            </w:pPr>
          </w:p>
        </w:tc>
        <w:tc>
          <w:tcPr>
            <w:tcW w:w="760" w:type="dxa"/>
            <w:vAlign w:val="bottom"/>
          </w:tcPr>
          <w:p>
            <w:pPr>
              <w:jc w:val="right"/>
              <w:ind w:right="129"/>
              <w:spacing w:after="0" w:line="145" w:lineRule="exact"/>
              <w:rPr>
                <w:sz w:val="20"/>
                <w:szCs w:val="20"/>
                <w:color w:val="auto"/>
              </w:rPr>
            </w:pPr>
            <w:r>
              <w:rPr>
                <w:rFonts w:ascii="Arial" w:cs="Arial" w:eastAsia="Arial" w:hAnsi="Arial"/>
                <w:sz w:val="14"/>
                <w:szCs w:val="14"/>
                <w:color w:val="auto"/>
              </w:rPr>
              <w:t>1,438</w:t>
            </w:r>
          </w:p>
        </w:tc>
        <w:tc>
          <w:tcPr>
            <w:tcW w:w="500" w:type="dxa"/>
            <w:vAlign w:val="bottom"/>
          </w:tcPr>
          <w:p>
            <w:pPr>
              <w:spacing w:after="0"/>
              <w:rPr>
                <w:sz w:val="12"/>
                <w:szCs w:val="12"/>
                <w:color w:val="auto"/>
              </w:rPr>
            </w:pPr>
          </w:p>
        </w:tc>
        <w:tc>
          <w:tcPr>
            <w:tcW w:w="760" w:type="dxa"/>
            <w:vAlign w:val="bottom"/>
          </w:tcPr>
          <w:p>
            <w:pPr>
              <w:jc w:val="right"/>
              <w:ind w:right="129"/>
              <w:spacing w:after="0" w:line="145" w:lineRule="exact"/>
              <w:rPr>
                <w:sz w:val="20"/>
                <w:szCs w:val="20"/>
                <w:color w:val="auto"/>
              </w:rPr>
            </w:pPr>
            <w:r>
              <w:rPr>
                <w:rFonts w:ascii="Arial" w:cs="Arial" w:eastAsia="Arial" w:hAnsi="Arial"/>
                <w:sz w:val="14"/>
                <w:szCs w:val="14"/>
                <w:color w:val="auto"/>
              </w:rPr>
              <w:t>1,350</w:t>
            </w:r>
          </w:p>
        </w:tc>
        <w:tc>
          <w:tcPr>
            <w:tcW w:w="440" w:type="dxa"/>
            <w:vAlign w:val="bottom"/>
          </w:tcPr>
          <w:p>
            <w:pPr>
              <w:spacing w:after="0"/>
              <w:rPr>
                <w:sz w:val="12"/>
                <w:szCs w:val="12"/>
                <w:color w:val="auto"/>
              </w:rPr>
            </w:pPr>
          </w:p>
        </w:tc>
        <w:tc>
          <w:tcPr>
            <w:tcW w:w="800" w:type="dxa"/>
            <w:vAlign w:val="bottom"/>
          </w:tcPr>
          <w:p>
            <w:pPr>
              <w:jc w:val="right"/>
              <w:ind w:right="89"/>
              <w:spacing w:after="0" w:line="145" w:lineRule="exact"/>
              <w:rPr>
                <w:sz w:val="20"/>
                <w:szCs w:val="20"/>
                <w:color w:val="auto"/>
              </w:rPr>
            </w:pPr>
            <w:r>
              <w:rPr>
                <w:rFonts w:ascii="Arial" w:cs="Arial" w:eastAsia="Arial" w:hAnsi="Arial"/>
                <w:sz w:val="14"/>
                <w:szCs w:val="14"/>
                <w:color w:val="auto"/>
              </w:rPr>
              <w:t>—</w:t>
            </w:r>
          </w:p>
        </w:tc>
      </w:tr>
      <w:tr>
        <w:trPr>
          <w:trHeight w:val="146"/>
        </w:trPr>
        <w:tc>
          <w:tcPr>
            <w:tcW w:w="6140" w:type="dxa"/>
            <w:vAlign w:val="bottom"/>
            <w:shd w:val="clear" w:color="auto" w:fill="CCEEFF"/>
          </w:tcPr>
          <w:p>
            <w:pPr>
              <w:ind w:left="120"/>
              <w:spacing w:after="0" w:line="145" w:lineRule="exact"/>
              <w:rPr>
                <w:sz w:val="20"/>
                <w:szCs w:val="20"/>
                <w:color w:val="auto"/>
              </w:rPr>
            </w:pPr>
            <w:r>
              <w:rPr>
                <w:rFonts w:ascii="Arial" w:cs="Arial" w:eastAsia="Arial" w:hAnsi="Arial"/>
                <w:sz w:val="14"/>
                <w:szCs w:val="14"/>
                <w:color w:val="auto"/>
              </w:rPr>
              <w:t>Secondary offerings described in Note 15</w:t>
            </w:r>
          </w:p>
        </w:tc>
        <w:tc>
          <w:tcPr>
            <w:tcW w:w="10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9"/>
              <w:spacing w:after="0" w:line="14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9"/>
              <w:spacing w:after="0" w:line="145"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9"/>
              <w:spacing w:after="0" w:line="145" w:lineRule="exact"/>
              <w:rPr>
                <w:sz w:val="20"/>
                <w:szCs w:val="20"/>
                <w:color w:val="auto"/>
              </w:rPr>
            </w:pPr>
            <w:r>
              <w:rPr>
                <w:rFonts w:ascii="Arial" w:cs="Arial" w:eastAsia="Arial" w:hAnsi="Arial"/>
                <w:sz w:val="14"/>
                <w:szCs w:val="14"/>
                <w:color w:val="auto"/>
              </w:rPr>
              <w:t>—</w:t>
            </w: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61098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00"/>
          </w:cols>
          <w:pgMar w:left="740" w:top="127" w:right="75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Virtu Financial, Inc. and Subsidiaries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(dollars in thousands, except shares and per share amounts, unless otherwise noted)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03" w:lineRule="exact"/>
        <w:rPr>
          <w:sz w:val="20"/>
          <w:szCs w:val="20"/>
          <w:color w:val="auto"/>
        </w:rPr>
      </w:pPr>
    </w:p>
    <w:p>
      <w:pPr>
        <w:ind w:right="100" w:firstLine="635"/>
        <w:spacing w:after="0" w:line="264" w:lineRule="auto"/>
        <w:rPr>
          <w:sz w:val="20"/>
          <w:szCs w:val="20"/>
          <w:color w:val="auto"/>
        </w:rPr>
      </w:pPr>
      <w:r>
        <w:rPr>
          <w:rFonts w:ascii="Arial" w:cs="Arial" w:eastAsia="Arial" w:hAnsi="Arial"/>
          <w:sz w:val="17"/>
          <w:szCs w:val="17"/>
          <w:color w:val="auto"/>
        </w:rPr>
        <w:t>The accompanying consolidated financial statements include the accounts and operations of Virtu Financial, Inc. (“VFI” or, collectively with its wholly owned or controlled subsidiaries, the “Company”) beginning with its initial public offering (“IPO”) in April of 2015, along with the historical accounts and operations of Virtu Financial LLC (“Virtu Financial”) prior to the Company’s IPO. VFI is a Delaware corporation whose primary asset is its ownership interest in Virtu Financial, which it acquired pursuant to and subsequent to certain reorganization transactions (the “Reorganization Transactions”) consummated in connection with its IPO. As of December 31, 2017, VFI owned approximately 48.3% of the membership interests of Virtu Financial. VFI is the sole managing member of Virtu Financial and operates and controls all of the businesses and affairs of Virtu Financial and, through Virtu Financial and its subsidiaries (the “Group”), continues to conduct the business now conducted by such subsidiaries.</w:t>
      </w:r>
    </w:p>
    <w:p>
      <w:pPr>
        <w:spacing w:after="0" w:line="49" w:lineRule="exact"/>
        <w:rPr>
          <w:sz w:val="20"/>
          <w:szCs w:val="20"/>
          <w:color w:val="auto"/>
        </w:rPr>
      </w:pPr>
    </w:p>
    <w:p>
      <w:pPr>
        <w:ind w:right="40" w:firstLine="635"/>
        <w:spacing w:after="0" w:line="250" w:lineRule="auto"/>
        <w:rPr>
          <w:sz w:val="20"/>
          <w:szCs w:val="20"/>
          <w:color w:val="auto"/>
        </w:rPr>
      </w:pPr>
      <w:r>
        <w:rPr>
          <w:rFonts w:ascii="Arial" w:cs="Arial" w:eastAsia="Arial" w:hAnsi="Arial"/>
          <w:sz w:val="18"/>
          <w:szCs w:val="18"/>
          <w:color w:val="auto"/>
        </w:rPr>
        <w:t>The Company is a leading financial firm that leverages cutting edge technology to deliver liquidity to the global markets and innovative, transparent trading solutions to its clients. The Company has broad diversification, in combination with its proprietary technology platform and low-cost structure, which enables the Company to facilitate risk transfer between global capital markets participants by supplying competitive liquidity and execution services while at the same time earning attractive margins and returns.</w:t>
      </w:r>
    </w:p>
    <w:p>
      <w:pPr>
        <w:spacing w:after="0" w:line="73"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Virtu Financial was formed as a Delaware limited liability company on April 8, 2011 in connection with a corporate reorganization and acquisition of the outstanding equity interests of Madison Tyler Holdings, LLC (“MTH”), an electronic trading firm and market maker. In connection with the reorganization, the members of Virtu Financial’s predecessor entity, Virtu Financial Operating LLC (“VFO”), a Delaware limited liability company formed on March 19, 2008, exchanged their interests in VFO for interests in Virtu Financial and the members of MTH exchanged their interests in MTH for cash and/or interests in Virtu Financial.</w:t>
      </w:r>
    </w:p>
    <w:p>
      <w:pPr>
        <w:spacing w:after="0" w:line="74" w:lineRule="exact"/>
        <w:rPr>
          <w:sz w:val="20"/>
          <w:szCs w:val="20"/>
          <w:color w:val="auto"/>
        </w:rPr>
      </w:pPr>
    </w:p>
    <w:p>
      <w:pPr>
        <w:ind w:right="60" w:firstLine="635"/>
        <w:spacing w:after="0" w:line="306" w:lineRule="auto"/>
        <w:rPr>
          <w:sz w:val="20"/>
          <w:szCs w:val="20"/>
          <w:color w:val="auto"/>
        </w:rPr>
      </w:pPr>
      <w:r>
        <w:rPr>
          <w:rFonts w:ascii="Arial" w:cs="Arial" w:eastAsia="Arial" w:hAnsi="Arial"/>
          <w:sz w:val="15"/>
          <w:szCs w:val="15"/>
          <w:color w:val="auto"/>
        </w:rPr>
        <w:t>On July 20, 2017 (the “Closing Date”), the Company completed the all-cash acquisition (the “Acquisition”) of KCG Holdings, Inc. (“KCG”).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 The transaction will extend Virtu’s scaled operating model to KCG’s wholesale market making businesses and broaden the distribution of Virtu’s Execution Services to KCG’s extensive institutional client base. See Note 3 “Acquisition of KCG Holdings Inc.” for further details.</w:t>
      </w:r>
    </w:p>
    <w:p>
      <w:pPr>
        <w:spacing w:after="0" w:line="22" w:lineRule="exact"/>
        <w:rPr>
          <w:sz w:val="20"/>
          <w:szCs w:val="20"/>
          <w:color w:val="auto"/>
        </w:rPr>
      </w:pPr>
    </w:p>
    <w:p>
      <w:pPr>
        <w:ind w:right="80" w:firstLine="635"/>
        <w:spacing w:after="0" w:line="306" w:lineRule="auto"/>
        <w:rPr>
          <w:sz w:val="20"/>
          <w:szCs w:val="20"/>
          <w:color w:val="auto"/>
        </w:rPr>
      </w:pPr>
      <w:r>
        <w:rPr>
          <w:rFonts w:ascii="Arial" w:cs="Arial" w:eastAsia="Arial" w:hAnsi="Arial"/>
          <w:sz w:val="15"/>
          <w:szCs w:val="15"/>
          <w:color w:val="auto"/>
        </w:rPr>
        <w:t>Virtu Financial’s principal subsidiaries include Virtu Financial BD LLC (“VFBD”) and Virtu Americas LLC (“VAL”), which are self-clearing U.S. broker-dealers, Virtu Financial Capital Markets LLC (“VFCM”), a U.S. broker-dealer, which self-clears its proprietary transactions and introduces the accounts of its affiliates and non-affiliated broker-dealers on an agency basis to other clearing firms that clear and settle transactions in those accounts. Virtu Financial Global Markets LLC (“VFGM”), a U.S. trading entity focused on futures and currencies, Virtu Financial Ireland Limited (“VFIL”), formed in Ireland, Virtu Financial Asia Pty Ltd (“VFAP”), formed in Australia, and Virtu Financial Singapore Pte. Ltd. (“VFSing”), formed in Singapore, each of which are trading entities focused on asset classes in their respective geographic regions.</w:t>
      </w:r>
    </w:p>
    <w:p>
      <w:pPr>
        <w:spacing w:after="0" w:line="35" w:lineRule="exact"/>
        <w:rPr>
          <w:sz w:val="20"/>
          <w:szCs w:val="20"/>
          <w:color w:val="auto"/>
        </w:rPr>
      </w:pPr>
    </w:p>
    <w:p>
      <w:pPr>
        <w:ind w:right="520" w:firstLine="635"/>
        <w:spacing w:after="0" w:line="364" w:lineRule="auto"/>
        <w:rPr>
          <w:sz w:val="20"/>
          <w:szCs w:val="20"/>
          <w:color w:val="auto"/>
        </w:rPr>
      </w:pPr>
      <w:r>
        <w:rPr>
          <w:rFonts w:ascii="Arial" w:cs="Arial" w:eastAsia="Arial" w:hAnsi="Arial"/>
          <w:sz w:val="15"/>
          <w:szCs w:val="15"/>
          <w:color w:val="auto"/>
        </w:rPr>
        <w:t>On October 24, 2017, the Company announced it has entered into a definitive agreement to sell its fixed income trading venue, BondPoint, to Intercontinental Exchange (“ICE”). See Note 4 “Business Held for Sale” and Note 22</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for further details.</w:t>
      </w:r>
    </w:p>
    <w:p>
      <w:pPr>
        <w:spacing w:after="0" w:line="97" w:lineRule="exact"/>
        <w:rPr>
          <w:sz w:val="20"/>
          <w:szCs w:val="20"/>
          <w:color w:val="auto"/>
        </w:rPr>
      </w:pPr>
    </w:p>
    <w:p>
      <w:pPr>
        <w:ind w:right="59" w:firstLine="635"/>
        <w:spacing w:after="0" w:line="251" w:lineRule="auto"/>
        <w:rPr>
          <w:sz w:val="20"/>
          <w:szCs w:val="20"/>
          <w:color w:val="auto"/>
        </w:rPr>
      </w:pPr>
      <w:r>
        <w:rPr>
          <w:rFonts w:ascii="Arial" w:cs="Arial" w:eastAsia="Arial" w:hAnsi="Arial"/>
          <w:sz w:val="18"/>
          <w:szCs w:val="18"/>
          <w:color w:val="auto"/>
        </w:rPr>
        <w:t>Prior to the Acquisition of KCG, the Company was managed and operated as one business, under one reportable segment. As a result of the acquisition of KCG, beginning in the third quarter of 2017 the Company has three operating segments: (i) Market Making; (ii) Execution Services; and (iii) Corporate. See Note 19 “Geographic Information and Business Segments” for a further discussion of the Company’s segments.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 and Form of Presentation</w:t>
      </w:r>
    </w:p>
    <w:p>
      <w:pPr>
        <w:spacing w:after="0" w:line="222" w:lineRule="exact"/>
        <w:rPr>
          <w:sz w:val="20"/>
          <w:szCs w:val="20"/>
          <w:color w:val="auto"/>
        </w:rPr>
      </w:pPr>
    </w:p>
    <w:p>
      <w:pPr>
        <w:ind w:right="59" w:firstLine="635"/>
        <w:spacing w:after="0" w:line="265" w:lineRule="auto"/>
        <w:rPr>
          <w:sz w:val="20"/>
          <w:szCs w:val="20"/>
          <w:color w:val="auto"/>
        </w:rPr>
      </w:pPr>
      <w:r>
        <w:rPr>
          <w:rFonts w:ascii="Arial" w:cs="Arial" w:eastAsia="Arial" w:hAnsi="Arial"/>
          <w:sz w:val="17"/>
          <w:szCs w:val="17"/>
          <w:color w:val="auto"/>
        </w:rPr>
        <w:t>These consolidated financial statements are presented in U.S. dollars and have been prepared pursuant to the rules and regulations of the U.S. Securities and Exchange Commission (“SEC”) regarding financial reporting with respect to Form 10-K and accounting standards generally accepted in the United States of America (“U.S. GAAP”) promulgated in the Financial Accounting Standards Board (“FASB”) Accounting Standards Codification (“ASC” or the “Codification”). The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50" w:lineRule="exact"/>
        <w:rPr>
          <w:sz w:val="20"/>
          <w:szCs w:val="20"/>
          <w:color w:val="auto"/>
        </w:rPr>
      </w:pPr>
    </w:p>
    <w:p>
      <w:pPr>
        <w:ind w:right="99" w:firstLine="635"/>
        <w:spacing w:after="0" w:line="251" w:lineRule="auto"/>
        <w:rPr>
          <w:sz w:val="20"/>
          <w:szCs w:val="20"/>
          <w:color w:val="auto"/>
        </w:rPr>
      </w:pPr>
      <w:r>
        <w:rPr>
          <w:rFonts w:ascii="Arial" w:cs="Arial" w:eastAsia="Arial" w:hAnsi="Arial"/>
          <w:sz w:val="18"/>
          <w:szCs w:val="18"/>
          <w:color w:val="auto"/>
        </w:rPr>
        <w:t>Certain reclassifications have been made to the prior periods’ consolidated financial statements in order to conform to the current period presentation. Such reclassifications are immaterial to both current and all previously issued financial statements taken as a whole and have no effect on previously reported consolidated net income available to common stockholders.</w:t>
      </w:r>
    </w:p>
    <w:p>
      <w:pPr>
        <w:spacing w:after="0" w:line="73" w:lineRule="exact"/>
        <w:rPr>
          <w:sz w:val="20"/>
          <w:szCs w:val="20"/>
          <w:color w:val="auto"/>
        </w:rPr>
      </w:pPr>
    </w:p>
    <w:p>
      <w:pPr>
        <w:ind w:right="79" w:firstLine="635"/>
        <w:spacing w:after="0" w:line="250" w:lineRule="auto"/>
        <w:rPr>
          <w:sz w:val="20"/>
          <w:szCs w:val="20"/>
          <w:color w:val="auto"/>
        </w:rPr>
      </w:pPr>
      <w:r>
        <w:rPr>
          <w:rFonts w:ascii="Arial" w:cs="Arial" w:eastAsia="Arial" w:hAnsi="Arial"/>
          <w:sz w:val="18"/>
          <w:szCs w:val="18"/>
          <w:color w:val="auto"/>
        </w:rPr>
        <w:t>The consolidated financial statements include the accounts of the Company and its majority and wholly 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73" w:lineRule="exact"/>
        <w:rPr>
          <w:sz w:val="20"/>
          <w:szCs w:val="20"/>
          <w:color w:val="auto"/>
        </w:rPr>
      </w:pPr>
    </w:p>
    <w:p>
      <w:pPr>
        <w:ind w:right="119" w:firstLine="635"/>
        <w:spacing w:after="0" w:line="304" w:lineRule="auto"/>
        <w:rPr>
          <w:sz w:val="20"/>
          <w:szCs w:val="20"/>
          <w:color w:val="auto"/>
        </w:rPr>
      </w:pPr>
      <w:r>
        <w:rPr>
          <w:rFonts w:ascii="Arial" w:cs="Arial" w:eastAsia="Arial" w:hAnsi="Arial"/>
          <w:sz w:val="15"/>
          <w:szCs w:val="15"/>
          <w:color w:val="auto"/>
        </w:rPr>
        <w:t>As discussed in Note 3 “Acquisition of KCG Holdings Inc.”, the Company is accounting for the acquisition of KCG under the acquisition method of accounting. Under the acquisition method of accounting, the assets and liabilities of KCG, as of July 20, 2017, were recorded at their respective fair values and added to the carrying value of the Company's existing assets and liabilities. The reported financial condition, results of operations and cash flows of the Company for the periods following the Acquisition reflect KCG's and the Company's balances and reflect the impact of purchase accounting adjustments. As the Company is the accounting acquirer, the financial results for the year ended December 31, 2017 comprise the results of the Company for the entire applicable period and the results of KCG from Closing Date through December 31, 2017. All periods prior to the Closing Date comprise solely the results of the Company.</w:t>
      </w:r>
    </w:p>
    <w:p>
      <w:pPr>
        <w:spacing w:after="0" w:line="151" w:lineRule="exact"/>
        <w:rPr>
          <w:sz w:val="20"/>
          <w:szCs w:val="20"/>
          <w:color w:val="auto"/>
        </w:rPr>
      </w:pPr>
    </w:p>
    <w:p>
      <w:pPr>
        <w:ind w:right="5559" w:firstLine="1"/>
        <w:spacing w:after="0" w:line="494"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19" w:firstLine="635"/>
        <w:spacing w:after="0" w:line="249" w:lineRule="auto"/>
        <w:rPr>
          <w:sz w:val="20"/>
          <w:szCs w:val="20"/>
          <w:color w:val="auto"/>
        </w:rPr>
      </w:pPr>
      <w:r>
        <w:rPr>
          <w:rFonts w:ascii="Arial" w:cs="Arial" w:eastAsia="Arial" w:hAnsi="Arial"/>
          <w:sz w:val="18"/>
          <w:szCs w:val="18"/>
          <w:color w:val="auto"/>
        </w:rPr>
        <w:t>The Company's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2" w:lineRule="exact"/>
        <w:rPr>
          <w:sz w:val="20"/>
          <w:szCs w:val="20"/>
          <w:color w:val="auto"/>
        </w:rPr>
      </w:pPr>
    </w:p>
    <w:p>
      <w:pPr>
        <w:ind w:right="679" w:firstLine="635"/>
        <w:spacing w:after="0" w:line="364" w:lineRule="auto"/>
        <w:rPr>
          <w:sz w:val="20"/>
          <w:szCs w:val="20"/>
          <w:color w:val="auto"/>
        </w:rPr>
      </w:pPr>
      <w:r>
        <w:rPr>
          <w:rFonts w:ascii="Arial" w:cs="Arial" w:eastAsia="Arial" w:hAnsi="Arial"/>
          <w:sz w:val="15"/>
          <w:szCs w:val="15"/>
          <w:color w:val="auto"/>
        </w:rPr>
        <w:t>Earnings per share (“EPS”) is calculated on both a basic and diluted basis. Basic EPS excludes dilution and is calculated by dividing income available to common stockholders by the weighted-average number of common shares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280"/>
        <w:spacing w:after="0" w:line="251" w:lineRule="auto"/>
        <w:rPr>
          <w:sz w:val="20"/>
          <w:szCs w:val="20"/>
          <w:color w:val="auto"/>
        </w:rPr>
      </w:pPr>
      <w:r>
        <w:rPr>
          <w:rFonts w:ascii="Arial" w:cs="Arial" w:eastAsia="Arial" w:hAnsi="Arial"/>
          <w:sz w:val="18"/>
          <w:szCs w:val="18"/>
          <w:color w:val="auto"/>
        </w:rPr>
        <w:t>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92" w:lineRule="exact"/>
        <w:rPr>
          <w:sz w:val="20"/>
          <w:szCs w:val="20"/>
          <w:color w:val="auto"/>
        </w:rPr>
      </w:pPr>
    </w:p>
    <w:p>
      <w:pPr>
        <w:ind w:right="40" w:firstLine="635"/>
        <w:spacing w:after="0" w:line="308" w:lineRule="auto"/>
        <w:rPr>
          <w:sz w:val="20"/>
          <w:szCs w:val="20"/>
          <w:color w:val="auto"/>
        </w:rPr>
      </w:pPr>
      <w:r>
        <w:rPr>
          <w:rFonts w:ascii="Arial" w:cs="Arial" w:eastAsia="Arial" w:hAnsi="Arial"/>
          <w:sz w:val="15"/>
          <w:szCs w:val="15"/>
          <w:color w:val="auto"/>
        </w:rPr>
        <w:t>The Company grants restricted stock units (“RSUs”),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2" w:lineRule="exact"/>
        <w:rPr>
          <w:sz w:val="20"/>
          <w:szCs w:val="20"/>
          <w:color w:val="auto"/>
        </w:rPr>
      </w:pPr>
    </w:p>
    <w:p>
      <w:pPr>
        <w:ind w:right="80" w:firstLine="635"/>
        <w:spacing w:after="0" w:line="264" w:lineRule="auto"/>
        <w:rPr>
          <w:sz w:val="20"/>
          <w:szCs w:val="20"/>
          <w:color w:val="auto"/>
        </w:rPr>
      </w:pPr>
      <w:r>
        <w:rPr>
          <w:rFonts w:ascii="Arial" w:cs="Arial" w:eastAsia="Arial" w:hAnsi="Arial"/>
          <w:sz w:val="18"/>
          <w:szCs w:val="18"/>
          <w:color w:val="auto"/>
        </w:rPr>
        <w:t>Cash and cash equivalents include money market accounts, which are payable on demand, and short-term investments with an original maturity of less than 90 days.</w:t>
      </w:r>
    </w:p>
    <w:p>
      <w:pPr>
        <w:spacing w:after="0" w:line="180" w:lineRule="exact"/>
        <w:rPr>
          <w:sz w:val="20"/>
          <w:szCs w:val="20"/>
          <w:color w:val="auto"/>
        </w:rPr>
      </w:pPr>
    </w:p>
    <w:p>
      <w:pPr>
        <w:ind w:right="640" w:firstLine="635"/>
        <w:spacing w:after="0" w:line="364" w:lineRule="auto"/>
        <w:rPr>
          <w:sz w:val="20"/>
          <w:szCs w:val="20"/>
          <w:color w:val="auto"/>
        </w:rPr>
      </w:pPr>
      <w:r>
        <w:rPr>
          <w:rFonts w:ascii="Arial" w:cs="Arial" w:eastAsia="Arial" w:hAnsi="Arial"/>
          <w:sz w:val="15"/>
          <w:szCs w:val="15"/>
          <w:color w:val="auto"/>
        </w:rPr>
        <w:t>The Company maintains cash in bank deposit accounts that, at times, may exceed federally insured limits. The Company manages this risk by selecting financial institutions deemed highly creditworthy to minimize the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Borrowed and Securities Loaned</w:t>
      </w:r>
    </w:p>
    <w:p>
      <w:pPr>
        <w:spacing w:after="0" w:line="222" w:lineRule="exact"/>
        <w:rPr>
          <w:sz w:val="20"/>
          <w:szCs w:val="20"/>
          <w:color w:val="auto"/>
        </w:rPr>
      </w:pPr>
    </w:p>
    <w:p>
      <w:pPr>
        <w:ind w:right="80" w:firstLine="635"/>
        <w:spacing w:after="0" w:line="303" w:lineRule="auto"/>
        <w:rPr>
          <w:sz w:val="20"/>
          <w:szCs w:val="20"/>
          <w:color w:val="auto"/>
        </w:rPr>
      </w:pPr>
      <w:r>
        <w:rPr>
          <w:rFonts w:ascii="Arial" w:cs="Arial" w:eastAsia="Arial" w:hAnsi="Arial"/>
          <w:sz w:val="15"/>
          <w:szCs w:val="15"/>
          <w:color w:val="auto"/>
        </w:rPr>
        <w:t>The Company conducts securities borrowing and lending activities with external counterparties. In connection with these transactions, the Company receives or posts collateral, which comprises by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Purchased Under Agreements to Resell and Securities Sold Under Agreements to Repurchase</w:t>
      </w:r>
    </w:p>
    <w:p>
      <w:pPr>
        <w:spacing w:after="0" w:line="222" w:lineRule="exact"/>
        <w:rPr>
          <w:sz w:val="20"/>
          <w:szCs w:val="20"/>
          <w:color w:val="auto"/>
        </w:rPr>
      </w:pPr>
    </w:p>
    <w:p>
      <w:pPr>
        <w:ind w:right="100" w:firstLine="635"/>
        <w:spacing w:after="0" w:line="303" w:lineRule="auto"/>
        <w:rPr>
          <w:sz w:val="20"/>
          <w:szCs w:val="20"/>
          <w:color w:val="auto"/>
        </w:rPr>
      </w:pPr>
      <w:r>
        <w:rPr>
          <w:rFonts w:ascii="Arial" w:cs="Arial" w:eastAsia="Arial" w:hAnsi="Arial"/>
          <w:sz w:val="15"/>
          <w:szCs w:val="15"/>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takes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57" w:lineRule="exact"/>
        <w:rPr>
          <w:sz w:val="20"/>
          <w:szCs w:val="20"/>
          <w:color w:val="auto"/>
        </w:rPr>
      </w:pPr>
    </w:p>
    <w:p>
      <w:pPr>
        <w:ind w:firstLine="635"/>
        <w:spacing w:after="0" w:line="306" w:lineRule="auto"/>
        <w:rPr>
          <w:sz w:val="20"/>
          <w:szCs w:val="20"/>
          <w:color w:val="auto"/>
        </w:rPr>
      </w:pPr>
      <w:r>
        <w:rPr>
          <w:rFonts w:ascii="Arial" w:cs="Arial" w:eastAsia="Arial" w:hAnsi="Arial"/>
          <w:sz w:val="15"/>
          <w:szCs w:val="15"/>
          <w:color w:val="auto"/>
        </w:rPr>
        <w:t>The Company has also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from/Payables to Broker-dealers and Clearing Organizations</w:t>
      </w:r>
    </w:p>
    <w:p>
      <w:pPr>
        <w:spacing w:after="0" w:line="222" w:lineRule="exact"/>
        <w:rPr>
          <w:sz w:val="20"/>
          <w:szCs w:val="20"/>
          <w:color w:val="auto"/>
        </w:rPr>
      </w:pPr>
    </w:p>
    <w:p>
      <w:pPr>
        <w:ind w:firstLine="635"/>
        <w:spacing w:after="0" w:line="265" w:lineRule="auto"/>
        <w:rPr>
          <w:sz w:val="20"/>
          <w:szCs w:val="20"/>
          <w:color w:val="auto"/>
        </w:rPr>
      </w:pPr>
      <w:r>
        <w:rPr>
          <w:rFonts w:ascii="Arial" w:cs="Arial" w:eastAsia="Arial" w:hAnsi="Arial"/>
          <w:sz w:val="17"/>
          <w:szCs w:val="17"/>
          <w:color w:val="auto"/>
        </w:rPr>
        <w:t>Amounts receivable from broker-dealers and clearing organizations may be restricted to the extent that they serve as deposits for securities sold, not yet purchased. At December 31, 2017 and 2016, receivables from and payables to broker-dealers and clearing organizations primarily represented amounts due for unsettled trades, open equity in futures transactions, securities failed to deliver or failed to receive, deposits with clearing organizations or exchanges and balances due from or due to prime brokers in relation to the Company’s trading. The Company presents its balances, including outstanding principal balances on all credit facilities, on a net by counterparty basis within receivables from and payable to broker-dealers and clearing organizations when the criteria for offsetting are met.</w:t>
      </w:r>
    </w:p>
    <w:p>
      <w:pPr>
        <w:spacing w:after="0" w:line="182" w:lineRule="exact"/>
        <w:rPr>
          <w:sz w:val="20"/>
          <w:szCs w:val="20"/>
          <w:color w:val="auto"/>
        </w:rPr>
      </w:pPr>
    </w:p>
    <w:p>
      <w:pPr>
        <w:ind w:right="80" w:firstLine="635"/>
        <w:spacing w:after="0" w:line="317" w:lineRule="auto"/>
        <w:rPr>
          <w:sz w:val="20"/>
          <w:szCs w:val="20"/>
          <w:color w:val="auto"/>
        </w:rPr>
      </w:pPr>
      <w:r>
        <w:rPr>
          <w:rFonts w:ascii="Arial" w:cs="Arial" w:eastAsia="Arial" w:hAnsi="Arial"/>
          <w:sz w:val="15"/>
          <w:szCs w:val="15"/>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and to minimize the risk of any losses from these counterparties.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Instruments Owned Including Those Pledged as Collateral and Financial Instruments Sold, Not Yet Purchased</w:t>
      </w:r>
    </w:p>
    <w:p>
      <w:pPr>
        <w:spacing w:after="0" w:line="257" w:lineRule="exact"/>
        <w:rPr>
          <w:sz w:val="20"/>
          <w:szCs w:val="20"/>
          <w:color w:val="auto"/>
        </w:rPr>
      </w:pPr>
    </w:p>
    <w:p>
      <w:pPr>
        <w:ind w:right="280" w:firstLine="635"/>
        <w:spacing w:after="0" w:line="293" w:lineRule="auto"/>
        <w:rPr>
          <w:sz w:val="20"/>
          <w:szCs w:val="20"/>
          <w:color w:val="auto"/>
        </w:rPr>
      </w:pPr>
      <w:r>
        <w:rPr>
          <w:rFonts w:ascii="Arial" w:cs="Arial" w:eastAsia="Arial" w:hAnsi="Arial"/>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58" w:lineRule="exact"/>
        <w:rPr>
          <w:sz w:val="20"/>
          <w:szCs w:val="20"/>
          <w:color w:val="auto"/>
        </w:rPr>
      </w:pPr>
    </w:p>
    <w:p>
      <w:pPr>
        <w:ind w:right="60" w:firstLine="635"/>
        <w:spacing w:after="0" w:line="276" w:lineRule="auto"/>
        <w:rPr>
          <w:sz w:val="20"/>
          <w:szCs w:val="20"/>
          <w:color w:val="auto"/>
        </w:rPr>
      </w:pPr>
      <w:r>
        <w:rPr>
          <w:rFonts w:ascii="Arial" w:cs="Arial" w:eastAsia="Arial" w:hAnsi="Arial"/>
          <w:sz w:val="17"/>
          <w:szCs w:val="17"/>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consolidated statements of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2" w:lineRule="exact"/>
        <w:rPr>
          <w:sz w:val="20"/>
          <w:szCs w:val="20"/>
          <w:color w:val="auto"/>
        </w:rPr>
      </w:pPr>
    </w:p>
    <w:p>
      <w:pPr>
        <w:ind w:right="60" w:firstLine="635"/>
        <w:spacing w:after="0" w:line="303"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57" w:lineRule="exact"/>
        <w:rPr>
          <w:sz w:val="20"/>
          <w:szCs w:val="20"/>
          <w:color w:val="auto"/>
        </w:rPr>
      </w:pPr>
    </w:p>
    <w:p>
      <w:pPr>
        <w:ind w:right="740" w:firstLine="635"/>
        <w:spacing w:after="0" w:line="264" w:lineRule="auto"/>
        <w:rPr>
          <w:sz w:val="20"/>
          <w:szCs w:val="20"/>
          <w:color w:val="auto"/>
        </w:rPr>
      </w:pPr>
      <w:r>
        <w:rPr>
          <w:rFonts w:ascii="Arial" w:cs="Arial" w:eastAsia="Arial" w:hAnsi="Arial"/>
          <w:sz w:val="18"/>
          <w:szCs w:val="18"/>
          <w:color w:val="auto"/>
        </w:rPr>
        <w:t>Financial instruments measured and reported at fair value are classified and disclosed in one of the following categories based on inputs:</w:t>
      </w:r>
    </w:p>
    <w:p>
      <w:pPr>
        <w:spacing w:after="0" w:line="180" w:lineRule="exact"/>
        <w:rPr>
          <w:sz w:val="20"/>
          <w:szCs w:val="20"/>
          <w:color w:val="auto"/>
        </w:rPr>
      </w:pPr>
    </w:p>
    <w:p>
      <w:pPr>
        <w:ind w:left="640" w:right="560"/>
        <w:spacing w:after="0" w:line="264" w:lineRule="auto"/>
        <w:rPr>
          <w:sz w:val="20"/>
          <w:szCs w:val="20"/>
          <w:color w:val="auto"/>
        </w:rPr>
      </w:pPr>
      <w:r>
        <w:rPr>
          <w:rFonts w:ascii="Arial" w:cs="Arial" w:eastAsia="Arial" w:hAnsi="Arial"/>
          <w:sz w:val="18"/>
          <w:szCs w:val="18"/>
          <w:color w:val="auto"/>
        </w:rPr>
        <w:t>Level 1 — Unadjusted quoted prices in active markets that are accessible at the measurement date for identical, unrestricted assets or liabilities;</w:t>
      </w:r>
    </w:p>
    <w:p>
      <w:pPr>
        <w:spacing w:after="0" w:line="180"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color w:val="auto"/>
        </w:rPr>
        <w:t>Level 2 — Quoted prices in markets that are not active and financial instruments for which all significant inputs are observable, either directly or indirectly; or</w:t>
      </w:r>
    </w:p>
    <w:p>
      <w:pPr>
        <w:spacing w:after="0" w:line="180" w:lineRule="exact"/>
        <w:rPr>
          <w:sz w:val="20"/>
          <w:szCs w:val="20"/>
          <w:color w:val="auto"/>
        </w:rPr>
      </w:pPr>
    </w:p>
    <w:p>
      <w:pPr>
        <w:ind w:left="640" w:right="760"/>
        <w:spacing w:after="0" w:line="264" w:lineRule="auto"/>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Transfers in or out of levels are recognized based on the beginning fair value of the period in which they occurred.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w:t>
      </w:r>
    </w:p>
    <w:p>
      <w:pPr>
        <w:spacing w:after="0" w:line="183" w:lineRule="exact"/>
        <w:rPr>
          <w:sz w:val="20"/>
          <w:szCs w:val="20"/>
          <w:color w:val="auto"/>
        </w:rPr>
      </w:pPr>
    </w:p>
    <w:p>
      <w:pPr>
        <w:ind w:right="39" w:firstLine="635"/>
        <w:spacing w:after="0" w:line="250" w:lineRule="auto"/>
        <w:rPr>
          <w:sz w:val="20"/>
          <w:szCs w:val="20"/>
          <w:color w:val="auto"/>
        </w:rPr>
      </w:pPr>
      <w:r>
        <w:rPr>
          <w:rFonts w:ascii="Arial" w:cs="Arial" w:eastAsia="Arial" w:hAnsi="Arial"/>
          <w:sz w:val="18"/>
          <w:szCs w:val="18"/>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must be applied to an entire instrument and is irrevocable once elected.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2" w:lineRule="exact"/>
        <w:rPr>
          <w:sz w:val="20"/>
          <w:szCs w:val="20"/>
          <w:color w:val="auto"/>
        </w:rPr>
      </w:pPr>
    </w:p>
    <w:p>
      <w:pPr>
        <w:ind w:right="99" w:firstLine="635"/>
        <w:spacing w:after="0" w:line="306" w:lineRule="auto"/>
        <w:rPr>
          <w:sz w:val="20"/>
          <w:szCs w:val="20"/>
          <w:color w:val="auto"/>
        </w:rPr>
      </w:pPr>
      <w:r>
        <w:rPr>
          <w:rFonts w:ascii="Arial" w:cs="Arial" w:eastAsia="Arial" w:hAnsi="Arial"/>
          <w:sz w:val="15"/>
          <w:szCs w:val="15"/>
          <w:color w:val="auto"/>
        </w:rPr>
        <w:t>Derivative instruments are used for trading purposes, including economic hedges of trading instruments, which are carried at fair value include futures, forward contracts, and options. Gains or losses on these derivative instruments are recognized currently within trading income, net in the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Occupancy</w:t>
      </w:r>
    </w:p>
    <w:p>
      <w:pPr>
        <w:spacing w:after="0" w:line="222" w:lineRule="exact"/>
        <w:rPr>
          <w:sz w:val="20"/>
          <w:szCs w:val="20"/>
          <w:color w:val="auto"/>
        </w:rPr>
      </w:pPr>
    </w:p>
    <w:p>
      <w:pPr>
        <w:ind w:right="19" w:firstLine="635"/>
        <w:spacing w:after="0" w:line="303" w:lineRule="auto"/>
        <w:rPr>
          <w:sz w:val="20"/>
          <w:szCs w:val="20"/>
          <w:color w:val="auto"/>
        </w:rPr>
      </w:pPr>
      <w:r>
        <w:rPr>
          <w:rFonts w:ascii="Arial" w:cs="Arial" w:eastAsia="Arial" w:hAnsi="Arial"/>
          <w:sz w:val="15"/>
          <w:szCs w:val="15"/>
          <w:color w:val="auto"/>
        </w:rPr>
        <w:t>Property and equipment are carried at cost, less accumulated depreciation, except for the assets acquired in connection with the acquisitions of MTH and KCG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38" w:lineRule="exact"/>
        <w:rPr>
          <w:sz w:val="20"/>
          <w:szCs w:val="20"/>
          <w:color w:val="auto"/>
        </w:rPr>
      </w:pPr>
    </w:p>
    <w:p>
      <w:pPr>
        <w:jc w:val="both"/>
        <w:ind w:right="19" w:firstLine="635"/>
        <w:spacing w:after="0" w:line="254" w:lineRule="auto"/>
        <w:rPr>
          <w:sz w:val="20"/>
          <w:szCs w:val="20"/>
          <w:color w:val="auto"/>
        </w:rPr>
      </w:pPr>
      <w:r>
        <w:rPr>
          <w:rFonts w:ascii="Arial" w:cs="Arial" w:eastAsia="Arial" w:hAnsi="Arial"/>
          <w:sz w:val="18"/>
          <w:szCs w:val="18"/>
          <w:color w:val="auto"/>
        </w:rPr>
        <w:t>The Company recognizes rent expense under operating leases with fixed rent escalations, lease incentives and free rent periods on a straight-line basis over the lease term beginning on the date the Company takes possession of or controls the use of the space, including during free rent periods.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Loss Accrual</w:t>
      </w:r>
    </w:p>
    <w:p>
      <w:pPr>
        <w:spacing w:after="0" w:line="90" w:lineRule="exact"/>
        <w:rPr>
          <w:sz w:val="20"/>
          <w:szCs w:val="20"/>
          <w:color w:val="auto"/>
        </w:rPr>
      </w:pPr>
    </w:p>
    <w:p>
      <w:pPr>
        <w:ind w:right="39" w:firstLine="635"/>
        <w:spacing w:after="0" w:line="317" w:lineRule="auto"/>
        <w:rPr>
          <w:sz w:val="20"/>
          <w:szCs w:val="20"/>
          <w:color w:val="auto"/>
        </w:rPr>
      </w:pPr>
      <w:r>
        <w:rPr>
          <w:rFonts w:ascii="Arial" w:cs="Arial" w:eastAsia="Arial" w:hAnsi="Arial"/>
          <w:sz w:val="15"/>
          <w:szCs w:val="15"/>
          <w:color w:val="auto"/>
        </w:rPr>
        <w:t>The Company’s policy is to identify excess real estate capacity and where applicable, accrue for related future costs, net of projected sub-lease income upon the date the Company ceases to use the excess real estate, which is recorded under operating and administrative in the consolidated statements of comprehensive income. Such accrual is adjusted to the extent the actual terms of sub-leased property differ from the previous assumptions used in the calculation of the accrual.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222" w:lineRule="exact"/>
        <w:rPr>
          <w:sz w:val="20"/>
          <w:szCs w:val="20"/>
          <w:color w:val="auto"/>
        </w:rPr>
      </w:pPr>
    </w:p>
    <w:p>
      <w:pPr>
        <w:jc w:val="both"/>
        <w:ind w:right="119" w:firstLine="635"/>
        <w:spacing w:after="0" w:line="254" w:lineRule="auto"/>
        <w:rPr>
          <w:sz w:val="20"/>
          <w:szCs w:val="20"/>
          <w:color w:val="auto"/>
        </w:rPr>
      </w:pPr>
      <w:r>
        <w:rPr>
          <w:rFonts w:ascii="Arial" w:cs="Arial" w:eastAsia="Arial" w:hAnsi="Arial"/>
          <w:sz w:val="18"/>
          <w:szCs w:val="18"/>
          <w:color w:val="auto"/>
        </w:rPr>
        <w:t>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89" w:lineRule="exact"/>
        <w:rPr>
          <w:sz w:val="20"/>
          <w:szCs w:val="20"/>
          <w:color w:val="auto"/>
        </w:rPr>
      </w:pPr>
    </w:p>
    <w:p>
      <w:pPr>
        <w:jc w:val="both"/>
        <w:ind w:right="139" w:firstLine="635"/>
        <w:spacing w:after="0" w:line="254" w:lineRule="auto"/>
        <w:rPr>
          <w:sz w:val="20"/>
          <w:szCs w:val="20"/>
          <w:color w:val="auto"/>
        </w:rPr>
      </w:pPr>
      <w:r>
        <w:rPr>
          <w:rFonts w:ascii="Arial" w:cs="Arial" w:eastAsia="Arial" w:hAnsi="Arial"/>
          <w:sz w:val="18"/>
          <w:szCs w:val="18"/>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Capitalized software development costs and related accumulated amortization are included in property,</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80"/>
        <w:spacing w:after="0" w:line="293" w:lineRule="auto"/>
        <w:rPr>
          <w:sz w:val="20"/>
          <w:szCs w:val="20"/>
          <w:color w:val="auto"/>
        </w:rPr>
      </w:pPr>
      <w:r>
        <w:rPr>
          <w:rFonts w:ascii="Arial" w:cs="Arial" w:eastAsia="Arial" w:hAnsi="Arial"/>
          <w:sz w:val="17"/>
          <w:szCs w:val="17"/>
          <w:color w:val="auto"/>
        </w:rPr>
        <w:t>equipment and capitalized software in the accompanying consolidated statements of financial condition and are amortized over a period of 1.5 to 2.5 years, which represents the estimated useful lives of the underlying software.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2" w:lineRule="exact"/>
        <w:rPr>
          <w:sz w:val="20"/>
          <w:szCs w:val="20"/>
          <w:color w:val="auto"/>
        </w:rPr>
      </w:pPr>
    </w:p>
    <w:p>
      <w:pPr>
        <w:ind w:right="220" w:firstLine="635"/>
        <w:spacing w:after="0" w:line="317"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the Company’s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47" w:lineRule="exact"/>
        <w:rPr>
          <w:sz w:val="20"/>
          <w:szCs w:val="20"/>
          <w:color w:val="auto"/>
        </w:rPr>
      </w:pPr>
    </w:p>
    <w:p>
      <w:pPr>
        <w:ind w:right="20" w:firstLine="635"/>
        <w:spacing w:after="0" w:line="250" w:lineRule="auto"/>
        <w:rPr>
          <w:sz w:val="20"/>
          <w:szCs w:val="20"/>
          <w:color w:val="auto"/>
        </w:rPr>
      </w:pPr>
      <w:r>
        <w:rPr>
          <w:rFonts w:ascii="Arial" w:cs="Arial" w:eastAsia="Arial" w:hAnsi="Arial"/>
          <w:sz w:val="18"/>
          <w:szCs w:val="18"/>
          <w:color w:val="auto"/>
        </w:rPr>
        <w:t>The Company tests goodwill for impairment on an annual basis on July 1 and on an interim basis when certain events or circumstances exist. In the impairment test as of July 1, 2017, the primary valuation method used to estimate the fair value of the Company’s reporting unit was the market capitalization approach based on the market price of its Class A common stock, which the Company’s management believes to be an appropriate indicator of its fair value. Following the Acquisition, our impairment testing is performed for each reporting unit.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2" w:lineRule="exact"/>
        <w:rPr>
          <w:sz w:val="20"/>
          <w:szCs w:val="20"/>
          <w:color w:val="auto"/>
        </w:rPr>
      </w:pPr>
    </w:p>
    <w:p>
      <w:pPr>
        <w:ind w:right="220" w:firstLine="635"/>
        <w:spacing w:after="0" w:line="254" w:lineRule="auto"/>
        <w:rPr>
          <w:sz w:val="20"/>
          <w:szCs w:val="20"/>
          <w:color w:val="auto"/>
        </w:rPr>
      </w:pPr>
      <w:r>
        <w:rPr>
          <w:rFonts w:ascii="Arial" w:cs="Arial" w:eastAsia="Arial" w:hAnsi="Arial"/>
          <w:sz w:val="18"/>
          <w:szCs w:val="18"/>
          <w:color w:val="auto"/>
        </w:rPr>
        <w:t>The Company amortizes finite-lived intangible assets over their estimated useful lives. Finite-lived intangible assets are tested for impairment annually or when impairment indicators are present, and if impaired, they are written down to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Memberships and Stock</w:t>
      </w:r>
    </w:p>
    <w:p>
      <w:pPr>
        <w:spacing w:after="0" w:line="222" w:lineRule="exact"/>
        <w:rPr>
          <w:sz w:val="20"/>
          <w:szCs w:val="20"/>
          <w:color w:val="auto"/>
        </w:rPr>
      </w:pPr>
    </w:p>
    <w:p>
      <w:pPr>
        <w:ind w:right="100" w:firstLine="635"/>
        <w:spacing w:after="0" w:line="250" w:lineRule="auto"/>
        <w:rPr>
          <w:sz w:val="20"/>
          <w:szCs w:val="20"/>
          <w:color w:val="auto"/>
        </w:rPr>
      </w:pPr>
      <w:r>
        <w:rPr>
          <w:rFonts w:ascii="Arial" w:cs="Arial" w:eastAsia="Arial" w:hAnsi="Arial"/>
          <w:sz w:val="18"/>
          <w:szCs w:val="18"/>
          <w:color w:val="auto"/>
        </w:rPr>
        <w:t>Exchange memberships are recorded at cost or, if any other than temporary impairment in value has occurred, at a value that reflects management’s estimate of fair value. Exchange memberships acquired in connection with the Acquisition were recorded at their fair value on the date of acquisition. Exchange stock includes shares that entitle the Company to certain trading privileges. The Company’s exchange memberships and stock are included in intangibles in the consolidated statements of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Income, net</w:t>
      </w:r>
    </w:p>
    <w:p>
      <w:pPr>
        <w:spacing w:after="0" w:line="222" w:lineRule="exact"/>
        <w:rPr>
          <w:sz w:val="20"/>
          <w:szCs w:val="20"/>
          <w:color w:val="auto"/>
        </w:rPr>
      </w:pPr>
    </w:p>
    <w:p>
      <w:pPr>
        <w:ind w:right="140" w:firstLine="635"/>
        <w:spacing w:after="0" w:line="251" w:lineRule="auto"/>
        <w:rPr>
          <w:sz w:val="20"/>
          <w:szCs w:val="20"/>
          <w:color w:val="auto"/>
        </w:rPr>
      </w:pPr>
      <w:r>
        <w:rPr>
          <w:rFonts w:ascii="Arial" w:cs="Arial" w:eastAsia="Arial" w:hAnsi="Arial"/>
          <w:sz w:val="18"/>
          <w:szCs w:val="18"/>
          <w:color w:val="auto"/>
        </w:rPr>
        <w:t>Trading income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net and Technology Services</w:t>
      </w:r>
    </w:p>
    <w:p>
      <w:pPr>
        <w:spacing w:after="0" w:line="222" w:lineRule="exact"/>
        <w:rPr>
          <w:sz w:val="20"/>
          <w:szCs w:val="20"/>
          <w:color w:val="auto"/>
        </w:rPr>
      </w:pPr>
    </w:p>
    <w:p>
      <w:pPr>
        <w:ind w:right="100" w:firstLine="635"/>
        <w:spacing w:after="0" w:line="268"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and technology services in the consolidated statements of comprehensive income.</w:t>
      </w:r>
    </w:p>
    <w:p>
      <w:pPr>
        <w:spacing w:after="0" w:line="179"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Revenue from technology services is recognized once persuasive evidence of an arrangement exists, delivery has occurred, the fee is fixed or determinable and collectability is probable. Revenue is recognized ratably over the contractual service period.</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Dividends Income/Interest and Dividends Expense</w:t>
      </w:r>
    </w:p>
    <w:p>
      <w:pPr>
        <w:spacing w:after="0" w:line="103" w:lineRule="exact"/>
        <w:rPr>
          <w:sz w:val="20"/>
          <w:szCs w:val="20"/>
          <w:color w:val="auto"/>
        </w:rPr>
      </w:pPr>
    </w:p>
    <w:p>
      <w:pPr>
        <w:ind w:right="40" w:firstLine="635"/>
        <w:spacing w:after="0" w:line="250" w:lineRule="auto"/>
        <w:rPr>
          <w:sz w:val="20"/>
          <w:szCs w:val="20"/>
          <w:color w:val="auto"/>
        </w:rPr>
      </w:pPr>
      <w:r>
        <w:rPr>
          <w:rFonts w:ascii="Arial" w:cs="Arial" w:eastAsia="Arial" w:hAnsi="Arial"/>
          <w:sz w:val="18"/>
          <w:szCs w:val="18"/>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Exchange and Clearance Fees, Net</w:t>
      </w:r>
    </w:p>
    <w:p>
      <w:pPr>
        <w:spacing w:after="0" w:line="222" w:lineRule="exact"/>
        <w:rPr>
          <w:sz w:val="20"/>
          <w:szCs w:val="20"/>
          <w:color w:val="auto"/>
        </w:rPr>
      </w:pPr>
    </w:p>
    <w:p>
      <w:pPr>
        <w:ind w:right="20" w:firstLine="635"/>
        <w:spacing w:after="0" w:line="250" w:lineRule="auto"/>
        <w:rPr>
          <w:sz w:val="20"/>
          <w:szCs w:val="20"/>
          <w:color w:val="auto"/>
        </w:rPr>
      </w:pPr>
      <w:r>
        <w:rPr>
          <w:rFonts w:ascii="Arial" w:cs="Arial" w:eastAsia="Arial" w:hAnsi="Arial"/>
          <w:sz w:val="18"/>
          <w:szCs w:val="18"/>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consolidated statements of comprehensive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for Order Flow</w:t>
      </w:r>
    </w:p>
    <w:p>
      <w:pPr>
        <w:spacing w:after="0" w:line="103" w:lineRule="exact"/>
        <w:rPr>
          <w:sz w:val="20"/>
          <w:szCs w:val="20"/>
          <w:color w:val="auto"/>
        </w:rPr>
      </w:pPr>
    </w:p>
    <w:p>
      <w:pPr>
        <w:ind w:right="60" w:firstLine="635"/>
        <w:spacing w:after="0" w:line="254" w:lineRule="auto"/>
        <w:rPr>
          <w:sz w:val="20"/>
          <w:szCs w:val="20"/>
          <w:color w:val="auto"/>
        </w:rPr>
      </w:pPr>
      <w:r>
        <w:rPr>
          <w:rFonts w:ascii="Arial" w:cs="Arial" w:eastAsia="Arial" w:hAnsi="Arial"/>
          <w:sz w:val="18"/>
          <w:szCs w:val="18"/>
          <w:color w:val="auto"/>
        </w:rPr>
        <w:t>Payments for order flow represent payments to broker-dealer clients, in the normal course of business, for directing their order flow in U.S. equities to the Company. Payments for order flow are recorded on a trade-date basis in the consolidated statements of comprehensive income.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ind w:right="20" w:firstLine="635"/>
        <w:spacing w:after="0" w:line="312" w:lineRule="auto"/>
        <w:rPr>
          <w:sz w:val="20"/>
          <w:szCs w:val="20"/>
          <w:color w:val="auto"/>
        </w:rPr>
      </w:pPr>
      <w:r>
        <w:rPr>
          <w:rFonts w:ascii="Arial" w:cs="Arial" w:eastAsia="Arial" w:hAnsi="Arial"/>
          <w:sz w:val="15"/>
          <w:szCs w:val="15"/>
          <w:color w:val="auto"/>
        </w:rPr>
        <w:t>Subsequent to consummation of the Reorganization Transactions and the IPO, the Company is subject to U.S. federal, state and local income taxes on its taxable income. The Company's subsidiaries are subject to income taxes in the respective jurisdictions (including foreign jurisdictions) in which they operate. Prior to the consummation of the Reorganization Transactions and the IPO, no provision for United States federal, state and local income tax was required, as Virtu Financial is a limited liability company and is treated as a pass-through entity for United States federal, state, and local income tax purposes.</w:t>
      </w:r>
    </w:p>
    <w:p>
      <w:pPr>
        <w:spacing w:after="0" w:line="149" w:lineRule="exact"/>
        <w:rPr>
          <w:sz w:val="20"/>
          <w:szCs w:val="20"/>
          <w:color w:val="auto"/>
        </w:rPr>
      </w:pPr>
    </w:p>
    <w:p>
      <w:pPr>
        <w:ind w:firstLine="635"/>
        <w:spacing w:after="0" w:line="329" w:lineRule="auto"/>
        <w:rPr>
          <w:sz w:val="20"/>
          <w:szCs w:val="20"/>
          <w:color w:val="auto"/>
        </w:rPr>
      </w:pPr>
      <w:r>
        <w:rPr>
          <w:rFonts w:ascii="Arial" w:cs="Arial" w:eastAsia="Arial" w:hAnsi="Arial"/>
          <w:sz w:val="15"/>
          <w:szCs w:val="15"/>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37" w:lineRule="exact"/>
        <w:rPr>
          <w:sz w:val="20"/>
          <w:szCs w:val="20"/>
          <w:color w:val="auto"/>
        </w:rPr>
      </w:pPr>
    </w:p>
    <w:p>
      <w:pPr>
        <w:ind w:right="120" w:firstLine="635"/>
        <w:spacing w:after="0" w:line="264"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1" w:lineRule="exact"/>
        <w:rPr>
          <w:sz w:val="20"/>
          <w:szCs w:val="20"/>
          <w:color w:val="auto"/>
        </w:rPr>
      </w:pPr>
    </w:p>
    <w:p>
      <w:pPr>
        <w:ind w:right="100" w:firstLine="635"/>
        <w:spacing w:after="0" w:line="306" w:lineRule="auto"/>
        <w:rPr>
          <w:sz w:val="20"/>
          <w:szCs w:val="20"/>
          <w:color w:val="auto"/>
        </w:rPr>
      </w:pPr>
      <w:r>
        <w:rPr>
          <w:rFonts w:ascii="Arial" w:cs="Arial" w:eastAsia="Arial" w:hAnsi="Arial"/>
          <w:sz w:val="15"/>
          <w:szCs w:val="15"/>
          <w:color w:val="auto"/>
        </w:rPr>
        <w:t>The 2017 Tax Act significantly changes how the U.S. taxes corporations. The 2017 Tax Act requires significant judgments to be made in interpretation of its provisions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any additional guidance, we may make adjustments to provisional amounts that we have recorded that may materially impact our provision for income taxes in the period in which the adjustments are</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and Foreign Currency Translation</w:t>
      </w:r>
    </w:p>
    <w:p>
      <w:pPr>
        <w:spacing w:after="0" w:line="222" w:lineRule="exact"/>
        <w:rPr>
          <w:sz w:val="20"/>
          <w:szCs w:val="20"/>
          <w:color w:val="auto"/>
        </w:rPr>
      </w:pPr>
    </w:p>
    <w:p>
      <w:pPr>
        <w:ind w:right="160" w:firstLine="635"/>
        <w:spacing w:after="0" w:line="312" w:lineRule="auto"/>
        <w:rPr>
          <w:sz w:val="20"/>
          <w:szCs w:val="20"/>
          <w:color w:val="auto"/>
        </w:rPr>
      </w:pPr>
      <w:r>
        <w:rPr>
          <w:rFonts w:ascii="Arial" w:cs="Arial" w:eastAsia="Arial" w:hAnsi="Arial"/>
          <w:sz w:val="15"/>
          <w:szCs w:val="15"/>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30" w:lineRule="exact"/>
        <w:rPr>
          <w:sz w:val="20"/>
          <w:szCs w:val="20"/>
          <w:color w:val="auto"/>
        </w:rPr>
      </w:pPr>
    </w:p>
    <w:p>
      <w:pPr>
        <w:ind w:right="180" w:firstLine="635"/>
        <w:spacing w:after="0" w:line="254" w:lineRule="auto"/>
        <w:rPr>
          <w:sz w:val="20"/>
          <w:szCs w:val="20"/>
          <w:color w:val="auto"/>
        </w:rPr>
      </w:pPr>
      <w:r>
        <w:rPr>
          <w:rFonts w:ascii="Arial" w:cs="Arial" w:eastAsia="Arial" w:hAnsi="Arial"/>
          <w:sz w:val="18"/>
          <w:szCs w:val="18"/>
          <w:color w:val="auto"/>
        </w:rPr>
        <w:t>The Company's foreign subsidiaries generally use the U.S. dollar as their functional currency. The Company also has subsidiaries that utilize a functional currency other than the U.S. dollar, primarily comprising its Irish subsidiaries, which utilizes the Euro as the functional currency.</w:t>
      </w:r>
    </w:p>
    <w:p>
      <w:pPr>
        <w:spacing w:after="0" w:line="57" w:lineRule="exact"/>
        <w:rPr>
          <w:sz w:val="20"/>
          <w:szCs w:val="20"/>
          <w:color w:val="auto"/>
        </w:rPr>
      </w:pPr>
    </w:p>
    <w:p>
      <w:pPr>
        <w:ind w:firstLine="635"/>
        <w:spacing w:after="0" w:line="264" w:lineRule="auto"/>
        <w:rPr>
          <w:sz w:val="20"/>
          <w:szCs w:val="20"/>
          <w:color w:val="auto"/>
        </w:rPr>
      </w:pPr>
      <w:r>
        <w:rPr>
          <w:rFonts w:ascii="Arial" w:cs="Arial" w:eastAsia="Arial" w:hAnsi="Arial"/>
          <w:sz w:val="17"/>
          <w:szCs w:val="17"/>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consolidated statements of financial condition and Cumulative translation adjustment, net of tax, on the consolidated statements of comprehensive income. The ineffective portion, if any, is recorded in Investment income and other, net on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2" w:lineRule="exact"/>
        <w:rPr>
          <w:sz w:val="20"/>
          <w:szCs w:val="20"/>
          <w:color w:val="auto"/>
        </w:rPr>
      </w:pPr>
    </w:p>
    <w:p>
      <w:pPr>
        <w:jc w:val="both"/>
        <w:ind w:right="20" w:firstLine="635"/>
        <w:spacing w:after="0" w:line="254" w:lineRule="auto"/>
        <w:rPr>
          <w:sz w:val="20"/>
          <w:szCs w:val="20"/>
          <w:color w:val="auto"/>
        </w:rPr>
      </w:pPr>
      <w:r>
        <w:rPr>
          <w:rFonts w:ascii="Arial" w:cs="Arial" w:eastAsia="Arial" w:hAnsi="Arial"/>
          <w:sz w:val="18"/>
          <w:szCs w:val="18"/>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89"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color w:val="auto"/>
        </w:rPr>
        <w:t>Share-based awards issued for compensation in connection with or subsequent to the Reorganization Transaction and the IPO pursuant to the VFI 2015 Management Incentive Plan (as amended, the “2015 Amended and Restated Management Incentive Plan”) were in the form of stock options, Class A common stock and RSUs.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 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2" w:lineRule="exact"/>
        <w:rPr>
          <w:sz w:val="20"/>
          <w:szCs w:val="20"/>
          <w:color w:val="auto"/>
        </w:rPr>
      </w:pPr>
    </w:p>
    <w:p>
      <w:pPr>
        <w:ind w:right="100" w:firstLine="635"/>
        <w:spacing w:after="0" w:line="263" w:lineRule="auto"/>
        <w:rPr>
          <w:sz w:val="20"/>
          <w:szCs w:val="20"/>
          <w:color w:val="auto"/>
        </w:rPr>
      </w:pPr>
      <w:r>
        <w:rPr>
          <w:rFonts w:ascii="Arial" w:cs="Arial" w:eastAsia="Arial" w:hAnsi="Arial"/>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0" w:firstLine="635"/>
        <w:spacing w:after="0" w:line="262" w:lineRule="auto"/>
        <w:rPr>
          <w:sz w:val="20"/>
          <w:szCs w:val="20"/>
          <w:color w:val="auto"/>
        </w:rPr>
      </w:pPr>
      <w:r>
        <w:rPr>
          <w:rFonts w:ascii="Arial" w:cs="Arial" w:eastAsia="Arial" w:hAnsi="Arial"/>
          <w:sz w:val="17"/>
          <w:szCs w:val="17"/>
          <w:color w:val="auto"/>
        </w:rPr>
        <w:t>In October 2016, the Company invested in a joint venture (“JV”) with nine other parties. One of the parties was KCG. Upon the Merger, KCG was required to relinquish their ownership in the JV. As of December 31, 2017, each of the remaining parties owns approximately 11% of the voting shares and 11% of the equity of this JV, which is building microwave communication networks in the U.S. and Asia, and which is considered to be a VIE. The Company and all of its JV partners each pay monthly fees for the funding of the construction of the microwave communication networks. When completed, this JV may sell excess bandwidth that is not utilized by its joint venture members to third parties.</w:t>
      </w:r>
    </w:p>
    <w:p>
      <w:pPr>
        <w:spacing w:after="0" w:line="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As a result of the Acquisition, the Company owns 50% of the voting shares and 50% of the equity of a JV which maintains microwave communication networks in the U.S. and Europe, and which is considered to be a VIE. The Company and its JV partner each pay monthly fees for the use of the microwave communication networks in connection with their respective trading activities, and the JV may sell excess bandwidth that is not utilized by the JV members to third parties.</w:t>
      </w:r>
    </w:p>
    <w:p>
      <w:pPr>
        <w:spacing w:after="0" w:line="150" w:lineRule="exact"/>
        <w:rPr>
          <w:sz w:val="20"/>
          <w:szCs w:val="20"/>
          <w:color w:val="auto"/>
        </w:rPr>
      </w:pPr>
    </w:p>
    <w:p>
      <w:pPr>
        <w:ind w:right="20" w:firstLine="635"/>
        <w:spacing w:after="0" w:line="306" w:lineRule="auto"/>
        <w:rPr>
          <w:sz w:val="20"/>
          <w:szCs w:val="20"/>
          <w:color w:val="auto"/>
        </w:rPr>
      </w:pPr>
      <w:r>
        <w:rPr>
          <w:rFonts w:ascii="Arial" w:cs="Arial" w:eastAsia="Arial" w:hAnsi="Arial"/>
          <w:sz w:val="15"/>
          <w:szCs w:val="15"/>
          <w:color w:val="auto"/>
        </w:rPr>
        <w:t>In each of the JVs, the Company does not have the power to direct the activities of the VIE that most significantly impact the VIE’s economic performance; therefore it does not have a controlling financial interest in the JV and does not consolidate the JVs. The Company records its interest in each JV under the equity method of accounting and records its investment in the JVs within Other assets and its amounts payable for communication services provided by the JV within Accrued expenses and other liabilities on the consolidated statements of financial condition. The Company records its pro-rata share of each JVs earnings or losses within Other, net and fees related to the use of communication services provided by the JVs within Communications and data processing on the consolidated statements of comprehensive income.</w:t>
      </w:r>
    </w:p>
    <w:p>
      <w:pPr>
        <w:spacing w:after="0" w:line="154" w:lineRule="exact"/>
        <w:rPr>
          <w:sz w:val="20"/>
          <w:szCs w:val="20"/>
          <w:color w:val="auto"/>
        </w:rPr>
      </w:pPr>
    </w:p>
    <w:p>
      <w:pPr>
        <w:ind w:right="360" w:firstLine="635"/>
        <w:spacing w:after="0" w:line="264" w:lineRule="auto"/>
        <w:rPr>
          <w:sz w:val="20"/>
          <w:szCs w:val="20"/>
          <w:color w:val="auto"/>
        </w:rPr>
      </w:pPr>
      <w:r>
        <w:rPr>
          <w:rFonts w:ascii="Arial" w:cs="Arial" w:eastAsia="Arial" w:hAnsi="Arial"/>
          <w:sz w:val="18"/>
          <w:szCs w:val="18"/>
          <w:color w:val="auto"/>
        </w:rPr>
        <w:t>The Company’s exposure to the obligations of these VIEs is generally limited to its interests in each respective JV, which is the carrying value of the equity investment in each JV.</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Company’s nonconsolidated VIE at December 31,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Maximum</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tcPr>
          <w:p>
            <w:pPr>
              <w:ind w:left="340"/>
              <w:spacing w:after="0" w:line="145" w:lineRule="exact"/>
              <w:rPr>
                <w:sz w:val="20"/>
                <w:szCs w:val="20"/>
                <w:color w:val="auto"/>
              </w:rPr>
            </w:pPr>
            <w:r>
              <w:rPr>
                <w:rFonts w:ascii="Arial" w:cs="Arial" w:eastAsia="Arial" w:hAnsi="Arial"/>
                <w:sz w:val="14"/>
                <w:szCs w:val="14"/>
                <w:color w:val="auto"/>
              </w:rPr>
              <w:t>Carrying Amount</w:t>
            </w:r>
          </w:p>
        </w:tc>
        <w:tc>
          <w:tcPr>
            <w:tcW w:w="46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88"/>
              </w:rPr>
              <w:t>Exposure to</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9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69"/>
              <w:spacing w:after="0"/>
              <w:rPr>
                <w:sz w:val="20"/>
                <w:szCs w:val="20"/>
                <w:color w:val="auto"/>
              </w:rPr>
            </w:pPr>
            <w:r>
              <w:rPr>
                <w:rFonts w:ascii="Arial" w:cs="Arial" w:eastAsia="Arial" w:hAnsi="Arial"/>
                <w:sz w:val="14"/>
                <w:szCs w:val="14"/>
                <w:color w:val="auto"/>
              </w:rPr>
              <w:t>Asset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4"/>
                <w:szCs w:val="14"/>
                <w:color w:val="auto"/>
              </w:rPr>
              <w:t>Liability</w:t>
            </w:r>
          </w:p>
        </w:tc>
        <w:tc>
          <w:tcPr>
            <w:tcW w:w="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8"/>
              </w:rPr>
              <w:t>loss</w:t>
            </w:r>
          </w:p>
        </w:tc>
        <w:tc>
          <w:tcPr>
            <w:tcW w:w="46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VIE's assets</w:t>
            </w:r>
          </w:p>
        </w:tc>
        <w:tc>
          <w:tcPr>
            <w:tcW w:w="0" w:type="dxa"/>
            <w:vAlign w:val="bottom"/>
          </w:tcPr>
          <w:p>
            <w:pPr>
              <w:spacing w:after="0"/>
              <w:rPr>
                <w:sz w:val="1"/>
                <w:szCs w:val="1"/>
                <w:color w:val="auto"/>
              </w:rPr>
            </w:pPr>
          </w:p>
        </w:tc>
      </w:tr>
      <w:tr>
        <w:trPr>
          <w:trHeight w:val="139"/>
        </w:trPr>
        <w:tc>
          <w:tcPr>
            <w:tcW w:w="19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Equity investment</w:t>
            </w:r>
          </w:p>
        </w:tc>
        <w:tc>
          <w:tcPr>
            <w:tcW w:w="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18,799</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ind w:left="500"/>
              <w:spacing w:after="0" w:line="13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18,799</w:t>
            </w:r>
          </w:p>
        </w:tc>
        <w:tc>
          <w:tcPr>
            <w:tcW w:w="460" w:type="dxa"/>
            <w:vAlign w:val="bottom"/>
            <w:tcBorders>
              <w:top w:val="single" w:sz="8" w:color="CCEEFF"/>
            </w:tcBorders>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41,936</w:t>
            </w: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2" w:lineRule="exact"/>
        <w:rPr>
          <w:sz w:val="20"/>
          <w:szCs w:val="20"/>
          <w:color w:val="auto"/>
        </w:rPr>
      </w:pPr>
    </w:p>
    <w:p>
      <w:pPr>
        <w:ind w:firstLine="635"/>
        <w:spacing w:after="0" w:line="298"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 In May 2014, the FASB issued Accounting Standard Update (“ASU”) 2014-09,</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Revenue from Contracts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with Customers</w:t>
      </w:r>
      <w:r>
        <w:rPr>
          <w:rFonts w:ascii="Arial" w:cs="Arial" w:eastAsia="Arial" w:hAnsi="Arial"/>
          <w:sz w:val="15"/>
          <w:szCs w:val="15"/>
          <w:color w:val="auto"/>
        </w:rPr>
        <w:t>. ASU 2014-09 is a comprehensive new revenue recognition model that requires a company to recognize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revenue to depict the transfer of goods or services to a customer at an amount that reflects the consideration it expects to receive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2015-14, </w:t>
      </w:r>
      <w:r>
        <w:rPr>
          <w:rFonts w:ascii="Arial" w:cs="Arial" w:eastAsia="Arial" w:hAnsi="Arial"/>
          <w:sz w:val="15"/>
          <w:szCs w:val="15"/>
          <w:i w:val="1"/>
          <w:iCs w:val="1"/>
          <w:color w:val="auto"/>
        </w:rPr>
        <w:t>Revenue from Contracts with Customers (Topic 606): Deferral of the Effective Date</w:t>
      </w:r>
      <w:r>
        <w:rPr>
          <w:rFonts w:ascii="Arial" w:cs="Arial" w:eastAsia="Arial" w:hAnsi="Arial"/>
          <w:sz w:val="15"/>
          <w:szCs w:val="15"/>
          <w:color w:val="auto"/>
        </w:rPr>
        <w:t xml:space="preserve">. ASU 2015-14 defers the effective date of ASU 2014-09 by one year for public companies. ASU 2015-14 applies to annual reporting periods beginning after December 15, 2017, including interim reporting periods within that reporting period. In December 2016, FASB issued ASU 2016-20 </w:t>
      </w:r>
      <w:r>
        <w:rPr>
          <w:rFonts w:ascii="Arial" w:cs="Arial" w:eastAsia="Arial" w:hAnsi="Arial"/>
          <w:sz w:val="15"/>
          <w:szCs w:val="15"/>
          <w:i w:val="1"/>
          <w:iCs w:val="1"/>
          <w:color w:val="auto"/>
        </w:rPr>
        <w:t>Technical Correction and Improvement (Topic 606): Revenue from Contracts with Customers</w:t>
      </w:r>
      <w:r>
        <w:rPr>
          <w:rFonts w:ascii="Arial" w:cs="Arial" w:eastAsia="Arial" w:hAnsi="Arial"/>
          <w:sz w:val="15"/>
          <w:szCs w:val="15"/>
          <w:color w:val="auto"/>
        </w:rPr>
        <w:t>, which amends the guidance in</w:t>
      </w:r>
      <w:r>
        <w:rPr>
          <w:rFonts w:ascii="Arial" w:cs="Arial" w:eastAsia="Arial" w:hAnsi="Arial"/>
          <w:sz w:val="15"/>
          <w:szCs w:val="15"/>
          <w:i w:val="1"/>
          <w:iCs w:val="1"/>
          <w:color w:val="auto"/>
        </w:rPr>
        <w:t xml:space="preserve"> </w:t>
      </w:r>
      <w:r>
        <w:rPr>
          <w:rFonts w:ascii="Arial" w:cs="Arial" w:eastAsia="Arial" w:hAnsi="Arial"/>
          <w:sz w:val="15"/>
          <w:szCs w:val="15"/>
          <w:color w:val="auto"/>
        </w:rPr>
        <w:t>ASU 2014-09. The effective date and transition requirements for the ASU are the same as ASU 2014-09. The Company adopted the new revenue standard on January 1, 2018 by applying the modified retrospective method, which did not result in a transition adjustment. The new standard does not apply to revenue associated with financial instruments that are accounted for under other GAAP, and as a result, did not have an impact on the Company’s consolidated statements of comprehensive income, most closely associated with financial instrument, including Trading income, net, and Interest and dividends income. The new revenue standard primarily impacts the revenue recognition and accounting policy related to technology services. The Company’s technology services contracts include certain variable considerations which will be estimated and included in the transaction price only to the extent that it is probable when a significant reversal in the amount of the cumulative revenue recognized will occur in the future period. The new revenue standard requires enhanced disclosures, which the Company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will include in the notes to the condensed consolidated financial statements beginning with the three months ended March 31, 2018.</w:t>
      </w:r>
    </w:p>
    <w:p>
      <w:pPr>
        <w:spacing w:after="0" w:line="180" w:lineRule="exact"/>
        <w:rPr>
          <w:sz w:val="20"/>
          <w:szCs w:val="20"/>
          <w:color w:val="auto"/>
        </w:rPr>
      </w:pPr>
    </w:p>
    <w:p>
      <w:pPr>
        <w:ind w:right="20" w:firstLine="635"/>
        <w:spacing w:after="0" w:line="304" w:lineRule="auto"/>
        <w:rPr>
          <w:sz w:val="20"/>
          <w:szCs w:val="20"/>
          <w:color w:val="auto"/>
        </w:rPr>
      </w:pPr>
      <w:r>
        <w:rPr>
          <w:rFonts w:ascii="Arial" w:cs="Arial" w:eastAsia="Arial" w:hAnsi="Arial"/>
          <w:sz w:val="15"/>
          <w:szCs w:val="15"/>
          <w:b w:val="1"/>
          <w:bCs w:val="1"/>
          <w:i w:val="1"/>
          <w:iCs w:val="1"/>
          <w:color w:val="auto"/>
        </w:rPr>
        <w:t xml:space="preserve">Financial Assets and Liabilities </w:t>
      </w:r>
      <w:r>
        <w:rPr>
          <w:rFonts w:ascii="Arial" w:cs="Arial" w:eastAsia="Arial" w:hAnsi="Arial"/>
          <w:sz w:val="15"/>
          <w:szCs w:val="15"/>
          <w:color w:val="auto"/>
        </w:rPr>
        <w:t>— In January 2016, the FASB issued ASU 2016-01,</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Financial Instruments – Overall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(Subtopic 825-10): Recognition and Measurement of Financial Assets and Financial Liabilities</w:t>
      </w:r>
      <w:r>
        <w:rPr>
          <w:rFonts w:ascii="Arial" w:cs="Arial" w:eastAsia="Arial" w:hAnsi="Arial"/>
          <w:sz w:val="15"/>
          <w:szCs w:val="15"/>
          <w:color w:val="auto"/>
        </w:rPr>
        <w:t>. The ASU intends to enhance</w:t>
      </w:r>
      <w:r>
        <w:rPr>
          <w:rFonts w:ascii="Arial" w:cs="Arial" w:eastAsia="Arial" w:hAnsi="Arial"/>
          <w:sz w:val="15"/>
          <w:szCs w:val="15"/>
          <w:i w:val="1"/>
          <w:iCs w:val="1"/>
          <w:color w:val="auto"/>
        </w:rPr>
        <w:t xml:space="preserve"> </w:t>
      </w:r>
      <w:r>
        <w:rPr>
          <w:rFonts w:ascii="Arial" w:cs="Arial" w:eastAsia="Arial" w:hAnsi="Arial"/>
          <w:sz w:val="15"/>
          <w:szCs w:val="15"/>
          <w:color w:val="auto"/>
        </w:rPr>
        <w:t>the reporting model for financial instruments to provide users of financial statements with more decision-useful information and addresses certain aspects of the recognition, measurement, presentation, and disclosure of financial instruments. The new ASU affects all entities that hold financial assets or owe financial liabilities and is effective for annual reporting periods (including interim periods) beginning after December 15, 2017. The Company does not expect the adoption of ASU 2016-01 to have a material impact on its consolidated financial statements, as it does not currently classify any equity securities as available for sale, and it does not apply the fair value option to its own debt issuances.</w:t>
      </w:r>
    </w:p>
    <w:p>
      <w:pPr>
        <w:spacing w:after="0" w:line="117" w:lineRule="exact"/>
        <w:rPr>
          <w:sz w:val="20"/>
          <w:szCs w:val="20"/>
          <w:color w:val="auto"/>
        </w:rPr>
      </w:pPr>
    </w:p>
    <w:p>
      <w:pPr>
        <w:ind w:firstLine="635"/>
        <w:spacing w:after="0" w:line="299" w:lineRule="auto"/>
        <w:rPr>
          <w:sz w:val="20"/>
          <w:szCs w:val="20"/>
          <w:color w:val="auto"/>
        </w:rPr>
      </w:pPr>
      <w:r>
        <w:rPr>
          <w:rFonts w:ascii="Arial" w:cs="Arial" w:eastAsia="Arial" w:hAnsi="Arial"/>
          <w:sz w:val="15"/>
          <w:szCs w:val="15"/>
          <w:b w:val="1"/>
          <w:bCs w:val="1"/>
          <w:i w:val="1"/>
          <w:iCs w:val="1"/>
          <w:color w:val="auto"/>
        </w:rPr>
        <w:t xml:space="preserve">Leases </w:t>
      </w:r>
      <w:r>
        <w:rPr>
          <w:rFonts w:ascii="Arial" w:cs="Arial" w:eastAsia="Arial" w:hAnsi="Arial"/>
          <w:sz w:val="15"/>
          <w:szCs w:val="15"/>
          <w:color w:val="auto"/>
        </w:rPr>
        <w:t>— In February 2016, the FASB issued ASU 2016-02,</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Leases (Topic 842)</w:t>
      </w:r>
      <w:r>
        <w:rPr>
          <w:rFonts w:ascii="Arial" w:cs="Arial" w:eastAsia="Arial" w:hAnsi="Arial"/>
          <w:sz w:val="15"/>
          <w:szCs w:val="15"/>
          <w:color w:val="auto"/>
        </w:rPr>
        <w:t>. Under the new ASU, a lessee will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required to recognize assets and liabilities for leases with lease terms of more than 12 months. The liability will be equal to the present value of the future lease payments. The asset, referred to as a “right-of-use asset” will be based on the liability, subject to adjustment, such as for initial direct costs. For income statement purposes, leases will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but without explicit bright lines. New quantitative and qualitative disclosures, including significant judgments made by management, will be required to provide greater information regarding the extent of revenue and expense recognized and expected to be recognized from existing contracts. The standard is effective for fiscal years, and interim periods within those fiscal years, beginning after December 15, 2018. . The Company anticipates adopting this ASU on January 1, 2019. The Company is not anticipating recognizing lease assets and lease liabilities for leases with a term of twelve months or less. As of December 31, 2017, the Company has not yet identified any significant changes in the timing of operating leases recognition when considering this ASU, but the Company’s implementation efforts are ongoing and such assessments may change prior to the January 1, 2019, anticipated implementation date. Upon adoption of this ASU, the Company expects to report increased assets and liabilities on its consolidated statement of financial condition as a result of recognizing right-of-use assets and lease liabilities related to certain equipment under noncancelable operating lease agreements, which currently are not reflected in its consolidated statement of financial condition.</w:t>
      </w:r>
    </w:p>
    <w:p>
      <w:pPr>
        <w:spacing w:after="0" w:line="253" w:lineRule="exact"/>
        <w:rPr>
          <w:sz w:val="20"/>
          <w:szCs w:val="20"/>
          <w:color w:val="auto"/>
        </w:rPr>
      </w:pPr>
    </w:p>
    <w:p>
      <w:pPr>
        <w:ind w:right="140" w:firstLine="635"/>
        <w:spacing w:after="0" w:line="312" w:lineRule="auto"/>
        <w:rPr>
          <w:sz w:val="20"/>
          <w:szCs w:val="20"/>
          <w:color w:val="auto"/>
        </w:rPr>
      </w:pPr>
      <w:r>
        <w:rPr>
          <w:rFonts w:ascii="Arial" w:cs="Arial" w:eastAsia="Arial" w:hAnsi="Arial"/>
          <w:sz w:val="15"/>
          <w:szCs w:val="15"/>
          <w:b w:val="1"/>
          <w:bCs w:val="1"/>
          <w:i w:val="1"/>
          <w:iCs w:val="1"/>
          <w:color w:val="auto"/>
        </w:rPr>
        <w:t xml:space="preserve">Statement of Cash Flows </w:t>
      </w:r>
      <w:r>
        <w:rPr>
          <w:rFonts w:ascii="Arial" w:cs="Arial" w:eastAsia="Arial" w:hAnsi="Arial"/>
          <w:sz w:val="15"/>
          <w:szCs w:val="15"/>
          <w:color w:val="auto"/>
        </w:rPr>
        <w:t>– In August 2016, the FASB issued ASU 2016-15,</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Statement of Cash Flows (Topic 230):</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Classification of Certain Cash Receipts and Cash Payments. </w:t>
      </w:r>
      <w:r>
        <w:rPr>
          <w:rFonts w:ascii="Arial" w:cs="Arial" w:eastAsia="Arial" w:hAnsi="Arial"/>
          <w:sz w:val="15"/>
          <w:szCs w:val="15"/>
          <w:color w:val="auto"/>
        </w:rPr>
        <w:t>The ASU intended to reduce diversity in practice how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transactions are classified in the statement of cash flows by mandating classification of certain activities. The ASU is effective for annual periods beginning after December 15, 2017, and interim periods within those annual periods. The Company has adopted this ASU, and it does not have a material impact on its consolidated financial statements.</w:t>
      </w:r>
    </w:p>
    <w:p>
      <w:pPr>
        <w:spacing w:after="0" w:line="30" w:lineRule="exact"/>
        <w:rPr>
          <w:sz w:val="20"/>
          <w:szCs w:val="20"/>
          <w:color w:val="auto"/>
        </w:rPr>
      </w:pPr>
    </w:p>
    <w:p>
      <w:pPr>
        <w:ind w:right="40" w:firstLine="635"/>
        <w:spacing w:after="0" w:line="265"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October 2016, the FASB issued ASU 2016-16,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749): Intra-Entity Transfers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Assets Other Than Inventory</w:t>
      </w:r>
      <w:r>
        <w:rPr>
          <w:rFonts w:ascii="Arial" w:cs="Arial" w:eastAsia="Arial" w:hAnsi="Arial"/>
          <w:sz w:val="17"/>
          <w:szCs w:val="17"/>
          <w:color w:val="auto"/>
        </w:rPr>
        <w:t>. The ASU requires the reporting entity to recognize the tax expense from the sale of an asset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seller’s tax jurisdiction when the transfer occurs, even though the pre-tax effects of the transactions are eliminated in consolidation. Any deferred tax asset that arises in the buyer’s jurisdiction would also be recognized at the time of the transfer. The ASU is effective for annual periods beginning after December 15, 2018, and interim reporting periods within annual reporting periods beginning after December 15, 2019. The Company is currently evaluating the potential effects of adoption of ASU 2016-16 on the Company’s consolidated financial statements.</w:t>
      </w:r>
    </w:p>
    <w:p>
      <w:pPr>
        <w:spacing w:after="0" w:line="50" w:lineRule="exact"/>
        <w:rPr>
          <w:sz w:val="20"/>
          <w:szCs w:val="20"/>
          <w:color w:val="auto"/>
        </w:rPr>
      </w:pPr>
    </w:p>
    <w:p>
      <w:pPr>
        <w:ind w:right="20" w:firstLine="635"/>
        <w:spacing w:after="0" w:line="249" w:lineRule="auto"/>
        <w:rPr>
          <w:sz w:val="20"/>
          <w:szCs w:val="20"/>
          <w:color w:val="auto"/>
        </w:rPr>
      </w:pPr>
      <w:r>
        <w:rPr>
          <w:rFonts w:ascii="Arial" w:cs="Arial" w:eastAsia="Arial" w:hAnsi="Arial"/>
          <w:sz w:val="18"/>
          <w:szCs w:val="18"/>
          <w:b w:val="1"/>
          <w:bCs w:val="1"/>
          <w:i w:val="1"/>
          <w:iCs w:val="1"/>
          <w:color w:val="auto"/>
        </w:rPr>
        <w:t xml:space="preserve">Restricted cash – </w:t>
      </w:r>
      <w:r>
        <w:rPr>
          <w:rFonts w:ascii="Arial" w:cs="Arial" w:eastAsia="Arial" w:hAnsi="Arial"/>
          <w:sz w:val="18"/>
          <w:szCs w:val="18"/>
          <w:color w:val="auto"/>
        </w:rPr>
        <w:t>In November 2016, the FASB issued ASU 2016-18, Statement of Cash Flow (Topic 230):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which is intended to reduce diversity in the presentation of restricted cash and restricted cash equivalent in the statements. The statement requires that restricted cash and restricted cash equivalents be included as components of total cash and cash equivalents as presented on the statement of cash flows. This ASU is effective for annual reporting periods beginning after December 15, 2017, and interim periods within those fiscal years. The Company elected to early adopt this ASU effective June 30, 2017.</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19" w:firstLine="635"/>
        <w:spacing w:after="0" w:line="262" w:lineRule="auto"/>
        <w:rPr>
          <w:sz w:val="20"/>
          <w:szCs w:val="20"/>
          <w:color w:val="auto"/>
        </w:rPr>
      </w:pPr>
      <w:r>
        <w:rPr>
          <w:rFonts w:ascii="Arial" w:cs="Arial" w:eastAsia="Arial" w:hAnsi="Arial"/>
          <w:sz w:val="17"/>
          <w:szCs w:val="17"/>
          <w:b w:val="1"/>
          <w:bCs w:val="1"/>
          <w:i w:val="1"/>
          <w:iCs w:val="1"/>
          <w:color w:val="auto"/>
        </w:rPr>
        <w:t xml:space="preserve">Accounting Changes – </w:t>
      </w:r>
      <w:r>
        <w:rPr>
          <w:rFonts w:ascii="Arial" w:cs="Arial" w:eastAsia="Arial" w:hAnsi="Arial"/>
          <w:sz w:val="17"/>
          <w:szCs w:val="17"/>
          <w:color w:val="auto"/>
        </w:rPr>
        <w:t>In January 2017, the FASB issued ASU 2017-03, Accounting Changes and Error Correction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(Topic 250) and Investments – Equity Method and Joint Ventures (Topic 323), which amends SEC Paragraphs Pursuant to Staff Announcements at the September 22, 2016 and November 17, 2016 EITF Meetings (SEC update). The SEC staff view is that a registrant should evaluate the impact of new accounting standards that have not yet been adopted to determine the appropriate financial disclosures on the potential material effects, especially on new standards on revenue recognition, leases, and financial instruments – credit losses. If a registrant cannot reasonably estimate the impact that adoption of the ASUs, the registrant should consider additional qualitative financial statement disclosures to assist the reader in assessing the significance of the impact. Additional qualitative disclosures should include a description of the effect of the accounting policies expected to be applied compared to current accounting policies. Furthermore, the registrant should describe the status of its process to implement the new standards and the significant implementation matters yet to be addressed. The Company adopted this ASU on January 1, 2017, and appropriate disclosures have been included in this Note for each recently issued accounting standard.</w:t>
      </w:r>
    </w:p>
    <w:p>
      <w:pPr>
        <w:spacing w:after="0" w:line="72" w:lineRule="exact"/>
        <w:rPr>
          <w:sz w:val="20"/>
          <w:szCs w:val="20"/>
          <w:color w:val="auto"/>
        </w:rPr>
      </w:pPr>
    </w:p>
    <w:p>
      <w:pPr>
        <w:ind w:right="79" w:firstLine="635"/>
        <w:spacing w:after="0" w:line="262" w:lineRule="auto"/>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color w:val="auto"/>
        </w:rPr>
        <w:t>- In January, 2017, the FASB issued ASU 2017-04,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Intangibles—Goodwill and Other (Topic 350),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To simplify the subsequent measurement of goodwill, this ASU eliminated Step</w:t>
      </w:r>
      <w:r>
        <w:rPr>
          <w:rFonts w:ascii="Arial" w:cs="Arial" w:eastAsia="Arial" w:hAnsi="Arial"/>
          <w:sz w:val="17"/>
          <w:szCs w:val="17"/>
          <w:i w:val="1"/>
          <w:iCs w:val="1"/>
          <w:color w:val="auto"/>
        </w:rPr>
        <w:t xml:space="preserve"> </w:t>
      </w:r>
      <w:r>
        <w:rPr>
          <w:rFonts w:ascii="Arial" w:cs="Arial" w:eastAsia="Arial" w:hAnsi="Arial"/>
          <w:sz w:val="17"/>
          <w:szCs w:val="17"/>
          <w:color w:val="auto"/>
        </w:rPr>
        <w:t>2 from the goodwill impairment test. (In computing the implied fair 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Early adoption is permitted for interim or annual goodwill impairment tests performed on testing dates after January 1, 2017. The Company does not expect the adoption of this ASU to have a material impact on the its consolidated financial statements.</w:t>
      </w:r>
    </w:p>
    <w:p>
      <w:pPr>
        <w:spacing w:after="0" w:line="55" w:lineRule="exact"/>
        <w:rPr>
          <w:sz w:val="20"/>
          <w:szCs w:val="20"/>
          <w:color w:val="auto"/>
        </w:rPr>
      </w:pPr>
    </w:p>
    <w:p>
      <w:pPr>
        <w:ind w:right="19" w:firstLine="635"/>
        <w:spacing w:after="0" w:line="250"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 In January 2017, the FASB issued ASU 2017-01, Business Combinations (Topic 805),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Clarifying the Definition of a Business, to amend the definition of a business with the objective of adding guidance to assist entities with evaluating whether transactions should be accounted for as acquisitions (or disposals) of assets or businesses. The ASU is effective for reporting periods beginning after December 15, 2017. The impact of this ASU will depend on the nature of the Company’s activities after adoption.</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KCG Holdings, Inc.</w:t>
      </w:r>
    </w:p>
    <w:p>
      <w:pPr>
        <w:spacing w:after="0" w:line="222" w:lineRule="exact"/>
        <w:rPr>
          <w:sz w:val="20"/>
          <w:szCs w:val="20"/>
          <w:color w:val="auto"/>
        </w:rPr>
      </w:pPr>
    </w:p>
    <w:p>
      <w:pPr>
        <w:ind w:right="40" w:firstLine="635"/>
        <w:spacing w:after="0" w:line="254" w:lineRule="auto"/>
        <w:rPr>
          <w:sz w:val="20"/>
          <w:szCs w:val="20"/>
          <w:color w:val="auto"/>
        </w:rPr>
      </w:pPr>
      <w:r>
        <w:rPr>
          <w:rFonts w:ascii="Arial" w:cs="Arial" w:eastAsia="Arial" w:hAnsi="Arial"/>
          <w:sz w:val="18"/>
          <w:szCs w:val="18"/>
          <w:color w:val="auto"/>
        </w:rPr>
        <w:t>As of the Closing Date of the Acquisition, each of KCG’s issued and outstanding shares of Class A common stock, par value $0.01 per share were cancelled and extinguished and converted into the right to receive $20.00 in cash, without interest, less any applicable withholding taxes.</w:t>
      </w:r>
    </w:p>
    <w:p>
      <w:pPr>
        <w:spacing w:after="0" w:line="189" w:lineRule="exact"/>
        <w:rPr>
          <w:sz w:val="20"/>
          <w:szCs w:val="20"/>
          <w:color w:val="auto"/>
        </w:rPr>
      </w:pPr>
    </w:p>
    <w:p>
      <w:pPr>
        <w:ind w:firstLine="635"/>
        <w:spacing w:after="0" w:line="266" w:lineRule="auto"/>
        <w:rPr>
          <w:sz w:val="20"/>
          <w:szCs w:val="20"/>
          <w:color w:val="auto"/>
        </w:rPr>
      </w:pPr>
      <w:r>
        <w:rPr>
          <w:rFonts w:ascii="Arial" w:cs="Arial" w:eastAsia="Arial" w:hAnsi="Arial"/>
          <w:sz w:val="17"/>
          <w:szCs w:val="17"/>
          <w:color w:val="auto"/>
        </w:rPr>
        <w:t>On the Closing Date, and in connection with the financing of the Acquisition, as described in Note 10, “Borrowings”, the Company issued to Aranda Investments Pte. Ltd. (“Aranda”), an affiliate of Temasek Holdings (Private) Limited (“Temasek”), 6,346,155 shares of the Company’s Class A common stock, pursuant to the investment agreement with Aranda (as amended, the “Aranda Investment Agreement”) for an aggregate purchase price of approximately $99.0 million. On August 10, 2017, the Company issued an additional 1,666,666 shares of its Class A common stock for an aggregate purchase price of $26.0 million (collectively, the “Temasek Investment”).</w:t>
      </w:r>
    </w:p>
    <w:p>
      <w:pPr>
        <w:spacing w:after="0" w:line="182" w:lineRule="exact"/>
        <w:rPr>
          <w:sz w:val="20"/>
          <w:szCs w:val="20"/>
          <w:color w:val="auto"/>
        </w:rPr>
      </w:pPr>
    </w:p>
    <w:p>
      <w:pPr>
        <w:ind w:right="100" w:firstLine="635"/>
        <w:spacing w:after="0" w:line="266" w:lineRule="auto"/>
        <w:rPr>
          <w:sz w:val="20"/>
          <w:szCs w:val="20"/>
          <w:color w:val="auto"/>
        </w:rPr>
      </w:pPr>
      <w:r>
        <w:rPr>
          <w:rFonts w:ascii="Arial" w:cs="Arial" w:eastAsia="Arial" w:hAnsi="Arial"/>
          <w:sz w:val="17"/>
          <w:szCs w:val="17"/>
          <w:color w:val="auto"/>
        </w:rPr>
        <w:t>On the Closing Date, and in connection with the financing of the Acquisition, the Company issued to North Island Holdings I, LP (“NIH”) 39,725,979 shares of the Company’s Class A common stock for an aggregate purchase price of approximately $613.5 million. On August 10, 2017 the Company issued an additional 338,124 shares of its Class A common stock for an aggregate purchase price of $5.2 million (collectively, the “NIH Investment”). In connection with the Temasek Investment and NIH Investment, the Company incurred approximately $7.8 million in fees which were recorded as a reduction to additional paid-in capital.</w:t>
      </w:r>
    </w:p>
    <w:p>
      <w:pPr>
        <w:spacing w:after="0" w:line="182" w:lineRule="exact"/>
        <w:rPr>
          <w:sz w:val="20"/>
          <w:szCs w:val="20"/>
          <w:color w:val="auto"/>
        </w:rPr>
      </w:pPr>
    </w:p>
    <w:p>
      <w:pPr>
        <w:ind w:right="100" w:firstLine="635"/>
        <w:spacing w:after="0" w:line="317" w:lineRule="auto"/>
        <w:rPr>
          <w:sz w:val="20"/>
          <w:szCs w:val="20"/>
          <w:color w:val="auto"/>
        </w:rPr>
      </w:pPr>
      <w:r>
        <w:rPr>
          <w:rFonts w:ascii="Arial" w:cs="Arial" w:eastAsia="Arial" w:hAnsi="Arial"/>
          <w:sz w:val="15"/>
          <w:szCs w:val="15"/>
          <w:color w:val="auto"/>
        </w:rPr>
        <w:t>On July 21, 2017, the outstanding 6.875% Senior Secured Notes due 2020 issued by KCG were redeemed at a redemption price equal to 103.438% of the $465.0 million principal amount, plus accrued and unpaid interest. The redemption was pursuant to the indenture, dated as of March 13, 2015 (as amended, restated, supplemented or otherwise modified), by and among KCG, the subsidiary guarantors party thereto and The Bank of New York Mellon, as trustee and collateral agent.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 of the Acquisition</w:t>
      </w:r>
    </w:p>
    <w:p>
      <w:pPr>
        <w:spacing w:after="0" w:line="216" w:lineRule="exact"/>
        <w:rPr>
          <w:sz w:val="20"/>
          <w:szCs w:val="20"/>
          <w:color w:val="auto"/>
        </w:rPr>
      </w:pPr>
    </w:p>
    <w:p>
      <w:pPr>
        <w:ind w:firstLine="635"/>
        <w:spacing w:after="0" w:line="304" w:lineRule="auto"/>
        <w:rPr>
          <w:sz w:val="20"/>
          <w:szCs w:val="20"/>
          <w:color w:val="auto"/>
        </w:rPr>
      </w:pPr>
      <w:r>
        <w:rPr>
          <w:rFonts w:ascii="Arial" w:cs="Arial" w:eastAsia="Arial" w:hAnsi="Arial"/>
          <w:sz w:val="15"/>
          <w:szCs w:val="15"/>
          <w:color w:val="auto"/>
        </w:rPr>
        <w:t xml:space="preserve">The Acquisition is accounted for as a purchase of KCG by the Company, pursuant to provisions of ASC 805,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Combinations</w:t>
      </w:r>
      <w:r>
        <w:rPr>
          <w:rFonts w:ascii="Arial" w:cs="Arial" w:eastAsia="Arial" w:hAnsi="Arial"/>
          <w:sz w:val="15"/>
          <w:szCs w:val="15"/>
          <w:color w:val="auto"/>
        </w:rPr>
        <w:t>. Under the acquisition method of accounting, the assets and liabilities of KCG, as of July 20, 2017, were recorded</w:t>
      </w:r>
      <w:r>
        <w:rPr>
          <w:rFonts w:ascii="Arial" w:cs="Arial" w:eastAsia="Arial" w:hAnsi="Arial"/>
          <w:sz w:val="15"/>
          <w:szCs w:val="15"/>
          <w:i w:val="1"/>
          <w:iCs w:val="1"/>
          <w:color w:val="auto"/>
        </w:rPr>
        <w:t xml:space="preserve"> </w:t>
      </w:r>
      <w:r>
        <w:rPr>
          <w:rFonts w:ascii="Arial" w:cs="Arial" w:eastAsia="Arial" w:hAnsi="Arial"/>
          <w:sz w:val="15"/>
          <w:szCs w:val="15"/>
          <w:color w:val="auto"/>
        </w:rPr>
        <w:t>at their respective fair values and added to the carrying value of the Company's existing assets and liabilities. These fair values were determined with the assistance of third party valuation professionals. The reported financial condition, results of operations and cash flows of the Company for the periods following the Acquisition reflect KCG’s and the Company's balances and reflect the impact of purchase accounting adjustments. As the Company is the accounting acquirer, the financial results for the year ended December 31, 2017 comprise the results of the Company for the entire applicable period and the results of KCG from Closing Date through December 31, 2017. All periods prior to 2017 comprise solely the results of the Company.</w:t>
      </w:r>
    </w:p>
    <w:p>
      <w:pPr>
        <w:spacing w:after="0" w:line="157" w:lineRule="exact"/>
        <w:rPr>
          <w:sz w:val="20"/>
          <w:szCs w:val="20"/>
          <w:color w:val="auto"/>
        </w:rPr>
      </w:pPr>
    </w:p>
    <w:p>
      <w:pPr>
        <w:ind w:right="140" w:firstLine="635"/>
        <w:spacing w:after="0" w:line="306" w:lineRule="auto"/>
        <w:rPr>
          <w:sz w:val="20"/>
          <w:szCs w:val="20"/>
          <w:color w:val="auto"/>
        </w:rPr>
      </w:pPr>
      <w:r>
        <w:rPr>
          <w:rFonts w:ascii="Arial" w:cs="Arial" w:eastAsia="Arial" w:hAnsi="Arial"/>
          <w:sz w:val="15"/>
          <w:szCs w:val="15"/>
          <w:color w:val="auto"/>
        </w:rPr>
        <w:t>Certain former KCG management employees were terminated upon the Acquisition, and as a result were paid an aggregate of $6.4 million pursuant to their existing employment contracts. This amount has been recognized as an expense by the Company and is included in Employee compensation and payroll taxes in the consolidated statements of comprehensive income for the year ending December 31, 2017. The Company also expects to make annual incentive compensation payments to former KCG employees who became employees of the Company following the Merger, and accrued related compensation expense of approximately $35.3 million during the year ended December 31, 2017, which is included in Employee compensation and payroll taxes in the consolidated statements of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goodwill</w:t>
      </w:r>
    </w:p>
    <w:p>
      <w:pPr>
        <w:spacing w:after="0" w:line="216" w:lineRule="exact"/>
        <w:rPr>
          <w:sz w:val="20"/>
          <w:szCs w:val="20"/>
          <w:color w:val="auto"/>
        </w:rPr>
      </w:pPr>
    </w:p>
    <w:p>
      <w:pPr>
        <w:jc w:val="both"/>
        <w:ind w:right="80" w:firstLine="635"/>
        <w:spacing w:after="0" w:line="254" w:lineRule="auto"/>
        <w:rPr>
          <w:sz w:val="20"/>
          <w:szCs w:val="20"/>
          <w:color w:val="auto"/>
        </w:rPr>
      </w:pPr>
      <w:r>
        <w:rPr>
          <w:rFonts w:ascii="Arial" w:cs="Arial" w:eastAsia="Arial" w:hAnsi="Arial"/>
          <w:sz w:val="18"/>
          <w:szCs w:val="18"/>
          <w:color w:val="auto"/>
        </w:rPr>
        <w:t>The aggregate cash purchase price of $1.40 billion was determined as the sum of the fair value, at $20.00 per share, of KCG shares and warrants outstanding to former KCG stockholders at closing and the fair value of KCG employee stock based awards that were outstanding, and which vested at the Closing Date.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1080" w:firstLine="635"/>
        <w:spacing w:after="0" w:line="265" w:lineRule="auto"/>
        <w:rPr>
          <w:sz w:val="20"/>
          <w:szCs w:val="20"/>
          <w:color w:val="auto"/>
        </w:rPr>
      </w:pPr>
      <w:r>
        <w:rPr>
          <w:rFonts w:ascii="Arial" w:cs="Arial" w:eastAsia="Arial" w:hAnsi="Arial"/>
          <w:sz w:val="17"/>
          <w:szCs w:val="17"/>
          <w:color w:val="auto"/>
        </w:rPr>
        <w:t>The purchase price has been allocated to the assets acquired and liabilities assumed using their estimated fair values at the Closing Date of the Acquisition. Although the Company has substantially completed its analysis to record the allocation of the purchase price to the KCG acquired assets and liabilities, the allocation of the purchase price may be modified over the measurement period, which does not exceed twelve months from the Closing Date, as more information is obtained about the fair values of assets acquired and liabilities assumed. Adjustments to the provisional values during the measurement period will be recorded in the reporting period in which the adjustment amounts are determined. The Company has engaged third party specialists for the purchase price allocation.</w:t>
      </w:r>
    </w:p>
    <w:p>
      <w:pPr>
        <w:spacing w:after="0" w:line="182" w:lineRule="exact"/>
        <w:rPr>
          <w:sz w:val="20"/>
          <w:szCs w:val="20"/>
          <w:color w:val="auto"/>
        </w:rPr>
      </w:pPr>
    </w:p>
    <w:p>
      <w:pPr>
        <w:ind w:right="1080" w:firstLine="635"/>
        <w:spacing w:after="0" w:line="265" w:lineRule="auto"/>
        <w:rPr>
          <w:sz w:val="20"/>
          <w:szCs w:val="20"/>
          <w:color w:val="auto"/>
        </w:rPr>
      </w:pPr>
      <w:r>
        <w:rPr>
          <w:rFonts w:ascii="Arial" w:cs="Arial" w:eastAsia="Arial" w:hAnsi="Arial"/>
          <w:sz w:val="17"/>
          <w:szCs w:val="17"/>
          <w:color w:val="auto"/>
        </w:rPr>
        <w:t>During the quarter ended December 31, 2017, the Company recorded adjustments to its initial fair value estimates in the Acquisition. Among the adjustments recorded, the fair value of acquired intangible assets and property, equipment and capitalized software were increased by $18.7 million and $2.2 million, respectively, and other assets, primarily income taxes receivable, decreased by $8.6 million. Cash and securities segregated under federal regulations of $3.0 million was reclassified into cash and equivalents, and payables to customers of $17.6 million were reclassified to accounts payable and accrued expenses and other liabilities. Deferred tax assets were adjusted to account for the effects of the aforementioned adjustments, and goodwill decreased by $14.7 million as a result of these adjustments.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Closing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b w:val="1"/>
                <w:bCs w:val="1"/>
                <w:color w:val="auto"/>
                <w:w w:val="98"/>
              </w:rPr>
              <w:t>September 30,</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Measurement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401"/>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and equivalents</w:t>
            </w:r>
          </w:p>
        </w:tc>
        <w:tc>
          <w:tcPr>
            <w:tcW w:w="740" w:type="dxa"/>
            <w:vAlign w:val="bottom"/>
            <w:tcBorders>
              <w:top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592,993</w:t>
            </w:r>
          </w:p>
        </w:tc>
        <w:tc>
          <w:tcPr>
            <w:tcW w:w="620" w:type="dxa"/>
            <w:vAlign w:val="bottom"/>
            <w:tcBorders>
              <w:top w:val="single" w:sz="8" w:color="auto"/>
            </w:tcBorders>
            <w:gridSpan w:val="2"/>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595,669</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Cash and securities segregated under federal regulations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Securities borrowed</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1,406,444</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1,406,444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Securities purchased under agreements to resell</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16,894</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Receivables from broker dealers and clearing organizations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553,031</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552,820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Financial instruments owned, at fair value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2,095,339</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2,095,339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112,204</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114,367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Intangibles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156,300</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18,695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174,995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331,820</w:t>
            </w:r>
          </w:p>
        </w:tc>
        <w:tc>
          <w:tcPr>
            <w:tcW w:w="4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(8,636)</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323,184</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Total Assets</w:t>
            </w: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5,290,953</w:t>
            </w: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5,303,620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Securities loaned</w:t>
            </w:r>
          </w:p>
        </w:tc>
        <w:tc>
          <w:tcPr>
            <w:tcW w:w="740" w:type="dxa"/>
            <w:vAlign w:val="bottom"/>
            <w:gridSpan w:val="2"/>
            <w:shd w:val="clear" w:color="auto" w:fill="CCEEFF"/>
          </w:tcPr>
          <w:p>
            <w:pPr>
              <w:jc w:val="right"/>
              <w:ind w:right="46"/>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166,189</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166,189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841,606</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841,606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Payables to broker dealers and clearing organizations</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536,653</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536,653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Payables to customers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17,583</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(17,583)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Financial instruments sold, not yet purchased, at fair value</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1,756,647</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1,756,647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6"/>
                <w:szCs w:val="16"/>
                <w:color w:val="auto"/>
              </w:rPr>
              <w:t>Accounts payable and accrued expenses and other liabilities</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239,004</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254,528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Debt</w:t>
            </w: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480,987</w:t>
            </w:r>
          </w:p>
        </w:tc>
        <w:tc>
          <w:tcPr>
            <w:tcW w:w="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480,987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Total Liabilities</w:t>
            </w:r>
          </w:p>
        </w:tc>
        <w:tc>
          <w:tcPr>
            <w:tcW w:w="54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4,038,669</w:t>
            </w:r>
          </w:p>
        </w:tc>
        <w:tc>
          <w:tcPr>
            <w:tcW w:w="40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(2,059)</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4,036,610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Total identified assets acquired, net of assumed liabilities</w:t>
            </w:r>
          </w:p>
        </w:tc>
        <w:tc>
          <w:tcPr>
            <w:tcW w:w="54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1,252,284</w:t>
            </w:r>
          </w:p>
        </w:tc>
        <w:tc>
          <w:tcPr>
            <w:tcW w:w="40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14,726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1,267,010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Goodwill</w:t>
            </w:r>
          </w:p>
        </w:tc>
        <w:tc>
          <w:tcPr>
            <w:tcW w:w="74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143,012</w:t>
            </w:r>
          </w:p>
        </w:tc>
        <w:tc>
          <w:tcPr>
            <w:tcW w:w="62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(14,726)</w:t>
            </w:r>
          </w:p>
        </w:tc>
        <w:tc>
          <w:tcPr>
            <w:tcW w:w="24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128,286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80"/>
              <w:spacing w:after="0"/>
              <w:rPr>
                <w:sz w:val="20"/>
                <w:szCs w:val="20"/>
                <w:color w:val="auto"/>
              </w:rPr>
            </w:pPr>
            <w:r>
              <w:rPr>
                <w:rFonts w:ascii="Arial" w:cs="Arial" w:eastAsia="Arial" w:hAnsi="Arial"/>
                <w:sz w:val="16"/>
                <w:szCs w:val="16"/>
                <w:color w:val="auto"/>
              </w:rPr>
              <w:t>Total Purchase Price</w:t>
            </w:r>
          </w:p>
        </w:tc>
        <w:tc>
          <w:tcPr>
            <w:tcW w:w="540" w:type="dxa"/>
            <w:vAlign w:val="bottom"/>
          </w:tcPr>
          <w:p>
            <w:pPr>
              <w:spacing w:after="0"/>
              <w:rPr>
                <w:sz w:val="17"/>
                <w:szCs w:val="17"/>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1,395,296</w:t>
            </w:r>
          </w:p>
        </w:tc>
        <w:tc>
          <w:tcPr>
            <w:tcW w:w="40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1,395,296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10080"/>
          </w:cols>
          <w:pgMar w:left="1420" w:top="127" w:right="39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Amounts allocated to intangible assets, the amortization period and goodwill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0" w:type="dxa"/>
            <w:vAlign w:val="bottom"/>
            <w:gridSpan w:val="2"/>
          </w:tcPr>
          <w:p>
            <w:pPr>
              <w:ind w:left="660"/>
              <w:spacing w:after="0"/>
              <w:rPr>
                <w:sz w:val="20"/>
                <w:szCs w:val="20"/>
                <w:color w:val="auto"/>
              </w:rPr>
            </w:pPr>
            <w:r>
              <w:rPr>
                <w:rFonts w:ascii="Arial" w:cs="Arial" w:eastAsia="Arial" w:hAnsi="Arial"/>
                <w:sz w:val="16"/>
                <w:szCs w:val="16"/>
                <w:b w:val="1"/>
                <w:bCs w:val="1"/>
                <w:color w:val="auto"/>
              </w:rPr>
              <w:t>Amortization</w:t>
            </w:r>
          </w:p>
        </w:tc>
      </w:tr>
      <w:tr>
        <w:trPr>
          <w:trHeight w:val="232"/>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Amount</w:t>
            </w:r>
          </w:p>
        </w:tc>
        <w:tc>
          <w:tcPr>
            <w:tcW w:w="19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Years</w:t>
            </w:r>
          </w:p>
        </w:tc>
        <w:tc>
          <w:tcPr>
            <w:tcW w:w="220" w:type="dxa"/>
            <w:vAlign w:val="bottom"/>
            <w:tcBorders>
              <w:bottom w:val="single" w:sz="8" w:color="CCEEFF"/>
            </w:tcBorders>
          </w:tcPr>
          <w:p>
            <w:pPr>
              <w:spacing w:after="0"/>
              <w:rPr>
                <w:sz w:val="20"/>
                <w:szCs w:val="20"/>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Technology</w:t>
            </w:r>
          </w:p>
        </w:tc>
        <w:tc>
          <w:tcPr>
            <w:tcW w:w="440" w:type="dxa"/>
            <w:vAlign w:val="bottom"/>
            <w:gridSpan w:val="2"/>
            <w:shd w:val="clear" w:color="auto" w:fill="CCEEFF"/>
          </w:tcPr>
          <w:p>
            <w:pPr>
              <w:jc w:val="right"/>
              <w:ind w:right="357"/>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67,700</w:t>
            </w:r>
          </w:p>
        </w:tc>
        <w:tc>
          <w:tcPr>
            <w:tcW w:w="22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1-6 years</w:t>
            </w:r>
          </w:p>
        </w:tc>
      </w:tr>
      <w:tr>
        <w:trPr>
          <w:trHeight w:val="221"/>
        </w:trPr>
        <w:tc>
          <w:tcPr>
            <w:tcW w:w="3040" w:type="dxa"/>
            <w:vAlign w:val="bottom"/>
          </w:tcPr>
          <w:p>
            <w:pPr>
              <w:spacing w:after="0"/>
              <w:rPr>
                <w:sz w:val="20"/>
                <w:szCs w:val="20"/>
                <w:color w:val="auto"/>
              </w:rPr>
            </w:pPr>
            <w:r>
              <w:rPr>
                <w:rFonts w:ascii="Arial" w:cs="Arial" w:eastAsia="Arial" w:hAnsi="Arial"/>
                <w:sz w:val="16"/>
                <w:szCs w:val="16"/>
                <w:color w:val="auto"/>
              </w:rPr>
              <w:t>Customer relationships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94,000</w:t>
            </w:r>
          </w:p>
        </w:tc>
        <w:tc>
          <w:tcPr>
            <w:tcW w:w="2200" w:type="dxa"/>
            <w:vAlign w:val="bottom"/>
            <w:gridSpan w:val="2"/>
          </w:tcPr>
          <w:p>
            <w:pPr>
              <w:ind w:left="260"/>
              <w:spacing w:after="0"/>
              <w:rPr>
                <w:sz w:val="20"/>
                <w:szCs w:val="20"/>
                <w:color w:val="auto"/>
              </w:rPr>
            </w:pPr>
            <w:r>
              <w:rPr>
                <w:rFonts w:ascii="Arial" w:cs="Arial" w:eastAsia="Arial" w:hAnsi="Arial"/>
                <w:sz w:val="16"/>
                <w:szCs w:val="16"/>
                <w:color w:val="auto"/>
              </w:rPr>
              <w:t>13 - 17 years</w:t>
            </w:r>
          </w:p>
        </w:tc>
      </w:tr>
      <w:tr>
        <w:trPr>
          <w:trHeight w:val="22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Trade names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10 years</w:t>
            </w:r>
          </w:p>
        </w:tc>
      </w:tr>
      <w:tr>
        <w:trPr>
          <w:trHeight w:val="221"/>
        </w:trPr>
        <w:tc>
          <w:tcPr>
            <w:tcW w:w="3040" w:type="dxa"/>
            <w:vAlign w:val="bottom"/>
          </w:tcPr>
          <w:p>
            <w:pPr>
              <w:spacing w:after="0"/>
              <w:rPr>
                <w:sz w:val="20"/>
                <w:szCs w:val="20"/>
                <w:color w:val="auto"/>
              </w:rPr>
            </w:pPr>
            <w:r>
              <w:rPr>
                <w:rFonts w:ascii="Arial" w:cs="Arial" w:eastAsia="Arial" w:hAnsi="Arial"/>
                <w:sz w:val="16"/>
                <w:szCs w:val="16"/>
                <w:color w:val="auto"/>
              </w:rPr>
              <w:t>Favorable leases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5,895</w:t>
            </w:r>
          </w:p>
        </w:tc>
        <w:tc>
          <w:tcPr>
            <w:tcW w:w="2200" w:type="dxa"/>
            <w:vAlign w:val="bottom"/>
            <w:gridSpan w:val="2"/>
          </w:tcPr>
          <w:p>
            <w:pPr>
              <w:ind w:left="260"/>
              <w:spacing w:after="0"/>
              <w:rPr>
                <w:sz w:val="20"/>
                <w:szCs w:val="20"/>
                <w:color w:val="auto"/>
              </w:rPr>
            </w:pPr>
            <w:r>
              <w:rPr>
                <w:rFonts w:ascii="Arial" w:cs="Arial" w:eastAsia="Arial" w:hAnsi="Arial"/>
                <w:sz w:val="16"/>
                <w:szCs w:val="16"/>
                <w:color w:val="auto"/>
              </w:rPr>
              <w:t>2-15 years</w:t>
            </w:r>
          </w:p>
        </w:tc>
      </w:tr>
      <w:tr>
        <w:trPr>
          <w:trHeight w:val="228"/>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Exchange memberships</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6,400</w:t>
            </w:r>
          </w:p>
        </w:tc>
        <w:tc>
          <w:tcPr>
            <w:tcW w:w="22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Indefinite</w:t>
            </w:r>
          </w:p>
        </w:tc>
      </w:tr>
      <w:tr>
        <w:trPr>
          <w:trHeight w:val="201"/>
        </w:trPr>
        <w:tc>
          <w:tcPr>
            <w:tcW w:w="3040" w:type="dxa"/>
            <w:vAlign w:val="bottom"/>
          </w:tcPr>
          <w:p>
            <w:pPr>
              <w:ind w:left="100"/>
              <w:spacing w:after="0"/>
              <w:rPr>
                <w:sz w:val="20"/>
                <w:szCs w:val="20"/>
                <w:color w:val="auto"/>
              </w:rPr>
            </w:pPr>
            <w:r>
              <w:rPr>
                <w:rFonts w:ascii="Arial" w:cs="Arial" w:eastAsia="Arial" w:hAnsi="Arial"/>
                <w:sz w:val="16"/>
                <w:szCs w:val="16"/>
                <w:color w:val="auto"/>
              </w:rPr>
              <w:t>Intangible assets</w:t>
            </w:r>
          </w:p>
        </w:tc>
        <w:tc>
          <w:tcPr>
            <w:tcW w:w="440" w:type="dxa"/>
            <w:vAlign w:val="bottom"/>
            <w:gridSpan w:val="2"/>
          </w:tcPr>
          <w:p>
            <w:pPr>
              <w:jc w:val="right"/>
              <w:ind w:right="357"/>
              <w:spacing w:after="0"/>
              <w:rPr>
                <w:sz w:val="20"/>
                <w:szCs w:val="20"/>
                <w:color w:val="auto"/>
              </w:rPr>
            </w:pPr>
            <w:r>
              <w:rPr>
                <w:rFonts w:ascii="Arial" w:cs="Arial" w:eastAsia="Arial" w:hAnsi="Arial"/>
                <w:sz w:val="10"/>
                <w:szCs w:val="10"/>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174,995</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8"/>
        </w:trPr>
        <w:tc>
          <w:tcPr>
            <w:tcW w:w="3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128,286</w:t>
            </w:r>
          </w:p>
        </w:tc>
        <w:tc>
          <w:tcPr>
            <w:tcW w:w="1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8"/>
        </w:trPr>
        <w:tc>
          <w:tcPr>
            <w:tcW w:w="3040" w:type="dxa"/>
            <w:vAlign w:val="bottom"/>
          </w:tcPr>
          <w:p>
            <w:pPr>
              <w:ind w:left="10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57"/>
              <w:spacing w:after="0"/>
              <w:rPr>
                <w:sz w:val="20"/>
                <w:szCs w:val="20"/>
                <w:color w:val="auto"/>
              </w:rPr>
            </w:pPr>
            <w:r>
              <w:rPr>
                <w:rFonts w:ascii="Arial" w:cs="Arial" w:eastAsia="Arial" w:hAnsi="Arial"/>
                <w:sz w:val="5"/>
                <w:szCs w:val="5"/>
                <w:color w:val="auto"/>
                <w:w w:val="70"/>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303,281</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67" w:lineRule="exact"/>
        <w:rPr>
          <w:sz w:val="20"/>
          <w:szCs w:val="20"/>
          <w:color w:val="auto"/>
        </w:rPr>
      </w:pPr>
    </w:p>
    <w:p>
      <w:pPr>
        <w:ind w:right="320" w:firstLine="635"/>
        <w:spacing w:after="0" w:line="329" w:lineRule="auto"/>
        <w:rPr>
          <w:sz w:val="20"/>
          <w:szCs w:val="20"/>
          <w:color w:val="auto"/>
        </w:rPr>
      </w:pPr>
      <w:r>
        <w:rPr>
          <w:rFonts w:ascii="Arial" w:cs="Arial" w:eastAsia="Arial" w:hAnsi="Arial"/>
          <w:sz w:val="15"/>
          <w:szCs w:val="15"/>
          <w:color w:val="auto"/>
        </w:rPr>
        <w:t>Of the total Goodwill of $128.3 million, $96.2 million has been assigned to the Market Making segment and $32.1 million has been assigned to the Execution Services segment. Such goodwill is attributable to the expansion of products offerings and expected synergies of the combined workforce, products and technologies of the Company and KCG.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treatment of the Acquisition</w:t>
      </w:r>
    </w:p>
    <w:p>
      <w:pPr>
        <w:spacing w:after="0" w:line="216" w:lineRule="exact"/>
        <w:rPr>
          <w:sz w:val="20"/>
          <w:szCs w:val="20"/>
          <w:color w:val="auto"/>
        </w:rPr>
      </w:pPr>
    </w:p>
    <w:p>
      <w:pPr>
        <w:jc w:val="both"/>
        <w:ind w:firstLine="635"/>
        <w:spacing w:after="0" w:line="329" w:lineRule="auto"/>
        <w:rPr>
          <w:sz w:val="20"/>
          <w:szCs w:val="20"/>
          <w:color w:val="auto"/>
        </w:rPr>
      </w:pPr>
      <w:r>
        <w:rPr>
          <w:rFonts w:ascii="Arial" w:cs="Arial" w:eastAsia="Arial" w:hAnsi="Arial"/>
          <w:sz w:val="15"/>
          <w:szCs w:val="15"/>
          <w:color w:val="auto"/>
        </w:rPr>
        <w:t>The Company believes that the Acquisition will be treated as a tax-free transaction to the Company that does not result in a step up in tax basis in the acquired assets and, therefore, KCG’s tax basis in its assets and liabilities generally carries over to the Company following the Acquisition. None of the goodwill is expected to be deductible for tax purposes.</w:t>
      </w:r>
    </w:p>
    <w:p>
      <w:pPr>
        <w:spacing w:after="0" w:line="137" w:lineRule="exact"/>
        <w:rPr>
          <w:sz w:val="20"/>
          <w:szCs w:val="20"/>
          <w:color w:val="auto"/>
        </w:rPr>
      </w:pPr>
    </w:p>
    <w:p>
      <w:pPr>
        <w:jc w:val="both"/>
        <w:ind w:right="100" w:firstLine="635"/>
        <w:spacing w:after="0" w:line="254" w:lineRule="auto"/>
        <w:rPr>
          <w:sz w:val="20"/>
          <w:szCs w:val="20"/>
          <w:color w:val="auto"/>
        </w:rPr>
      </w:pPr>
      <w:r>
        <w:rPr>
          <w:rFonts w:ascii="Arial" w:cs="Arial" w:eastAsia="Arial" w:hAnsi="Arial"/>
          <w:sz w:val="18"/>
          <w:szCs w:val="18"/>
          <w:color w:val="auto"/>
        </w:rPr>
        <w:t>The Company recorded net deferred tax assets of $23.9 million with respect to recording KCG’s assets and liabilities under the purchase method of accounting as described above as well as recording the value of other tax attributes acquired as a result of the Acquisition, as described in Note 13 “Income Tax”.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w:t>
      </w:r>
    </w:p>
    <w:p>
      <w:pPr>
        <w:spacing w:after="0" w:line="216" w:lineRule="exact"/>
        <w:rPr>
          <w:sz w:val="20"/>
          <w:szCs w:val="20"/>
          <w:color w:val="auto"/>
        </w:rPr>
      </w:pPr>
    </w:p>
    <w:p>
      <w:pPr>
        <w:ind w:right="220" w:firstLine="635"/>
        <w:spacing w:after="0" w:line="264" w:lineRule="auto"/>
        <w:rPr>
          <w:sz w:val="20"/>
          <w:szCs w:val="20"/>
          <w:color w:val="auto"/>
        </w:rPr>
      </w:pPr>
      <w:r>
        <w:rPr>
          <w:rFonts w:ascii="Arial" w:cs="Arial" w:eastAsia="Arial" w:hAnsi="Arial"/>
          <w:sz w:val="18"/>
          <w:szCs w:val="18"/>
          <w:color w:val="auto"/>
        </w:rPr>
        <w:t>Included in the Company’s results for the year ended December 31, 2017 are results from the business acquired as a result of the Acquisition, from the Closing Date through December 31, 2017 as follows: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1520" w:type="dxa"/>
            <w:vAlign w:val="bottom"/>
            <w:tcBorders>
              <w:top w:val="single" w:sz="8" w:color="auto"/>
            </w:tcBorders>
            <w:shd w:val="clear" w:color="auto" w:fill="CCEEFF"/>
          </w:tcPr>
          <w:p>
            <w:pPr>
              <w:jc w:val="right"/>
              <w:ind w:right="1101"/>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379,203</w:t>
            </w:r>
          </w:p>
        </w:tc>
        <w:tc>
          <w:tcPr>
            <w:tcW w:w="180" w:type="dxa"/>
            <w:vAlign w:val="bottom"/>
            <w:tcBorders>
              <w:top w:val="single" w:sz="8" w:color="CCEEFF"/>
            </w:tcBorders>
            <w:shd w:val="clear" w:color="auto" w:fill="CCEEFF"/>
          </w:tcPr>
          <w:p>
            <w:pPr>
              <w:spacing w:after="0"/>
              <w:rPr>
                <w:sz w:val="17"/>
                <w:szCs w:val="17"/>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6"/>
                <w:szCs w:val="16"/>
                <w:color w:val="auto"/>
                <w:w w:val="96"/>
              </w:rPr>
              <w:t>Income before income taxes and noncontrolling interest</w:t>
            </w:r>
          </w:p>
        </w:tc>
        <w:tc>
          <w:tcPr>
            <w:tcW w:w="15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14,340</w:t>
            </w:r>
          </w:p>
        </w:tc>
        <w:tc>
          <w:tcPr>
            <w:tcW w:w="180" w:type="dxa"/>
            <w:vAlign w:val="bottom"/>
          </w:tcPr>
          <w:p>
            <w:pPr>
              <w:spacing w:after="0"/>
              <w:rPr>
                <w:sz w:val="17"/>
                <w:szCs w:val="17"/>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firstLine="635"/>
        <w:spacing w:after="0" w:line="304" w:lineRule="auto"/>
        <w:rPr>
          <w:sz w:val="20"/>
          <w:szCs w:val="20"/>
          <w:color w:val="auto"/>
        </w:rPr>
      </w:pPr>
      <w:r>
        <w:rPr>
          <w:rFonts w:ascii="Arial" w:cs="Arial" w:eastAsia="Arial" w:hAnsi="Arial"/>
          <w:sz w:val="15"/>
          <w:szCs w:val="15"/>
          <w:color w:val="auto"/>
        </w:rPr>
        <w:t>The financial information in the table below summarizes the combined pro forma results of operations of the Company and KCG, based on adding the pre-tax historical results of KCG and the Company, and adjusting primarily for amortization of intangibles created in the Acquisition, debt raised in conjunction with the Acquisition and nonrecurring costs associated with the Acquisition, which comprise advisory and other professional fees incurred by the Company and KCG of $24.2 and $22.5 million, respectively. The pro forma data assumes all of KCG’s issued and outstanding shares of Class A common stock, par value $0.01 per share were cancelled and extinguished and converted into the right to receive $20.00 in cash, without interest, less any applicable withholding taxes on January 1, 2016 and does not include adjustments to reflect the Company's operating costs or expected differences in the way funds generated by the Company are invested.</w:t>
      </w:r>
    </w:p>
    <w:p>
      <w:pPr>
        <w:spacing w:after="0" w:line="157" w:lineRule="exact"/>
        <w:rPr>
          <w:sz w:val="20"/>
          <w:szCs w:val="20"/>
          <w:color w:val="auto"/>
        </w:rPr>
      </w:pPr>
    </w:p>
    <w:p>
      <w:pPr>
        <w:ind w:right="20" w:firstLine="635"/>
        <w:spacing w:after="0" w:line="250" w:lineRule="auto"/>
        <w:rPr>
          <w:sz w:val="20"/>
          <w:szCs w:val="20"/>
          <w:color w:val="auto"/>
        </w:rPr>
      </w:pPr>
      <w:r>
        <w:rPr>
          <w:rFonts w:ascii="Arial" w:cs="Arial" w:eastAsia="Arial" w:hAnsi="Arial"/>
          <w:sz w:val="18"/>
          <w:szCs w:val="18"/>
          <w:color w:val="auto"/>
        </w:rPr>
        <w:t>This pro forma financial information is based on estimates and assumptions that have been made solely for purposes of developing such pro forma information, including, without limitation, preliminary purchase accounting adjustments. The pro forma financial information does not reflect any synergies or operating cost reductions that may be achieved from the combined operations. The pro forma financial information combines the historical results for the Company and KCG for the years ended December 31, 2017 and 2016: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gridSpan w:val="5"/>
          </w:tcPr>
          <w:p>
            <w:pPr>
              <w:ind w:left="320"/>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198"/>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per share amounts)</w:t>
            </w:r>
          </w:p>
        </w:tc>
        <w:tc>
          <w:tcPr>
            <w:tcW w:w="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2016</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1,528,588</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2,153,008</w:t>
            </w:r>
          </w:p>
        </w:tc>
        <w:tc>
          <w:tcPr>
            <w:tcW w:w="7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443,101</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w w:val="89"/>
              </w:rPr>
              <w:t>Net income (loss) attributable to common stockholders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163,407</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Held for Sale</w:t>
      </w:r>
    </w:p>
    <w:p>
      <w:pPr>
        <w:spacing w:after="0" w:line="222" w:lineRule="exact"/>
        <w:rPr>
          <w:sz w:val="20"/>
          <w:szCs w:val="20"/>
          <w:color w:val="auto"/>
        </w:rPr>
      </w:pPr>
    </w:p>
    <w:p>
      <w:pPr>
        <w:jc w:val="both"/>
        <w:ind w:firstLine="635"/>
        <w:spacing w:after="0" w:line="312" w:lineRule="auto"/>
        <w:rPr>
          <w:sz w:val="20"/>
          <w:szCs w:val="20"/>
          <w:color w:val="auto"/>
        </w:rPr>
      </w:pPr>
      <w:r>
        <w:rPr>
          <w:rFonts w:ascii="Arial" w:cs="Arial" w:eastAsia="Arial" w:hAnsi="Arial"/>
          <w:sz w:val="15"/>
          <w:szCs w:val="15"/>
          <w:color w:val="auto"/>
        </w:rPr>
        <w:t>In October 2017, the Company entered into an Asset Purchase Agreement (the “BondPoint Agreement”) with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 and is included in the Company’s Execution Services segment, see Note 19 “Geographic Information and Business Segments”.</w:t>
      </w:r>
    </w:p>
    <w:p>
      <w:pPr>
        <w:spacing w:after="0" w:line="149"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17"/>
          <w:szCs w:val="17"/>
          <w:color w:val="auto"/>
        </w:rPr>
        <w:t>The purchase price payable by ICE for BondPoint at the closing of the transaction is $400.0 million in cash subject to a customary adjustment for working capital of BondPoint. The consummation of the transaction is subject to the satisfaction of customary closing conditions and receipt of certain regulatory clearances, including from the Financial Industry Regulatory Authority, Inc. and the Municipal Securities Rulemaking Board and the expiration or termination of the applicable waiting period under the Hart-Scott-Rodino Antitrust Improvements Act of 1976, as amended.</w:t>
      </w:r>
    </w:p>
    <w:p>
      <w:pPr>
        <w:spacing w:after="0" w:line="46" w:lineRule="exact"/>
        <w:rPr>
          <w:sz w:val="20"/>
          <w:szCs w:val="20"/>
          <w:color w:val="auto"/>
        </w:rPr>
      </w:pPr>
    </w:p>
    <w:p>
      <w:pPr>
        <w:jc w:val="both"/>
        <w:ind w:firstLine="635"/>
        <w:spacing w:after="0" w:line="276" w:lineRule="auto"/>
        <w:rPr>
          <w:sz w:val="20"/>
          <w:szCs w:val="20"/>
          <w:color w:val="auto"/>
        </w:rPr>
      </w:pPr>
      <w:r>
        <w:rPr>
          <w:rFonts w:ascii="Arial" w:cs="Arial" w:eastAsia="Arial" w:hAnsi="Arial"/>
          <w:sz w:val="17"/>
          <w:szCs w:val="17"/>
          <w:color w:val="auto"/>
        </w:rPr>
        <w:t>The BondPoint Agreement contains customary representations, warranties, covenants and indemnification provisions. The parties have agreed to execute a transition services agreement simultaneously with the closing of the transaction. The transaction closed on January 2, 2018, which is further discussed in Note 22 “Subsequent Events”.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assets and liabilities of businesses held for sale as of December 31, 2017 are summarized as follows: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(in thousand)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Receivables from broker dealers and clearing organizations</w:t>
            </w:r>
          </w:p>
        </w:tc>
        <w:tc>
          <w:tcPr>
            <w:tcW w:w="220" w:type="dxa"/>
            <w:vAlign w:val="bottom"/>
            <w:tcBorders>
              <w:top w:val="single" w:sz="8" w:color="auto"/>
            </w:tcBorders>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Intangibles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Technology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200"/>
              <w:spacing w:after="0"/>
              <w:rPr>
                <w:sz w:val="20"/>
                <w:szCs w:val="20"/>
                <w:color w:val="auto"/>
              </w:rPr>
            </w:pPr>
            <w:r>
              <w:rPr>
                <w:rFonts w:ascii="Arial" w:cs="Arial" w:eastAsia="Arial" w:hAnsi="Arial"/>
                <w:sz w:val="16"/>
                <w:szCs w:val="16"/>
                <w:color w:val="auto"/>
              </w:rPr>
              <w:t>Customer relationships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43,819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Trade names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Capitalized software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assets</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55,070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6"/>
                <w:szCs w:val="16"/>
                <w:color w:val="auto"/>
              </w:rPr>
              <w:t>Payable to brokers, dealers and clearing organizations</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 and other liabilities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ind w:left="80"/>
              <w:spacing w:after="0"/>
              <w:rPr>
                <w:sz w:val="20"/>
                <w:szCs w:val="20"/>
                <w:color w:val="auto"/>
              </w:rPr>
            </w:pPr>
            <w:r>
              <w:rPr>
                <w:rFonts w:ascii="Arial" w:cs="Arial" w:eastAsia="Arial" w:hAnsi="Arial"/>
                <w:sz w:val="16"/>
                <w:szCs w:val="16"/>
                <w:color w:val="auto"/>
              </w:rPr>
              <w:t>Total liabilities</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35"/>
        <w:spacing w:after="0" w:line="293" w:lineRule="auto"/>
        <w:rPr>
          <w:sz w:val="20"/>
          <w:szCs w:val="20"/>
          <w:color w:val="auto"/>
        </w:rPr>
      </w:pPr>
      <w:r>
        <w:rPr>
          <w:rFonts w:ascii="Arial" w:cs="Arial" w:eastAsia="Arial" w:hAnsi="Arial"/>
          <w:sz w:val="17"/>
          <w:szCs w:val="17"/>
          <w:color w:val="auto"/>
        </w:rPr>
        <w:t>The total assets and total liabilities are included in assets of business held for sale and accounts payables and accrued expenses and other liabilities, respectively, on the Company’s consolidated statement of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09" w:lineRule="exact"/>
        <w:rPr>
          <w:sz w:val="20"/>
          <w:szCs w:val="20"/>
          <w:color w:val="auto"/>
        </w:rPr>
      </w:pPr>
    </w:p>
    <w:p>
      <w:pPr>
        <w:ind w:right="440" w:firstLine="635"/>
        <w:spacing w:after="0" w:line="264" w:lineRule="auto"/>
        <w:rPr>
          <w:sz w:val="20"/>
          <w:szCs w:val="20"/>
          <w:color w:val="auto"/>
        </w:rPr>
      </w:pPr>
      <w:r>
        <w:rPr>
          <w:rFonts w:ascii="Arial" w:cs="Arial" w:eastAsia="Arial" w:hAnsi="Arial"/>
          <w:sz w:val="18"/>
          <w:szCs w:val="18"/>
          <w:color w:val="auto"/>
        </w:rPr>
        <w:t>The below table contains a reconciliation of net income before noncontrolling interest to net income available for common stockholders: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1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3"/>
              <w:spacing w:after="0" w:line="13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jc w:val="right"/>
              <w:ind w:right="302"/>
              <w:spacing w:after="0" w:line="139" w:lineRule="exact"/>
              <w:rPr>
                <w:sz w:val="20"/>
                <w:szCs w:val="20"/>
                <w:color w:val="auto"/>
              </w:rPr>
            </w:pPr>
            <w:r>
              <w:rPr>
                <w:rFonts w:ascii="Arial" w:cs="Arial" w:eastAsia="Arial" w:hAnsi="Arial"/>
                <w:sz w:val="14"/>
                <w:szCs w:val="14"/>
                <w:b w:val="1"/>
                <w:bCs w:val="1"/>
                <w:color w:val="auto"/>
                <w:w w:val="83"/>
              </w:rPr>
              <w:t>2015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Income before income taxes and noncontrolling interest</w:t>
            </w:r>
          </w:p>
        </w:tc>
        <w:tc>
          <w:tcPr>
            <w:tcW w:w="5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113,164</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179,591</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215,929</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94,266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21,251</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18,439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5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18,898</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158,340</w:t>
            </w: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197,490</w:t>
            </w: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41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Net income allocable to members of Virtu Financial (for the period</w:t>
            </w: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(83,147)</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January 1, 2015 through April 15, 2015)</w:t>
            </w: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(125,360)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available for common stockholders</w:t>
            </w:r>
          </w:p>
        </w:tc>
        <w:tc>
          <w:tcPr>
            <w:tcW w:w="5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w w:val="93"/>
              </w:rPr>
              <w:t>For the Year Ended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6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49"/>
              <w:spacing w:after="0" w:line="139"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29"/>
              <w:spacing w:after="0" w:line="139"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329"/>
              <w:spacing w:after="0" w:line="139"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Basic earnings per share:</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20" w:type="dxa"/>
            <w:vAlign w:val="bottom"/>
          </w:tcPr>
          <w:p>
            <w:pPr>
              <w:spacing w:after="0" w:line="145" w:lineRule="exact"/>
              <w:rPr>
                <w:sz w:val="20"/>
                <w:szCs w:val="20"/>
                <w:color w:val="auto"/>
              </w:rPr>
            </w:pPr>
            <w:r>
              <w:rPr>
                <w:rFonts w:ascii="Arial" w:cs="Arial" w:eastAsia="Arial" w:hAnsi="Arial"/>
                <w:sz w:val="14"/>
                <w:szCs w:val="14"/>
                <w:color w:val="auto"/>
              </w:rPr>
              <w:t>Net income available for common stockholders</w:t>
            </w:r>
          </w:p>
        </w:tc>
        <w:tc>
          <w:tcPr>
            <w:tcW w:w="5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2,939</w:t>
            </w:r>
          </w:p>
        </w:tc>
        <w:tc>
          <w:tcPr>
            <w:tcW w:w="4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32,980</w:t>
            </w:r>
          </w:p>
        </w:tc>
        <w:tc>
          <w:tcPr>
            <w:tcW w:w="22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20,887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3620" w:type="dxa"/>
            <w:vAlign w:val="bottom"/>
          </w:tcPr>
          <w:p>
            <w:pPr>
              <w:spacing w:after="0" w:line="127" w:lineRule="exact"/>
              <w:rPr>
                <w:sz w:val="20"/>
                <w:szCs w:val="20"/>
                <w:color w:val="auto"/>
              </w:rPr>
            </w:pPr>
            <w:r>
              <w:rPr>
                <w:rFonts w:ascii="Arial" w:cs="Arial" w:eastAsia="Arial" w:hAnsi="Arial"/>
                <w:sz w:val="14"/>
                <w:szCs w:val="14"/>
                <w:color w:val="auto"/>
              </w:rPr>
              <w:t>Less: Dividends and undistributed earnings allocated to</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640" w:type="dxa"/>
            <w:vAlign w:val="bottom"/>
            <w:gridSpan w:val="2"/>
          </w:tcPr>
          <w:p>
            <w:pPr>
              <w:spacing w:after="0"/>
              <w:rPr>
                <w:sz w:val="20"/>
                <w:szCs w:val="20"/>
                <w:color w:val="auto"/>
              </w:rPr>
            </w:pPr>
            <w:r>
              <w:rPr>
                <w:rFonts w:ascii="Arial" w:cs="Arial" w:eastAsia="Arial" w:hAnsi="Arial"/>
                <w:sz w:val="14"/>
                <w:szCs w:val="14"/>
                <w:color w:val="auto"/>
              </w:rPr>
              <w:t>participating securities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(1,326)</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2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2"/>
                <w:szCs w:val="12"/>
                <w:color w:val="auto"/>
              </w:rPr>
              <w:t>Net income available for common stockholders, net of</w:t>
            </w:r>
          </w:p>
        </w:tc>
        <w:tc>
          <w:tcPr>
            <w:tcW w:w="2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w w:val="94"/>
              </w:rPr>
              <w:t>dividends and undistributed earnings allocated to participating</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32,171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Weighted average shares of common stock outstanding:</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620" w:type="dxa"/>
            <w:vAlign w:val="bottom"/>
          </w:tcPr>
          <w:p>
            <w:pPr>
              <w:ind w:left="200"/>
              <w:spacing w:after="0" w:line="145" w:lineRule="exact"/>
              <w:rPr>
                <w:sz w:val="20"/>
                <w:szCs w:val="20"/>
                <w:color w:val="auto"/>
              </w:rPr>
            </w:pPr>
            <w:r>
              <w:rPr>
                <w:rFonts w:ascii="Arial" w:cs="Arial" w:eastAsia="Arial" w:hAnsi="Arial"/>
                <w:sz w:val="14"/>
                <w:szCs w:val="14"/>
                <w:color w:val="auto"/>
              </w:rPr>
              <w:t>Class A</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62,579,147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38,539,091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w w:val="96"/>
              </w:rPr>
              <w:t>34,964,312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620" w:type="dxa"/>
            <w:vAlign w:val="bottom"/>
          </w:tcPr>
          <w:p>
            <w:pPr>
              <w:spacing w:after="0" w:line="145" w:lineRule="exact"/>
              <w:rPr>
                <w:sz w:val="20"/>
                <w:szCs w:val="20"/>
                <w:color w:val="auto"/>
              </w:rPr>
            </w:pPr>
            <w:r>
              <w:rPr>
                <w:rFonts w:ascii="Arial" w:cs="Arial" w:eastAsia="Arial" w:hAnsi="Arial"/>
                <w:sz w:val="14"/>
                <w:szCs w:val="14"/>
                <w:color w:val="auto"/>
              </w:rPr>
              <w:t>Basic Earnings per share</w:t>
            </w:r>
          </w:p>
        </w:tc>
        <w:tc>
          <w:tcPr>
            <w:tcW w:w="500" w:type="dxa"/>
            <w:vAlign w:val="bottom"/>
            <w:gridSpan w:val="2"/>
          </w:tcPr>
          <w:p>
            <w:pPr>
              <w:jc w:val="right"/>
              <w:ind w:right="180"/>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0.03</w:t>
            </w:r>
          </w:p>
        </w:tc>
        <w:tc>
          <w:tcPr>
            <w:tcW w:w="4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0.83</w:t>
            </w:r>
          </w:p>
        </w:tc>
        <w:tc>
          <w:tcPr>
            <w:tcW w:w="22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0.60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29"/>
              <w:spacing w:after="0" w:line="139"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309"/>
              <w:spacing w:after="0" w:line="139"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ind w:right="309"/>
              <w:spacing w:after="0" w:line="139"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0" w:type="dxa"/>
            <w:vAlign w:val="bottom"/>
            <w:tcBorders>
              <w:top w:val="single" w:sz="8" w:color="auto"/>
            </w:tcBorders>
            <w:gridSpan w:val="2"/>
            <w:shd w:val="clear" w:color="auto" w:fill="CCEEFF"/>
          </w:tcPr>
          <w:p>
            <w:pPr>
              <w:spacing w:after="0" w:line="139" w:lineRule="exact"/>
              <w:rPr>
                <w:sz w:val="20"/>
                <w:szCs w:val="20"/>
                <w:color w:val="auto"/>
              </w:rPr>
            </w:pPr>
            <w:r>
              <w:rPr>
                <w:rFonts w:ascii="Arial" w:cs="Arial" w:eastAsia="Arial" w:hAnsi="Arial"/>
                <w:sz w:val="14"/>
                <w:szCs w:val="14"/>
                <w:color w:val="auto"/>
              </w:rPr>
              <w:t>Diluted earnings per share:</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00" w:type="dxa"/>
            <w:vAlign w:val="bottom"/>
            <w:gridSpan w:val="2"/>
          </w:tcPr>
          <w:p>
            <w:pPr>
              <w:spacing w:after="0" w:line="127" w:lineRule="exact"/>
              <w:rPr>
                <w:sz w:val="20"/>
                <w:szCs w:val="20"/>
                <w:color w:val="auto"/>
              </w:rPr>
            </w:pPr>
            <w:r>
              <w:rPr>
                <w:rFonts w:ascii="Arial" w:cs="Arial" w:eastAsia="Arial" w:hAnsi="Arial"/>
                <w:sz w:val="14"/>
                <w:szCs w:val="14"/>
                <w:color w:val="auto"/>
              </w:rPr>
              <w:t>Net income available for common stockholders, net of</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20" w:type="dxa"/>
            <w:vAlign w:val="bottom"/>
            <w:gridSpan w:val="3"/>
          </w:tcPr>
          <w:p>
            <w:pPr>
              <w:spacing w:after="0" w:line="145" w:lineRule="exact"/>
              <w:rPr>
                <w:sz w:val="20"/>
                <w:szCs w:val="20"/>
                <w:color w:val="auto"/>
              </w:rPr>
            </w:pPr>
            <w:r>
              <w:rPr>
                <w:rFonts w:ascii="Arial" w:cs="Arial" w:eastAsia="Arial" w:hAnsi="Arial"/>
                <w:sz w:val="14"/>
                <w:szCs w:val="14"/>
                <w:color w:val="auto"/>
              </w:rPr>
              <w:t>dividends and undistributed earnings allocated to</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420" w:type="dxa"/>
            <w:vAlign w:val="bottom"/>
            <w:gridSpan w:val="3"/>
          </w:tcPr>
          <w:p>
            <w:pPr>
              <w:spacing w:after="0"/>
              <w:rPr>
                <w:sz w:val="20"/>
                <w:szCs w:val="20"/>
                <w:color w:val="auto"/>
              </w:rPr>
            </w:pPr>
            <w:r>
              <w:rPr>
                <w:rFonts w:ascii="Arial" w:cs="Arial" w:eastAsia="Arial" w:hAnsi="Arial"/>
                <w:sz w:val="14"/>
                <w:szCs w:val="14"/>
                <w:color w:val="auto"/>
              </w:rPr>
              <w:t>participating securities</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1,613</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32,171</w:t>
            </w:r>
          </w:p>
        </w:tc>
        <w:tc>
          <w:tcPr>
            <w:tcW w:w="200" w:type="dxa"/>
            <w:vAlign w:val="bottom"/>
          </w:tcPr>
          <w:p>
            <w:pPr>
              <w:spacing w:after="0"/>
              <w:rPr>
                <w:sz w:val="14"/>
                <w:szCs w:val="14"/>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20,887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00" w:type="dxa"/>
            <w:vAlign w:val="bottom"/>
            <w:gridSpan w:val="2"/>
          </w:tcPr>
          <w:p>
            <w:pPr>
              <w:spacing w:after="0" w:line="145" w:lineRule="exact"/>
              <w:rPr>
                <w:sz w:val="20"/>
                <w:szCs w:val="20"/>
                <w:color w:val="auto"/>
              </w:rPr>
            </w:pPr>
            <w:r>
              <w:rPr>
                <w:rFonts w:ascii="Arial" w:cs="Arial" w:eastAsia="Arial" w:hAnsi="Arial"/>
                <w:sz w:val="14"/>
                <w:szCs w:val="14"/>
                <w:color w:val="auto"/>
                <w:w w:val="96"/>
              </w:rPr>
              <w:t>Weighted average shares of common stock outstanding: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gridSpan w:val="2"/>
            <w:shd w:val="clear" w:color="auto" w:fill="CCEEFF"/>
          </w:tcPr>
          <w:p>
            <w:pPr>
              <w:ind w:left="200"/>
              <w:spacing w:after="0" w:line="145" w:lineRule="exact"/>
              <w:rPr>
                <w:sz w:val="20"/>
                <w:szCs w:val="20"/>
                <w:color w:val="auto"/>
              </w:rPr>
            </w:pPr>
            <w:r>
              <w:rPr>
                <w:rFonts w:ascii="Arial" w:cs="Arial" w:eastAsia="Arial" w:hAnsi="Arial"/>
                <w:sz w:val="14"/>
                <w:szCs w:val="14"/>
                <w:color w:val="auto"/>
              </w:rPr>
              <w:t>Class A</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Issued and outstanding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62,579,147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38,539,091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w w:val="91"/>
              </w:rPr>
              <w:t>34,964,312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400" w:type="dxa"/>
            <w:vAlign w:val="bottom"/>
            <w:gridSpan w:val="2"/>
            <w:shd w:val="clear" w:color="auto" w:fill="CCEEFF"/>
          </w:tcPr>
          <w:p>
            <w:pPr>
              <w:ind w:left="300"/>
              <w:spacing w:after="0" w:line="127" w:lineRule="exact"/>
              <w:rPr>
                <w:sz w:val="20"/>
                <w:szCs w:val="20"/>
                <w:color w:val="auto"/>
              </w:rPr>
            </w:pPr>
            <w:r>
              <w:rPr>
                <w:rFonts w:ascii="Arial" w:cs="Arial" w:eastAsia="Arial" w:hAnsi="Arial"/>
                <w:sz w:val="14"/>
                <w:szCs w:val="14"/>
                <w:color w:val="auto"/>
              </w:rPr>
              <w:t>Issuable pursuant to 2015 Management Incentive</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Plan(1)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62,579,147</w:t>
            </w: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38,539,091</w:t>
            </w: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w w:val="91"/>
              </w:rPr>
              <w:t>35,339,585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3400" w:type="dxa"/>
            <w:vAlign w:val="bottom"/>
            <w:gridSpan w:val="2"/>
          </w:tcPr>
          <w:p>
            <w:pPr>
              <w:spacing w:after="0" w:line="145" w:lineRule="exact"/>
              <w:rPr>
                <w:sz w:val="20"/>
                <w:szCs w:val="20"/>
                <w:color w:val="auto"/>
              </w:rPr>
            </w:pPr>
            <w:r>
              <w:rPr>
                <w:rFonts w:ascii="Arial" w:cs="Arial" w:eastAsia="Arial" w:hAnsi="Arial"/>
                <w:sz w:val="14"/>
                <w:szCs w:val="14"/>
                <w:color w:val="auto"/>
              </w:rPr>
              <w:t>Diluted Earnings per share</w:t>
            </w:r>
          </w:p>
        </w:tc>
        <w:tc>
          <w:tcPr>
            <w:tcW w:w="46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0.03</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0.83</w:t>
            </w:r>
          </w:p>
        </w:tc>
        <w:tc>
          <w:tcPr>
            <w:tcW w:w="200" w:type="dxa"/>
            <w:vAlign w:val="bottom"/>
          </w:tcPr>
          <w:p>
            <w:pPr>
              <w:spacing w:after="0"/>
              <w:rPr>
                <w:sz w:val="13"/>
                <w:szCs w:val="13"/>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0.59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20" w:right="740" w:hanging="319"/>
        <w:spacing w:after="0" w:line="244"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dilutive impact of unexercised stock options excludes from the computation of EPS 1,740,630, 743,096 and 0 options for the years ended December 31, 2017, 2016 and 2015, respectively, because inclusion of the options would have been anti-dilutive.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Tax Receivable Agreements</w:t>
      </w:r>
    </w:p>
    <w:p>
      <w:pPr>
        <w:spacing w:after="0" w:line="222"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color w:val="auto"/>
        </w:rPr>
        <w:t>In connection with the IPO and the Reorganization Transactions, the Company entered into tax receivable agreements to make payments to certain Virtu Members, as defined in Note 15 “Capital Structure”,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and payments made under the tax receivable agreements. Payments will occur only after the filing of the U.S. federal and state income tax returns and realization of the cash tax savings from the favorable tax attributes. The first payment was due 120 days after the filing of the Company’s tax return for the year ended December 31, 2015, which was due March 15, 2016, but the due date was extended until September 15, 2016. Future payments under the tax receivable agreements in respect of subsequent exchanges would be in addition to these amounts. The Company made its first payment of $7.0 million in February 2017.</w:t>
      </w:r>
    </w:p>
    <w:p>
      <w:pPr>
        <w:spacing w:after="0" w:line="355" w:lineRule="exact"/>
        <w:rPr>
          <w:sz w:val="20"/>
          <w:szCs w:val="20"/>
          <w:color w:val="auto"/>
        </w:rPr>
      </w:pPr>
    </w:p>
    <w:p>
      <w:pPr>
        <w:ind w:right="100" w:firstLine="635"/>
        <w:spacing w:after="0" w:line="263" w:lineRule="auto"/>
        <w:rPr>
          <w:sz w:val="20"/>
          <w:szCs w:val="20"/>
          <w:color w:val="auto"/>
        </w:rPr>
      </w:pPr>
      <w:r>
        <w:rPr>
          <w:rFonts w:ascii="Arial" w:cs="Arial" w:eastAsia="Arial" w:hAnsi="Arial"/>
          <w:sz w:val="17"/>
          <w:szCs w:val="17"/>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the Company recorded a deferred tax asset of $220.8 million associated with the increase in tax basis that results from such events. Payments to certain Virtu Members in respect of the purchases were expected to range from approximately $0.3 million to $12.8 million per year over the next 15 years. The corresponding deduction to additional paid-in capital was approximately $19.9 million for the difference between the tax receivable agreements liability and the related deferred tax asset.</w:t>
      </w:r>
    </w:p>
    <w:p>
      <w:pPr>
        <w:spacing w:after="0" w:line="186" w:lineRule="exact"/>
        <w:rPr>
          <w:sz w:val="20"/>
          <w:szCs w:val="20"/>
          <w:color w:val="auto"/>
        </w:rPr>
      </w:pPr>
    </w:p>
    <w:p>
      <w:pPr>
        <w:ind w:firstLine="635"/>
        <w:spacing w:after="0" w:line="251" w:lineRule="auto"/>
        <w:rPr>
          <w:sz w:val="20"/>
          <w:szCs w:val="20"/>
          <w:color w:val="auto"/>
        </w:rPr>
      </w:pPr>
      <w:r>
        <w:rPr>
          <w:rFonts w:ascii="Arial" w:cs="Arial" w:eastAsia="Arial" w:hAnsi="Arial"/>
          <w:sz w:val="18"/>
          <w:szCs w:val="18"/>
          <w:color w:val="auto"/>
        </w:rPr>
        <w:t>In connection with the February 2017, May 2017, August 2017 and November 2017 employee exchanges (as described in Note 15 “Capital Structure”), the Company recorded an additional deferred tax asset of $10.8 million and payment liability pursuant to the tax receivable agreements of $9.3 million, with the $1.5 million difference recorded as an increase to additional paid-in capital.</w:t>
      </w:r>
    </w:p>
    <w:p>
      <w:pPr>
        <w:spacing w:after="0" w:line="192" w:lineRule="exact"/>
        <w:rPr>
          <w:sz w:val="20"/>
          <w:szCs w:val="20"/>
          <w:color w:val="auto"/>
        </w:rPr>
      </w:pPr>
    </w:p>
    <w:p>
      <w:pPr>
        <w:ind w:right="320" w:firstLine="635"/>
        <w:spacing w:after="0" w:line="302" w:lineRule="auto"/>
        <w:rPr>
          <w:sz w:val="20"/>
          <w:szCs w:val="20"/>
          <w:color w:val="auto"/>
        </w:rPr>
      </w:pPr>
      <w:r>
        <w:rPr>
          <w:rFonts w:ascii="Arial" w:cs="Arial" w:eastAsia="Arial" w:hAnsi="Arial"/>
          <w:sz w:val="15"/>
          <w:szCs w:val="15"/>
          <w:color w:val="auto"/>
        </w:rPr>
        <w:t>As a result of the reduction in the U.S. federal income tax rate as described below, the aforementioned deferred tax asset and related payment liability were subsequently reduced as described below. The amounts recorded as of</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December 31, 2017 are based on best estimates available at the respective dates and may be subject to change after the filing of the Company’s U.S. federal and state income tax returns for the years in which tax savings were realized.</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60" w:firstLine="635"/>
        <w:spacing w:after="0" w:line="264" w:lineRule="auto"/>
        <w:rPr>
          <w:sz w:val="20"/>
          <w:szCs w:val="20"/>
          <w:color w:val="auto"/>
        </w:rPr>
      </w:pPr>
      <w:r>
        <w:rPr>
          <w:rFonts w:ascii="Arial" w:cs="Arial" w:eastAsia="Arial" w:hAnsi="Arial"/>
          <w:sz w:val="17"/>
          <w:szCs w:val="17"/>
          <w:color w:val="auto"/>
        </w:rPr>
        <w:t>On December 22, 2017, the Tax Cuts and Jobs Act (“2017 Tax Act”) was signed into law. This act includes, among other items, a permanent reduction to the U.S. corporate income tax rate from 35% to 21% effective January 1, 2018 as further described in Note 13 “Income Taxes”. As a result, at December 31, 2017, the Company recorded a reduction of its tax receivable agreement obligation of $86.6 million which is included in other, net in the consolidated statement of operations for the year ended December 31, 2017. As further described in Note 13 “Income Taxes”, the Company also recorded a reduction of its deferred tax assets, including deferred tax assets relating to the deferred tax assets described above. At December 31, 2017 and December 31, 2016, the Company’s remaining deferred tax assets were approximately $101.6 million and $185.7 million, respectively, and the Company’s payment liabilities pursuant to the tax receivable agreements were approximately $147.0 million and $231.4 million, respectively.</w:t>
      </w:r>
    </w:p>
    <w:p>
      <w:pPr>
        <w:spacing w:after="0" w:line="62" w:lineRule="exact"/>
        <w:rPr>
          <w:sz w:val="20"/>
          <w:szCs w:val="20"/>
          <w:color w:val="auto"/>
        </w:rPr>
      </w:pPr>
    </w:p>
    <w:p>
      <w:pPr>
        <w:ind w:right="120" w:firstLine="635"/>
        <w:spacing w:after="0" w:line="298" w:lineRule="auto"/>
        <w:rPr>
          <w:sz w:val="20"/>
          <w:szCs w:val="20"/>
          <w:color w:val="auto"/>
        </w:rPr>
      </w:pPr>
      <w:r>
        <w:rPr>
          <w:rFonts w:ascii="Arial" w:cs="Arial" w:eastAsia="Arial" w:hAnsi="Arial"/>
          <w:sz w:val="15"/>
          <w:szCs w:val="15"/>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w:t>
      </w:r>
    </w:p>
    <w:p>
      <w:pPr>
        <w:spacing w:after="0" w:line="1" w:lineRule="exact"/>
        <w:rPr>
          <w:sz w:val="20"/>
          <w:szCs w:val="20"/>
          <w:color w:val="auto"/>
        </w:rPr>
      </w:pPr>
    </w:p>
    <w:p>
      <w:pPr>
        <w:ind w:right="260" w:firstLine="1"/>
        <w:spacing w:after="0" w:line="247" w:lineRule="auto"/>
        <w:tabs>
          <w:tab w:leader="none" w:pos="3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90" w:lineRule="exact"/>
        <w:rPr>
          <w:sz w:val="20"/>
          <w:szCs w:val="20"/>
          <w:color w:val="auto"/>
        </w:rPr>
      </w:pPr>
    </w:p>
    <w:p>
      <w:pPr>
        <w:ind w:firstLine="635"/>
        <w:spacing w:after="0" w:line="249" w:lineRule="auto"/>
        <w:rPr>
          <w:sz w:val="20"/>
          <w:szCs w:val="20"/>
          <w:color w:val="auto"/>
        </w:rPr>
      </w:pPr>
      <w:r>
        <w:rPr>
          <w:rFonts w:ascii="Arial" w:cs="Arial" w:eastAsia="Arial" w:hAnsi="Arial"/>
          <w:sz w:val="18"/>
          <w:szCs w:val="18"/>
          <w:color w:val="auto"/>
        </w:rPr>
        <w:t>Prior to the Acquisition, the Company was managed and operated as one business, and accordingly, operated under one reportable segment. As a result of the acquisition of KCG, beginning in the third quarter of 2017 the Company has three operating segments: (i) Market Making; (ii) Execution Services; and (iii) Corporate. The Company allocated goodwill to the new reporting units using a relative fair value approach. In addition, the Company performed an assessment of potential goodwill impairment for all reporting units immediately prior to the reallocation and determined that no impairment was indicated.</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details of goodwill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09"/>
              <w:spacing w:after="0"/>
              <w:rPr>
                <w:sz w:val="20"/>
                <w:szCs w:val="20"/>
                <w:color w:val="auto"/>
              </w:rPr>
            </w:pPr>
            <w:r>
              <w:rPr>
                <w:rFonts w:ascii="Arial" w:cs="Arial" w:eastAsia="Arial" w:hAnsi="Arial"/>
                <w:sz w:val="14"/>
                <w:szCs w:val="14"/>
                <w:b w:val="1"/>
                <w:bCs w:val="1"/>
                <w:color w:val="auto"/>
              </w:rPr>
              <w:t>Market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b w:val="1"/>
                <w:bCs w:val="1"/>
                <w:color w:val="auto"/>
              </w:rPr>
              <w:t>Execution</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9"/>
        </w:trPr>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Making</w:t>
            </w:r>
          </w:p>
        </w:tc>
        <w:tc>
          <w:tcPr>
            <w:tcW w:w="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Total</w:t>
            </w:r>
          </w:p>
        </w:tc>
      </w:tr>
      <w:tr>
        <w:trPr>
          <w:trHeight w:val="205"/>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657,985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57,394</w:t>
            </w:r>
          </w:p>
        </w:tc>
        <w:tc>
          <w:tcPr>
            <w:tcW w:w="1280" w:type="dxa"/>
            <w:vAlign w:val="bottom"/>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715,379</w:t>
            </w:r>
          </w:p>
        </w:tc>
      </w:tr>
      <w:tr>
        <w:trPr>
          <w:trHeight w:val="225"/>
        </w:trPr>
        <w:tc>
          <w:tcPr>
            <w:tcW w:w="26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Additions</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97,307</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32,197</w:t>
            </w:r>
          </w:p>
        </w:tc>
        <w:tc>
          <w:tcPr>
            <w:tcW w:w="3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129,504</w:t>
            </w:r>
          </w:p>
        </w:tc>
      </w:tr>
      <w:tr>
        <w:trPr>
          <w:trHeight w:val="192"/>
        </w:trPr>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755,292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89,591</w:t>
            </w:r>
          </w:p>
        </w:tc>
        <w:tc>
          <w:tcPr>
            <w:tcW w:w="1280" w:type="dxa"/>
            <w:vAlign w:val="bottom"/>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844,883</w:t>
            </w:r>
          </w:p>
        </w:tc>
      </w:tr>
      <w:tr>
        <w:trPr>
          <w:trHeight w:val="26"/>
        </w:trPr>
        <w:tc>
          <w:tcPr>
            <w:tcW w:w="2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r>
    </w:tbl>
    <w:p>
      <w:pPr>
        <w:spacing w:after="0" w:line="67" w:lineRule="exact"/>
        <w:rPr>
          <w:sz w:val="20"/>
          <w:szCs w:val="20"/>
          <w:color w:val="auto"/>
        </w:rPr>
      </w:pPr>
    </w:p>
    <w:p>
      <w:pPr>
        <w:ind w:right="140" w:firstLine="635"/>
        <w:spacing w:after="0" w:line="251" w:lineRule="auto"/>
        <w:rPr>
          <w:sz w:val="20"/>
          <w:szCs w:val="20"/>
          <w:color w:val="auto"/>
        </w:rPr>
      </w:pPr>
      <w:r>
        <w:rPr>
          <w:rFonts w:ascii="Arial" w:cs="Arial" w:eastAsia="Arial" w:hAnsi="Arial"/>
          <w:sz w:val="18"/>
          <w:szCs w:val="18"/>
          <w:color w:val="auto"/>
        </w:rPr>
        <w:t>On May 3, 2017, the Company completed the acquisition of certain legal entities that owned select strategic telecommunications assets from Teza Technologies. The total purchase price incurred was $5.6 million, of which $1.2 million was recorded as goodwill, and $2.0 million was recorded as intangible assets. This acquisition was accounted for as a business combination.</w:t>
      </w:r>
    </w:p>
    <w:p>
      <w:pPr>
        <w:spacing w:after="0" w:line="73" w:lineRule="exact"/>
        <w:rPr>
          <w:sz w:val="20"/>
          <w:szCs w:val="20"/>
          <w:color w:val="auto"/>
        </w:rPr>
      </w:pPr>
    </w:p>
    <w:p>
      <w:pPr>
        <w:ind w:right="20" w:firstLine="635"/>
        <w:spacing w:after="0" w:line="251" w:lineRule="auto"/>
        <w:rPr>
          <w:sz w:val="20"/>
          <w:szCs w:val="20"/>
          <w:color w:val="auto"/>
        </w:rPr>
      </w:pPr>
      <w:r>
        <w:rPr>
          <w:rFonts w:ascii="Arial" w:cs="Arial" w:eastAsia="Arial" w:hAnsi="Arial"/>
          <w:sz w:val="18"/>
          <w:szCs w:val="18"/>
          <w:color w:val="auto"/>
        </w:rPr>
        <w:t>As described in Note 3 “Acquisition of KCG Holdings, Inc.”, on July 20, 2017 the Company completed the acquisition of KCG. The aggregate cash purchase price of $1.40 billion has been allocated to the assets acquired and liabilities assumed using their estimated fair values at the Closing Date of the Acquisition. The Company has allocated $128.3 million and $175.0 million to goodwill and identified intangible assets, respectively.</w:t>
      </w:r>
    </w:p>
    <w:p>
      <w:pPr>
        <w:spacing w:after="0" w:line="73" w:lineRule="exact"/>
        <w:rPr>
          <w:sz w:val="20"/>
          <w:szCs w:val="20"/>
          <w:color w:val="auto"/>
        </w:rPr>
      </w:pPr>
    </w:p>
    <w:p>
      <w:pPr>
        <w:ind w:right="220" w:firstLine="635"/>
        <w:spacing w:after="0" w:line="254" w:lineRule="auto"/>
        <w:rPr>
          <w:sz w:val="20"/>
          <w:szCs w:val="20"/>
          <w:color w:val="auto"/>
        </w:rPr>
      </w:pPr>
      <w:r>
        <w:rPr>
          <w:rFonts w:ascii="Arial" w:cs="Arial" w:eastAsia="Arial" w:hAnsi="Arial"/>
          <w:sz w:val="18"/>
          <w:szCs w:val="18"/>
          <w:color w:val="auto"/>
        </w:rPr>
        <w:t>As of December 31, 2017 and December 31, 2016, the Company’s total amount of goodwill recorded was $844.9 million and $715.4 million, respectively. No goodwill impairment was recognized in the years ended December 31, 2017 and 2016.</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described in Note 4 “Business Held for Sale”, the Company reclassified net assets related to the BondPoint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79"/>
        <w:spacing w:after="0" w:line="251" w:lineRule="auto"/>
        <w:rPr>
          <w:sz w:val="20"/>
          <w:szCs w:val="20"/>
          <w:color w:val="auto"/>
        </w:rPr>
      </w:pPr>
      <w:r>
        <w:rPr>
          <w:rFonts w:ascii="Arial" w:cs="Arial" w:eastAsia="Arial" w:hAnsi="Arial"/>
          <w:sz w:val="18"/>
          <w:szCs w:val="18"/>
          <w:color w:val="auto"/>
        </w:rPr>
        <w:t>Sale to Business held for sale on the consolidated statement of financial condition as of December 31, 2017. An aggregated net carrying amount of $50.8 million ( $53.7 million of gross carrying amount net of $2.9 million accumulated amortization from the period between the Closing Date of the Acquisition of KCG to December 31, 2017) was reclassified from intangible assets to Business held for sale.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Acquired intangible assets consisted of the following as of December 31, 2017 and December 31,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12"/>
          </w:tcPr>
          <w:p>
            <w:pPr>
              <w:jc w:val="center"/>
              <w:ind w:left="190"/>
              <w:spacing w:after="0"/>
              <w:rPr>
                <w:sz w:val="20"/>
                <w:szCs w:val="20"/>
                <w:color w:val="auto"/>
              </w:rPr>
            </w:pPr>
            <w:r>
              <w:rPr>
                <w:rFonts w:ascii="Arial" w:cs="Arial" w:eastAsia="Arial" w:hAnsi="Arial"/>
                <w:sz w:val="14"/>
                <w:szCs w:val="14"/>
                <w:b w:val="1"/>
                <w:bCs w:val="1"/>
                <w:color w:val="auto"/>
                <w:w w:val="89"/>
              </w:rPr>
              <w:t>As of December 31, 2017</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30"/>
              <w:spacing w:after="0" w:line="116"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7"/>
              </w:rPr>
              <w:t>Net Carrying</w:t>
            </w:r>
          </w:p>
        </w:tc>
        <w:tc>
          <w:tcPr>
            <w:tcW w:w="300" w:type="dxa"/>
            <w:vAlign w:val="bottom"/>
          </w:tcPr>
          <w:p>
            <w:pPr>
              <w:spacing w:after="0"/>
              <w:rPr>
                <w:sz w:val="10"/>
                <w:szCs w:val="10"/>
                <w:color w:val="auto"/>
              </w:rPr>
            </w:pPr>
          </w:p>
        </w:tc>
        <w:tc>
          <w:tcPr>
            <w:tcW w:w="1260" w:type="dxa"/>
            <w:vAlign w:val="bottom"/>
            <w:gridSpan w:val="6"/>
            <w:vMerge w:val="restart"/>
          </w:tcPr>
          <w:p>
            <w:pPr>
              <w:jc w:val="center"/>
              <w:ind w:right="40"/>
              <w:spacing w:after="0"/>
              <w:rPr>
                <w:sz w:val="20"/>
                <w:szCs w:val="20"/>
                <w:color w:val="auto"/>
              </w:rPr>
            </w:pPr>
            <w:r>
              <w:rPr>
                <w:rFonts w:ascii="Arial" w:cs="Arial" w:eastAsia="Arial" w:hAnsi="Arial"/>
                <w:sz w:val="14"/>
                <w:szCs w:val="14"/>
                <w:b w:val="1"/>
                <w:bCs w:val="1"/>
                <w:color w:val="auto"/>
                <w:w w:val="89"/>
              </w:rPr>
              <w:t>Useful Lives</w:t>
            </w:r>
          </w:p>
        </w:tc>
        <w:tc>
          <w:tcPr>
            <w:tcW w:w="0" w:type="dxa"/>
            <w:vAlign w:val="bottom"/>
          </w:tcPr>
          <w:p>
            <w:pPr>
              <w:spacing w:after="0"/>
              <w:rPr>
                <w:sz w:val="1"/>
                <w:szCs w:val="1"/>
                <w:color w:val="auto"/>
              </w:rPr>
            </w:pPr>
          </w:p>
        </w:tc>
      </w:tr>
      <w:tr>
        <w:trPr>
          <w:trHeight w:val="146"/>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5"/>
          </w:tcPr>
          <w:p>
            <w:pPr>
              <w:jc w:val="right"/>
              <w:ind w:right="158"/>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39"/>
        </w:trPr>
        <w:tc>
          <w:tcPr>
            <w:tcW w:w="21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Purchased technology</w:t>
            </w: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110,000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110,000</w:t>
            </w:r>
          </w:p>
        </w:tc>
        <w:tc>
          <w:tcPr>
            <w:tcW w:w="30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center"/>
              <w:spacing w:after="0" w:line="139"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center"/>
              <w:ind w:left="9"/>
              <w:spacing w:after="0" w:line="139" w:lineRule="exact"/>
              <w:rPr>
                <w:sz w:val="20"/>
                <w:szCs w:val="20"/>
                <w:color w:val="auto"/>
              </w:rPr>
            </w:pPr>
            <w:r>
              <w:rPr>
                <w:rFonts w:ascii="Arial" w:cs="Arial" w:eastAsia="Arial" w:hAnsi="Arial"/>
                <w:sz w:val="14"/>
                <w:szCs w:val="14"/>
                <w:color w:val="auto"/>
              </w:rPr>
              <w:t>to</w:t>
            </w:r>
          </w:p>
        </w:tc>
        <w:tc>
          <w:tcPr>
            <w:tcW w:w="500" w:type="dxa"/>
            <w:vAlign w:val="bottom"/>
            <w:tcBorders>
              <w:top w:val="single" w:sz="8" w:color="auto"/>
            </w:tcBorders>
            <w:shd w:val="clear" w:color="auto" w:fill="CCEEFF"/>
          </w:tcPr>
          <w:p>
            <w:pPr>
              <w:jc w:val="right"/>
              <w:ind w:right="69"/>
              <w:spacing w:after="0" w:line="139" w:lineRule="exact"/>
              <w:rPr>
                <w:sz w:val="20"/>
                <w:szCs w:val="20"/>
                <w:color w:val="auto"/>
              </w:rPr>
            </w:pPr>
            <w:r>
              <w:rPr>
                <w:rFonts w:ascii="Arial" w:cs="Arial" w:eastAsia="Arial" w:hAnsi="Arial"/>
                <w:sz w:val="14"/>
                <w:szCs w:val="14"/>
                <w:color w:val="auto"/>
              </w:rPr>
              <w:t>2.5</w:t>
            </w: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line="145" w:lineRule="exact"/>
              <w:rPr>
                <w:sz w:val="20"/>
                <w:szCs w:val="20"/>
                <w:color w:val="auto"/>
              </w:rPr>
            </w:pPr>
            <w:r>
              <w:rPr>
                <w:rFonts w:ascii="Arial" w:cs="Arial" w:eastAsia="Arial" w:hAnsi="Arial"/>
                <w:sz w:val="14"/>
                <w:szCs w:val="14"/>
                <w:color w:val="auto"/>
              </w:rPr>
              <w:t>ETF issuer relationships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gridSpan w:val="3"/>
          </w:tcPr>
          <w:p>
            <w:pPr>
              <w:jc w:val="right"/>
              <w:spacing w:after="0" w:line="145" w:lineRule="exact"/>
              <w:rPr>
                <w:sz w:val="20"/>
                <w:szCs w:val="20"/>
                <w:color w:val="auto"/>
              </w:rPr>
            </w:pPr>
            <w:r>
              <w:rPr>
                <w:rFonts w:ascii="Arial" w:cs="Arial" w:eastAsia="Arial" w:hAnsi="Arial"/>
                <w:sz w:val="14"/>
                <w:szCs w:val="14"/>
                <w:color w:val="auto"/>
                <w:w w:val="94"/>
              </w:rPr>
              <w:t>559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4"/>
          </w:tcPr>
          <w:p>
            <w:pPr>
              <w:jc w:val="right"/>
              <w:spacing w:after="0" w:line="145" w:lineRule="exact"/>
              <w:rPr>
                <w:sz w:val="20"/>
                <w:szCs w:val="20"/>
                <w:color w:val="auto"/>
              </w:rPr>
            </w:pPr>
            <w:r>
              <w:rPr>
                <w:rFonts w:ascii="Arial" w:cs="Arial" w:eastAsia="Arial" w:hAnsi="Arial"/>
                <w:sz w:val="14"/>
                <w:szCs w:val="14"/>
                <w:color w:val="auto"/>
              </w:rPr>
              <w:t>391</w:t>
            </w:r>
          </w:p>
        </w:tc>
        <w:tc>
          <w:tcPr>
            <w:tcW w:w="72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ETF buyer relationships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w w:val="94"/>
              </w:rPr>
              <w:t>559</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5" w:lineRule="exact"/>
              <w:rPr>
                <w:sz w:val="20"/>
                <w:szCs w:val="20"/>
                <w:color w:val="auto"/>
              </w:rPr>
            </w:pPr>
            <w:r>
              <w:rPr>
                <w:rFonts w:ascii="Arial" w:cs="Arial" w:eastAsia="Arial" w:hAnsi="Arial"/>
                <w:sz w:val="14"/>
                <w:szCs w:val="14"/>
                <w:color w:val="auto"/>
              </w:rPr>
              <w:t>390</w:t>
            </w:r>
          </w:p>
        </w:tc>
        <w:tc>
          <w:tcPr>
            <w:tcW w:w="72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9</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line="145" w:lineRule="exact"/>
              <w:rPr>
                <w:sz w:val="20"/>
                <w:szCs w:val="20"/>
                <w:color w:val="auto"/>
              </w:rPr>
            </w:pPr>
            <w:r>
              <w:rPr>
                <w:rFonts w:ascii="Arial" w:cs="Arial" w:eastAsia="Arial" w:hAnsi="Arial"/>
                <w:sz w:val="14"/>
                <w:szCs w:val="14"/>
                <w:color w:val="auto"/>
              </w:rPr>
              <w:t>Leases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1,800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gridSpan w:val="3"/>
          </w:tcPr>
          <w:p>
            <w:pPr>
              <w:jc w:val="right"/>
              <w:spacing w:after="0" w:line="145" w:lineRule="exact"/>
              <w:rPr>
                <w:sz w:val="20"/>
                <w:szCs w:val="20"/>
                <w:color w:val="auto"/>
              </w:rPr>
            </w:pPr>
            <w:r>
              <w:rPr>
                <w:rFonts w:ascii="Arial" w:cs="Arial" w:eastAsia="Arial" w:hAnsi="Arial"/>
                <w:sz w:val="14"/>
                <w:szCs w:val="14"/>
                <w:color w:val="auto"/>
                <w:w w:val="94"/>
              </w:rPr>
              <w:t>397</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4"/>
          </w:tcPr>
          <w:p>
            <w:pPr>
              <w:jc w:val="right"/>
              <w:spacing w:after="0" w:line="145" w:lineRule="exact"/>
              <w:rPr>
                <w:sz w:val="20"/>
                <w:szCs w:val="20"/>
                <w:color w:val="auto"/>
              </w:rPr>
            </w:pPr>
            <w:r>
              <w:rPr>
                <w:rFonts w:ascii="Arial" w:cs="Arial" w:eastAsia="Arial" w:hAnsi="Arial"/>
                <w:sz w:val="14"/>
                <w:szCs w:val="14"/>
                <w:color w:val="auto"/>
              </w:rPr>
              <w:t>1,403</w:t>
            </w:r>
          </w:p>
        </w:tc>
        <w:tc>
          <w:tcPr>
            <w:tcW w:w="72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FCC licenses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19</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5" w:lineRule="exact"/>
              <w:rPr>
                <w:sz w:val="20"/>
                <w:szCs w:val="20"/>
                <w:color w:val="auto"/>
              </w:rPr>
            </w:pPr>
            <w:r>
              <w:rPr>
                <w:rFonts w:ascii="Arial" w:cs="Arial" w:eastAsia="Arial" w:hAnsi="Arial"/>
                <w:sz w:val="14"/>
                <w:szCs w:val="14"/>
                <w:color w:val="auto"/>
              </w:rPr>
              <w:t>181</w:t>
            </w:r>
          </w:p>
        </w:tc>
        <w:tc>
          <w:tcPr>
            <w:tcW w:w="72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line="145" w:lineRule="exact"/>
              <w:rPr>
                <w:sz w:val="20"/>
                <w:szCs w:val="20"/>
                <w:color w:val="auto"/>
              </w:rPr>
            </w:pPr>
            <w:r>
              <w:rPr>
                <w:rFonts w:ascii="Arial" w:cs="Arial" w:eastAsia="Arial" w:hAnsi="Arial"/>
                <w:sz w:val="14"/>
                <w:szCs w:val="14"/>
                <w:color w:val="auto"/>
              </w:rPr>
              <w:t>Technology</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60,000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right"/>
              <w:spacing w:after="0" w:line="145" w:lineRule="exact"/>
              <w:rPr>
                <w:sz w:val="20"/>
                <w:szCs w:val="20"/>
                <w:color w:val="auto"/>
              </w:rPr>
            </w:pPr>
            <w:r>
              <w:rPr>
                <w:rFonts w:ascii="Arial" w:cs="Arial" w:eastAsia="Arial" w:hAnsi="Arial"/>
                <w:sz w:val="14"/>
                <w:szCs w:val="14"/>
                <w:color w:val="auto"/>
              </w:rPr>
              <w:t>9,644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4"/>
          </w:tcPr>
          <w:p>
            <w:pPr>
              <w:jc w:val="right"/>
              <w:spacing w:after="0" w:line="145" w:lineRule="exact"/>
              <w:rPr>
                <w:sz w:val="20"/>
                <w:szCs w:val="20"/>
                <w:color w:val="auto"/>
              </w:rPr>
            </w:pPr>
            <w:r>
              <w:rPr>
                <w:rFonts w:ascii="Arial" w:cs="Arial" w:eastAsia="Arial" w:hAnsi="Arial"/>
                <w:sz w:val="14"/>
                <w:szCs w:val="14"/>
                <w:color w:val="auto"/>
                <w:w w:val="88"/>
              </w:rPr>
              <w:t>50,356</w:t>
            </w:r>
          </w:p>
        </w:tc>
        <w:tc>
          <w:tcPr>
            <w:tcW w:w="300" w:type="dxa"/>
            <w:vAlign w:val="bottom"/>
          </w:tcPr>
          <w:p>
            <w:pPr>
              <w:spacing w:after="0"/>
              <w:rPr>
                <w:sz w:val="12"/>
                <w:szCs w:val="12"/>
                <w:color w:val="auto"/>
              </w:rPr>
            </w:pPr>
          </w:p>
        </w:tc>
        <w:tc>
          <w:tcPr>
            <w:tcW w:w="4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 to</w:t>
            </w:r>
          </w:p>
        </w:tc>
        <w:tc>
          <w:tcPr>
            <w:tcW w:w="28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Customer relationships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spacing w:after="0" w:line="145" w:lineRule="exact"/>
              <w:rPr>
                <w:sz w:val="20"/>
                <w:szCs w:val="20"/>
                <w:color w:val="auto"/>
              </w:rPr>
            </w:pPr>
            <w:r>
              <w:rPr>
                <w:rFonts w:ascii="Arial" w:cs="Arial" w:eastAsia="Arial" w:hAnsi="Arial"/>
                <w:sz w:val="14"/>
                <w:szCs w:val="14"/>
                <w:color w:val="auto"/>
              </w:rPr>
              <w:t>1,822</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5" w:lineRule="exact"/>
              <w:rPr>
                <w:sz w:val="20"/>
                <w:szCs w:val="20"/>
                <w:color w:val="auto"/>
              </w:rPr>
            </w:pPr>
            <w:r>
              <w:rPr>
                <w:rFonts w:ascii="Arial" w:cs="Arial" w:eastAsia="Arial" w:hAnsi="Arial"/>
                <w:sz w:val="14"/>
                <w:szCs w:val="14"/>
                <w:color w:val="auto"/>
                <w:w w:val="88"/>
              </w:rPr>
              <w:t>47,178</w:t>
            </w:r>
          </w:p>
        </w:tc>
        <w:tc>
          <w:tcPr>
            <w:tcW w:w="3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12 to</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line="145" w:lineRule="exact"/>
              <w:rPr>
                <w:sz w:val="20"/>
                <w:szCs w:val="20"/>
                <w:color w:val="auto"/>
              </w:rPr>
            </w:pPr>
            <w:r>
              <w:rPr>
                <w:rFonts w:ascii="Arial" w:cs="Arial" w:eastAsia="Arial" w:hAnsi="Arial"/>
                <w:sz w:val="14"/>
                <w:szCs w:val="14"/>
                <w:color w:val="auto"/>
              </w:rPr>
              <w:t>Favorable occupancy leases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5,895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gridSpan w:val="3"/>
          </w:tcPr>
          <w:p>
            <w:pPr>
              <w:jc w:val="right"/>
              <w:spacing w:after="0" w:line="145" w:lineRule="exact"/>
              <w:rPr>
                <w:sz w:val="20"/>
                <w:szCs w:val="20"/>
                <w:color w:val="auto"/>
              </w:rPr>
            </w:pPr>
            <w:r>
              <w:rPr>
                <w:rFonts w:ascii="Arial" w:cs="Arial" w:eastAsia="Arial" w:hAnsi="Arial"/>
                <w:sz w:val="14"/>
                <w:szCs w:val="14"/>
                <w:color w:val="auto"/>
                <w:w w:val="94"/>
              </w:rPr>
              <w:t>408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gridSpan w:val="4"/>
          </w:tcPr>
          <w:p>
            <w:pPr>
              <w:jc w:val="right"/>
              <w:spacing w:after="0" w:line="145" w:lineRule="exact"/>
              <w:rPr>
                <w:sz w:val="20"/>
                <w:szCs w:val="20"/>
                <w:color w:val="auto"/>
              </w:rPr>
            </w:pPr>
            <w:r>
              <w:rPr>
                <w:rFonts w:ascii="Arial" w:cs="Arial" w:eastAsia="Arial" w:hAnsi="Arial"/>
                <w:sz w:val="14"/>
                <w:szCs w:val="14"/>
                <w:color w:val="auto"/>
              </w:rPr>
              <w:t>5,487</w:t>
            </w:r>
          </w:p>
        </w:tc>
        <w:tc>
          <w:tcPr>
            <w:tcW w:w="72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Exchange memberships</w:t>
            </w: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4"/>
            <w:shd w:val="clear" w:color="auto" w:fill="CCEEFF"/>
          </w:tcPr>
          <w:p>
            <w:pPr>
              <w:jc w:val="right"/>
              <w:spacing w:after="0" w:line="145" w:lineRule="exact"/>
              <w:rPr>
                <w:sz w:val="20"/>
                <w:szCs w:val="20"/>
                <w:color w:val="auto"/>
              </w:rPr>
            </w:pPr>
            <w:r>
              <w:rPr>
                <w:rFonts w:ascii="Arial" w:cs="Arial" w:eastAsia="Arial" w:hAnsi="Arial"/>
                <w:sz w:val="14"/>
                <w:szCs w:val="14"/>
                <w:color w:val="auto"/>
              </w:rPr>
              <w:t>5,838</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gridSpan w:val="5"/>
            <w:shd w:val="clear" w:color="auto" w:fill="CCEEFF"/>
          </w:tcPr>
          <w:p>
            <w:pPr>
              <w:jc w:val="center"/>
              <w:ind w:right="360"/>
              <w:spacing w:after="0" w:line="145" w:lineRule="exact"/>
              <w:rPr>
                <w:sz w:val="20"/>
                <w:szCs w:val="20"/>
                <w:color w:val="auto"/>
              </w:rPr>
            </w:pPr>
            <w:r>
              <w:rPr>
                <w:rFonts w:ascii="Arial" w:cs="Arial" w:eastAsia="Arial" w:hAnsi="Arial"/>
                <w:sz w:val="14"/>
                <w:szCs w:val="14"/>
                <w:color w:val="auto"/>
                <w:w w:val="94"/>
              </w:rPr>
              <w:t>Indefinite</w:t>
            </w: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234,633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4"/>
          </w:tcPr>
          <w:p>
            <w:pPr>
              <w:jc w:val="right"/>
              <w:spacing w:after="0" w:line="139" w:lineRule="exact"/>
              <w:rPr>
                <w:sz w:val="20"/>
                <w:szCs w:val="20"/>
                <w:color w:val="auto"/>
              </w:rPr>
            </w:pPr>
            <w:r>
              <w:rPr>
                <w:rFonts w:ascii="Arial" w:cs="Arial" w:eastAsia="Arial" w:hAnsi="Arial"/>
                <w:sz w:val="14"/>
                <w:szCs w:val="14"/>
                <w:color w:val="auto"/>
              </w:rPr>
              <w:t>123,408</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5"/>
          </w:tcPr>
          <w:p>
            <w:pPr>
              <w:jc w:val="right"/>
              <w:spacing w:after="0" w:line="139" w:lineRule="exact"/>
              <w:rPr>
                <w:sz w:val="20"/>
                <w:szCs w:val="20"/>
                <w:color w:val="auto"/>
              </w:rPr>
            </w:pPr>
            <w:r>
              <w:rPr>
                <w:rFonts w:ascii="Arial" w:cs="Arial" w:eastAsia="Arial" w:hAnsi="Arial"/>
                <w:sz w:val="14"/>
                <w:szCs w:val="14"/>
                <w:color w:val="auto"/>
              </w:rPr>
              <w:t>111,224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7"/>
        </w:trPr>
        <w:tc>
          <w:tcPr>
            <w:tcW w:w="2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1"/>
          </w:tcPr>
          <w:p>
            <w:pPr>
              <w:jc w:val="right"/>
              <w:ind w:right="209"/>
              <w:spacing w:after="0"/>
              <w:rPr>
                <w:sz w:val="20"/>
                <w:szCs w:val="20"/>
                <w:color w:val="auto"/>
              </w:rPr>
            </w:pPr>
            <w:r>
              <w:rPr>
                <w:rFonts w:ascii="Arial" w:cs="Arial" w:eastAsia="Arial" w:hAnsi="Arial"/>
                <w:sz w:val="14"/>
                <w:szCs w:val="14"/>
                <w:b w:val="1"/>
                <w:bCs w:val="1"/>
                <w:color w:val="auto"/>
                <w:w w:val="96"/>
              </w:rPr>
              <w:t>As of December 31, 2016</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50"/>
              <w:spacing w:after="0" w:line="116"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4"/>
            <w:vMerge w:val="restart"/>
          </w:tcPr>
          <w:p>
            <w:pPr>
              <w:jc w:val="right"/>
              <w:ind w:right="109"/>
              <w:spacing w:after="0"/>
              <w:rPr>
                <w:sz w:val="20"/>
                <w:szCs w:val="20"/>
                <w:color w:val="auto"/>
              </w:rPr>
            </w:pPr>
            <w:r>
              <w:rPr>
                <w:rFonts w:ascii="Arial" w:cs="Arial" w:eastAsia="Arial" w:hAnsi="Arial"/>
                <w:sz w:val="14"/>
                <w:szCs w:val="14"/>
                <w:b w:val="1"/>
                <w:bCs w:val="1"/>
                <w:color w:val="auto"/>
                <w:w w:val="92"/>
              </w:rPr>
              <w:t>Net Carrying</w:t>
            </w:r>
          </w:p>
        </w:tc>
        <w:tc>
          <w:tcPr>
            <w:tcW w:w="8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9"/>
              </w:rPr>
              <w:t>Useful Lives</w:t>
            </w:r>
          </w:p>
        </w:tc>
        <w:tc>
          <w:tcPr>
            <w:tcW w:w="0" w:type="dxa"/>
            <w:vAlign w:val="bottom"/>
          </w:tcPr>
          <w:p>
            <w:pPr>
              <w:spacing w:after="0"/>
              <w:rPr>
                <w:sz w:val="1"/>
                <w:szCs w:val="1"/>
                <w:color w:val="auto"/>
              </w:rPr>
            </w:pPr>
          </w:p>
        </w:tc>
      </w:tr>
      <w:tr>
        <w:trPr>
          <w:trHeight w:val="146"/>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69"/>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139"/>
        </w:trPr>
        <w:tc>
          <w:tcPr>
            <w:tcW w:w="21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Purchased technology</w:t>
            </w: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0"/>
              </w:rPr>
              <w:t>110,000</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110,000</w:t>
            </w: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w:t>
            </w:r>
          </w:p>
        </w:tc>
        <w:tc>
          <w:tcPr>
            <w:tcW w:w="500" w:type="dxa"/>
            <w:vAlign w:val="bottom"/>
            <w:tcBorders>
              <w:top w:val="single" w:sz="8" w:color="auto"/>
            </w:tcBorders>
            <w:shd w:val="clear" w:color="auto" w:fill="CCEEFF"/>
          </w:tcPr>
          <w:p>
            <w:pPr>
              <w:jc w:val="right"/>
              <w:ind w:right="69"/>
              <w:spacing w:after="0" w:line="139" w:lineRule="exact"/>
              <w:rPr>
                <w:sz w:val="20"/>
                <w:szCs w:val="20"/>
                <w:color w:val="auto"/>
              </w:rPr>
            </w:pPr>
            <w:r>
              <w:rPr>
                <w:rFonts w:ascii="Arial" w:cs="Arial" w:eastAsia="Arial" w:hAnsi="Arial"/>
                <w:sz w:val="14"/>
                <w:szCs w:val="14"/>
                <w:color w:val="auto"/>
                <w:w w:val="96"/>
              </w:rPr>
              <w:t>to 2.5</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line="145" w:lineRule="exact"/>
              <w:rPr>
                <w:sz w:val="20"/>
                <w:szCs w:val="20"/>
                <w:color w:val="auto"/>
              </w:rPr>
            </w:pPr>
            <w:r>
              <w:rPr>
                <w:rFonts w:ascii="Arial" w:cs="Arial" w:eastAsia="Arial" w:hAnsi="Arial"/>
                <w:sz w:val="14"/>
                <w:szCs w:val="14"/>
                <w:color w:val="auto"/>
              </w:rPr>
              <w:t>ETF issuer relationships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color w:val="auto"/>
              </w:rPr>
              <w:t>950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line="145" w:lineRule="exact"/>
              <w:rPr>
                <w:sz w:val="20"/>
                <w:szCs w:val="20"/>
                <w:color w:val="auto"/>
              </w:rPr>
            </w:pPr>
            <w:r>
              <w:rPr>
                <w:rFonts w:ascii="Arial" w:cs="Arial" w:eastAsia="Arial" w:hAnsi="Arial"/>
                <w:sz w:val="14"/>
                <w:szCs w:val="14"/>
                <w:color w:val="auto"/>
              </w:rPr>
              <w:t>454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496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ind w:right="309"/>
              <w:spacing w:after="0" w:line="145"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ETF buyer relationships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950</w:t>
            </w: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454</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496</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09"/>
              <w:spacing w:after="0" w:line="145" w:lineRule="exact"/>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90"/>
              </w:rPr>
              <w:t>111,900</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4"/>
          </w:tcPr>
          <w:p>
            <w:pPr>
              <w:jc w:val="right"/>
              <w:spacing w:after="0" w:line="139" w:lineRule="exact"/>
              <w:rPr>
                <w:sz w:val="20"/>
                <w:szCs w:val="20"/>
                <w:color w:val="auto"/>
              </w:rPr>
            </w:pPr>
            <w:r>
              <w:rPr>
                <w:rFonts w:ascii="Arial" w:cs="Arial" w:eastAsia="Arial" w:hAnsi="Arial"/>
                <w:sz w:val="14"/>
                <w:szCs w:val="14"/>
                <w:color w:val="auto"/>
              </w:rPr>
              <w:t>110,908</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gridSpan w:val="2"/>
          </w:tcPr>
          <w:p>
            <w:pPr>
              <w:jc w:val="right"/>
              <w:spacing w:after="0" w:line="139" w:lineRule="exact"/>
              <w:rPr>
                <w:sz w:val="20"/>
                <w:szCs w:val="20"/>
                <w:color w:val="auto"/>
              </w:rPr>
            </w:pPr>
            <w:r>
              <w:rPr>
                <w:rFonts w:ascii="Arial" w:cs="Arial" w:eastAsia="Arial" w:hAnsi="Arial"/>
                <w:sz w:val="14"/>
                <w:szCs w:val="14"/>
                <w:color w:val="auto"/>
              </w:rPr>
              <w:t>992</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379" w:firstLine="635"/>
        <w:spacing w:after="0" w:line="251" w:lineRule="auto"/>
        <w:rPr>
          <w:sz w:val="20"/>
          <w:szCs w:val="20"/>
          <w:color w:val="auto"/>
        </w:rPr>
      </w:pPr>
      <w:r>
        <w:rPr>
          <w:rFonts w:ascii="Arial" w:cs="Arial" w:eastAsia="Arial" w:hAnsi="Arial"/>
          <w:sz w:val="18"/>
          <w:szCs w:val="18"/>
          <w:color w:val="auto"/>
        </w:rPr>
        <w:t>Amortization expense relating to finite-lived intangible assets was approximately $15.4 million, $0.2 million, and $0.2 million for the years ended December 31, 2017, 2016, and 2015, respectively. This is included in amortization of purchased intangibles and acquired capitalized software in the accompanying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 from/Payables to Broker-Dealers and Clearing Organizations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summary of receivables from and payables to brokers-dealers and clearing organizations at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December 31,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39"/>
        </w:trPr>
        <w:tc>
          <w:tcPr>
            <w:tcW w:w="492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6"/>
        </w:trPr>
        <w:tc>
          <w:tcPr>
            <w:tcW w:w="4920" w:type="dxa"/>
            <w:vAlign w:val="bottom"/>
          </w:tcPr>
          <w:p>
            <w:pPr>
              <w:spacing w:after="0" w:line="145" w:lineRule="exact"/>
              <w:rPr>
                <w:sz w:val="20"/>
                <w:szCs w:val="20"/>
                <w:color w:val="auto"/>
              </w:rPr>
            </w:pPr>
            <w:r>
              <w:rPr>
                <w:rFonts w:ascii="Arial" w:cs="Arial" w:eastAsia="Arial" w:hAnsi="Arial"/>
                <w:sz w:val="14"/>
                <w:szCs w:val="14"/>
                <w:color w:val="auto"/>
              </w:rPr>
              <w:t>Due from prime brokers</w:t>
            </w:r>
          </w:p>
        </w:tc>
        <w:tc>
          <w:tcPr>
            <w:tcW w:w="400" w:type="dxa"/>
            <w:vAlign w:val="bottom"/>
            <w:gridSpan w:val="2"/>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219,573</w:t>
            </w:r>
          </w:p>
        </w:tc>
        <w:tc>
          <w:tcPr>
            <w:tcW w:w="42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91,476</w:t>
            </w:r>
          </w:p>
        </w:tc>
        <w:tc>
          <w:tcPr>
            <w:tcW w:w="60" w:type="dxa"/>
            <w:vAlign w:val="bottom"/>
          </w:tcPr>
          <w:p>
            <w:pPr>
              <w:spacing w:after="0"/>
              <w:rPr>
                <w:sz w:val="12"/>
                <w:szCs w:val="12"/>
                <w:color w:val="auto"/>
              </w:rPr>
            </w:pPr>
          </w:p>
        </w:tc>
      </w:tr>
      <w:tr>
        <w:trPr>
          <w:trHeight w:val="146"/>
        </w:trPr>
        <w:tc>
          <w:tcPr>
            <w:tcW w:w="49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Deposits with clearing organizations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112,847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21,995</w:t>
            </w:r>
          </w:p>
        </w:tc>
        <w:tc>
          <w:tcPr>
            <w:tcW w:w="60" w:type="dxa"/>
            <w:vAlign w:val="bottom"/>
            <w:shd w:val="clear" w:color="auto" w:fill="CCEEFF"/>
          </w:tcPr>
          <w:p>
            <w:pPr>
              <w:spacing w:after="0"/>
              <w:rPr>
                <w:sz w:val="12"/>
                <w:szCs w:val="12"/>
                <w:color w:val="auto"/>
              </w:rPr>
            </w:pPr>
          </w:p>
        </w:tc>
      </w:tr>
      <w:tr>
        <w:trPr>
          <w:trHeight w:val="146"/>
        </w:trPr>
        <w:tc>
          <w:tcPr>
            <w:tcW w:w="4920" w:type="dxa"/>
            <w:vAlign w:val="bottom"/>
          </w:tcPr>
          <w:p>
            <w:pPr>
              <w:spacing w:after="0" w:line="145" w:lineRule="exact"/>
              <w:rPr>
                <w:sz w:val="20"/>
                <w:szCs w:val="20"/>
                <w:color w:val="auto"/>
              </w:rPr>
            </w:pPr>
            <w:r>
              <w:rPr>
                <w:rFonts w:ascii="Arial" w:cs="Arial" w:eastAsia="Arial" w:hAnsi="Arial"/>
                <w:sz w:val="14"/>
                <w:szCs w:val="14"/>
                <w:color w:val="auto"/>
              </w:rPr>
              <w:t>Net equity with futures commission merchants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203,711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213,030</w:t>
            </w:r>
          </w:p>
        </w:tc>
        <w:tc>
          <w:tcPr>
            <w:tcW w:w="60" w:type="dxa"/>
            <w:vAlign w:val="bottom"/>
          </w:tcPr>
          <w:p>
            <w:pPr>
              <w:spacing w:after="0"/>
              <w:rPr>
                <w:sz w:val="12"/>
                <w:szCs w:val="12"/>
                <w:color w:val="auto"/>
              </w:rPr>
            </w:pPr>
          </w:p>
        </w:tc>
      </w:tr>
      <w:tr>
        <w:trPr>
          <w:trHeight w:val="146"/>
        </w:trPr>
        <w:tc>
          <w:tcPr>
            <w:tcW w:w="49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Unsettled trades with clearing organization</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173,778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44,312</w:t>
            </w:r>
          </w:p>
        </w:tc>
        <w:tc>
          <w:tcPr>
            <w:tcW w:w="60" w:type="dxa"/>
            <w:vAlign w:val="bottom"/>
            <w:shd w:val="clear" w:color="auto" w:fill="CCEEFF"/>
          </w:tcPr>
          <w:p>
            <w:pPr>
              <w:spacing w:after="0"/>
              <w:rPr>
                <w:sz w:val="12"/>
                <w:szCs w:val="12"/>
                <w:color w:val="auto"/>
              </w:rPr>
            </w:pPr>
          </w:p>
        </w:tc>
      </w:tr>
      <w:tr>
        <w:trPr>
          <w:trHeight w:val="146"/>
        </w:trPr>
        <w:tc>
          <w:tcPr>
            <w:tcW w:w="4920" w:type="dxa"/>
            <w:vAlign w:val="bottom"/>
          </w:tcPr>
          <w:p>
            <w:pPr>
              <w:spacing w:after="0" w:line="145" w:lineRule="exact"/>
              <w:rPr>
                <w:sz w:val="20"/>
                <w:szCs w:val="20"/>
                <w:color w:val="auto"/>
              </w:rPr>
            </w:pPr>
            <w:r>
              <w:rPr>
                <w:rFonts w:ascii="Arial" w:cs="Arial" w:eastAsia="Arial" w:hAnsi="Arial"/>
                <w:sz w:val="14"/>
                <w:szCs w:val="14"/>
                <w:color w:val="auto"/>
              </w:rPr>
              <w:t>Securities failed to deliver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248,088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77,915</w:t>
            </w:r>
          </w:p>
        </w:tc>
        <w:tc>
          <w:tcPr>
            <w:tcW w:w="60" w:type="dxa"/>
            <w:vAlign w:val="bottom"/>
          </w:tcPr>
          <w:p>
            <w:pPr>
              <w:spacing w:after="0"/>
              <w:rPr>
                <w:sz w:val="12"/>
                <w:szCs w:val="12"/>
                <w:color w:val="auto"/>
              </w:rPr>
            </w:pPr>
          </w:p>
        </w:tc>
      </w:tr>
      <w:tr>
        <w:trPr>
          <w:trHeight w:val="146"/>
        </w:trPr>
        <w:tc>
          <w:tcPr>
            <w:tcW w:w="49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Commissions and fees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14,021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r>
      <w:tr>
        <w:trPr>
          <w:trHeight w:val="145"/>
        </w:trPr>
        <w:tc>
          <w:tcPr>
            <w:tcW w:w="4920" w:type="dxa"/>
            <w:vAlign w:val="bottom"/>
            <w:tcBorders>
              <w:bottom w:val="single" w:sz="8" w:color="CCEEFF"/>
            </w:tcBorders>
          </w:tcPr>
          <w:p>
            <w:pPr>
              <w:ind w:left="220"/>
              <w:spacing w:after="0" w:line="139" w:lineRule="exact"/>
              <w:rPr>
                <w:sz w:val="20"/>
                <w:szCs w:val="20"/>
                <w:color w:val="auto"/>
              </w:rPr>
            </w:pPr>
            <w:r>
              <w:rPr>
                <w:rFonts w:ascii="Arial" w:cs="Arial" w:eastAsia="Arial" w:hAnsi="Arial"/>
                <w:sz w:val="14"/>
                <w:szCs w:val="14"/>
                <w:color w:val="auto"/>
              </w:rPr>
              <w:t>Total receivables from broker-dealers and clearing organizations</w:t>
            </w:r>
          </w:p>
        </w:tc>
        <w:tc>
          <w:tcPr>
            <w:tcW w:w="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972,018</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448,728</w:t>
            </w:r>
          </w:p>
        </w:tc>
        <w:tc>
          <w:tcPr>
            <w:tcW w:w="60" w:type="dxa"/>
            <w:vAlign w:val="bottom"/>
            <w:tcBorders>
              <w:bottom w:val="single" w:sz="8" w:color="CCEEFF"/>
            </w:tcBorders>
          </w:tcPr>
          <w:p>
            <w:pPr>
              <w:spacing w:after="0"/>
              <w:rPr>
                <w:sz w:val="12"/>
                <w:szCs w:val="12"/>
                <w:color w:val="auto"/>
              </w:rPr>
            </w:pPr>
          </w:p>
        </w:tc>
      </w:tr>
      <w:tr>
        <w:trPr>
          <w:trHeight w:val="146"/>
        </w:trPr>
        <w:tc>
          <w:tcPr>
            <w:tcW w:w="49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6"/>
        </w:trPr>
        <w:tc>
          <w:tcPr>
            <w:tcW w:w="4920" w:type="dxa"/>
            <w:vAlign w:val="bottom"/>
          </w:tcPr>
          <w:p>
            <w:pPr>
              <w:spacing w:after="0" w:line="145" w:lineRule="exact"/>
              <w:rPr>
                <w:sz w:val="20"/>
                <w:szCs w:val="20"/>
                <w:color w:val="auto"/>
              </w:rPr>
            </w:pPr>
            <w:r>
              <w:rPr>
                <w:rFonts w:ascii="Arial" w:cs="Arial" w:eastAsia="Arial" w:hAnsi="Arial"/>
                <w:sz w:val="14"/>
                <w:szCs w:val="14"/>
                <w:color w:val="auto"/>
              </w:rPr>
              <w:t>Due to prime brokers</w:t>
            </w:r>
          </w:p>
        </w:tc>
        <w:tc>
          <w:tcPr>
            <w:tcW w:w="400" w:type="dxa"/>
            <w:vAlign w:val="bottom"/>
            <w:gridSpan w:val="2"/>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197,439</w:t>
            </w:r>
          </w:p>
        </w:tc>
        <w:tc>
          <w:tcPr>
            <w:tcW w:w="42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227,335</w:t>
            </w:r>
          </w:p>
        </w:tc>
        <w:tc>
          <w:tcPr>
            <w:tcW w:w="60" w:type="dxa"/>
            <w:vAlign w:val="bottom"/>
          </w:tcPr>
          <w:p>
            <w:pPr>
              <w:spacing w:after="0"/>
              <w:rPr>
                <w:sz w:val="12"/>
                <w:szCs w:val="12"/>
                <w:color w:val="auto"/>
              </w:rPr>
            </w:pPr>
          </w:p>
        </w:tc>
      </w:tr>
      <w:tr>
        <w:trPr>
          <w:trHeight w:val="146"/>
        </w:trPr>
        <w:tc>
          <w:tcPr>
            <w:tcW w:w="49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equity with futures commission merchants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44,526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38,838</w:t>
            </w:r>
          </w:p>
        </w:tc>
        <w:tc>
          <w:tcPr>
            <w:tcW w:w="60" w:type="dxa"/>
            <w:vAlign w:val="bottom"/>
            <w:shd w:val="clear" w:color="auto" w:fill="CCEEFF"/>
          </w:tcPr>
          <w:p>
            <w:pPr>
              <w:spacing w:after="0"/>
              <w:rPr>
                <w:sz w:val="12"/>
                <w:szCs w:val="12"/>
                <w:color w:val="auto"/>
              </w:rPr>
            </w:pPr>
          </w:p>
        </w:tc>
      </w:tr>
      <w:tr>
        <w:trPr>
          <w:trHeight w:val="146"/>
        </w:trPr>
        <w:tc>
          <w:tcPr>
            <w:tcW w:w="4920" w:type="dxa"/>
            <w:vAlign w:val="bottom"/>
          </w:tcPr>
          <w:p>
            <w:pPr>
              <w:spacing w:after="0" w:line="145" w:lineRule="exact"/>
              <w:rPr>
                <w:sz w:val="20"/>
                <w:szCs w:val="20"/>
                <w:color w:val="auto"/>
              </w:rPr>
            </w:pPr>
            <w:r>
              <w:rPr>
                <w:rFonts w:ascii="Arial" w:cs="Arial" w:eastAsia="Arial" w:hAnsi="Arial"/>
                <w:sz w:val="14"/>
                <w:szCs w:val="14"/>
                <w:color w:val="auto"/>
              </w:rPr>
              <w:t>Unsettled trades with clearing organization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420,029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429,800</w:t>
            </w:r>
          </w:p>
        </w:tc>
        <w:tc>
          <w:tcPr>
            <w:tcW w:w="60" w:type="dxa"/>
            <w:vAlign w:val="bottom"/>
          </w:tcPr>
          <w:p>
            <w:pPr>
              <w:spacing w:after="0"/>
              <w:rPr>
                <w:sz w:val="12"/>
                <w:szCs w:val="12"/>
                <w:color w:val="auto"/>
              </w:rPr>
            </w:pPr>
          </w:p>
        </w:tc>
      </w:tr>
      <w:tr>
        <w:trPr>
          <w:trHeight w:val="146"/>
        </w:trPr>
        <w:tc>
          <w:tcPr>
            <w:tcW w:w="49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Securities failed to receive</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51,143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r>
      <w:tr>
        <w:trPr>
          <w:trHeight w:val="146"/>
        </w:trPr>
        <w:tc>
          <w:tcPr>
            <w:tcW w:w="4920" w:type="dxa"/>
            <w:vAlign w:val="bottom"/>
          </w:tcPr>
          <w:p>
            <w:pPr>
              <w:spacing w:after="0" w:line="145" w:lineRule="exact"/>
              <w:rPr>
                <w:sz w:val="20"/>
                <w:szCs w:val="20"/>
                <w:color w:val="auto"/>
              </w:rPr>
            </w:pPr>
            <w:r>
              <w:rPr>
                <w:rFonts w:ascii="Arial" w:cs="Arial" w:eastAsia="Arial" w:hAnsi="Arial"/>
                <w:sz w:val="14"/>
                <w:szCs w:val="14"/>
                <w:color w:val="auto"/>
              </w:rPr>
              <w:t>Commissions and fees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3,068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r>
      <w:tr>
        <w:trPr>
          <w:trHeight w:val="145"/>
        </w:trPr>
        <w:tc>
          <w:tcPr>
            <w:tcW w:w="4920" w:type="dxa"/>
            <w:vAlign w:val="bottom"/>
            <w:tcBorders>
              <w:top w:val="single" w:sz="8" w:color="CCEEFF"/>
              <w:bottom w:val="single" w:sz="8" w:color="CCEEFF"/>
            </w:tcBorders>
            <w:shd w:val="clear" w:color="auto" w:fill="CCEEFF"/>
          </w:tcPr>
          <w:p>
            <w:pPr>
              <w:ind w:left="220"/>
              <w:spacing w:after="0" w:line="139" w:lineRule="exact"/>
              <w:rPr>
                <w:sz w:val="20"/>
                <w:szCs w:val="20"/>
                <w:color w:val="auto"/>
              </w:rPr>
            </w:pPr>
            <w:r>
              <w:rPr>
                <w:rFonts w:ascii="Arial" w:cs="Arial" w:eastAsia="Arial" w:hAnsi="Arial"/>
                <w:sz w:val="14"/>
                <w:szCs w:val="14"/>
                <w:color w:val="auto"/>
              </w:rPr>
              <w:t>Total payables to broker-dealers and clearing organizations</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716,205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695,978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99" w:lineRule="exact"/>
        <w:rPr>
          <w:sz w:val="20"/>
          <w:szCs w:val="20"/>
          <w:color w:val="auto"/>
        </w:rPr>
      </w:pPr>
    </w:p>
    <w:p>
      <w:pPr>
        <w:ind w:right="219" w:firstLine="635"/>
        <w:spacing w:after="0" w:line="329" w:lineRule="auto"/>
        <w:rPr>
          <w:sz w:val="20"/>
          <w:szCs w:val="20"/>
          <w:color w:val="auto"/>
        </w:rPr>
      </w:pPr>
      <w:r>
        <w:rPr>
          <w:rFonts w:ascii="Arial" w:cs="Arial" w:eastAsia="Arial" w:hAnsi="Arial"/>
          <w:sz w:val="15"/>
          <w:szCs w:val="15"/>
          <w:color w:val="auto"/>
        </w:rPr>
        <w:t>Included as a deduction from “Due from prime brokers” and “Net equity with futures commission merchants” is the outstanding principal balance on all of the Company’s short-term credit facilities (described in Note 9 “Collateralized Transactions”) of approximately $205.7 million and $309.1 million as of December 31, 2017 and 2016, respectively. The</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Collateralized Transactions</w:t>
      </w:r>
    </w:p>
    <w:p>
      <w:pPr>
        <w:spacing w:after="0" w:line="222" w:lineRule="exact"/>
        <w:rPr>
          <w:sz w:val="20"/>
          <w:szCs w:val="20"/>
          <w:color w:val="auto"/>
        </w:rPr>
      </w:pPr>
    </w:p>
    <w:p>
      <w:pPr>
        <w:ind w:firstLine="635"/>
        <w:spacing w:after="0" w:line="250" w:lineRule="auto"/>
        <w:rPr>
          <w:sz w:val="20"/>
          <w:szCs w:val="20"/>
          <w:color w:val="auto"/>
        </w:rPr>
      </w:pPr>
      <w:r>
        <w:rPr>
          <w:rFonts w:ascii="Arial" w:cs="Arial" w:eastAsia="Arial" w:hAnsi="Arial"/>
          <w:sz w:val="18"/>
          <w:szCs w:val="18"/>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2017 and December 31, 2016, substantially all of the securities received as collateral have been repledged. The fair value of the collateralized transactions at December 31, 2017 and December 31, 2016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2016</w:t>
            </w:r>
          </w:p>
        </w:tc>
      </w:tr>
      <w:tr>
        <w:trPr>
          <w:trHeight w:val="139"/>
        </w:trPr>
        <w:tc>
          <w:tcPr>
            <w:tcW w:w="492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Securities received as collateral:</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spacing w:after="0"/>
              <w:rPr>
                <w:sz w:val="12"/>
                <w:szCs w:val="12"/>
                <w:color w:val="auto"/>
              </w:rPr>
            </w:pPr>
          </w:p>
        </w:tc>
      </w:tr>
      <w:tr>
        <w:trPr>
          <w:trHeight w:val="146"/>
        </w:trPr>
        <w:tc>
          <w:tcPr>
            <w:tcW w:w="4920" w:type="dxa"/>
            <w:vAlign w:val="bottom"/>
          </w:tcPr>
          <w:p>
            <w:pPr>
              <w:ind w:left="220"/>
              <w:spacing w:after="0" w:line="145" w:lineRule="exact"/>
              <w:rPr>
                <w:sz w:val="20"/>
                <w:szCs w:val="20"/>
                <w:color w:val="auto"/>
              </w:rPr>
            </w:pPr>
            <w:r>
              <w:rPr>
                <w:rFonts w:ascii="Arial" w:cs="Arial" w:eastAsia="Arial" w:hAnsi="Arial"/>
                <w:sz w:val="14"/>
                <w:szCs w:val="14"/>
                <w:color w:val="auto"/>
              </w:rPr>
              <w:t>Securities borrowed</w:t>
            </w:r>
          </w:p>
        </w:tc>
        <w:tc>
          <w:tcPr>
            <w:tcW w:w="400" w:type="dxa"/>
            <w:vAlign w:val="bottom"/>
            <w:gridSpan w:val="2"/>
          </w:tcPr>
          <w:p>
            <w:pPr>
              <w:jc w:val="right"/>
              <w:ind w:right="49"/>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ind w:left="100"/>
              <w:spacing w:after="0" w:line="145" w:lineRule="exact"/>
              <w:rPr>
                <w:sz w:val="20"/>
                <w:szCs w:val="20"/>
                <w:color w:val="auto"/>
              </w:rPr>
            </w:pPr>
            <w:r>
              <w:rPr>
                <w:rFonts w:ascii="Arial" w:cs="Arial" w:eastAsia="Arial" w:hAnsi="Arial"/>
                <w:sz w:val="14"/>
                <w:szCs w:val="14"/>
                <w:color w:val="auto"/>
                <w:w w:val="96"/>
              </w:rPr>
              <w:t>1,415,793</w:t>
            </w:r>
          </w:p>
        </w:tc>
        <w:tc>
          <w:tcPr>
            <w:tcW w:w="42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line="145" w:lineRule="exact"/>
              <w:rPr>
                <w:sz w:val="20"/>
                <w:szCs w:val="20"/>
                <w:color w:val="auto"/>
              </w:rPr>
            </w:pPr>
            <w:r>
              <w:rPr>
                <w:rFonts w:ascii="Arial" w:cs="Arial" w:eastAsia="Arial" w:hAnsi="Arial"/>
                <w:sz w:val="14"/>
                <w:szCs w:val="14"/>
                <w:color w:val="auto"/>
              </w:rPr>
              <w:t>213,203</w:t>
            </w:r>
          </w:p>
        </w:tc>
      </w:tr>
      <w:tr>
        <w:trPr>
          <w:trHeight w:val="146"/>
        </w:trPr>
        <w:tc>
          <w:tcPr>
            <w:tcW w:w="4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9"/>
              <w:spacing w:after="0" w:line="14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w w:val="96"/>
              </w:rPr>
              <w:t>1,415,793</w:t>
            </w:r>
          </w:p>
        </w:tc>
        <w:tc>
          <w:tcPr>
            <w:tcW w:w="4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800" w:type="dxa"/>
            <w:vAlign w:val="bottom"/>
            <w:tcBorders>
              <w:right w:val="single" w:sz="8" w:color="CCEEFF"/>
            </w:tcBorders>
            <w:shd w:val="clear" w:color="auto" w:fill="CCEEFF"/>
          </w:tcPr>
          <w:p>
            <w:pPr>
              <w:jc w:val="right"/>
              <w:ind w:right="49"/>
              <w:spacing w:after="0" w:line="145" w:lineRule="exact"/>
              <w:rPr>
                <w:sz w:val="20"/>
                <w:szCs w:val="20"/>
                <w:color w:val="auto"/>
              </w:rPr>
            </w:pPr>
            <w:r>
              <w:rPr>
                <w:rFonts w:ascii="Arial" w:cs="Arial" w:eastAsia="Arial" w:hAnsi="Arial"/>
                <w:sz w:val="14"/>
                <w:szCs w:val="14"/>
                <w:color w:val="auto"/>
              </w:rPr>
              <w:t>213,203</w:t>
            </w:r>
          </w:p>
        </w:tc>
      </w:tr>
      <w:tr>
        <w:trPr>
          <w:trHeight w:val="26"/>
        </w:trPr>
        <w:tc>
          <w:tcPr>
            <w:tcW w:w="4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bl>
    <w:p>
      <w:pPr>
        <w:spacing w:after="0" w:line="199" w:lineRule="exact"/>
        <w:rPr>
          <w:sz w:val="20"/>
          <w:szCs w:val="20"/>
          <w:color w:val="auto"/>
        </w:rPr>
      </w:pPr>
    </w:p>
    <w:p>
      <w:pPr>
        <w:ind w:right="100" w:firstLine="635"/>
        <w:spacing w:after="0" w:line="264" w:lineRule="auto"/>
        <w:rPr>
          <w:sz w:val="20"/>
          <w:szCs w:val="20"/>
          <w:color w:val="auto"/>
        </w:rPr>
      </w:pPr>
      <w:r>
        <w:rPr>
          <w:rFonts w:ascii="Arial" w:cs="Arial" w:eastAsia="Arial" w:hAnsi="Arial"/>
          <w:sz w:val="18"/>
          <w:szCs w:val="18"/>
          <w:color w:val="auto"/>
        </w:rPr>
        <w:t>In the normal course of business, the Company pledges qualified securities with clearing organizations to satisfy daily margin and clearing fund requirements.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Financial instruments owned and pledged, where the counterparty has the right to repledge, at December 31, 2017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39"/>
        </w:trPr>
        <w:tc>
          <w:tcPr>
            <w:tcW w:w="49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Equities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586,251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115"/>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128,202</w:t>
            </w:r>
          </w:p>
        </w:tc>
        <w:tc>
          <w:tcPr>
            <w:tcW w:w="60" w:type="dxa"/>
            <w:vAlign w:val="bottom"/>
            <w:shd w:val="clear" w:color="auto" w:fill="CCEEFF"/>
          </w:tcPr>
          <w:p>
            <w:pPr>
              <w:spacing w:after="0"/>
              <w:rPr>
                <w:sz w:val="12"/>
                <w:szCs w:val="12"/>
                <w:color w:val="auto"/>
              </w:rPr>
            </w:pPr>
          </w:p>
        </w:tc>
      </w:tr>
      <w:tr>
        <w:trPr>
          <w:trHeight w:val="146"/>
        </w:trPr>
        <w:tc>
          <w:tcPr>
            <w:tcW w:w="4920" w:type="dxa"/>
            <w:vAlign w:val="bottom"/>
          </w:tcPr>
          <w:p>
            <w:pPr>
              <w:spacing w:after="0" w:line="145" w:lineRule="exact"/>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99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r>
      <w:tr>
        <w:trPr>
          <w:trHeight w:val="146"/>
        </w:trPr>
        <w:tc>
          <w:tcPr>
            <w:tcW w:w="49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Exchange traded notes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8,693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15,681</w:t>
            </w:r>
          </w:p>
        </w:tc>
        <w:tc>
          <w:tcPr>
            <w:tcW w:w="60" w:type="dxa"/>
            <w:vAlign w:val="bottom"/>
            <w:shd w:val="clear" w:color="auto" w:fill="CCEEFF"/>
          </w:tcPr>
          <w:p>
            <w:pPr>
              <w:spacing w:after="0"/>
              <w:rPr>
                <w:sz w:val="12"/>
                <w:szCs w:val="12"/>
                <w:color w:val="auto"/>
              </w:rPr>
            </w:pPr>
          </w:p>
        </w:tc>
      </w:tr>
      <w:tr>
        <w:trPr>
          <w:trHeight w:val="145"/>
        </w:trPr>
        <w:tc>
          <w:tcPr>
            <w:tcW w:w="4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49"/>
              <w:spacing w:after="0" w:line="13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595,043</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5"/>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143,883</w:t>
            </w:r>
          </w:p>
        </w:tc>
        <w:tc>
          <w:tcPr>
            <w:tcW w:w="60" w:type="dxa"/>
            <w:vAlign w:val="bottom"/>
          </w:tcPr>
          <w:p>
            <w:pPr>
              <w:spacing w:after="0"/>
              <w:rPr>
                <w:sz w:val="12"/>
                <w:szCs w:val="1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Broker-Dealer Credit Facilities</w:t>
      </w:r>
    </w:p>
    <w:p>
      <w:pPr>
        <w:spacing w:after="0" w:line="222" w:lineRule="exact"/>
        <w:rPr>
          <w:sz w:val="20"/>
          <w:szCs w:val="20"/>
          <w:color w:val="auto"/>
        </w:rPr>
      </w:pPr>
    </w:p>
    <w:p>
      <w:pPr>
        <w:ind w:right="480" w:firstLine="635"/>
        <w:spacing w:after="0" w:line="271" w:lineRule="auto"/>
        <w:rPr>
          <w:sz w:val="20"/>
          <w:szCs w:val="20"/>
          <w:color w:val="auto"/>
        </w:rPr>
      </w:pPr>
      <w:r>
        <w:rPr>
          <w:rFonts w:ascii="Arial" w:cs="Arial" w:eastAsia="Arial" w:hAnsi="Arial"/>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collateralized by one of the Company’s broker-dealer subsidiaries trading and deposit account with the financial institution.</w:t>
      </w:r>
    </w:p>
    <w:p>
      <w:pPr>
        <w:spacing w:after="0" w:line="175" w:lineRule="exact"/>
        <w:rPr>
          <w:sz w:val="20"/>
          <w:szCs w:val="20"/>
          <w:color w:val="auto"/>
        </w:rPr>
      </w:pPr>
    </w:p>
    <w:p>
      <w:pPr>
        <w:ind w:right="60" w:firstLine="635"/>
        <w:spacing w:after="0" w:line="264" w:lineRule="auto"/>
        <w:rPr>
          <w:sz w:val="20"/>
          <w:szCs w:val="20"/>
          <w:color w:val="auto"/>
        </w:rPr>
      </w:pPr>
      <w:r>
        <w:rPr>
          <w:rFonts w:ascii="Arial" w:cs="Arial" w:eastAsia="Arial" w:hAnsi="Arial"/>
          <w:sz w:val="17"/>
          <w:szCs w:val="17"/>
          <w:color w:val="auto"/>
        </w:rPr>
        <w:t>On November 3, 2017, the Company entered the second credit facility (“Revolving Credit Facility”) with the same financial institution for an aggregated borrowing limit of $500.0 million. The Revolving Credit Facility consists two borrowing bases: Borrowing Base A Loan is to be used to finance the purchase and settlement of securities; Borrowing Base B Loan is to be used to fund margin deposit with the NSCC. Each of the three broker-dealers has a sublimit under Borrowing Base A Loan, from $25.0 million to $500.0 million, which bears interest at the adjusted LIBOR or base rate plus 1.25% per annum. Two out of the three broker-dealers have sublimit under Borrowing Base B Loan, from $40.0 million to $100.0 million, which bears interest at the adjusted LIBOR or base rate plus 2.50% per annum. A commitment fee of 0.50% per annum on the average daily unused portion of this facility is payable quarterly in arrears.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99" w:firstLine="635"/>
        <w:spacing w:after="0" w:line="264" w:lineRule="auto"/>
        <w:rPr>
          <w:sz w:val="20"/>
          <w:szCs w:val="20"/>
          <w:color w:val="auto"/>
        </w:rPr>
      </w:pPr>
      <w:r>
        <w:rPr>
          <w:rFonts w:ascii="Arial" w:cs="Arial" w:eastAsia="Arial" w:hAnsi="Arial"/>
          <w:sz w:val="18"/>
          <w:szCs w:val="18"/>
          <w:color w:val="auto"/>
        </w:rPr>
        <w:t>The following summarizes the Company’s broker-dealer credit facilities carrying value, net of unamortized debt issuance costs, where applicable: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December 31, 2017</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4"/>
              </w:rPr>
              <w:t>Interest Rate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50"/>
              <w:spacing w:after="0" w:line="116" w:lineRule="exact"/>
              <w:rPr>
                <w:sz w:val="20"/>
                <w:szCs w:val="20"/>
                <w:color w:val="auto"/>
              </w:rPr>
            </w:pPr>
            <w:r>
              <w:rPr>
                <w:rFonts w:ascii="Arial" w:cs="Arial" w:eastAsia="Arial" w:hAnsi="Arial"/>
                <w:sz w:val="13"/>
                <w:szCs w:val="13"/>
                <w:b w:val="1"/>
                <w:bCs w:val="1"/>
                <w:color w:val="auto"/>
              </w:rPr>
              <w:t>Financing</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0"/>
              <w:spacing w:after="0" w:line="116" w:lineRule="exact"/>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00"/>
              <w:spacing w:after="0" w:line="116" w:lineRule="exact"/>
              <w:rPr>
                <w:sz w:val="20"/>
                <w:szCs w:val="20"/>
                <w:color w:val="auto"/>
              </w:rPr>
            </w:pPr>
            <w:r>
              <w:rPr>
                <w:rFonts w:ascii="Arial" w:cs="Arial" w:eastAsia="Arial" w:hAnsi="Arial"/>
                <w:sz w:val="13"/>
                <w:szCs w:val="13"/>
                <w:b w:val="1"/>
                <w:bCs w:val="1"/>
                <w:color w:val="auto"/>
                <w:w w:val="99"/>
              </w:rPr>
              <w:t>Deferred Debt</w:t>
            </w:r>
          </w:p>
        </w:tc>
        <w:tc>
          <w:tcPr>
            <w:tcW w:w="80" w:type="dxa"/>
            <w:vAlign w:val="bottom"/>
          </w:tcPr>
          <w:p>
            <w:pPr>
              <w:spacing w:after="0"/>
              <w:rPr>
                <w:sz w:val="10"/>
                <w:szCs w:val="10"/>
                <w:color w:val="auto"/>
              </w:rPr>
            </w:pPr>
          </w:p>
        </w:tc>
        <w:tc>
          <w:tcPr>
            <w:tcW w:w="10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9"/>
              </w:rPr>
              <w:t>Outstanding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9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b w:val="1"/>
                <w:bCs w:val="1"/>
                <w:color w:val="auto"/>
              </w:rPr>
              <w:t>Available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Issuance Cost</w:t>
            </w:r>
          </w:p>
        </w:tc>
        <w:tc>
          <w:tcPr>
            <w:tcW w:w="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Borrowings, net</w:t>
            </w:r>
          </w:p>
        </w:tc>
        <w:tc>
          <w:tcPr>
            <w:tcW w:w="0" w:type="dxa"/>
            <w:vAlign w:val="bottom"/>
          </w:tcPr>
          <w:p>
            <w:pPr>
              <w:spacing w:after="0"/>
              <w:rPr>
                <w:sz w:val="1"/>
                <w:szCs w:val="1"/>
                <w:color w:val="auto"/>
              </w:rPr>
            </w:pPr>
          </w:p>
        </w:tc>
      </w:tr>
      <w:tr>
        <w:trPr>
          <w:trHeight w:val="139"/>
        </w:trPr>
        <w:tc>
          <w:tcPr>
            <w:tcW w:w="19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w w:val="97"/>
              </w:rPr>
              <w:t>Broker-dealer credit facilities:</w:t>
            </w: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40" w:type="dxa"/>
            <w:vAlign w:val="bottom"/>
          </w:tcPr>
          <w:p>
            <w:pPr>
              <w:ind w:left="100"/>
              <w:spacing w:after="0" w:line="145" w:lineRule="exact"/>
              <w:rPr>
                <w:sz w:val="20"/>
                <w:szCs w:val="20"/>
                <w:color w:val="auto"/>
              </w:rPr>
            </w:pPr>
            <w:r>
              <w:rPr>
                <w:rFonts w:ascii="Arial" w:cs="Arial" w:eastAsia="Arial" w:hAnsi="Arial"/>
                <w:sz w:val="14"/>
                <w:szCs w:val="14"/>
                <w:color w:val="auto"/>
              </w:rPr>
              <w:t>Uncommitted facility</w:t>
            </w:r>
          </w:p>
        </w:tc>
        <w:tc>
          <w:tcPr>
            <w:tcW w:w="8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2.42%</w:t>
            </w:r>
          </w:p>
        </w:tc>
        <w:tc>
          <w:tcPr>
            <w:tcW w:w="180" w:type="dxa"/>
            <w:vAlign w:val="bottom"/>
            <w:gridSpan w:val="2"/>
          </w:tcPr>
          <w:p>
            <w:pPr>
              <w:jc w:val="right"/>
              <w:ind w:right="9"/>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150,000</w:t>
            </w:r>
          </w:p>
        </w:tc>
        <w:tc>
          <w:tcPr>
            <w:tcW w:w="1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25,000</w:t>
            </w:r>
          </w:p>
        </w:tc>
        <w:tc>
          <w:tcPr>
            <w:tcW w:w="180" w:type="dxa"/>
            <w:vAlign w:val="bottom"/>
            <w:gridSpan w:val="2"/>
          </w:tcPr>
          <w:p>
            <w:pPr>
              <w:jc w:val="right"/>
              <w:ind w:right="20"/>
              <w:spacing w:after="0" w:line="14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4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Revolving credit facility</w:t>
            </w:r>
          </w:p>
        </w:tc>
        <w:tc>
          <w:tcPr>
            <w:tcW w:w="84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2.81%</w:t>
            </w: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500,000</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(4,117)</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2,883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650,000</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32,000</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(4,117)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27,883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At December 31, 2016</w:t>
            </w: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0"/>
        </w:trPr>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b w:val="1"/>
                <w:bCs w:val="1"/>
                <w:color w:val="auto"/>
                <w:w w:val="96"/>
              </w:rPr>
              <w:t>Financing</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b w:val="1"/>
                <w:bCs w:val="1"/>
                <w:color w:val="auto"/>
              </w:rPr>
              <w:t>Borrowing</w:t>
            </w:r>
          </w:p>
        </w:tc>
        <w:tc>
          <w:tcPr>
            <w:tcW w:w="140" w:type="dxa"/>
            <w:vAlign w:val="bottom"/>
          </w:tcPr>
          <w:p>
            <w:pPr>
              <w:spacing w:after="0"/>
              <w:rPr>
                <w:sz w:val="19"/>
                <w:szCs w:val="19"/>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Deferred Debt</w:t>
            </w:r>
          </w:p>
        </w:tc>
        <w:tc>
          <w:tcPr>
            <w:tcW w:w="8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p>
        </w:tc>
      </w:tr>
      <w:tr>
        <w:trPr>
          <w:trHeight w:val="209"/>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Available</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Issuance Cost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Borrowings, net</w:t>
            </w:r>
          </w:p>
        </w:tc>
        <w:tc>
          <w:tcPr>
            <w:tcW w:w="60" w:type="dxa"/>
            <w:vAlign w:val="bottom"/>
            <w:tcBorders>
              <w:bottom w:val="single" w:sz="8" w:color="CCEEFF"/>
            </w:tcBorders>
          </w:tcPr>
          <w:p>
            <w:pPr>
              <w:spacing w:after="0"/>
              <w:rPr>
                <w:sz w:val="18"/>
                <w:szCs w:val="18"/>
                <w:color w:val="auto"/>
              </w:rPr>
            </w:pPr>
          </w:p>
        </w:tc>
      </w:tr>
      <w:tr>
        <w:trPr>
          <w:trHeight w:val="192"/>
        </w:trPr>
        <w:tc>
          <w:tcPr>
            <w:tcW w:w="2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Broker-dealer credit facilities:</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2"/>
        </w:trPr>
        <w:tc>
          <w:tcPr>
            <w:tcW w:w="200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1.66%</w:t>
            </w: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125,000</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25,000</w:t>
            </w:r>
          </w:p>
        </w:tc>
        <w:tc>
          <w:tcPr>
            <w:tcW w:w="60" w:type="dxa"/>
            <w:vAlign w:val="bottom"/>
          </w:tcPr>
          <w:p>
            <w:pPr>
              <w:spacing w:after="0"/>
              <w:rPr>
                <w:sz w:val="18"/>
                <w:szCs w:val="18"/>
                <w:color w:val="auto"/>
              </w:rPr>
            </w:pPr>
          </w:p>
        </w:tc>
      </w:tr>
      <w:tr>
        <w:trPr>
          <w:trHeight w:val="225"/>
        </w:trPr>
        <w:tc>
          <w:tcPr>
            <w:tcW w:w="20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Committed facility (1)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n/a</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r>
      <w:tr>
        <w:trPr>
          <w:trHeight w:val="192"/>
        </w:trPr>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25,000</w:t>
            </w:r>
          </w:p>
        </w:tc>
        <w:tc>
          <w:tcPr>
            <w:tcW w:w="60" w:type="dxa"/>
            <w:vAlign w:val="bottom"/>
          </w:tcPr>
          <w:p>
            <w:pPr>
              <w:spacing w:after="0"/>
              <w:rPr>
                <w:sz w:val="16"/>
                <w:szCs w:val="16"/>
                <w:color w:val="auto"/>
              </w:rPr>
            </w:pPr>
          </w:p>
        </w:tc>
      </w:tr>
      <w:tr>
        <w:trPr>
          <w:trHeight w:val="26"/>
        </w:trPr>
        <w:tc>
          <w:tcPr>
            <w:tcW w:w="194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99" w:lineRule="exact"/>
        <w:rPr>
          <w:sz w:val="20"/>
          <w:szCs w:val="20"/>
          <w:color w:val="auto"/>
        </w:rPr>
      </w:pPr>
    </w:p>
    <w:p>
      <w:pPr>
        <w:ind w:right="79" w:firstLine="635"/>
        <w:spacing w:after="0" w:line="264" w:lineRule="auto"/>
        <w:rPr>
          <w:sz w:val="20"/>
          <w:szCs w:val="20"/>
          <w:color w:val="auto"/>
        </w:rPr>
      </w:pPr>
      <w:r>
        <w:rPr>
          <w:rFonts w:ascii="Arial" w:cs="Arial" w:eastAsia="Arial" w:hAnsi="Arial"/>
          <w:sz w:val="18"/>
          <w:szCs w:val="18"/>
          <w:color w:val="auto"/>
        </w:rPr>
        <w:t>The following summarizes interest expense for the broker-dealer facilities. Interest expense is included within interest and dividends expense in the accompanying consolidated statements of comprehensive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9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9"/>
              <w:spacing w:after="0" w:line="13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9"/>
              <w:spacing w:after="0" w:line="139"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29"/>
              <w:spacing w:after="0" w:line="139" w:lineRule="exact"/>
              <w:rPr>
                <w:sz w:val="20"/>
                <w:szCs w:val="20"/>
                <w:color w:val="auto"/>
              </w:rPr>
            </w:pPr>
            <w:r>
              <w:rPr>
                <w:rFonts w:ascii="Arial" w:cs="Arial" w:eastAsia="Arial" w:hAnsi="Arial"/>
                <w:sz w:val="14"/>
                <w:szCs w:val="14"/>
                <w:b w:val="1"/>
                <w:bCs w:val="1"/>
                <w:color w:val="auto"/>
                <w:w w:val="83"/>
              </w:rPr>
              <w:t>2015</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w w:val="98"/>
              </w:rPr>
              <w:t>Broker-dealer credit facilities: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60" w:type="dxa"/>
            <w:vAlign w:val="bottom"/>
          </w:tcPr>
          <w:p>
            <w:pPr>
              <w:ind w:left="100"/>
              <w:spacing w:after="0" w:line="145" w:lineRule="exact"/>
              <w:rPr>
                <w:sz w:val="20"/>
                <w:szCs w:val="20"/>
                <w:color w:val="auto"/>
              </w:rPr>
            </w:pPr>
            <w:r>
              <w:rPr>
                <w:rFonts w:ascii="Arial" w:cs="Arial" w:eastAsia="Arial" w:hAnsi="Arial"/>
                <w:sz w:val="14"/>
                <w:szCs w:val="14"/>
                <w:color w:val="auto"/>
              </w:rPr>
              <w:t>Uncommitted facility</w:t>
            </w:r>
          </w:p>
        </w:tc>
        <w:tc>
          <w:tcPr>
            <w:tcW w:w="30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1,667</w:t>
            </w:r>
          </w:p>
        </w:tc>
        <w:tc>
          <w:tcPr>
            <w:tcW w:w="340" w:type="dxa"/>
            <w:vAlign w:val="bottom"/>
            <w:gridSpan w:val="2"/>
          </w:tcPr>
          <w:p>
            <w:pPr>
              <w:jc w:val="right"/>
              <w:ind w:right="129"/>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1,191</w:t>
            </w:r>
          </w:p>
        </w:tc>
        <w:tc>
          <w:tcPr>
            <w:tcW w:w="520" w:type="dxa"/>
            <w:vAlign w:val="bottom"/>
            <w:gridSpan w:val="2"/>
          </w:tcPr>
          <w:p>
            <w:pPr>
              <w:jc w:val="right"/>
              <w:ind w:right="309"/>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903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Committed facility (1)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960" w:type="dxa"/>
            <w:vAlign w:val="bottom"/>
          </w:tcPr>
          <w:p>
            <w:pPr>
              <w:ind w:left="100"/>
              <w:spacing w:after="0" w:line="145" w:lineRule="exact"/>
              <w:rPr>
                <w:sz w:val="20"/>
                <w:szCs w:val="20"/>
                <w:color w:val="auto"/>
              </w:rPr>
            </w:pPr>
            <w:r>
              <w:rPr>
                <w:rFonts w:ascii="Arial" w:cs="Arial" w:eastAsia="Arial" w:hAnsi="Arial"/>
                <w:sz w:val="14"/>
                <w:szCs w:val="14"/>
                <w:color w:val="auto"/>
              </w:rPr>
              <w:t>Revolving credit facility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9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1,719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9"/>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1,232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09"/>
              <w:spacing w:after="0" w:line="13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918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9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(1)  Facility was terminated in July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Credit Facilities</w:t>
      </w:r>
    </w:p>
    <w:p>
      <w:pPr>
        <w:spacing w:after="0" w:line="222" w:lineRule="exact"/>
        <w:rPr>
          <w:sz w:val="20"/>
          <w:szCs w:val="20"/>
          <w:color w:val="auto"/>
        </w:rPr>
      </w:pPr>
    </w:p>
    <w:p>
      <w:pPr>
        <w:ind w:right="259" w:firstLine="635"/>
        <w:spacing w:after="0" w:line="271" w:lineRule="auto"/>
        <w:rPr>
          <w:sz w:val="20"/>
          <w:szCs w:val="20"/>
          <w:color w:val="auto"/>
        </w:rPr>
      </w:pPr>
      <w:r>
        <w:rPr>
          <w:rFonts w:ascii="Arial" w:cs="Arial" w:eastAsia="Arial" w:hAnsi="Arial"/>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At December 31, 2017</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0"/>
        </w:trPr>
        <w:tc>
          <w:tcPr>
            <w:tcW w:w="2640" w:type="dxa"/>
            <w:vAlign w:val="bottom"/>
          </w:tcPr>
          <w:p>
            <w:pPr>
              <w:spacing w:after="0"/>
              <w:rPr>
                <w:sz w:val="19"/>
                <w:szCs w:val="19"/>
                <w:color w:val="auto"/>
              </w:rPr>
            </w:pPr>
          </w:p>
        </w:tc>
        <w:tc>
          <w:tcPr>
            <w:tcW w:w="1420" w:type="dxa"/>
            <w:vAlign w:val="bottom"/>
          </w:tcPr>
          <w:p>
            <w:pPr>
              <w:jc w:val="center"/>
              <w:ind w:left="29"/>
              <w:spacing w:after="0"/>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09"/>
              <w:spacing w:after="0"/>
              <w:rPr>
                <w:sz w:val="20"/>
                <w:szCs w:val="20"/>
                <w:color w:val="auto"/>
              </w:rPr>
            </w:pPr>
            <w:r>
              <w:rPr>
                <w:rFonts w:ascii="Arial" w:cs="Arial" w:eastAsia="Arial" w:hAnsi="Arial"/>
                <w:sz w:val="14"/>
                <w:szCs w:val="14"/>
                <w:b w:val="1"/>
                <w:bCs w:val="1"/>
                <w:color w:val="auto"/>
              </w:rPr>
              <w:t>Financing</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Borrowing</w:t>
            </w:r>
          </w:p>
        </w:tc>
      </w:tr>
      <w:tr>
        <w:trPr>
          <w:trHeight w:val="196"/>
        </w:trPr>
        <w:tc>
          <w:tcPr>
            <w:tcW w:w="2640" w:type="dxa"/>
            <w:vAlign w:val="bottom"/>
          </w:tcPr>
          <w:p>
            <w:pPr>
              <w:spacing w:after="0"/>
              <w:rPr>
                <w:sz w:val="17"/>
                <w:szCs w:val="17"/>
                <w:color w:val="auto"/>
              </w:rPr>
            </w:pPr>
          </w:p>
        </w:tc>
        <w:tc>
          <w:tcPr>
            <w:tcW w:w="1420" w:type="dxa"/>
            <w:vAlign w:val="bottom"/>
          </w:tcPr>
          <w:p>
            <w:pPr>
              <w:jc w:val="center"/>
              <w:ind w:left="29"/>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229"/>
              <w:spacing w:after="0"/>
              <w:rPr>
                <w:sz w:val="20"/>
                <w:szCs w:val="20"/>
                <w:color w:val="auto"/>
              </w:rPr>
            </w:pPr>
            <w:r>
              <w:rPr>
                <w:rFonts w:ascii="Arial" w:cs="Arial" w:eastAsia="Arial" w:hAnsi="Arial"/>
                <w:sz w:val="14"/>
                <w:szCs w:val="14"/>
                <w:b w:val="1"/>
                <w:bCs w:val="1"/>
                <w:color w:val="auto"/>
              </w:rPr>
              <w:t>Available</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r>
      <w:tr>
        <w:trPr>
          <w:trHeight w:val="139"/>
        </w:trPr>
        <w:tc>
          <w:tcPr>
            <w:tcW w:w="264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Short-Term Credit Facilities:</w:t>
            </w:r>
          </w:p>
        </w:tc>
        <w:tc>
          <w:tcPr>
            <w:tcW w:w="1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46"/>
        </w:trPr>
        <w:tc>
          <w:tcPr>
            <w:tcW w:w="2640" w:type="dxa"/>
            <w:vAlign w:val="bottom"/>
          </w:tcPr>
          <w:p>
            <w:pPr>
              <w:ind w:left="100"/>
              <w:spacing w:after="0" w:line="145" w:lineRule="exact"/>
              <w:rPr>
                <w:sz w:val="20"/>
                <w:szCs w:val="20"/>
                <w:color w:val="auto"/>
              </w:rPr>
            </w:pPr>
            <w:r>
              <w:rPr>
                <w:rFonts w:ascii="Arial" w:cs="Arial" w:eastAsia="Arial" w:hAnsi="Arial"/>
                <w:sz w:val="14"/>
                <w:szCs w:val="14"/>
                <w:color w:val="auto"/>
              </w:rPr>
              <w:t>Short-term credit facilities (2)</w:t>
            </w:r>
          </w:p>
        </w:tc>
        <w:tc>
          <w:tcPr>
            <w:tcW w:w="1420" w:type="dxa"/>
            <w:vAlign w:val="bottom"/>
          </w:tcPr>
          <w:p>
            <w:pPr>
              <w:jc w:val="center"/>
              <w:ind w:left="29"/>
              <w:spacing w:after="0" w:line="145" w:lineRule="exact"/>
              <w:rPr>
                <w:sz w:val="20"/>
                <w:szCs w:val="20"/>
                <w:color w:val="auto"/>
              </w:rPr>
            </w:pPr>
            <w:r>
              <w:rPr>
                <w:rFonts w:ascii="Arial" w:cs="Arial" w:eastAsia="Arial" w:hAnsi="Arial"/>
                <w:sz w:val="14"/>
                <w:szCs w:val="14"/>
                <w:color w:val="auto"/>
                <w:w w:val="90"/>
              </w:rPr>
              <w:t>3.86%</w:t>
            </w:r>
          </w:p>
        </w:tc>
        <w:tc>
          <w:tcPr>
            <w:tcW w:w="380" w:type="dxa"/>
            <w:vAlign w:val="bottom"/>
            <w:gridSpan w:val="2"/>
          </w:tcPr>
          <w:p>
            <w:pPr>
              <w:jc w:val="right"/>
              <w:ind w:right="149"/>
              <w:spacing w:after="0" w:line="145" w:lineRule="exact"/>
              <w:rPr>
                <w:sz w:val="20"/>
                <w:szCs w:val="20"/>
                <w:color w:val="auto"/>
              </w:rPr>
            </w:pPr>
            <w:r>
              <w:rPr>
                <w:rFonts w:ascii="Arial" w:cs="Arial" w:eastAsia="Arial" w:hAnsi="Arial"/>
                <w:sz w:val="14"/>
                <w:szCs w:val="14"/>
                <w:color w:val="auto"/>
              </w:rPr>
              <w:t>$</w:t>
            </w:r>
          </w:p>
        </w:tc>
        <w:tc>
          <w:tcPr>
            <w:tcW w:w="1100" w:type="dxa"/>
            <w:vAlign w:val="bottom"/>
          </w:tcPr>
          <w:p>
            <w:pPr>
              <w:jc w:val="right"/>
              <w:spacing w:after="0" w:line="145" w:lineRule="exact"/>
              <w:rPr>
                <w:sz w:val="20"/>
                <w:szCs w:val="20"/>
                <w:color w:val="auto"/>
              </w:rPr>
            </w:pPr>
            <w:r>
              <w:rPr>
                <w:rFonts w:ascii="Arial" w:cs="Arial" w:eastAsia="Arial" w:hAnsi="Arial"/>
                <w:sz w:val="14"/>
                <w:szCs w:val="14"/>
                <w:color w:val="auto"/>
              </w:rPr>
              <w:t>543,000</w:t>
            </w:r>
          </w:p>
        </w:tc>
        <w:tc>
          <w:tcPr>
            <w:tcW w:w="34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45" w:lineRule="exact"/>
              <w:rPr>
                <w:sz w:val="20"/>
                <w:szCs w:val="20"/>
                <w:color w:val="auto"/>
              </w:rPr>
            </w:pPr>
            <w:r>
              <w:rPr>
                <w:rFonts w:ascii="Arial" w:cs="Arial" w:eastAsia="Arial" w:hAnsi="Arial"/>
                <w:sz w:val="14"/>
                <w:szCs w:val="14"/>
                <w:color w:val="auto"/>
              </w:rPr>
              <w:t>205,677</w:t>
            </w:r>
          </w:p>
        </w:tc>
        <w:tc>
          <w:tcPr>
            <w:tcW w:w="160" w:type="dxa"/>
            <w:vAlign w:val="bottom"/>
          </w:tcPr>
          <w:p>
            <w:pPr>
              <w:spacing w:after="0"/>
              <w:rPr>
                <w:sz w:val="12"/>
                <w:szCs w:val="12"/>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2"/>
        </w:trPr>
        <w:tc>
          <w:tcPr>
            <w:tcW w:w="26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205,677</w:t>
            </w:r>
          </w:p>
        </w:tc>
        <w:tc>
          <w:tcPr>
            <w:tcW w:w="160" w:type="dxa"/>
            <w:vAlign w:val="bottom"/>
            <w:shd w:val="clear" w:color="auto" w:fill="CCEEFF"/>
          </w:tcPr>
          <w:p>
            <w:pPr>
              <w:spacing w:after="0"/>
              <w:rPr>
                <w:sz w:val="16"/>
                <w:szCs w:val="16"/>
                <w:color w:val="auto"/>
              </w:rPr>
            </w:pPr>
          </w:p>
        </w:tc>
      </w:tr>
      <w:tr>
        <w:trPr>
          <w:trHeight w:val="26"/>
        </w:trPr>
        <w:tc>
          <w:tcPr>
            <w:tcW w:w="26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At December 31, 2016</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0"/>
        </w:trPr>
        <w:tc>
          <w:tcPr>
            <w:tcW w:w="2640" w:type="dxa"/>
            <w:vAlign w:val="bottom"/>
          </w:tcPr>
          <w:p>
            <w:pPr>
              <w:spacing w:after="0"/>
              <w:rPr>
                <w:sz w:val="19"/>
                <w:szCs w:val="19"/>
                <w:color w:val="auto"/>
              </w:rPr>
            </w:pPr>
          </w:p>
        </w:tc>
        <w:tc>
          <w:tcPr>
            <w:tcW w:w="1420" w:type="dxa"/>
            <w:vAlign w:val="bottom"/>
          </w:tcPr>
          <w:p>
            <w:pPr>
              <w:jc w:val="center"/>
              <w:ind w:left="29"/>
              <w:spacing w:after="0"/>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09"/>
              <w:spacing w:after="0"/>
              <w:rPr>
                <w:sz w:val="20"/>
                <w:szCs w:val="20"/>
                <w:color w:val="auto"/>
              </w:rPr>
            </w:pPr>
            <w:r>
              <w:rPr>
                <w:rFonts w:ascii="Arial" w:cs="Arial" w:eastAsia="Arial" w:hAnsi="Arial"/>
                <w:sz w:val="14"/>
                <w:szCs w:val="14"/>
                <w:b w:val="1"/>
                <w:bCs w:val="1"/>
                <w:color w:val="auto"/>
              </w:rPr>
              <w:t>Financing</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Borrowing</w:t>
            </w:r>
          </w:p>
        </w:tc>
      </w:tr>
      <w:tr>
        <w:trPr>
          <w:trHeight w:val="209"/>
        </w:trPr>
        <w:tc>
          <w:tcPr>
            <w:tcW w:w="2640" w:type="dxa"/>
            <w:vAlign w:val="bottom"/>
          </w:tcPr>
          <w:p>
            <w:pPr>
              <w:spacing w:after="0"/>
              <w:rPr>
                <w:sz w:val="18"/>
                <w:szCs w:val="18"/>
                <w:color w:val="auto"/>
              </w:rPr>
            </w:pPr>
          </w:p>
        </w:tc>
        <w:tc>
          <w:tcPr>
            <w:tcW w:w="1420" w:type="dxa"/>
            <w:vAlign w:val="bottom"/>
          </w:tcPr>
          <w:p>
            <w:pPr>
              <w:jc w:val="center"/>
              <w:ind w:left="29"/>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229"/>
              <w:spacing w:after="0"/>
              <w:rPr>
                <w:sz w:val="20"/>
                <w:szCs w:val="20"/>
                <w:color w:val="auto"/>
              </w:rPr>
            </w:pPr>
            <w:r>
              <w:rPr>
                <w:rFonts w:ascii="Arial" w:cs="Arial" w:eastAsia="Arial" w:hAnsi="Arial"/>
                <w:sz w:val="14"/>
                <w:szCs w:val="14"/>
                <w:b w:val="1"/>
                <w:bCs w:val="1"/>
                <w:color w:val="auto"/>
              </w:rPr>
              <w:t>Available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r>
      <w:tr>
        <w:trPr>
          <w:trHeight w:val="218"/>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Short-Term Credit Facilities:</w:t>
            </w: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25"/>
        </w:trPr>
        <w:tc>
          <w:tcPr>
            <w:tcW w:w="2640" w:type="dxa"/>
            <w:vAlign w:val="bottom"/>
          </w:tcPr>
          <w:p>
            <w:pPr>
              <w:ind w:left="100"/>
              <w:spacing w:after="0"/>
              <w:rPr>
                <w:sz w:val="20"/>
                <w:szCs w:val="20"/>
                <w:color w:val="auto"/>
              </w:rPr>
            </w:pPr>
            <w:r>
              <w:rPr>
                <w:rFonts w:ascii="Arial" w:cs="Arial" w:eastAsia="Arial" w:hAnsi="Arial"/>
                <w:sz w:val="14"/>
                <w:szCs w:val="14"/>
                <w:color w:val="auto"/>
              </w:rPr>
              <w:t>Short-term credit facilities (2)</w:t>
            </w:r>
          </w:p>
        </w:tc>
        <w:tc>
          <w:tcPr>
            <w:tcW w:w="1420" w:type="dxa"/>
            <w:vAlign w:val="bottom"/>
          </w:tcPr>
          <w:p>
            <w:pPr>
              <w:jc w:val="center"/>
              <w:ind w:left="29"/>
              <w:spacing w:after="0"/>
              <w:rPr>
                <w:sz w:val="20"/>
                <w:szCs w:val="20"/>
                <w:color w:val="auto"/>
              </w:rPr>
            </w:pPr>
            <w:r>
              <w:rPr>
                <w:rFonts w:ascii="Arial" w:cs="Arial" w:eastAsia="Arial" w:hAnsi="Arial"/>
                <w:sz w:val="14"/>
                <w:szCs w:val="14"/>
                <w:color w:val="auto"/>
                <w:w w:val="90"/>
              </w:rPr>
              <w:t>3.12%</w:t>
            </w:r>
          </w:p>
        </w:tc>
        <w:tc>
          <w:tcPr>
            <w:tcW w:w="3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493,000</w:t>
            </w: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309,086</w:t>
            </w:r>
          </w:p>
        </w:tc>
        <w:tc>
          <w:tcPr>
            <w:tcW w:w="160" w:type="dxa"/>
            <w:vAlign w:val="bottom"/>
          </w:tcPr>
          <w:p>
            <w:pPr>
              <w:spacing w:after="0"/>
              <w:rPr>
                <w:sz w:val="19"/>
                <w:szCs w:val="19"/>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2"/>
        </w:trPr>
        <w:tc>
          <w:tcPr>
            <w:tcW w:w="26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309,086</w:t>
            </w:r>
          </w:p>
        </w:tc>
        <w:tc>
          <w:tcPr>
            <w:tcW w:w="160" w:type="dxa"/>
            <w:vAlign w:val="bottom"/>
            <w:shd w:val="clear" w:color="auto" w:fill="CCEEFF"/>
          </w:tcPr>
          <w:p>
            <w:pPr>
              <w:spacing w:after="0"/>
              <w:rPr>
                <w:sz w:val="16"/>
                <w:szCs w:val="16"/>
                <w:color w:val="auto"/>
              </w:rPr>
            </w:pPr>
          </w:p>
        </w:tc>
      </w:tr>
      <w:tr>
        <w:trPr>
          <w:trHeight w:val="26"/>
        </w:trPr>
        <w:tc>
          <w:tcPr>
            <w:tcW w:w="26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14363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0" w:right="820" w:hanging="319"/>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Outstanding borrowings were included with receivable from broker-dealers and clearing organization within the consolidated statements of financial condition.</w:t>
      </w:r>
    </w:p>
    <w:p>
      <w:pPr>
        <w:spacing w:after="0" w:line="180" w:lineRule="exact"/>
        <w:rPr>
          <w:sz w:val="20"/>
          <w:szCs w:val="20"/>
          <w:color w:val="auto"/>
        </w:rPr>
      </w:pPr>
    </w:p>
    <w:p>
      <w:pPr>
        <w:ind w:right="100" w:firstLine="635"/>
        <w:spacing w:after="0" w:line="264" w:lineRule="auto"/>
        <w:rPr>
          <w:sz w:val="20"/>
          <w:szCs w:val="20"/>
          <w:color w:val="auto"/>
        </w:rPr>
      </w:pPr>
      <w:r>
        <w:rPr>
          <w:rFonts w:ascii="Arial" w:cs="Arial" w:eastAsia="Arial" w:hAnsi="Arial"/>
          <w:sz w:val="18"/>
          <w:szCs w:val="18"/>
          <w:color w:val="auto"/>
        </w:rPr>
        <w:t>Interest expense in relation to the facilities for the years ended December 31, 2017, 2016 and 2015 was approximately $6.6 million, $6.3 million, and $5.5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Borrowings</w:t>
      </w:r>
    </w:p>
    <w:p>
      <w:pPr>
        <w:spacing w:after="0" w:line="222" w:lineRule="exact"/>
        <w:rPr>
          <w:sz w:val="20"/>
          <w:szCs w:val="20"/>
          <w:color w:val="auto"/>
        </w:rPr>
      </w:pPr>
    </w:p>
    <w:p>
      <w:pPr>
        <w:ind w:right="60" w:firstLine="635"/>
        <w:spacing w:after="0" w:line="264" w:lineRule="auto"/>
        <w:rPr>
          <w:sz w:val="20"/>
          <w:szCs w:val="20"/>
          <w:color w:val="auto"/>
        </w:rPr>
      </w:pPr>
      <w:r>
        <w:rPr>
          <w:rFonts w:ascii="Arial" w:cs="Arial" w:eastAsia="Arial" w:hAnsi="Arial"/>
          <w:sz w:val="18"/>
          <w:szCs w:val="18"/>
          <w:color w:val="auto"/>
        </w:rPr>
        <w:t>The following summarizes the Company’s long-term borrowings, net of unamortized discount and debt issuance costs, where applicable: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9"/>
              </w:rPr>
              <w:t>Maturity</w:t>
            </w: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w w:val="95"/>
              </w:rPr>
              <w:t>At December,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2"/>
            <w:vMerge w:val="continue"/>
          </w:tcPr>
          <w:p>
            <w:pPr>
              <w:spacing w:after="0"/>
              <w:rPr>
                <w:sz w:val="10"/>
                <w:szCs w:val="10"/>
                <w:color w:val="auto"/>
              </w:rPr>
            </w:pPr>
          </w:p>
        </w:tc>
        <w:tc>
          <w:tcPr>
            <w:tcW w:w="6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7"/>
              </w:rPr>
              <w:t>Interest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Outstanding</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Discount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Deferred Debt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9"/>
              </w:rPr>
              <w:t>Outstanding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000" w:type="dxa"/>
            <w:vAlign w:val="bottom"/>
            <w:gridSpan w:val="2"/>
            <w:vMerge w:val="continue"/>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0"/>
              </w:rPr>
              <w:t>Issuance 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Borrowings, net</w:t>
            </w:r>
          </w:p>
        </w:tc>
        <w:tc>
          <w:tcPr>
            <w:tcW w:w="0" w:type="dxa"/>
            <w:vAlign w:val="bottom"/>
          </w:tcPr>
          <w:p>
            <w:pPr>
              <w:spacing w:after="0"/>
              <w:rPr>
                <w:sz w:val="1"/>
                <w:szCs w:val="1"/>
                <w:color w:val="auto"/>
              </w:rPr>
            </w:pPr>
          </w:p>
        </w:tc>
      </w:tr>
      <w:tr>
        <w:trPr>
          <w:trHeight w:val="139"/>
        </w:trPr>
        <w:tc>
          <w:tcPr>
            <w:tcW w:w="296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Long-term borrowings:</w:t>
            </w: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0" w:type="dxa"/>
            <w:vAlign w:val="bottom"/>
            <w:gridSpan w:val="2"/>
          </w:tcPr>
          <w:p>
            <w:pPr>
              <w:ind w:left="100"/>
              <w:spacing w:after="0" w:line="145" w:lineRule="exact"/>
              <w:rPr>
                <w:sz w:val="20"/>
                <w:szCs w:val="20"/>
                <w:color w:val="auto"/>
              </w:rPr>
            </w:pPr>
            <w:r>
              <w:rPr>
                <w:rFonts w:ascii="Arial" w:cs="Arial" w:eastAsia="Arial" w:hAnsi="Arial"/>
                <w:sz w:val="14"/>
                <w:szCs w:val="14"/>
                <w:color w:val="auto"/>
                <w:w w:val="96"/>
              </w:rPr>
              <w:t>Fourth Amended and Restate Credit Agreement</w:t>
            </w:r>
          </w:p>
        </w:tc>
        <w:tc>
          <w:tcPr>
            <w:tcW w:w="980" w:type="dxa"/>
            <w:vAlign w:val="bottom"/>
            <w:gridSpan w:val="2"/>
          </w:tcPr>
          <w:p>
            <w:pPr>
              <w:jc w:val="center"/>
              <w:ind w:right="40"/>
              <w:spacing w:after="0" w:line="145" w:lineRule="exact"/>
              <w:rPr>
                <w:sz w:val="20"/>
                <w:szCs w:val="20"/>
                <w:color w:val="auto"/>
              </w:rPr>
            </w:pPr>
            <w:r>
              <w:rPr>
                <w:rFonts w:ascii="Arial" w:cs="Arial" w:eastAsia="Arial" w:hAnsi="Arial"/>
                <w:sz w:val="14"/>
                <w:szCs w:val="14"/>
                <w:color w:val="auto"/>
                <w:w w:val="90"/>
              </w:rPr>
              <w:t>December 2021</w:t>
            </w:r>
          </w:p>
        </w:tc>
        <w:tc>
          <w:tcPr>
            <w:tcW w:w="620" w:type="dxa"/>
            <w:vAlign w:val="bottom"/>
          </w:tcPr>
          <w:p>
            <w:pPr>
              <w:jc w:val="center"/>
              <w:spacing w:after="0" w:line="145" w:lineRule="exact"/>
              <w:rPr>
                <w:sz w:val="20"/>
                <w:szCs w:val="20"/>
                <w:color w:val="auto"/>
              </w:rPr>
            </w:pPr>
            <w:r>
              <w:rPr>
                <w:rFonts w:ascii="Arial" w:cs="Arial" w:eastAsia="Arial" w:hAnsi="Arial"/>
                <w:sz w:val="14"/>
                <w:szCs w:val="14"/>
                <w:color w:val="auto"/>
                <w:w w:val="90"/>
              </w:rPr>
              <w:t>5.13%</w:t>
            </w:r>
          </w:p>
        </w:tc>
        <w:tc>
          <w:tcPr>
            <w:tcW w:w="16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900,000</w:t>
            </w:r>
          </w:p>
        </w:tc>
        <w:tc>
          <w:tcPr>
            <w:tcW w:w="200" w:type="dxa"/>
            <w:vAlign w:val="bottom"/>
            <w:gridSpan w:val="2"/>
          </w:tcPr>
          <w:p>
            <w:pPr>
              <w:jc w:val="right"/>
              <w:ind w:right="50"/>
              <w:spacing w:after="0" w:line="14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5" w:lineRule="exact"/>
              <w:rPr>
                <w:sz w:val="20"/>
                <w:szCs w:val="20"/>
                <w:color w:val="auto"/>
              </w:rPr>
            </w:pPr>
            <w:r>
              <w:rPr>
                <w:rFonts w:ascii="Arial" w:cs="Arial" w:eastAsia="Arial" w:hAnsi="Arial"/>
                <w:sz w:val="14"/>
                <w:szCs w:val="14"/>
                <w:color w:val="auto"/>
              </w:rPr>
              <w:t>(999)</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(18,504)</w:t>
            </w:r>
          </w:p>
        </w:tc>
        <w:tc>
          <w:tcPr>
            <w:tcW w:w="16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880,497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Senior secured Second Lien Notes</w:t>
            </w:r>
          </w:p>
        </w:tc>
        <w:tc>
          <w:tcPr>
            <w:tcW w:w="980" w:type="dxa"/>
            <w:vAlign w:val="bottom"/>
            <w:gridSpan w:val="2"/>
            <w:shd w:val="clear" w:color="auto" w:fill="CCEEFF"/>
          </w:tcPr>
          <w:p>
            <w:pPr>
              <w:jc w:val="center"/>
              <w:ind w:right="40"/>
              <w:spacing w:after="0" w:line="145" w:lineRule="exact"/>
              <w:rPr>
                <w:sz w:val="20"/>
                <w:szCs w:val="20"/>
                <w:color w:val="auto"/>
              </w:rPr>
            </w:pPr>
            <w:r>
              <w:rPr>
                <w:rFonts w:ascii="Arial" w:cs="Arial" w:eastAsia="Arial" w:hAnsi="Arial"/>
                <w:sz w:val="14"/>
                <w:szCs w:val="14"/>
                <w:color w:val="auto"/>
                <w:w w:val="88"/>
              </w:rPr>
              <w:t>June 2022</w:t>
            </w:r>
          </w:p>
        </w:tc>
        <w:tc>
          <w:tcPr>
            <w:tcW w:w="62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0"/>
              </w:rPr>
              <w:t>6.75%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500,000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(22,961)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477,039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0" w:type="dxa"/>
            <w:vAlign w:val="bottom"/>
            <w:tcBorders>
              <w:bottom w:val="single" w:sz="8" w:color="CCEEFF"/>
            </w:tcBorders>
            <w:gridSpan w:val="2"/>
          </w:tcPr>
          <w:p>
            <w:pPr>
              <w:ind w:left="100"/>
              <w:spacing w:after="0" w:line="145" w:lineRule="exact"/>
              <w:rPr>
                <w:sz w:val="20"/>
                <w:szCs w:val="20"/>
                <w:color w:val="auto"/>
              </w:rPr>
            </w:pPr>
            <w:r>
              <w:rPr>
                <w:rFonts w:ascii="Arial" w:cs="Arial" w:eastAsia="Arial" w:hAnsi="Arial"/>
                <w:sz w:val="14"/>
                <w:szCs w:val="14"/>
                <w:color w:val="auto"/>
              </w:rPr>
              <w:t>SBI bonds</w:t>
            </w:r>
          </w:p>
        </w:tc>
        <w:tc>
          <w:tcPr>
            <w:tcW w:w="980" w:type="dxa"/>
            <w:vAlign w:val="bottom"/>
            <w:tcBorders>
              <w:bottom w:val="single" w:sz="8" w:color="CCEEFF"/>
            </w:tcBorders>
            <w:gridSpan w:val="2"/>
          </w:tcPr>
          <w:p>
            <w:pPr>
              <w:jc w:val="center"/>
              <w:ind w:right="20"/>
              <w:spacing w:after="0" w:line="145" w:lineRule="exact"/>
              <w:rPr>
                <w:sz w:val="20"/>
                <w:szCs w:val="20"/>
                <w:color w:val="auto"/>
              </w:rPr>
            </w:pPr>
            <w:r>
              <w:rPr>
                <w:rFonts w:ascii="Arial" w:cs="Arial" w:eastAsia="Arial" w:hAnsi="Arial"/>
                <w:sz w:val="14"/>
                <w:szCs w:val="14"/>
                <w:color w:val="auto"/>
                <w:w w:val="89"/>
              </w:rPr>
              <w:t>January 2020</w:t>
            </w:r>
          </w:p>
        </w:tc>
        <w:tc>
          <w:tcPr>
            <w:tcW w:w="620" w:type="dxa"/>
            <w:vAlign w:val="bottom"/>
            <w:tcBorders>
              <w:bottom w:val="single" w:sz="8" w:color="CCEEFF"/>
            </w:tcBorders>
          </w:tcPr>
          <w:p>
            <w:pPr>
              <w:jc w:val="center"/>
              <w:spacing w:after="0" w:line="145" w:lineRule="exact"/>
              <w:rPr>
                <w:sz w:val="20"/>
                <w:szCs w:val="20"/>
                <w:color w:val="auto"/>
              </w:rPr>
            </w:pPr>
            <w:r>
              <w:rPr>
                <w:rFonts w:ascii="Arial" w:cs="Arial" w:eastAsia="Arial" w:hAnsi="Arial"/>
                <w:sz w:val="14"/>
                <w:szCs w:val="14"/>
                <w:color w:val="auto"/>
                <w:w w:val="90"/>
              </w:rPr>
              <w:t>5.00%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31,059</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(47)</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31,012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9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1,431,059</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(999)</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(41,512)</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1,388,548</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829"/>
              <w:spacing w:after="0"/>
              <w:rPr>
                <w:sz w:val="20"/>
                <w:szCs w:val="20"/>
                <w:color w:val="auto"/>
              </w:rPr>
            </w:pPr>
            <w:r>
              <w:rPr>
                <w:rFonts w:ascii="Arial" w:cs="Arial" w:eastAsia="Arial" w:hAnsi="Arial"/>
                <w:sz w:val="14"/>
                <w:szCs w:val="14"/>
                <w:b w:val="1"/>
                <w:bCs w:val="1"/>
                <w:color w:val="auto"/>
                <w:w w:val="93"/>
              </w:rPr>
              <w:t>At December 31, 2016</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0"/>
        </w:trPr>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9"/>
                <w:szCs w:val="19"/>
                <w:color w:val="auto"/>
              </w:rPr>
            </w:pPr>
          </w:p>
        </w:tc>
        <w:tc>
          <w:tcPr>
            <w:tcW w:w="1040" w:type="dxa"/>
            <w:vAlign w:val="bottom"/>
          </w:tcPr>
          <w:p>
            <w:pPr>
              <w:jc w:val="right"/>
              <w:ind w:right="109"/>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b w:val="1"/>
                <w:bCs w:val="1"/>
                <w:color w:val="auto"/>
                <w:w w:val="99"/>
              </w:rPr>
              <w:t>Deferred Debt</w:t>
            </w:r>
          </w:p>
        </w:tc>
        <w:tc>
          <w:tcPr>
            <w:tcW w:w="160" w:type="dxa"/>
            <w:vAlign w:val="bottom"/>
          </w:tcPr>
          <w:p>
            <w:pPr>
              <w:spacing w:after="0"/>
              <w:rPr>
                <w:sz w:val="19"/>
                <w:szCs w:val="19"/>
                <w:color w:val="auto"/>
              </w:rPr>
            </w:pPr>
          </w:p>
        </w:tc>
        <w:tc>
          <w:tcPr>
            <w:tcW w:w="1140" w:type="dxa"/>
            <w:vAlign w:val="bottom"/>
          </w:tcPr>
          <w:p>
            <w:pPr>
              <w:jc w:val="right"/>
              <w:ind w:right="129"/>
              <w:spacing w:after="0"/>
              <w:rPr>
                <w:sz w:val="20"/>
                <w:szCs w:val="20"/>
                <w:color w:val="auto"/>
              </w:rPr>
            </w:pPr>
            <w:r>
              <w:rPr>
                <w:rFonts w:ascii="Arial" w:cs="Arial" w:eastAsia="Arial" w:hAnsi="Arial"/>
                <w:sz w:val="14"/>
                <w:szCs w:val="14"/>
                <w:b w:val="1"/>
                <w:bCs w:val="1"/>
                <w:color w:val="auto"/>
              </w:rPr>
              <w:t>Outstanding</w:t>
            </w:r>
          </w:p>
        </w:tc>
      </w:tr>
      <w:tr>
        <w:trPr>
          <w:trHeight w:val="209"/>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Discount</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6"/>
              </w:rPr>
              <w:t>Issuance Cost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5"/>
              </w:rPr>
              <w:t>Borrowings, net</w:t>
            </w:r>
          </w:p>
        </w:tc>
      </w:tr>
      <w:tr>
        <w:trPr>
          <w:trHeight w:val="218"/>
        </w:trPr>
        <w:tc>
          <w:tcPr>
            <w:tcW w:w="2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borrowings: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r>
      <w:tr>
        <w:trPr>
          <w:trHeight w:val="225"/>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Senior secured credit facility</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color w:val="auto"/>
                <w:w w:val="88"/>
              </w:rPr>
              <w:t>December 2021</w:t>
            </w:r>
          </w:p>
        </w:tc>
        <w:tc>
          <w:tcPr>
            <w:tcW w:w="760" w:type="dxa"/>
            <w:vAlign w:val="bottom"/>
          </w:tcPr>
          <w:p>
            <w:pPr>
              <w:jc w:val="center"/>
              <w:ind w:right="9"/>
              <w:spacing w:after="0"/>
              <w:rPr>
                <w:sz w:val="20"/>
                <w:szCs w:val="20"/>
                <w:color w:val="auto"/>
              </w:rPr>
            </w:pPr>
            <w:r>
              <w:rPr>
                <w:rFonts w:ascii="Arial" w:cs="Arial" w:eastAsia="Arial" w:hAnsi="Arial"/>
                <w:sz w:val="14"/>
                <w:szCs w:val="14"/>
                <w:color w:val="auto"/>
                <w:w w:val="90"/>
              </w:rPr>
              <w:t>4.25%</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540,000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(3,941)</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535,103</w:t>
            </w:r>
          </w:p>
        </w:tc>
      </w:tr>
      <w:tr>
        <w:trPr>
          <w:trHeight w:val="225"/>
        </w:trPr>
        <w:tc>
          <w:tcPr>
            <w:tcW w:w="22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w:t>
            </w:r>
          </w:p>
        </w:tc>
        <w:tc>
          <w:tcPr>
            <w:tcW w:w="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center"/>
              <w:ind w:right="9"/>
              <w:spacing w:after="0"/>
              <w:rPr>
                <w:sz w:val="20"/>
                <w:szCs w:val="20"/>
                <w:color w:val="auto"/>
              </w:rPr>
            </w:pPr>
            <w:r>
              <w:rPr>
                <w:rFonts w:ascii="Arial" w:cs="Arial" w:eastAsia="Arial" w:hAnsi="Arial"/>
                <w:sz w:val="14"/>
                <w:szCs w:val="14"/>
                <w:color w:val="auto"/>
                <w:w w:val="90"/>
              </w:rPr>
              <w:t>5.50%</w:t>
            </w:r>
          </w:p>
        </w:tc>
        <w:tc>
          <w:tcPr>
            <w:tcW w:w="16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25"/>
        </w:trPr>
        <w:tc>
          <w:tcPr>
            <w:tcW w:w="2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SBI bonds</w:t>
            </w:r>
          </w:p>
        </w:tc>
        <w:tc>
          <w:tcPr>
            <w:tcW w:w="11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89"/>
              </w:rPr>
              <w:t>January 2020</w:t>
            </w:r>
          </w:p>
        </w:tc>
        <w:tc>
          <w:tcPr>
            <w:tcW w:w="760" w:type="dxa"/>
            <w:vAlign w:val="bottom"/>
            <w:tcBorders>
              <w:bottom w:val="single" w:sz="8" w:color="CCEEFF"/>
            </w:tcBorders>
          </w:tcPr>
          <w:p>
            <w:pPr>
              <w:jc w:val="center"/>
              <w:ind w:right="9"/>
              <w:spacing w:after="0"/>
              <w:rPr>
                <w:sz w:val="20"/>
                <w:szCs w:val="20"/>
                <w:color w:val="auto"/>
              </w:rPr>
            </w:pPr>
            <w:r>
              <w:rPr>
                <w:rFonts w:ascii="Arial" w:cs="Arial" w:eastAsia="Arial" w:hAnsi="Arial"/>
                <w:sz w:val="14"/>
                <w:szCs w:val="14"/>
                <w:color w:val="auto"/>
                <w:w w:val="90"/>
              </w:rPr>
              <w:t>5.00%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29,925</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29,854</w:t>
            </w:r>
          </w:p>
        </w:tc>
      </w:tr>
      <w:tr>
        <w:trPr>
          <w:trHeight w:val="192"/>
        </w:trPr>
        <w:tc>
          <w:tcPr>
            <w:tcW w:w="2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569,925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564,957</w:t>
            </w:r>
          </w:p>
        </w:tc>
      </w:tr>
      <w:tr>
        <w:trPr>
          <w:trHeight w:val="26"/>
        </w:trPr>
        <w:tc>
          <w:tcPr>
            <w:tcW w:w="2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143637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36370" cy="1651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320" w:right="300" w:hanging="319"/>
        <w:spacing w:after="0" w:line="25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Fourth Amended Restated Credit Agreement described below, the Company entered into a revolving credit facility with the lenders for an aggregated commitment of $100.0 million. This facility was terminated in July 2017 as a result of refinancing.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Amended and Restated Credit Agreement</w:t>
      </w:r>
    </w:p>
    <w:p>
      <w:pPr>
        <w:spacing w:after="0" w:line="84" w:lineRule="exact"/>
        <w:rPr>
          <w:sz w:val="20"/>
          <w:szCs w:val="20"/>
          <w:color w:val="auto"/>
        </w:rPr>
      </w:pPr>
    </w:p>
    <w:p>
      <w:pPr>
        <w:ind w:right="160" w:firstLine="635"/>
        <w:spacing w:after="0" w:line="317" w:lineRule="auto"/>
        <w:rPr>
          <w:sz w:val="20"/>
          <w:szCs w:val="20"/>
          <w:color w:val="auto"/>
        </w:rPr>
      </w:pPr>
      <w:r>
        <w:rPr>
          <w:rFonts w:ascii="Arial" w:cs="Arial" w:eastAsia="Arial" w:hAnsi="Arial"/>
          <w:sz w:val="15"/>
          <w:szCs w:val="15"/>
          <w:color w:val="auto"/>
        </w:rPr>
        <w:t>On June 30, 2017, Virtu Financial and VFH Parent LLC (“VFH”) entered into a fourth amended and restated credit agreement (the “Fourth Amended and Restated Credit Agreement”) for an aggregate $1.15 billion of first lien secured term loans (the “Term Loan Facility”) with the lenders party thereto and JPMorgan Chase Bank, N.A., as administrative agent, sole lead arranger and bookrunner, which amended and restated in its entirety the existing Credit Agreement.</w:t>
      </w:r>
    </w:p>
    <w:p>
      <w:pPr>
        <w:spacing w:after="0" w:line="28" w:lineRule="exact"/>
        <w:rPr>
          <w:sz w:val="20"/>
          <w:szCs w:val="20"/>
          <w:color w:val="auto"/>
        </w:rPr>
      </w:pPr>
    </w:p>
    <w:p>
      <w:pPr>
        <w:ind w:right="160" w:firstLine="635"/>
        <w:spacing w:after="0" w:line="268" w:lineRule="auto"/>
        <w:rPr>
          <w:sz w:val="20"/>
          <w:szCs w:val="20"/>
          <w:color w:val="auto"/>
        </w:rPr>
      </w:pPr>
      <w:r>
        <w:rPr>
          <w:rFonts w:ascii="Arial" w:cs="Arial" w:eastAsia="Arial" w:hAnsi="Arial"/>
          <w:sz w:val="17"/>
          <w:szCs w:val="17"/>
          <w:color w:val="auto"/>
        </w:rPr>
        <w:t>For the year ended December 31, 2017, $250.0 million of prepayments were made under the Fourth Amended and Restated Credit Agreement. In connection with the debt refinancing and the debt prepayment, the Company accelerated approximately $10.5 million unamortized financing costs incurred that were scheduled to be amortized over the term of the loan, including original issue discount and underwriting and legal fees, which is included within debt issue cost related to debt refinancing in the consolidated statements of comprehensive income.</w:t>
      </w:r>
    </w:p>
    <w:p>
      <w:pPr>
        <w:spacing w:after="0" w:line="60" w:lineRule="exact"/>
        <w:rPr>
          <w:sz w:val="20"/>
          <w:szCs w:val="20"/>
          <w:color w:val="auto"/>
        </w:rPr>
      </w:pPr>
    </w:p>
    <w:p>
      <w:pPr>
        <w:ind w:right="80" w:firstLine="635"/>
        <w:spacing w:after="0" w:line="317" w:lineRule="auto"/>
        <w:rPr>
          <w:sz w:val="20"/>
          <w:szCs w:val="20"/>
          <w:color w:val="auto"/>
        </w:rPr>
      </w:pPr>
      <w:r>
        <w:rPr>
          <w:rFonts w:ascii="Arial" w:cs="Arial" w:eastAsia="Arial" w:hAnsi="Arial"/>
          <w:sz w:val="15"/>
          <w:szCs w:val="15"/>
          <w:color w:val="auto"/>
        </w:rPr>
        <w:t>The Fourth Amended and Restated Credit Agreement contains certain customary covenant and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 be taken by a secured creditor in respect of the collateral securing the obligations under the Fourth Amended and Restated Credit Agreement.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Second Lien Notes</w:t>
      </w:r>
    </w:p>
    <w:p>
      <w:pPr>
        <w:spacing w:after="0" w:line="84" w:lineRule="exact"/>
        <w:rPr>
          <w:sz w:val="20"/>
          <w:szCs w:val="20"/>
          <w:color w:val="auto"/>
        </w:rPr>
      </w:pPr>
    </w:p>
    <w:p>
      <w:pPr>
        <w:ind w:right="100" w:firstLine="635"/>
        <w:spacing w:after="0" w:line="251" w:lineRule="auto"/>
        <w:rPr>
          <w:sz w:val="20"/>
          <w:szCs w:val="20"/>
          <w:color w:val="auto"/>
        </w:rPr>
      </w:pPr>
      <w:r>
        <w:rPr>
          <w:rFonts w:ascii="Arial" w:cs="Arial" w:eastAsia="Arial" w:hAnsi="Arial"/>
          <w:sz w:val="18"/>
          <w:szCs w:val="18"/>
          <w:color w:val="auto"/>
        </w:rPr>
        <w:t>On June 16, 2017, the Escrow Issuer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Associations, as trustee and collateral agent.</w:t>
      </w:r>
    </w:p>
    <w:p>
      <w:pPr>
        <w:spacing w:after="0" w:line="73" w:lineRule="exact"/>
        <w:rPr>
          <w:sz w:val="20"/>
          <w:szCs w:val="20"/>
          <w:color w:val="auto"/>
        </w:rPr>
      </w:pPr>
    </w:p>
    <w:p>
      <w:pPr>
        <w:ind w:right="320" w:firstLine="635"/>
        <w:spacing w:after="0" w:line="254" w:lineRule="auto"/>
        <w:rPr>
          <w:sz w:val="20"/>
          <w:szCs w:val="20"/>
          <w:color w:val="auto"/>
        </w:rPr>
      </w:pPr>
      <w:r>
        <w:rPr>
          <w:rFonts w:ascii="Arial" w:cs="Arial" w:eastAsia="Arial" w:hAnsi="Arial"/>
          <w:sz w:val="18"/>
          <w:szCs w:val="18"/>
          <w:color w:val="auto"/>
        </w:rPr>
        <w:t>On July 20, 2017, VFH assumed all of the obligations of the Escrow Issuer under the Indenture and the Notes. The Notes are guaranteed by Virtu Financial and each of Virtu Financial’s wholly-owned domestic restricted subsidiaries that guarantees the Fourth Amended and Restated Credit Agreement.</w:t>
      </w:r>
    </w:p>
    <w:p>
      <w:pPr>
        <w:spacing w:after="0" w:line="70" w:lineRule="exact"/>
        <w:rPr>
          <w:sz w:val="20"/>
          <w:szCs w:val="20"/>
          <w:color w:val="auto"/>
        </w:rPr>
      </w:pPr>
    </w:p>
    <w:p>
      <w:pPr>
        <w:ind w:firstLine="635"/>
        <w:spacing w:after="0" w:line="266" w:lineRule="auto"/>
        <w:rPr>
          <w:sz w:val="20"/>
          <w:szCs w:val="20"/>
          <w:color w:val="auto"/>
        </w:rPr>
      </w:pPr>
      <w:r>
        <w:rPr>
          <w:rFonts w:ascii="Arial" w:cs="Arial" w:eastAsia="Arial" w:hAnsi="Arial"/>
          <w:sz w:val="17"/>
          <w:szCs w:val="17"/>
          <w:color w:val="auto"/>
        </w:rPr>
        <w:t>The Indenture imposes certain limitations on the Company, and contains certain customary events of default, including, among others, payment defaults related to the failure to pay principal or interest on Notes, covenant defaults, final maturity default or cross-acceleration with respect to material indebtedness and certain bankruptcy events. The gross proceeds from the Notes were deposited into a segregated escrow account with an escrow agent. The proceeds were released from escrow as of the Closing Date and were used to finance, in part, the Acquisition, and to repay certain indebtedness of the Company and KCG. (See Note 3 “Acquisition of KCG Holdings, Inc.” for further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SBI Bonds</w:t>
      </w:r>
    </w:p>
    <w:p>
      <w:pPr>
        <w:spacing w:after="0" w:line="216" w:lineRule="exact"/>
        <w:rPr>
          <w:sz w:val="20"/>
          <w:szCs w:val="20"/>
          <w:color w:val="auto"/>
        </w:rPr>
      </w:pPr>
    </w:p>
    <w:p>
      <w:pPr>
        <w:ind w:right="40" w:firstLine="635"/>
        <w:spacing w:after="0" w:line="304" w:lineRule="auto"/>
        <w:rPr>
          <w:sz w:val="20"/>
          <w:szCs w:val="20"/>
          <w:color w:val="auto"/>
        </w:rPr>
      </w:pPr>
      <w:r>
        <w:rPr>
          <w:rFonts w:ascii="Arial" w:cs="Arial" w:eastAsia="Arial" w:hAnsi="Arial"/>
          <w:sz w:val="15"/>
          <w:szCs w:val="15"/>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The principal balance was ¥3.5 billion ($31.0 million) as of December 31, 2017 and ¥3.5 billion ($29.9 million) as of December 31, 2016. The Company recorded a gain of $1.1 million and a loss of $3.2 million due to the change in currency rates during the years ended December 31, 2017 and 2016, respectively.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future required minimum principal payments based on the terms of the long-term borrowings at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2"/>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r>
      <w:tr>
        <w:trPr>
          <w:trHeight w:val="198"/>
        </w:trPr>
        <w:tc>
          <w:tcPr>
            <w:tcW w:w="4380" w:type="dxa"/>
            <w:vAlign w:val="bottom"/>
          </w:tcPr>
          <w:p>
            <w:pPr>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31,059</w:t>
            </w:r>
          </w:p>
        </w:tc>
        <w:tc>
          <w:tcPr>
            <w:tcW w:w="40" w:type="dxa"/>
            <w:vAlign w:val="bottom"/>
            <w:shd w:val="clear" w:color="auto" w:fill="CCEEFF"/>
          </w:tcPr>
          <w:p>
            <w:pPr>
              <w:spacing w:after="0"/>
              <w:rPr>
                <w:sz w:val="17"/>
                <w:szCs w:val="17"/>
                <w:color w:val="auto"/>
              </w:rPr>
            </w:pPr>
          </w:p>
        </w:tc>
      </w:tr>
      <w:tr>
        <w:trPr>
          <w:trHeight w:val="198"/>
        </w:trPr>
        <w:tc>
          <w:tcPr>
            <w:tcW w:w="4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2021 and thereafter</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1,400,000</w:t>
            </w:r>
          </w:p>
        </w:tc>
        <w:tc>
          <w:tcPr>
            <w:tcW w:w="40" w:type="dxa"/>
            <w:vAlign w:val="bottom"/>
            <w:tcBorders>
              <w:bottom w:val="single" w:sz="8" w:color="CCEEFF"/>
            </w:tcBorders>
          </w:tcPr>
          <w:p>
            <w:pPr>
              <w:spacing w:after="0"/>
              <w:rPr>
                <w:sz w:val="17"/>
                <w:szCs w:val="17"/>
                <w:color w:val="auto"/>
              </w:rPr>
            </w:pPr>
          </w:p>
        </w:tc>
      </w:tr>
      <w:tr>
        <w:trPr>
          <w:trHeight w:val="198"/>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principal of long-term borrowings</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1,431,059</w:t>
            </w:r>
          </w:p>
        </w:tc>
        <w:tc>
          <w:tcPr>
            <w:tcW w:w="4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Assets and Liabilities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Instruments Measured at Fair Value</w:t>
      </w:r>
    </w:p>
    <w:p>
      <w:pPr>
        <w:spacing w:after="0" w:line="224" w:lineRule="exact"/>
        <w:rPr>
          <w:sz w:val="20"/>
          <w:szCs w:val="20"/>
          <w:color w:val="auto"/>
        </w:rPr>
      </w:pPr>
    </w:p>
    <w:p>
      <w:pPr>
        <w:ind w:right="20" w:firstLine="635"/>
        <w:spacing w:after="0" w:line="266" w:lineRule="auto"/>
        <w:rPr>
          <w:sz w:val="20"/>
          <w:szCs w:val="20"/>
          <w:color w:val="auto"/>
        </w:rPr>
      </w:pPr>
      <w:r>
        <w:rPr>
          <w:rFonts w:ascii="Arial" w:cs="Arial" w:eastAsia="Arial" w:hAnsi="Arial"/>
          <w:sz w:val="17"/>
          <w:szCs w:val="17"/>
          <w:color w:val="auto"/>
        </w:rPr>
        <w:t>The fair value of equities, options, on the run U.S. government obligations and exchange traded notes is estimated using recently executed transactions and market price quotations in active markets and are categorized as Level 1 with the exception of inactively traded equities and certain financial instruments noted in the preceding paragraph, which are categorized as Level 2. The Company’s corporate bonds, derivative contracts and other U.S. and non-U.S. government obligations have been categorized as Level 2. Fair value of the Company’s derivative contracts is based on the indicative prices obtained from broadly distributed bank and broker dealers, as well as management’s own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80"/>
        <w:spacing w:after="0" w:line="329" w:lineRule="auto"/>
        <w:rPr>
          <w:sz w:val="20"/>
          <w:szCs w:val="20"/>
          <w:color w:val="auto"/>
        </w:rPr>
      </w:pPr>
      <w:r>
        <w:rPr>
          <w:rFonts w:ascii="Arial" w:cs="Arial" w:eastAsia="Arial" w:hAnsi="Arial"/>
          <w:sz w:val="15"/>
          <w:szCs w:val="15"/>
          <w:color w:val="auto"/>
        </w:rPr>
        <w:t>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37" w:lineRule="exact"/>
        <w:rPr>
          <w:sz w:val="20"/>
          <w:szCs w:val="20"/>
          <w:color w:val="auto"/>
        </w:rPr>
      </w:pPr>
    </w:p>
    <w:p>
      <w:pPr>
        <w:ind w:right="40" w:firstLine="635"/>
        <w:spacing w:after="0" w:line="264" w:lineRule="auto"/>
        <w:rPr>
          <w:sz w:val="20"/>
          <w:szCs w:val="20"/>
          <w:color w:val="auto"/>
        </w:rPr>
      </w:pPr>
      <w:r>
        <w:rPr>
          <w:rFonts w:ascii="Arial" w:cs="Arial" w:eastAsia="Arial" w:hAnsi="Arial"/>
          <w:sz w:val="17"/>
          <w:szCs w:val="17"/>
          <w:color w:val="auto"/>
        </w:rPr>
        <w:t>As of March 31, 2017, the Company began pricing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 The Company concluded that this is a change in accounting estimate and no retrospective adjustments were necessary.</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December 31, 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0"/>
              <w:spacing w:after="0" w:line="116" w:lineRule="exact"/>
              <w:rPr>
                <w:sz w:val="20"/>
                <w:szCs w:val="20"/>
                <w:color w:val="auto"/>
              </w:rPr>
            </w:pPr>
            <w:r>
              <w:rPr>
                <w:rFonts w:ascii="Arial" w:cs="Arial" w:eastAsia="Arial" w:hAnsi="Arial"/>
                <w:sz w:val="13"/>
                <w:szCs w:val="13"/>
                <w:b w:val="1"/>
                <w:bCs w:val="1"/>
                <w:color w:val="auto"/>
                <w:w w:val="95"/>
              </w:rPr>
              <w:t>Quoted Prices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0"/>
              <w:spacing w:after="0" w:line="116"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0"/>
                <w:szCs w:val="10"/>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Counterparty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89"/>
              </w:rPr>
              <w:t>in Active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95"/>
              </w:rPr>
              <w:t>Markets for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Observable</w:t>
            </w:r>
          </w:p>
        </w:tc>
        <w:tc>
          <w:tcPr>
            <w:tcW w:w="280" w:type="dxa"/>
            <w:vAlign w:val="bottom"/>
          </w:tcPr>
          <w:p>
            <w:pPr>
              <w:spacing w:after="0"/>
              <w:rPr>
                <w:sz w:val="12"/>
                <w:szCs w:val="12"/>
                <w:color w:val="auto"/>
              </w:rPr>
            </w:pPr>
          </w:p>
        </w:tc>
        <w:tc>
          <w:tcPr>
            <w:tcW w:w="10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29"/>
              <w:spacing w:after="0" w:line="145" w:lineRule="exact"/>
              <w:rPr>
                <w:sz w:val="20"/>
                <w:szCs w:val="20"/>
                <w:color w:val="auto"/>
              </w:rPr>
            </w:pPr>
            <w:r>
              <w:rPr>
                <w:rFonts w:ascii="Arial" w:cs="Arial" w:eastAsia="Arial" w:hAnsi="Arial"/>
                <w:sz w:val="14"/>
                <w:szCs w:val="14"/>
                <w:b w:val="1"/>
                <w:bCs w:val="1"/>
                <w:color w:val="auto"/>
                <w:w w:val="91"/>
              </w:rPr>
              <w:t>and Cash</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46"/>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9"/>
              <w:spacing w:after="0" w:line="145" w:lineRule="exact"/>
              <w:rPr>
                <w:sz w:val="20"/>
                <w:szCs w:val="20"/>
                <w:color w:val="auto"/>
              </w:rPr>
            </w:pPr>
            <w:r>
              <w:rPr>
                <w:rFonts w:ascii="Arial" w:cs="Arial" w:eastAsia="Arial" w:hAnsi="Arial"/>
                <w:sz w:val="14"/>
                <w:szCs w:val="14"/>
                <w:b w:val="1"/>
                <w:bCs w:val="1"/>
                <w:color w:val="auto"/>
                <w:w w:val="93"/>
              </w:rPr>
              <w:t>Collateral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1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50"/>
              <w:spacing w:after="0"/>
              <w:rPr>
                <w:sz w:val="20"/>
                <w:szCs w:val="20"/>
                <w:color w:val="auto"/>
              </w:rPr>
            </w:pPr>
            <w:r>
              <w:rPr>
                <w:rFonts w:ascii="Arial" w:cs="Arial" w:eastAsia="Arial" w:hAnsi="Arial"/>
                <w:sz w:val="14"/>
                <w:szCs w:val="14"/>
                <w:b w:val="1"/>
                <w:bCs w:val="1"/>
                <w:color w:val="auto"/>
                <w:w w:val="91"/>
              </w:rPr>
              <w:t>(Level 2)</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95"/>
              </w:rPr>
              <w:t>Netting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80"/>
              <w:spacing w:after="0" w:line="145" w:lineRule="exact"/>
              <w:rPr>
                <w:sz w:val="20"/>
                <w:szCs w:val="20"/>
                <w:color w:val="auto"/>
              </w:rPr>
            </w:pPr>
            <w:r>
              <w:rPr>
                <w:rFonts w:ascii="Arial" w:cs="Arial" w:eastAsia="Arial" w:hAnsi="Arial"/>
                <w:sz w:val="14"/>
                <w:szCs w:val="14"/>
                <w:color w:val="auto"/>
              </w:rPr>
              <w:t>Financial instruments owned, at fair value: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Equity securities</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758,596</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1,167,995</w:t>
            </w:r>
          </w:p>
        </w:tc>
        <w:tc>
          <w:tcPr>
            <w:tcW w:w="3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1,926,591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U.S. and Non-U.S. government obligations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5,968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16,815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22,783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Corporate Bonds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60,975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60,975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Exchange traded notes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13,576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68,819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82,395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Currency forwards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2,045,487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(2,027,697)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17,790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Options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7,045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7,045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785,185</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3,360,091</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(2,027,697)</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2,117,579</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8"/>
              </w:rPr>
              <w:t>Financial instruments owned, pledged as collateral:</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Equity securities</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410,670</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175,581</w:t>
            </w:r>
          </w:p>
        </w:tc>
        <w:tc>
          <w:tcPr>
            <w:tcW w:w="360" w:type="dxa"/>
            <w:vAlign w:val="bottom"/>
            <w:gridSpan w:val="2"/>
          </w:tcPr>
          <w:p>
            <w:pPr>
              <w:ind w:left="280"/>
              <w:spacing w:after="0" w:line="14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586,251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U.S. and Non-U.S. government obligations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Exchange traded notes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82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8,611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8,693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410,851</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184,192</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595,043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Equity investment</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line="14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40,588</w:t>
            </w:r>
          </w:p>
        </w:tc>
        <w:tc>
          <w:tcPr>
            <w:tcW w:w="140" w:type="dxa"/>
            <w:vAlign w:val="bottom"/>
          </w:tcPr>
          <w:p>
            <w:pPr>
              <w:spacing w:after="0"/>
              <w:rPr>
                <w:sz w:val="12"/>
                <w:szCs w:val="12"/>
                <w:color w:val="auto"/>
              </w:rPr>
            </w:pP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40,588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Exchange stock</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1,952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Other</w:t>
            </w:r>
            <w:r>
              <w:rPr>
                <w:rFonts w:ascii="Arial" w:cs="Arial" w:eastAsia="Arial" w:hAnsi="Arial"/>
                <w:sz w:val="14"/>
                <w:szCs w:val="14"/>
                <w:color w:val="auto"/>
                <w:vertAlign w:val="superscript"/>
              </w:rPr>
              <w:t>(1)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55,824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55,824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1,952</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55,824</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40,588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98,364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20" w:type="dxa"/>
            <w:vAlign w:val="bottom"/>
          </w:tcPr>
          <w:p>
            <w:pPr>
              <w:ind w:left="80"/>
              <w:spacing w:after="0" w:line="127" w:lineRule="exact"/>
              <w:rPr>
                <w:sz w:val="20"/>
                <w:szCs w:val="20"/>
                <w:color w:val="auto"/>
              </w:rPr>
            </w:pPr>
            <w:r>
              <w:rPr>
                <w:rFonts w:ascii="Arial" w:cs="Arial" w:eastAsia="Arial" w:hAnsi="Arial"/>
                <w:sz w:val="14"/>
                <w:szCs w:val="14"/>
                <w:color w:val="auto"/>
                <w:w w:val="96"/>
              </w:rPr>
              <w:t>Financial instruments sold, not yet purchased, at fair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20" w:type="dxa"/>
            <w:vAlign w:val="bottom"/>
          </w:tcPr>
          <w:p>
            <w:pPr>
              <w:ind w:left="80"/>
              <w:spacing w:after="0"/>
              <w:rPr>
                <w:sz w:val="20"/>
                <w:szCs w:val="20"/>
                <w:color w:val="auto"/>
              </w:rPr>
            </w:pPr>
            <w:r>
              <w:rPr>
                <w:rFonts w:ascii="Arial" w:cs="Arial" w:eastAsia="Arial" w:hAnsi="Arial"/>
                <w:sz w:val="14"/>
                <w:szCs w:val="14"/>
                <w:color w:val="auto"/>
              </w:rPr>
              <w:t>value: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Equity securities</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847,816</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1,355,616</w:t>
            </w:r>
          </w:p>
        </w:tc>
        <w:tc>
          <w:tcPr>
            <w:tcW w:w="36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2,203,432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U.S. and Non-U.S. government obligations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18,940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12,481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31,421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Corporate Bonds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81,118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81,118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Exchange traded notes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1,514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54,248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55,762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Currency forwards</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2,032,017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(2,024,991)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ind w:left="200"/>
              <w:spacing w:after="0" w:line="145" w:lineRule="exact"/>
              <w:rPr>
                <w:sz w:val="20"/>
                <w:szCs w:val="20"/>
                <w:color w:val="auto"/>
              </w:rPr>
            </w:pPr>
            <w:r>
              <w:rPr>
                <w:rFonts w:ascii="Arial" w:cs="Arial" w:eastAsia="Arial" w:hAnsi="Arial"/>
                <w:sz w:val="14"/>
                <w:szCs w:val="14"/>
                <w:color w:val="auto"/>
              </w:rPr>
              <w:t>Options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5,839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5,839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874,109</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3,535,480</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(2,024,991)</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2,384,598</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ind w:left="640" w:hanging="322"/>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primarily consists of a $55.8 million receivable from Bats related to the sale of KCG Hotspot.</w:t>
      </w:r>
    </w:p>
    <w:p>
      <w:pPr>
        <w:spacing w:after="0" w:line="319" w:lineRule="exact"/>
        <w:rPr>
          <w:rFonts w:ascii="Arial" w:cs="Arial" w:eastAsia="Arial" w:hAnsi="Arial"/>
          <w:sz w:val="16"/>
          <w:szCs w:val="16"/>
          <w:color w:val="auto"/>
        </w:rPr>
      </w:pPr>
    </w:p>
    <w:p>
      <w:pPr>
        <w:ind w:left="4400"/>
        <w:spacing w:after="0"/>
        <w:rPr>
          <w:rFonts w:ascii="Arial" w:cs="Arial" w:eastAsia="Arial" w:hAnsi="Arial"/>
          <w:sz w:val="16"/>
          <w:szCs w:val="16"/>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100"/>
          </w:cols>
          <w:pgMar w:left="1420" w:top="127" w:right="137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Fair value measurements for those items measured on a recurring basis are summarized below as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w w:val="88"/>
              </w:rPr>
              <w:t>December 31, 2016</w:t>
            </w: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30"/>
              <w:spacing w:after="0" w:line="116" w:lineRule="exact"/>
              <w:rPr>
                <w:sz w:val="20"/>
                <w:szCs w:val="20"/>
                <w:color w:val="auto"/>
              </w:rPr>
            </w:pPr>
            <w:r>
              <w:rPr>
                <w:rFonts w:ascii="Arial" w:cs="Arial" w:eastAsia="Arial" w:hAnsi="Arial"/>
                <w:sz w:val="13"/>
                <w:szCs w:val="13"/>
                <w:b w:val="1"/>
                <w:bCs w:val="1"/>
                <w:color w:val="auto"/>
              </w:rPr>
              <w:t>Quoted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9"/>
              <w:spacing w:after="0" w:line="145"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9"/>
              <w:spacing w:after="0" w:line="145" w:lineRule="exact"/>
              <w:rPr>
                <w:sz w:val="20"/>
                <w:szCs w:val="20"/>
                <w:color w:val="auto"/>
              </w:rPr>
            </w:pPr>
            <w:r>
              <w:rPr>
                <w:rFonts w:ascii="Arial" w:cs="Arial" w:eastAsia="Arial" w:hAnsi="Arial"/>
                <w:sz w:val="14"/>
                <w:szCs w:val="14"/>
                <w:b w:val="1"/>
                <w:bCs w:val="1"/>
                <w:color w:val="auto"/>
                <w:w w:val="91"/>
              </w:rPr>
              <w:t>Observable</w:t>
            </w:r>
          </w:p>
        </w:tc>
        <w:tc>
          <w:tcPr>
            <w:tcW w:w="260" w:type="dxa"/>
            <w:vAlign w:val="bottom"/>
          </w:tcPr>
          <w:p>
            <w:pPr>
              <w:spacing w:after="0"/>
              <w:rPr>
                <w:sz w:val="12"/>
                <w:szCs w:val="12"/>
                <w:color w:val="auto"/>
              </w:rPr>
            </w:pPr>
          </w:p>
        </w:tc>
        <w:tc>
          <w:tcPr>
            <w:tcW w:w="8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9"/>
              <w:spacing w:after="0" w:line="145" w:lineRule="exact"/>
              <w:rPr>
                <w:sz w:val="20"/>
                <w:szCs w:val="20"/>
                <w:color w:val="auto"/>
              </w:rPr>
            </w:pPr>
            <w:r>
              <w:rPr>
                <w:rFonts w:ascii="Arial" w:cs="Arial" w:eastAsia="Arial" w:hAnsi="Arial"/>
                <w:sz w:val="14"/>
                <w:szCs w:val="14"/>
                <w:b w:val="1"/>
                <w:bCs w:val="1"/>
                <w:color w:val="auto"/>
                <w:w w:val="88"/>
              </w:rPr>
              <w:t>and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46"/>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9"/>
              <w:spacing w:after="0" w:line="145"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9"/>
              <w:spacing w:after="0" w:line="145" w:lineRule="exact"/>
              <w:rPr>
                <w:sz w:val="20"/>
                <w:szCs w:val="20"/>
                <w:color w:val="auto"/>
              </w:rPr>
            </w:pPr>
            <w:r>
              <w:rPr>
                <w:rFonts w:ascii="Arial" w:cs="Arial" w:eastAsia="Arial" w:hAnsi="Arial"/>
                <w:sz w:val="14"/>
                <w:szCs w:val="14"/>
                <w:b w:val="1"/>
                <w:bCs w:val="1"/>
                <w:color w:val="auto"/>
                <w:w w:val="90"/>
              </w:rPr>
              <w:t>Inputs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9"/>
              <w:spacing w:after="0" w:line="145" w:lineRule="exact"/>
              <w:rPr>
                <w:sz w:val="20"/>
                <w:szCs w:val="20"/>
                <w:color w:val="auto"/>
              </w:rPr>
            </w:pPr>
            <w:r>
              <w:rPr>
                <w:rFonts w:ascii="Arial" w:cs="Arial" w:eastAsia="Arial" w:hAnsi="Arial"/>
                <w:sz w:val="14"/>
                <w:szCs w:val="14"/>
                <w:b w:val="1"/>
                <w:bCs w:val="1"/>
                <w:color w:val="auto"/>
                <w:w w:val="93"/>
              </w:rPr>
              <w:t>Collateral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49"/>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Arial" w:cs="Arial" w:eastAsia="Arial" w:hAnsi="Arial"/>
                <w:sz w:val="14"/>
                <w:szCs w:val="14"/>
                <w:b w:val="1"/>
                <w:bCs w:val="1"/>
                <w:color w:val="auto"/>
              </w:rPr>
              <w:t>Netting</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324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line="145" w:lineRule="exact"/>
              <w:rPr>
                <w:sz w:val="20"/>
                <w:szCs w:val="20"/>
                <w:color w:val="auto"/>
              </w:rPr>
            </w:pPr>
            <w:r>
              <w:rPr>
                <w:rFonts w:ascii="Arial" w:cs="Arial" w:eastAsia="Arial" w:hAnsi="Arial"/>
                <w:sz w:val="14"/>
                <w:szCs w:val="14"/>
                <w:color w:val="auto"/>
              </w:rPr>
              <w:t>Financial instruments owned, at fair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Equity securities</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1,597,049</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31,988</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9"/>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1,629,037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220"/>
              <w:spacing w:after="0" w:line="145" w:lineRule="exact"/>
              <w:rPr>
                <w:sz w:val="20"/>
                <w:szCs w:val="20"/>
                <w:color w:val="auto"/>
              </w:rPr>
            </w:pPr>
            <w:r>
              <w:rPr>
                <w:rFonts w:ascii="Arial" w:cs="Arial" w:eastAsia="Arial" w:hAnsi="Arial"/>
                <w:sz w:val="14"/>
                <w:szCs w:val="14"/>
                <w:color w:val="auto"/>
              </w:rPr>
              <w:t>Non-U.S. government obligations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10,765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10,765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Exchange traded notes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37,034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37,034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220"/>
              <w:spacing w:after="0" w:line="145" w:lineRule="exact"/>
              <w:rPr>
                <w:sz w:val="20"/>
                <w:szCs w:val="20"/>
                <w:color w:val="auto"/>
              </w:rPr>
            </w:pPr>
            <w:r>
              <w:rPr>
                <w:rFonts w:ascii="Arial" w:cs="Arial" w:eastAsia="Arial" w:hAnsi="Arial"/>
                <w:sz w:val="14"/>
                <w:szCs w:val="14"/>
                <w:color w:val="auto"/>
              </w:rPr>
              <w:t>Currency forwards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1,147,261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(1,140,239)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7,022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Options</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141</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1,634,083</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1,190,155</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(1,140,239)</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1,683,999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Financial instruments owned, pledged as collateral:</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220"/>
              <w:spacing w:after="0" w:line="145" w:lineRule="exact"/>
              <w:rPr>
                <w:sz w:val="20"/>
                <w:szCs w:val="20"/>
                <w:color w:val="auto"/>
              </w:rPr>
            </w:pPr>
            <w:r>
              <w:rPr>
                <w:rFonts w:ascii="Arial" w:cs="Arial" w:eastAsia="Arial" w:hAnsi="Arial"/>
                <w:sz w:val="14"/>
                <w:szCs w:val="14"/>
                <w:color w:val="auto"/>
              </w:rPr>
              <w:t>Equity securities</w:t>
            </w:r>
          </w:p>
        </w:tc>
        <w:tc>
          <w:tcPr>
            <w:tcW w:w="3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128,202</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9"/>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128,202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Exchange traded notes</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15,681</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15,681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143,883</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143,883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line="145" w:lineRule="exact"/>
              <w:rPr>
                <w:sz w:val="20"/>
                <w:szCs w:val="20"/>
                <w:color w:val="auto"/>
              </w:rPr>
            </w:pPr>
            <w:r>
              <w:rPr>
                <w:rFonts w:ascii="Arial" w:cs="Arial" w:eastAsia="Arial" w:hAnsi="Arial"/>
                <w:sz w:val="14"/>
                <w:szCs w:val="14"/>
                <w:color w:val="auto"/>
              </w:rPr>
              <w:t>Equity investment</w:t>
            </w:r>
          </w:p>
        </w:tc>
        <w:tc>
          <w:tcPr>
            <w:tcW w:w="3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36,031</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9"/>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36,031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Exchange stock</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449</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449</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36,031</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36,480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240" w:type="dxa"/>
            <w:vAlign w:val="bottom"/>
          </w:tcPr>
          <w:p>
            <w:pPr>
              <w:spacing w:after="0" w:line="127" w:lineRule="exact"/>
              <w:rPr>
                <w:sz w:val="20"/>
                <w:szCs w:val="20"/>
                <w:color w:val="auto"/>
              </w:rPr>
            </w:pPr>
            <w:r>
              <w:rPr>
                <w:rFonts w:ascii="Arial" w:cs="Arial" w:eastAsia="Arial" w:hAnsi="Arial"/>
                <w:sz w:val="14"/>
                <w:szCs w:val="14"/>
                <w:color w:val="auto"/>
                <w:w w:val="99"/>
              </w:rPr>
              <w:t>Financial instruments sold, not yet purchased, at fair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240" w:type="dxa"/>
            <w:vAlign w:val="bottom"/>
          </w:tcPr>
          <w:p>
            <w:pPr>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Equity securities</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1,323,693</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6,638</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9"/>
              <w:spacing w:after="0" w:line="14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1,330,331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220"/>
              <w:spacing w:after="0" w:line="145" w:lineRule="exact"/>
              <w:rPr>
                <w:sz w:val="20"/>
                <w:szCs w:val="20"/>
                <w:color w:val="auto"/>
              </w:rPr>
            </w:pPr>
            <w:r>
              <w:rPr>
                <w:rFonts w:ascii="Arial" w:cs="Arial" w:eastAsia="Arial" w:hAnsi="Arial"/>
                <w:sz w:val="14"/>
                <w:szCs w:val="14"/>
                <w:color w:val="auto"/>
              </w:rPr>
              <w:t>Exchange traded notes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18,744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18,744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Currency forwards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1,009,038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(1,009,038)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40" w:type="dxa"/>
            <w:vAlign w:val="bottom"/>
            <w:tcBorders>
              <w:bottom w:val="single" w:sz="8" w:color="CCEEFF"/>
            </w:tcBorders>
          </w:tcPr>
          <w:p>
            <w:pPr>
              <w:ind w:left="220"/>
              <w:spacing w:after="0" w:line="145" w:lineRule="exact"/>
              <w:rPr>
                <w:sz w:val="20"/>
                <w:szCs w:val="20"/>
                <w:color w:val="auto"/>
              </w:rPr>
            </w:pPr>
            <w:r>
              <w:rPr>
                <w:rFonts w:ascii="Arial" w:cs="Arial" w:eastAsia="Arial" w:hAnsi="Arial"/>
                <w:sz w:val="14"/>
                <w:szCs w:val="14"/>
                <w:color w:val="auto"/>
              </w:rPr>
              <w:t>Options</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80</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1,342,437</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1,015,756</w:t>
            </w: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(1,009,038)</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1,349,155</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40" w:firstLine="635"/>
        <w:spacing w:after="0" w:line="300" w:lineRule="auto"/>
        <w:rPr>
          <w:sz w:val="20"/>
          <w:szCs w:val="20"/>
          <w:color w:val="auto"/>
        </w:rPr>
      </w:pPr>
      <w:r>
        <w:rPr>
          <w:rFonts w:ascii="Arial" w:cs="Arial" w:eastAsia="Arial" w:hAnsi="Arial"/>
          <w:sz w:val="15"/>
          <w:szCs w:val="15"/>
          <w:color w:val="auto"/>
        </w:rPr>
        <w:t>On July 27, 2016, the Company purchased an additional minority investment (29.4%) in SBI Japannext Co., Ltd (“SBI Japannext”), a proprietary trading system based in Tokyo for $38.8 million in cash (“SBI Investment”), which increased the Company’s total minority investment in SBI Japannext to 29.9%.The Company elected the fair value option to account for this equity investment because it believes that fair value is the most relevant measurement attribute for this investment, as well as to reduce operational and accounting complexity. This investment has been categorized as Level 3, and the valuation process involved for Level 3 measurements is completed on a quarterly basis. The Company employs two valuation methodologies when determining the fair value of investments categorized as Level 3, market comparable analysis and discounted cash flow analysis. The market comparable analysis considers key financial inputs, recent public and private transactions and other available measures. The discounted cash flow analysis incorporates significant assumptions and judgments and the estimates of key inputs used in this methodology include the discount rate for the investment and assumed inputs used to calculate terminal values, such as price/earnings multiples. Upon completion of the valuations conducted using these methodologies, a weighting is ascribed to each method and to the ultimate fair value recorded for a particular investment. When determining the weighting ascribed to each valuation methodology, the Company considers, among other factors, the availability of direct market comparables, the applicability of a discounted cash flow analysis and the expected holding period.</w:t>
      </w:r>
    </w:p>
    <w:p>
      <w:pPr>
        <w:spacing w:after="0" w:line="372" w:lineRule="exact"/>
        <w:rPr>
          <w:sz w:val="20"/>
          <w:szCs w:val="20"/>
          <w:color w:val="auto"/>
        </w:rPr>
      </w:pPr>
    </w:p>
    <w:p>
      <w:pPr>
        <w:ind w:right="20" w:firstLine="635"/>
        <w:spacing w:after="0" w:line="304" w:lineRule="auto"/>
        <w:rPr>
          <w:sz w:val="20"/>
          <w:szCs w:val="20"/>
          <w:color w:val="auto"/>
        </w:rPr>
      </w:pPr>
      <w:r>
        <w:rPr>
          <w:rFonts w:ascii="Arial" w:cs="Arial" w:eastAsia="Arial" w:hAnsi="Arial"/>
          <w:sz w:val="15"/>
          <w:szCs w:val="15"/>
          <w:color w:val="auto"/>
        </w:rPr>
        <w:t>As of December 31, 2017, the fair value of SBI Investment was determined using the discounted cash flow method, an income approach, with the discount rate of 15.0% applied to the cash flow forecasts. The Company also used a market approach based on 14x average price/earnings multiples of comparable companies to corroborate the income approach. The fair value of the SBI Investment at December 31, 2017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99"/>
        <w:spacing w:after="0" w:line="264" w:lineRule="auto"/>
        <w:rPr>
          <w:sz w:val="20"/>
          <w:szCs w:val="20"/>
          <w:color w:val="auto"/>
        </w:rPr>
      </w:pPr>
      <w:r>
        <w:rPr>
          <w:rFonts w:ascii="Arial" w:cs="Arial" w:eastAsia="Arial" w:hAnsi="Arial"/>
          <w:sz w:val="18"/>
          <w:szCs w:val="18"/>
          <w:color w:val="auto"/>
        </w:rPr>
        <w:t>measurement. Changes in the fair value of the SBI Investment are reflected in other, net in the consolidated statements of comprehensive income.</w:t>
      </w:r>
    </w:p>
    <w:p>
      <w:pPr>
        <w:spacing w:after="0" w:line="180" w:lineRule="exact"/>
        <w:rPr>
          <w:sz w:val="20"/>
          <w:szCs w:val="20"/>
          <w:color w:val="auto"/>
        </w:rPr>
      </w:pPr>
    </w:p>
    <w:p>
      <w:pPr>
        <w:ind w:right="119" w:firstLine="635"/>
        <w:spacing w:after="0" w:line="345" w:lineRule="auto"/>
        <w:rPr>
          <w:sz w:val="20"/>
          <w:szCs w:val="20"/>
          <w:color w:val="auto"/>
        </w:rPr>
      </w:pPr>
      <w:r>
        <w:rPr>
          <w:rFonts w:ascii="Arial" w:cs="Arial" w:eastAsia="Arial" w:hAnsi="Arial"/>
          <w:sz w:val="18"/>
          <w:szCs w:val="18"/>
          <w:color w:val="auto"/>
        </w:rPr>
        <w:t xml:space="preserve">There were no transfers of financial instruments between levels during the years ended December 31, 2017 and 2016. </w:t>
      </w:r>
      <w:r>
        <w:rPr>
          <w:rFonts w:ascii="Arial" w:cs="Arial" w:eastAsia="Arial" w:hAnsi="Arial"/>
          <w:sz w:val="18"/>
          <w:szCs w:val="18"/>
          <w:i w:val="1"/>
          <w:iCs w:val="1"/>
          <w:color w:val="auto"/>
        </w:rPr>
        <w:t>Receivable from Bats Global Markets, Inc. (“Bats”)</w:t>
      </w:r>
    </w:p>
    <w:p>
      <w:pPr>
        <w:ind w:right="19" w:firstLine="635"/>
        <w:spacing w:after="0" w:line="250" w:lineRule="auto"/>
        <w:rPr>
          <w:sz w:val="20"/>
          <w:szCs w:val="20"/>
          <w:color w:val="auto"/>
        </w:rPr>
      </w:pPr>
      <w:r>
        <w:rPr>
          <w:rFonts w:ascii="Arial" w:cs="Arial" w:eastAsia="Arial" w:hAnsi="Arial"/>
          <w:sz w:val="18"/>
          <w:szCs w:val="18"/>
          <w:color w:val="auto"/>
        </w:rPr>
        <w:t>In March 2015, KCG sold KCG Hotspot, an institutional spot foreign exchange electronic communications networks (“ECN”), to Bats, which is now a subsidiary of CBOE Holdings, Inc. KCG and Bats agreed to share certain tax benefits, which as of December 31, 2017 comprise a $50.0 million payment and an annual payment of up to $6.6 million, both of which are due in April 2018. The $6.8 million annual payment is contingent on Bats (and CBOE) generating sufficient taxable net income to receive the tax benefits.</w:t>
      </w:r>
    </w:p>
    <w:p>
      <w:pPr>
        <w:spacing w:after="0" w:line="73" w:lineRule="exact"/>
        <w:rPr>
          <w:sz w:val="20"/>
          <w:szCs w:val="20"/>
          <w:color w:val="auto"/>
        </w:rPr>
      </w:pPr>
    </w:p>
    <w:p>
      <w:pPr>
        <w:ind w:right="79" w:firstLine="635"/>
        <w:spacing w:after="0" w:line="317" w:lineRule="auto"/>
        <w:rPr>
          <w:sz w:val="20"/>
          <w:szCs w:val="20"/>
          <w:color w:val="auto"/>
        </w:rPr>
      </w:pPr>
      <w:r>
        <w:rPr>
          <w:rFonts w:ascii="Arial" w:cs="Arial" w:eastAsia="Arial" w:hAnsi="Arial"/>
          <w:sz w:val="15"/>
          <w:szCs w:val="15"/>
          <w:color w:val="auto"/>
        </w:rPr>
        <w:t>The Company has elected the fair value option related to the receivable from Bats and considers the receivable to be a Level 2 asset in the fair value hierarchy as the fair value is derived from observable significant inputs such as contractual cash flows and market discount rates. The remaining additional potential payments of $56.8 million are recorded at a fair value of $55.8 million in other assets on the consolidated statements of financial condition as of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216" w:lineRule="exact"/>
        <w:rPr>
          <w:sz w:val="20"/>
          <w:szCs w:val="20"/>
          <w:color w:val="auto"/>
        </w:rPr>
      </w:pPr>
    </w:p>
    <w:p>
      <w:pPr>
        <w:ind w:right="39" w:firstLine="635"/>
        <w:spacing w:after="0" w:line="249" w:lineRule="auto"/>
        <w:rPr>
          <w:sz w:val="20"/>
          <w:szCs w:val="20"/>
          <w:color w:val="auto"/>
        </w:rPr>
      </w:pPr>
      <w:r>
        <w:rPr>
          <w:rFonts w:ascii="Arial" w:cs="Arial" w:eastAsia="Arial" w:hAnsi="Arial"/>
          <w:sz w:val="18"/>
          <w:szCs w:val="18"/>
          <w:color w:val="auto"/>
        </w:rPr>
        <w:t>The table below presents the carrying value, fair value and fair value hierarchy category of certain financial instruments that are not measured at fair value on the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categorized as Level 2 in the fair value hierarchy, which is based on quoted prices from the market.</w:t>
      </w: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not measured at fair value as of December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w w:val="97"/>
              </w:rPr>
              <w:t>Quoted Prices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left="10"/>
              <w:spacing w:after="0" w:line="116"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in Active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left="30"/>
              <w:spacing w:after="0" w:line="14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8"/>
              </w:rPr>
              <w:t>Markets for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left="10"/>
              <w:spacing w:after="0" w:line="145"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Identical 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left="3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ind w:left="80"/>
              <w:spacing w:after="0" w:line="145" w:lineRule="exact"/>
              <w:rPr>
                <w:sz w:val="20"/>
                <w:szCs w:val="20"/>
                <w:color w:val="auto"/>
              </w:rPr>
            </w:pPr>
            <w:r>
              <w:rPr>
                <w:rFonts w:ascii="Arial" w:cs="Arial" w:eastAsia="Arial" w:hAnsi="Arial"/>
                <w:sz w:val="14"/>
                <w:szCs w:val="14"/>
                <w:color w:val="auto"/>
              </w:rPr>
              <w:t>Cash and cash equivalents</w:t>
            </w:r>
          </w:p>
        </w:tc>
        <w:tc>
          <w:tcPr>
            <w:tcW w:w="3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532,887</w:t>
            </w:r>
          </w:p>
        </w:tc>
        <w:tc>
          <w:tcPr>
            <w:tcW w:w="3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532,887</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532,887</w:t>
            </w:r>
          </w:p>
        </w:tc>
        <w:tc>
          <w:tcPr>
            <w:tcW w:w="240" w:type="dxa"/>
            <w:vAlign w:val="bottom"/>
          </w:tcPr>
          <w:p>
            <w:pPr>
              <w:spacing w:after="0"/>
              <w:rPr>
                <w:sz w:val="12"/>
                <w:szCs w:val="12"/>
                <w:color w:val="auto"/>
              </w:rPr>
            </w:pP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ind w:left="80"/>
              <w:spacing w:after="0" w:line="145" w:lineRule="exact"/>
              <w:rPr>
                <w:sz w:val="20"/>
                <w:szCs w:val="20"/>
                <w:color w:val="auto"/>
              </w:rPr>
            </w:pPr>
            <w:r>
              <w:rPr>
                <w:rFonts w:ascii="Arial" w:cs="Arial" w:eastAsia="Arial" w:hAnsi="Arial"/>
                <w:sz w:val="14"/>
                <w:szCs w:val="14"/>
                <w:color w:val="auto"/>
              </w:rPr>
              <w:t>Securities borrowed</w:t>
            </w:r>
          </w:p>
        </w:tc>
        <w:tc>
          <w:tcPr>
            <w:tcW w:w="3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1,471,172</w:t>
            </w:r>
          </w:p>
        </w:tc>
        <w:tc>
          <w:tcPr>
            <w:tcW w:w="3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1,471,172</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1,471,172</w:t>
            </w:r>
          </w:p>
        </w:tc>
        <w:tc>
          <w:tcPr>
            <w:tcW w:w="180" w:type="dxa"/>
            <w:vAlign w:val="bottom"/>
          </w:tcPr>
          <w:p>
            <w:pPr>
              <w:spacing w:after="0"/>
              <w:rPr>
                <w:sz w:val="12"/>
                <w:szCs w:val="12"/>
                <w:color w:val="auto"/>
              </w:rPr>
            </w:pP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2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Pr>
          <w:p>
            <w:pPr>
              <w:ind w:left="80"/>
              <w:spacing w:after="0" w:line="127" w:lineRule="exact"/>
              <w:rPr>
                <w:sz w:val="20"/>
                <w:szCs w:val="20"/>
                <w:color w:val="auto"/>
              </w:rPr>
            </w:pPr>
            <w:r>
              <w:rPr>
                <w:rFonts w:ascii="Arial" w:cs="Arial" w:eastAsia="Arial" w:hAnsi="Arial"/>
                <w:sz w:val="14"/>
                <w:szCs w:val="14"/>
                <w:color w:val="auto"/>
              </w:rPr>
              <w:t>Receivables from broker dealers and clearing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ind w:left="8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972,018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972,018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36,513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935,505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Total Assets</w:t>
            </w:r>
          </w:p>
        </w:tc>
        <w:tc>
          <w:tcPr>
            <w:tcW w:w="220" w:type="dxa"/>
            <w:vAlign w:val="bottom"/>
          </w:tcPr>
          <w:p>
            <w:pPr>
              <w:spacing w:after="0"/>
              <w:rPr>
                <w:sz w:val="12"/>
                <w:szCs w:val="12"/>
                <w:color w:val="auto"/>
              </w:rPr>
            </w:pPr>
          </w:p>
        </w:tc>
        <w:tc>
          <w:tcPr>
            <w:tcW w:w="10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line="139" w:lineRule="exact"/>
              <w:rPr>
                <w:sz w:val="20"/>
                <w:szCs w:val="20"/>
                <w:color w:val="auto"/>
              </w:rPr>
            </w:pPr>
            <w:r>
              <w:rPr>
                <w:rFonts w:ascii="Arial" w:cs="Arial" w:eastAsia="Arial" w:hAnsi="Arial"/>
                <w:sz w:val="14"/>
                <w:szCs w:val="14"/>
                <w:color w:val="auto"/>
              </w:rPr>
              <w:t>2,976,077</w:t>
            </w:r>
          </w:p>
        </w:tc>
        <w:tc>
          <w:tcPr>
            <w:tcW w:w="260" w:type="dxa"/>
            <w:vAlign w:val="bottom"/>
          </w:tcPr>
          <w:p>
            <w:pPr>
              <w:spacing w:after="0"/>
              <w:rPr>
                <w:sz w:val="12"/>
                <w:szCs w:val="12"/>
                <w:color w:val="auto"/>
              </w:rPr>
            </w:pPr>
          </w:p>
        </w:tc>
        <w:tc>
          <w:tcPr>
            <w:tcW w:w="10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2,976,077</w:t>
            </w:r>
          </w:p>
        </w:tc>
        <w:tc>
          <w:tcPr>
            <w:tcW w:w="260" w:type="dxa"/>
            <w:vAlign w:val="bottom"/>
          </w:tcPr>
          <w:p>
            <w:pPr>
              <w:spacing w:after="0"/>
              <w:rPr>
                <w:sz w:val="12"/>
                <w:szCs w:val="12"/>
                <w:color w:val="auto"/>
              </w:rPr>
            </w:pPr>
          </w:p>
        </w:tc>
        <w:tc>
          <w:tcPr>
            <w:tcW w:w="12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569,400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2,406,677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60" w:type="dxa"/>
            <w:vAlign w:val="bottom"/>
          </w:tcPr>
          <w:p>
            <w:pPr>
              <w:spacing w:after="0" w:line="145" w:lineRule="exact"/>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Short-term borrowings</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27,883</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27,883</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27,883</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Long-term borrowings</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1,388,548</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1,465,489</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1,465,489</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Securities loaned</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754,687</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754,687</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754,687</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Securities sold under agreements to repurchase</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390,642</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390,642</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390,642</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6"/>
              </w:rPr>
              <w:t>Payables to broker dealer and clearing organizations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716,205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716,205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2,925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713,280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3,277,965</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3,354,906</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2,925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3,351,981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w:t>
      </w:r>
      <w:r>
        <w:rPr>
          <w:rFonts w:ascii="Arial" w:cs="Arial" w:eastAsia="Arial" w:hAnsi="Arial"/>
          <w:sz w:val="17"/>
          <w:szCs w:val="17"/>
          <w:color w:val="auto"/>
        </w:rPr>
        <w:t>inancial assets and liabilities not measured at fair value as of December 31,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w w:val="97"/>
              </w:rPr>
              <w:t>Quoted Prices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left="10"/>
              <w:spacing w:after="0" w:line="116"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in Active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left="30"/>
              <w:spacing w:after="0" w:line="14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8"/>
              </w:rPr>
              <w:t>Markets for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left="10"/>
              <w:spacing w:after="0" w:line="145"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Identical 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left="30"/>
              <w:spacing w:after="0"/>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ind w:left="80"/>
              <w:spacing w:after="0" w:line="145" w:lineRule="exact"/>
              <w:rPr>
                <w:sz w:val="20"/>
                <w:szCs w:val="20"/>
                <w:color w:val="auto"/>
              </w:rPr>
            </w:pPr>
            <w:r>
              <w:rPr>
                <w:rFonts w:ascii="Arial" w:cs="Arial" w:eastAsia="Arial" w:hAnsi="Arial"/>
                <w:sz w:val="14"/>
                <w:szCs w:val="14"/>
                <w:color w:val="auto"/>
              </w:rPr>
              <w:t>Cash and cash equivalents</w:t>
            </w:r>
          </w:p>
        </w:tc>
        <w:tc>
          <w:tcPr>
            <w:tcW w:w="3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181,415</w:t>
            </w:r>
          </w:p>
        </w:tc>
        <w:tc>
          <w:tcPr>
            <w:tcW w:w="3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181,415</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181,415</w:t>
            </w:r>
          </w:p>
        </w:tc>
        <w:tc>
          <w:tcPr>
            <w:tcW w:w="240" w:type="dxa"/>
            <w:vAlign w:val="bottom"/>
          </w:tcPr>
          <w:p>
            <w:pPr>
              <w:spacing w:after="0"/>
              <w:rPr>
                <w:sz w:val="12"/>
                <w:szCs w:val="12"/>
                <w:color w:val="auto"/>
              </w:rPr>
            </w:pP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5"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ind w:left="80"/>
              <w:spacing w:after="0" w:line="145" w:lineRule="exact"/>
              <w:rPr>
                <w:sz w:val="20"/>
                <w:szCs w:val="20"/>
                <w:color w:val="auto"/>
              </w:rPr>
            </w:pPr>
            <w:r>
              <w:rPr>
                <w:rFonts w:ascii="Arial" w:cs="Arial" w:eastAsia="Arial" w:hAnsi="Arial"/>
                <w:sz w:val="14"/>
                <w:szCs w:val="14"/>
                <w:color w:val="auto"/>
              </w:rPr>
              <w:t>Securities borrowed</w:t>
            </w:r>
          </w:p>
        </w:tc>
        <w:tc>
          <w:tcPr>
            <w:tcW w:w="3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220,005</w:t>
            </w:r>
          </w:p>
        </w:tc>
        <w:tc>
          <w:tcPr>
            <w:tcW w:w="3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220,005</w:t>
            </w:r>
          </w:p>
        </w:tc>
        <w:tc>
          <w:tcPr>
            <w:tcW w:w="3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220,005</w:t>
            </w:r>
          </w:p>
        </w:tc>
        <w:tc>
          <w:tcPr>
            <w:tcW w:w="180" w:type="dxa"/>
            <w:vAlign w:val="bottom"/>
          </w:tcPr>
          <w:p>
            <w:pPr>
              <w:spacing w:after="0"/>
              <w:rPr>
                <w:sz w:val="12"/>
                <w:szCs w:val="12"/>
                <w:color w:val="auto"/>
              </w:rPr>
            </w:pP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Pr>
          <w:p>
            <w:pPr>
              <w:ind w:left="80"/>
              <w:spacing w:after="0" w:line="127" w:lineRule="exact"/>
              <w:rPr>
                <w:sz w:val="20"/>
                <w:szCs w:val="20"/>
                <w:color w:val="auto"/>
              </w:rPr>
            </w:pPr>
            <w:r>
              <w:rPr>
                <w:rFonts w:ascii="Arial" w:cs="Arial" w:eastAsia="Arial" w:hAnsi="Arial"/>
                <w:sz w:val="14"/>
                <w:szCs w:val="14"/>
                <w:color w:val="auto"/>
              </w:rPr>
              <w:t>Receivables from broker dealers and clearing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ind w:left="8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448,728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972,018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972,018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Total Assets</w:t>
            </w:r>
          </w:p>
        </w:tc>
        <w:tc>
          <w:tcPr>
            <w:tcW w:w="220" w:type="dxa"/>
            <w:vAlign w:val="bottom"/>
          </w:tcPr>
          <w:p>
            <w:pPr>
              <w:spacing w:after="0"/>
              <w:rPr>
                <w:sz w:val="12"/>
                <w:szCs w:val="12"/>
                <w:color w:val="auto"/>
              </w:rPr>
            </w:pPr>
          </w:p>
        </w:tc>
        <w:tc>
          <w:tcPr>
            <w:tcW w:w="10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60"/>
              <w:spacing w:after="0" w:line="139" w:lineRule="exact"/>
              <w:rPr>
                <w:sz w:val="20"/>
                <w:szCs w:val="20"/>
                <w:color w:val="auto"/>
              </w:rPr>
            </w:pPr>
            <w:r>
              <w:rPr>
                <w:rFonts w:ascii="Arial" w:cs="Arial" w:eastAsia="Arial" w:hAnsi="Arial"/>
                <w:sz w:val="14"/>
                <w:szCs w:val="14"/>
                <w:color w:val="auto"/>
              </w:rPr>
              <w:t>850,148</w:t>
            </w:r>
          </w:p>
        </w:tc>
        <w:tc>
          <w:tcPr>
            <w:tcW w:w="260" w:type="dxa"/>
            <w:vAlign w:val="bottom"/>
          </w:tcPr>
          <w:p>
            <w:pPr>
              <w:spacing w:after="0"/>
              <w:rPr>
                <w:sz w:val="12"/>
                <w:szCs w:val="12"/>
                <w:color w:val="auto"/>
              </w:rPr>
            </w:pPr>
          </w:p>
        </w:tc>
        <w:tc>
          <w:tcPr>
            <w:tcW w:w="10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1,373,438</w:t>
            </w:r>
          </w:p>
        </w:tc>
        <w:tc>
          <w:tcPr>
            <w:tcW w:w="260" w:type="dxa"/>
            <w:vAlign w:val="bottom"/>
          </w:tcPr>
          <w:p>
            <w:pPr>
              <w:spacing w:after="0"/>
              <w:rPr>
                <w:sz w:val="12"/>
                <w:szCs w:val="12"/>
                <w:color w:val="auto"/>
              </w:rPr>
            </w:pPr>
          </w:p>
        </w:tc>
        <w:tc>
          <w:tcPr>
            <w:tcW w:w="12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181,415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39" w:lineRule="exact"/>
              <w:rPr>
                <w:sz w:val="20"/>
                <w:szCs w:val="20"/>
                <w:color w:val="auto"/>
              </w:rPr>
            </w:pPr>
            <w:r>
              <w:rPr>
                <w:rFonts w:ascii="Arial" w:cs="Arial" w:eastAsia="Arial" w:hAnsi="Arial"/>
                <w:sz w:val="14"/>
                <w:szCs w:val="14"/>
                <w:color w:val="auto"/>
              </w:rPr>
              <w:t>1,192,023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260" w:type="dxa"/>
            <w:vAlign w:val="bottom"/>
          </w:tcPr>
          <w:p>
            <w:pPr>
              <w:spacing w:after="0" w:line="145" w:lineRule="exact"/>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Short-term borrowings</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25,000</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25,000</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25,000</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Long-term borrowings</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564,957</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564,957</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564,957</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Securities loaned</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222,203</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222,203</w:t>
            </w:r>
          </w:p>
        </w:tc>
        <w:tc>
          <w:tcPr>
            <w:tcW w:w="3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222,203</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6"/>
              </w:rPr>
              <w:t>Payables to broker dealer and clearing organizations</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695,978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695,978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695,978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8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gridSpan w:val="2"/>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1,508,138</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1,508,138</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1,508,138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100"/>
          </w:cols>
          <w:pgMar w:left="1420" w:top="127" w:right="137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presents the changes in Level 3 financial instruments measured at fair value on a recurring basis: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1"/>
          </w:tcPr>
          <w:p>
            <w:pPr>
              <w:jc w:val="right"/>
              <w:ind w:right="220"/>
              <w:spacing w:after="0"/>
              <w:rPr>
                <w:sz w:val="20"/>
                <w:szCs w:val="20"/>
                <w:color w:val="auto"/>
              </w:rPr>
            </w:pPr>
            <w:r>
              <w:rPr>
                <w:rFonts w:ascii="Arial" w:cs="Arial" w:eastAsia="Arial" w:hAnsi="Arial"/>
                <w:sz w:val="14"/>
                <w:szCs w:val="14"/>
                <w:b w:val="1"/>
                <w:bCs w:val="1"/>
                <w:color w:val="auto"/>
                <w:w w:val="94"/>
              </w:rPr>
              <w:t>Year Ended December 31, 2017</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90"/>
              <w:spacing w:after="0" w:line="116" w:lineRule="exact"/>
              <w:rPr>
                <w:sz w:val="20"/>
                <w:szCs w:val="20"/>
                <w:color w:val="auto"/>
              </w:rPr>
            </w:pPr>
            <w:r>
              <w:rPr>
                <w:rFonts w:ascii="Arial" w:cs="Arial" w:eastAsia="Arial" w:hAnsi="Arial"/>
                <w:sz w:val="13"/>
                <w:szCs w:val="13"/>
                <w:b w:val="1"/>
                <w:bCs w:val="1"/>
                <w:color w:val="auto"/>
                <w:w w:val="98"/>
              </w:rPr>
              <w:t>Change in 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Unrealized Gains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85"/>
              </w:rPr>
              <w:t>/ (Losses) 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right"/>
              <w:ind w:right="29"/>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restart"/>
          </w:tcPr>
          <w:p>
            <w:pPr>
              <w:jc w:val="right"/>
              <w:ind w:right="9"/>
              <w:spacing w:after="0"/>
              <w:rPr>
                <w:sz w:val="20"/>
                <w:szCs w:val="20"/>
                <w:color w:val="auto"/>
              </w:rPr>
            </w:pPr>
            <w:r>
              <w:rPr>
                <w:rFonts w:ascii="Arial" w:cs="Arial" w:eastAsia="Arial" w:hAnsi="Arial"/>
                <w:sz w:val="14"/>
                <w:szCs w:val="14"/>
                <w:b w:val="1"/>
                <w:bCs w:val="1"/>
                <w:color w:val="auto"/>
                <w:w w:val="95"/>
              </w:rPr>
              <w:t>Total Realized</w:t>
            </w:r>
          </w:p>
        </w:tc>
        <w:tc>
          <w:tcPr>
            <w:tcW w:w="40" w:type="dxa"/>
            <w:vAlign w:val="bottom"/>
          </w:tcPr>
          <w:p>
            <w:pPr>
              <w:spacing w:after="0"/>
              <w:rPr>
                <w:sz w:val="12"/>
                <w:szCs w:val="12"/>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Net Transfers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8"/>
              </w:rPr>
              <w:t>Balance at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90"/>
              </w:rPr>
              <w:t>still held 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840" w:type="dxa"/>
            <w:vAlign w:val="bottom"/>
            <w:gridSpan w:val="4"/>
          </w:tcPr>
          <w:p>
            <w:pPr>
              <w:ind w:left="20"/>
              <w:spacing w:after="0" w:line="145"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6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4"/>
              </w:rPr>
              <w:t>Purchases</w:t>
            </w:r>
          </w:p>
        </w:tc>
        <w:tc>
          <w:tcPr>
            <w:tcW w:w="40" w:type="dxa"/>
            <w:vAlign w:val="bottom"/>
          </w:tcPr>
          <w:p>
            <w:pPr>
              <w:spacing w:after="0"/>
              <w:rPr>
                <w:sz w:val="12"/>
                <w:szCs w:val="12"/>
                <w:color w:val="auto"/>
              </w:rPr>
            </w:pPr>
          </w:p>
        </w:tc>
        <w:tc>
          <w:tcPr>
            <w:tcW w:w="100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w w:val="94"/>
              </w:rPr>
              <w:t>and Unrealized</w:t>
            </w:r>
          </w:p>
        </w:tc>
        <w:tc>
          <w:tcPr>
            <w:tcW w:w="40" w:type="dxa"/>
            <w:vAlign w:val="bottom"/>
          </w:tcPr>
          <w:p>
            <w:pPr>
              <w:spacing w:after="0"/>
              <w:rPr>
                <w:sz w:val="12"/>
                <w:szCs w:val="12"/>
                <w:color w:val="auto"/>
              </w:rPr>
            </w:pPr>
          </w:p>
        </w:tc>
        <w:tc>
          <w:tcPr>
            <w:tcW w:w="8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89"/>
              </w:rPr>
              <w:t>into (out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9"/>
              </w:rPr>
              <w:t>Settlement</w:t>
            </w:r>
          </w:p>
        </w:tc>
        <w:tc>
          <w:tcPr>
            <w:tcW w:w="8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89"/>
              </w:rPr>
              <w:t>December 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89"/>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Gains / (Losses)</w:t>
            </w:r>
          </w:p>
        </w:tc>
        <w:tc>
          <w:tcPr>
            <w:tcW w:w="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Level 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line="145"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Equity investment</w:t>
            </w:r>
          </w:p>
        </w:tc>
        <w:tc>
          <w:tcPr>
            <w:tcW w:w="16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36,031</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329"/>
              <w:spacing w:after="0" w:line="14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4,557</w:t>
            </w:r>
          </w:p>
        </w:tc>
        <w:tc>
          <w:tcPr>
            <w:tcW w:w="580" w:type="dxa"/>
            <w:vAlign w:val="bottom"/>
            <w:gridSpan w:val="2"/>
            <w:shd w:val="clear" w:color="auto" w:fill="CCEEFF"/>
          </w:tcPr>
          <w:p>
            <w:pPr>
              <w:jc w:val="right"/>
              <w:ind w:right="415"/>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ind w:left="40"/>
              <w:spacing w:after="0" w:line="145" w:lineRule="exact"/>
              <w:rPr>
                <w:sz w:val="20"/>
                <w:szCs w:val="20"/>
                <w:color w:val="auto"/>
              </w:rPr>
            </w:pPr>
            <w:r>
              <w:rPr>
                <w:rFonts w:ascii="Arial" w:cs="Arial" w:eastAsia="Arial" w:hAnsi="Arial"/>
                <w:sz w:val="14"/>
                <w:szCs w:val="14"/>
                <w:color w:val="auto"/>
                <w:w w:val="99"/>
              </w:rPr>
              <w:t>—</w:t>
            </w:r>
          </w:p>
        </w:tc>
        <w:tc>
          <w:tcPr>
            <w:tcW w:w="260" w:type="dxa"/>
            <w:vAlign w:val="bottom"/>
            <w:gridSpan w:val="3"/>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540" w:type="dxa"/>
            <w:vAlign w:val="bottom"/>
            <w:tcBorders>
              <w:right w:val="single" w:sz="8" w:color="CCEEFF"/>
            </w:tcBorders>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40,588</w:t>
            </w:r>
          </w:p>
        </w:tc>
        <w:tc>
          <w:tcPr>
            <w:tcW w:w="4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ind w:left="620"/>
              <w:spacing w:after="0" w:line="145" w:lineRule="exact"/>
              <w:rPr>
                <w:sz w:val="20"/>
                <w:szCs w:val="20"/>
                <w:color w:val="auto"/>
              </w:rPr>
            </w:pPr>
            <w:r>
              <w:rPr>
                <w:rFonts w:ascii="Arial" w:cs="Arial" w:eastAsia="Arial" w:hAnsi="Arial"/>
                <w:sz w:val="14"/>
                <w:szCs w:val="14"/>
                <w:color w:val="auto"/>
              </w:rPr>
              <w:t>4,557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00"/>
              <w:spacing w:after="0" w:line="145"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3,000</w:t>
            </w: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ind w:left="78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70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3"/>
            <w:shd w:val="clear" w:color="auto" w:fill="CCEEFF"/>
          </w:tcPr>
          <w:p>
            <w:pPr>
              <w:jc w:val="right"/>
              <w:spacing w:after="0" w:line="139" w:lineRule="exact"/>
              <w:rPr>
                <w:sz w:val="20"/>
                <w:szCs w:val="20"/>
                <w:color w:val="auto"/>
              </w:rPr>
            </w:pPr>
            <w:r>
              <w:rPr>
                <w:rFonts w:ascii="Arial" w:cs="Arial" w:eastAsia="Arial" w:hAnsi="Arial"/>
                <w:sz w:val="14"/>
                <w:szCs w:val="14"/>
                <w:color w:val="auto"/>
              </w:rPr>
              <w:t>36,031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gridSpan w:val="3"/>
            <w:shd w:val="clear" w:color="auto" w:fill="CCEEFF"/>
          </w:tcPr>
          <w:p>
            <w:pPr>
              <w:jc w:val="right"/>
              <w:spacing w:after="0" w:line="139" w:lineRule="exact"/>
              <w:rPr>
                <w:sz w:val="20"/>
                <w:szCs w:val="20"/>
                <w:color w:val="auto"/>
              </w:rPr>
            </w:pPr>
            <w:r>
              <w:rPr>
                <w:rFonts w:ascii="Arial" w:cs="Arial" w:eastAsia="Arial" w:hAnsi="Arial"/>
                <w:sz w:val="14"/>
                <w:szCs w:val="14"/>
                <w:color w:val="auto"/>
              </w:rPr>
              <w:t>3,000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29"/>
              <w:spacing w:after="0" w:line="13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4,557</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ind w:left="40"/>
              <w:spacing w:after="0" w:line="139" w:lineRule="exact"/>
              <w:rPr>
                <w:sz w:val="20"/>
                <w:szCs w:val="20"/>
                <w:color w:val="auto"/>
              </w:rPr>
            </w:pPr>
            <w:r>
              <w:rPr>
                <w:rFonts w:ascii="Arial" w:cs="Arial" w:eastAsia="Arial" w:hAnsi="Arial"/>
                <w:sz w:val="14"/>
                <w:szCs w:val="14"/>
                <w:color w:val="auto"/>
                <w:w w:val="99"/>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right w:val="single" w:sz="8" w:color="CCEEFF"/>
            </w:tcBorders>
            <w:gridSpan w:val="2"/>
            <w:shd w:val="clear" w:color="auto" w:fill="CCEEFF"/>
          </w:tcPr>
          <w:p>
            <w:pPr>
              <w:jc w:val="right"/>
              <w:ind w:right="40"/>
              <w:spacing w:after="0" w:line="139" w:lineRule="exact"/>
              <w:rPr>
                <w:sz w:val="20"/>
                <w:szCs w:val="20"/>
                <w:color w:val="auto"/>
              </w:rPr>
            </w:pPr>
            <w:r>
              <w:rPr>
                <w:rFonts w:ascii="Arial" w:cs="Arial" w:eastAsia="Arial" w:hAnsi="Arial"/>
                <w:sz w:val="14"/>
                <w:szCs w:val="14"/>
                <w:color w:val="auto"/>
              </w:rPr>
              <w:t>(3,000)</w:t>
            </w: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40,588</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right w:val="single" w:sz="8" w:color="CCEEFF"/>
            </w:tcBorders>
            <w:shd w:val="clear" w:color="auto" w:fill="CCEEFF"/>
          </w:tcPr>
          <w:p>
            <w:pPr>
              <w:ind w:left="620"/>
              <w:spacing w:after="0" w:line="139" w:lineRule="exact"/>
              <w:rPr>
                <w:sz w:val="20"/>
                <w:szCs w:val="20"/>
                <w:color w:val="auto"/>
              </w:rPr>
            </w:pPr>
            <w:r>
              <w:rPr>
                <w:rFonts w:ascii="Arial" w:cs="Arial" w:eastAsia="Arial" w:hAnsi="Arial"/>
                <w:sz w:val="14"/>
                <w:szCs w:val="14"/>
                <w:color w:val="auto"/>
              </w:rPr>
              <w:t>4,557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 Ended December 31, 2016</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10"/>
              <w:spacing w:after="0" w:line="116" w:lineRule="exact"/>
              <w:rPr>
                <w:sz w:val="20"/>
                <w:szCs w:val="20"/>
                <w:color w:val="auto"/>
              </w:rPr>
            </w:pPr>
            <w:r>
              <w:rPr>
                <w:rFonts w:ascii="Arial" w:cs="Arial" w:eastAsia="Arial" w:hAnsi="Arial"/>
                <w:sz w:val="13"/>
                <w:szCs w:val="13"/>
                <w:b w:val="1"/>
                <w:bCs w:val="1"/>
                <w:color w:val="auto"/>
                <w:w w:val="98"/>
              </w:rPr>
              <w:t>Change in Net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Unrealized Gains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5"/>
              </w:rPr>
              <w:t>/ (Losses) 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Total Realized</w:t>
            </w:r>
          </w:p>
        </w:tc>
        <w:tc>
          <w:tcPr>
            <w:tcW w:w="100" w:type="dxa"/>
            <w:vAlign w:val="bottom"/>
          </w:tcPr>
          <w:p>
            <w:pPr>
              <w:spacing w:after="0"/>
              <w:rPr>
                <w:sz w:val="12"/>
                <w:szCs w:val="12"/>
                <w:color w:val="auto"/>
              </w:rPr>
            </w:pPr>
          </w:p>
        </w:tc>
        <w:tc>
          <w:tcPr>
            <w:tcW w:w="10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Net Transfers</w:t>
            </w: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90"/>
              </w:rPr>
              <w:t>still held 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Pr>
          <w:p>
            <w:pPr>
              <w:spacing w:after="0"/>
              <w:rPr>
                <w:sz w:val="12"/>
                <w:szCs w:val="12"/>
                <w:color w:val="auto"/>
              </w:rPr>
            </w:pPr>
          </w:p>
        </w:tc>
        <w:tc>
          <w:tcPr>
            <w:tcW w:w="10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2"/>
              </w:rPr>
              <w:t>and Unrealized</w:t>
            </w:r>
          </w:p>
        </w:tc>
        <w:tc>
          <w:tcPr>
            <w:tcW w:w="100" w:type="dxa"/>
            <w:vAlign w:val="bottom"/>
          </w:tcPr>
          <w:p>
            <w:pPr>
              <w:spacing w:after="0"/>
              <w:rPr>
                <w:sz w:val="12"/>
                <w:szCs w:val="12"/>
                <w:color w:val="auto"/>
              </w:rPr>
            </w:pPr>
          </w:p>
        </w:tc>
        <w:tc>
          <w:tcPr>
            <w:tcW w:w="1000" w:type="dxa"/>
            <w:vAlign w:val="bottom"/>
            <w:gridSpan w:val="6"/>
          </w:tcPr>
          <w:p>
            <w:pPr>
              <w:jc w:val="right"/>
              <w:ind w:right="220"/>
              <w:spacing w:after="0" w:line="145" w:lineRule="exact"/>
              <w:rPr>
                <w:sz w:val="20"/>
                <w:szCs w:val="20"/>
                <w:color w:val="auto"/>
              </w:rPr>
            </w:pPr>
            <w:r>
              <w:rPr>
                <w:rFonts w:ascii="Arial" w:cs="Arial" w:eastAsia="Arial" w:hAnsi="Arial"/>
                <w:sz w:val="14"/>
                <w:szCs w:val="14"/>
                <w:b w:val="1"/>
                <w:bCs w:val="1"/>
                <w:color w:val="auto"/>
                <w:w w:val="97"/>
              </w:rPr>
              <w:t>into (out of)</w:t>
            </w:r>
          </w:p>
        </w:tc>
        <w:tc>
          <w:tcPr>
            <w:tcW w:w="82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7"/>
              </w:rPr>
              <w:t>December 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Gains / (Losses)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8"/>
              </w:rPr>
              <w:t>Level 3</w:t>
            </w:r>
          </w:p>
        </w:tc>
        <w:tc>
          <w:tcPr>
            <w:tcW w:w="100" w:type="dxa"/>
            <w:vAlign w:val="bottom"/>
          </w:tcPr>
          <w:p>
            <w:pPr>
              <w:spacing w:after="0"/>
              <w:rPr>
                <w:sz w:val="14"/>
                <w:szCs w:val="14"/>
                <w:color w:val="auto"/>
              </w:rPr>
            </w:pPr>
          </w:p>
        </w:tc>
        <w:tc>
          <w:tcPr>
            <w:tcW w:w="680" w:type="dxa"/>
            <w:vAlign w:val="bottom"/>
          </w:tcPr>
          <w:p>
            <w:pPr>
              <w:jc w:val="center"/>
              <w:ind w:right="49"/>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line="145"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Equity investment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69"/>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ind w:left="60"/>
              <w:spacing w:after="0" w:line="145"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w w:val="97"/>
              </w:rPr>
              <w:t>38,754</w:t>
            </w:r>
          </w:p>
        </w:tc>
        <w:tc>
          <w:tcPr>
            <w:tcW w:w="520" w:type="dxa"/>
            <w:vAlign w:val="bottom"/>
            <w:gridSpan w:val="2"/>
            <w:shd w:val="clear" w:color="auto" w:fill="CCEEFF"/>
          </w:tcPr>
          <w:p>
            <w:pPr>
              <w:jc w:val="right"/>
              <w:ind w:right="269"/>
              <w:spacing w:after="0" w:line="145"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(3,117)</w:t>
            </w:r>
          </w:p>
        </w:tc>
        <w:tc>
          <w:tcPr>
            <w:tcW w:w="300" w:type="dxa"/>
            <w:vAlign w:val="bottom"/>
            <w:gridSpan w:val="2"/>
            <w:shd w:val="clear" w:color="auto" w:fill="CCEEFF"/>
          </w:tcPr>
          <w:p>
            <w:pPr>
              <w:ind w:left="100"/>
              <w:spacing w:after="0" w:line="14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394</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ind w:right="2"/>
              <w:spacing w:after="0"/>
              <w:rPr>
                <w:sz w:val="20"/>
                <w:szCs w:val="20"/>
                <w:color w:val="auto"/>
              </w:rPr>
            </w:pPr>
            <w:r>
              <w:rPr>
                <w:rFonts w:ascii="Arial" w:cs="Arial" w:eastAsia="Arial" w:hAnsi="Arial"/>
                <w:sz w:val="5"/>
                <w:szCs w:val="5"/>
                <w:color w:val="auto"/>
                <w:w w:val="70"/>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36,031</w:t>
            </w:r>
          </w:p>
        </w:tc>
        <w:tc>
          <w:tcPr>
            <w:tcW w:w="4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CCEEFF"/>
            </w:tcBorders>
            <w:shd w:val="clear" w:color="auto" w:fill="CCEEFF"/>
          </w:tcPr>
          <w:p>
            <w:pPr>
              <w:ind w:left="620"/>
              <w:spacing w:after="0" w:line="145" w:lineRule="exact"/>
              <w:rPr>
                <w:sz w:val="20"/>
                <w:szCs w:val="20"/>
                <w:color w:val="auto"/>
              </w:rPr>
            </w:pPr>
            <w:r>
              <w:rPr>
                <w:rFonts w:ascii="Arial" w:cs="Arial" w:eastAsia="Arial" w:hAnsi="Arial"/>
                <w:sz w:val="14"/>
                <w:szCs w:val="14"/>
                <w:color w:val="auto"/>
                <w:w w:val="81"/>
              </w:rPr>
              <w:t>(3,117)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line="145" w:lineRule="exact"/>
              <w:rPr>
                <w:sz w:val="20"/>
                <w:szCs w:val="20"/>
                <w:color w:val="auto"/>
              </w:rPr>
            </w:pPr>
            <w:r>
              <w:rPr>
                <w:rFonts w:ascii="Arial" w:cs="Arial" w:eastAsia="Arial" w:hAnsi="Arial"/>
                <w:sz w:val="14"/>
                <w:szCs w:val="14"/>
                <w:color w:val="auto"/>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420" w:type="dxa"/>
            <w:vAlign w:val="bottom"/>
          </w:tcPr>
          <w:p>
            <w:pPr>
              <w:jc w:val="right"/>
              <w:ind w:right="269"/>
              <w:spacing w:after="0" w:line="145"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ind w:left="80"/>
              <w:spacing w:after="0" w:line="145" w:lineRule="exact"/>
              <w:rPr>
                <w:sz w:val="20"/>
                <w:szCs w:val="20"/>
                <w:color w:val="auto"/>
              </w:rPr>
            </w:pPr>
            <w:r>
              <w:rPr>
                <w:rFonts w:ascii="Arial" w:cs="Arial" w:eastAsia="Arial" w:hAnsi="Arial"/>
                <w:sz w:val="14"/>
                <w:szCs w:val="14"/>
                <w:color w:val="auto"/>
                <w:w w:val="97"/>
              </w:rPr>
              <w:t>38,754</w:t>
            </w:r>
          </w:p>
        </w:tc>
        <w:tc>
          <w:tcPr>
            <w:tcW w:w="100" w:type="dxa"/>
            <w:vAlign w:val="bottom"/>
          </w:tcPr>
          <w:p>
            <w:pPr>
              <w:spacing w:after="0"/>
              <w:rPr>
                <w:sz w:val="12"/>
                <w:szCs w:val="12"/>
                <w:color w:val="auto"/>
              </w:rPr>
            </w:pPr>
          </w:p>
        </w:tc>
        <w:tc>
          <w:tcPr>
            <w:tcW w:w="420" w:type="dxa"/>
            <w:vAlign w:val="bottom"/>
          </w:tcPr>
          <w:p>
            <w:pPr>
              <w:jc w:val="right"/>
              <w:ind w:right="269"/>
              <w:spacing w:after="0" w:line="14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(3,117)</w:t>
            </w:r>
          </w:p>
        </w:tc>
        <w:tc>
          <w:tcPr>
            <w:tcW w:w="30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394</w:t>
            </w:r>
          </w:p>
        </w:tc>
        <w:tc>
          <w:tcPr>
            <w:tcW w:w="140" w:type="dxa"/>
            <w:vAlign w:val="bottom"/>
          </w:tcPr>
          <w:p>
            <w:pPr>
              <w:spacing w:after="0"/>
              <w:rPr>
                <w:sz w:val="12"/>
                <w:szCs w:val="12"/>
                <w:color w:val="auto"/>
              </w:rPr>
            </w:pPr>
          </w:p>
        </w:tc>
        <w:tc>
          <w:tcPr>
            <w:tcW w:w="100" w:type="dxa"/>
            <w:vAlign w:val="bottom"/>
          </w:tcPr>
          <w:p>
            <w:pPr>
              <w:jc w:val="right"/>
              <w:ind w:right="2"/>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36,031</w:t>
            </w:r>
          </w:p>
        </w:tc>
        <w:tc>
          <w:tcPr>
            <w:tcW w:w="40" w:type="dxa"/>
            <w:vAlign w:val="bottom"/>
          </w:tcPr>
          <w:p>
            <w:pPr>
              <w:spacing w:after="0"/>
              <w:rPr>
                <w:sz w:val="12"/>
                <w:szCs w:val="12"/>
                <w:color w:val="auto"/>
              </w:rPr>
            </w:pPr>
          </w:p>
        </w:tc>
        <w:tc>
          <w:tcPr>
            <w:tcW w:w="16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w:t>
            </w:r>
          </w:p>
        </w:tc>
        <w:tc>
          <w:tcPr>
            <w:tcW w:w="1020" w:type="dxa"/>
            <w:vAlign w:val="bottom"/>
          </w:tcPr>
          <w:p>
            <w:pPr>
              <w:ind w:left="620"/>
              <w:spacing w:after="0" w:line="145" w:lineRule="exact"/>
              <w:rPr>
                <w:sz w:val="20"/>
                <w:szCs w:val="20"/>
                <w:color w:val="auto"/>
              </w:rPr>
            </w:pPr>
            <w:r>
              <w:rPr>
                <w:rFonts w:ascii="Arial" w:cs="Arial" w:eastAsia="Arial" w:hAnsi="Arial"/>
                <w:sz w:val="14"/>
                <w:szCs w:val="14"/>
                <w:color w:val="auto"/>
                <w:w w:val="81"/>
              </w:rPr>
              <w:t>(3,117)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Financial Assets and Liabilities</w:t>
      </w:r>
    </w:p>
    <w:p>
      <w:pPr>
        <w:spacing w:after="0" w:line="216" w:lineRule="exact"/>
        <w:rPr>
          <w:sz w:val="20"/>
          <w:szCs w:val="20"/>
          <w:color w:val="auto"/>
        </w:rPr>
      </w:pPr>
    </w:p>
    <w:p>
      <w:pPr>
        <w:ind w:right="340" w:firstLine="635"/>
        <w:spacing w:after="0" w:line="308" w:lineRule="auto"/>
        <w:rPr>
          <w:sz w:val="20"/>
          <w:szCs w:val="20"/>
          <w:color w:val="auto"/>
        </w:rPr>
      </w:pPr>
      <w:r>
        <w:rPr>
          <w:rFonts w:ascii="Arial" w:cs="Arial" w:eastAsia="Arial" w:hAnsi="Arial"/>
          <w:sz w:val="15"/>
          <w:szCs w:val="15"/>
          <w:color w:val="auto"/>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53" w:lineRule="exact"/>
        <w:rPr>
          <w:sz w:val="20"/>
          <w:szCs w:val="20"/>
          <w:color w:val="auto"/>
        </w:rPr>
      </w:pPr>
    </w:p>
    <w:p>
      <w:pPr>
        <w:ind w:right="360" w:firstLine="635"/>
        <w:spacing w:after="0" w:line="264" w:lineRule="auto"/>
        <w:rPr>
          <w:sz w:val="20"/>
          <w:szCs w:val="20"/>
          <w:color w:val="auto"/>
        </w:rPr>
      </w:pPr>
      <w:r>
        <w:rPr>
          <w:rFonts w:ascii="Arial" w:cs="Arial" w:eastAsia="Arial" w:hAnsi="Arial"/>
          <w:sz w:val="18"/>
          <w:szCs w:val="18"/>
          <w:color w:val="auto"/>
        </w:rPr>
        <w:t>The following tables set forth the gross and net presentation of certain financial assets and financial liabilities as of December 31, 2017 and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87"/>
              </w:rPr>
              <w:t>Gross Amounts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center"/>
              <w:ind w:right="30"/>
              <w:spacing w:after="0"/>
              <w:rPr>
                <w:sz w:val="20"/>
                <w:szCs w:val="20"/>
                <w:color w:val="auto"/>
              </w:rPr>
            </w:pPr>
            <w:r>
              <w:rPr>
                <w:rFonts w:ascii="Arial" w:cs="Arial" w:eastAsia="Arial" w:hAnsi="Arial"/>
                <w:sz w:val="14"/>
                <w:szCs w:val="14"/>
                <w:b w:val="1"/>
                <w:bCs w:val="1"/>
                <w:color w:val="auto"/>
                <w:w w:val="90"/>
              </w:rPr>
              <w:t>Net Amounts of</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50"/>
              <w:spacing w:after="0" w:line="145" w:lineRule="exact"/>
              <w:rPr>
                <w:sz w:val="20"/>
                <w:szCs w:val="20"/>
                <w:color w:val="auto"/>
              </w:rPr>
            </w:pPr>
            <w:r>
              <w:rPr>
                <w:rFonts w:ascii="Arial" w:cs="Arial" w:eastAsia="Arial" w:hAnsi="Arial"/>
                <w:sz w:val="14"/>
                <w:szCs w:val="14"/>
                <w:b w:val="1"/>
                <w:bCs w:val="1"/>
                <w:color w:val="auto"/>
                <w:w w:val="85"/>
              </w:rPr>
              <w:t>Assets Presented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89"/>
              </w:rPr>
              <w:t>Gross Amounts Not Offset In the</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50"/>
              <w:spacing w:after="0" w:line="145" w:lineRule="exact"/>
              <w:rPr>
                <w:sz w:val="20"/>
                <w:szCs w:val="20"/>
                <w:color w:val="auto"/>
              </w:rPr>
            </w:pPr>
            <w:r>
              <w:rPr>
                <w:rFonts w:ascii="Arial" w:cs="Arial" w:eastAsia="Arial" w:hAnsi="Arial"/>
                <w:sz w:val="14"/>
                <w:szCs w:val="14"/>
                <w:b w:val="1"/>
                <w:bCs w:val="1"/>
                <w:color w:val="auto"/>
                <w:w w:val="90"/>
              </w:rPr>
              <w:t>Offset in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90"/>
              </w:rPr>
              <w:t>in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0"/>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4"/>
                <w:szCs w:val="14"/>
                <w:color w:val="auto"/>
              </w:rPr>
            </w:pPr>
          </w:p>
        </w:tc>
        <w:tc>
          <w:tcPr>
            <w:tcW w:w="22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Statement of Financial Condition</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ind w:right="30"/>
              <w:spacing w:after="0" w:line="116" w:lineRule="exact"/>
              <w:rPr>
                <w:sz w:val="20"/>
                <w:szCs w:val="20"/>
                <w:color w:val="auto"/>
              </w:rPr>
            </w:pPr>
            <w:r>
              <w:rPr>
                <w:rFonts w:ascii="Arial" w:cs="Arial" w:eastAsia="Arial" w:hAnsi="Arial"/>
                <w:sz w:val="13"/>
                <w:szCs w:val="13"/>
                <w:b w:val="1"/>
                <w:bCs w:val="1"/>
                <w:color w:val="auto"/>
                <w:w w:val="94"/>
              </w:rPr>
              <w:t>of Recognized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70"/>
              <w:spacing w:after="0" w:line="116" w:lineRule="exact"/>
              <w:rPr>
                <w:sz w:val="20"/>
                <w:szCs w:val="20"/>
                <w:color w:val="auto"/>
              </w:rPr>
            </w:pPr>
            <w:r>
              <w:rPr>
                <w:rFonts w:ascii="Arial" w:cs="Arial" w:eastAsia="Arial" w:hAnsi="Arial"/>
                <w:sz w:val="13"/>
                <w:szCs w:val="13"/>
                <w:b w:val="1"/>
                <w:bCs w:val="1"/>
                <w:color w:val="auto"/>
                <w:w w:val="96"/>
              </w:rPr>
              <w:t>Statement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50"/>
              <w:spacing w:after="0" w:line="116" w:lineRule="exact"/>
              <w:rPr>
                <w:sz w:val="20"/>
                <w:szCs w:val="20"/>
                <w:color w:val="auto"/>
              </w:rPr>
            </w:pPr>
            <w:r>
              <w:rPr>
                <w:rFonts w:ascii="Arial" w:cs="Arial" w:eastAsia="Arial" w:hAnsi="Arial"/>
                <w:sz w:val="13"/>
                <w:szCs w:val="13"/>
                <w:b w:val="1"/>
                <w:bCs w:val="1"/>
                <w:color w:val="auto"/>
                <w:w w:val="96"/>
              </w:rPr>
              <w:t>Statement of</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50"/>
              <w:spacing w:after="0" w:line="116" w:lineRule="exact"/>
              <w:rPr>
                <w:sz w:val="20"/>
                <w:szCs w:val="20"/>
                <w:color w:val="auto"/>
              </w:rPr>
            </w:pPr>
            <w:r>
              <w:rPr>
                <w:rFonts w:ascii="Arial" w:cs="Arial" w:eastAsia="Arial" w:hAnsi="Arial"/>
                <w:sz w:val="13"/>
                <w:szCs w:val="13"/>
                <w:b w:val="1"/>
                <w:bCs w:val="1"/>
                <w:color w:val="auto"/>
              </w:rPr>
              <w:t>Financial</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spacing w:after="0" w:line="116" w:lineRule="exact"/>
              <w:rPr>
                <w:sz w:val="20"/>
                <w:szCs w:val="20"/>
                <w:color w:val="auto"/>
              </w:rPr>
            </w:pPr>
            <w:r>
              <w:rPr>
                <w:rFonts w:ascii="Arial" w:cs="Arial" w:eastAsia="Arial" w:hAnsi="Arial"/>
                <w:sz w:val="13"/>
                <w:szCs w:val="13"/>
                <w:b w:val="1"/>
                <w:bCs w:val="1"/>
                <w:color w:val="auto"/>
              </w:rPr>
              <w:t>Cash Collateral</w:t>
            </w:r>
          </w:p>
        </w:tc>
        <w:tc>
          <w:tcPr>
            <w:tcW w:w="8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68"/>
        </w:trPr>
        <w:tc>
          <w:tcPr>
            <w:tcW w:w="2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50"/>
              <w:spacing w:after="0"/>
              <w:rPr>
                <w:sz w:val="20"/>
                <w:szCs w:val="20"/>
                <w:color w:val="auto"/>
              </w:rPr>
            </w:pPr>
            <w:r>
              <w:rPr>
                <w:rFonts w:ascii="Arial" w:cs="Arial" w:eastAsia="Arial" w:hAnsi="Arial"/>
                <w:sz w:val="14"/>
                <w:szCs w:val="14"/>
                <w:b w:val="1"/>
                <w:bCs w:val="1"/>
                <w:color w:val="auto"/>
                <w:w w:val="82"/>
              </w:rPr>
              <w:t>Assets</w:t>
            </w: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Financial Condition</w:t>
            </w:r>
          </w:p>
        </w:tc>
        <w:tc>
          <w:tcPr>
            <w:tcW w:w="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Financial Condition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Received</w:t>
            </w: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1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Offsetting of Financial Assets:</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20" w:type="dxa"/>
            <w:vAlign w:val="bottom"/>
          </w:tcPr>
          <w:p>
            <w:pPr>
              <w:ind w:left="100"/>
              <w:spacing w:after="0" w:line="145" w:lineRule="exact"/>
              <w:rPr>
                <w:sz w:val="20"/>
                <w:szCs w:val="20"/>
                <w:color w:val="auto"/>
              </w:rPr>
            </w:pPr>
            <w:r>
              <w:rPr>
                <w:rFonts w:ascii="Arial" w:cs="Arial" w:eastAsia="Arial" w:hAnsi="Arial"/>
                <w:sz w:val="14"/>
                <w:szCs w:val="14"/>
                <w:color w:val="auto"/>
              </w:rPr>
              <w:t>Securities borrowed</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1,471,172</w:t>
            </w: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1,471,172</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(1,418,672)</w:t>
            </w:r>
          </w:p>
        </w:tc>
        <w:tc>
          <w:tcPr>
            <w:tcW w:w="280" w:type="dxa"/>
            <w:vAlign w:val="bottom"/>
            <w:gridSpan w:val="2"/>
          </w:tcPr>
          <w:p>
            <w:pPr>
              <w:jc w:val="right"/>
              <w:ind w:right="15"/>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(13,318)</w:t>
            </w:r>
          </w:p>
        </w:tc>
        <w:tc>
          <w:tcPr>
            <w:tcW w:w="80" w:type="dxa"/>
            <w:vAlign w:val="bottom"/>
          </w:tcPr>
          <w:p>
            <w:pPr>
              <w:spacing w:after="0"/>
              <w:rPr>
                <w:sz w:val="12"/>
                <w:szCs w:val="12"/>
                <w:color w:val="auto"/>
              </w:rPr>
            </w:pPr>
          </w:p>
        </w:tc>
        <w:tc>
          <w:tcPr>
            <w:tcW w:w="220" w:type="dxa"/>
            <w:vAlign w:val="bottom"/>
          </w:tcPr>
          <w:p>
            <w:pPr>
              <w:jc w:val="right"/>
              <w:ind w:right="69"/>
              <w:spacing w:after="0" w:line="14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39,182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2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Trading assets, at fair value: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20" w:type="dxa"/>
            <w:vAlign w:val="bottom"/>
          </w:tcPr>
          <w:p>
            <w:pPr>
              <w:ind w:left="220"/>
              <w:spacing w:after="0" w:line="145" w:lineRule="exact"/>
              <w:rPr>
                <w:sz w:val="20"/>
                <w:szCs w:val="20"/>
                <w:color w:val="auto"/>
              </w:rPr>
            </w:pPr>
            <w:r>
              <w:rPr>
                <w:rFonts w:ascii="Arial" w:cs="Arial" w:eastAsia="Arial" w:hAnsi="Arial"/>
                <w:sz w:val="14"/>
                <w:szCs w:val="14"/>
                <w:color w:val="auto"/>
              </w:rPr>
              <w:t>Currency forwards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2,045,487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(2,027,697)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17,790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17,790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2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Options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line="145" w:lineRule="exact"/>
              <w:rPr>
                <w:sz w:val="20"/>
                <w:szCs w:val="20"/>
                <w:color w:val="auto"/>
              </w:rPr>
            </w:pPr>
            <w:r>
              <w:rPr>
                <w:rFonts w:ascii="Arial" w:cs="Arial" w:eastAsia="Arial" w:hAnsi="Arial"/>
                <w:sz w:val="14"/>
                <w:szCs w:val="14"/>
                <w:color w:val="auto"/>
              </w:rPr>
              <w:t>Total</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3,523,704</w:t>
            </w:r>
          </w:p>
        </w:tc>
        <w:tc>
          <w:tcPr>
            <w:tcW w:w="2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(2,027,697)</w:t>
            </w:r>
          </w:p>
        </w:tc>
        <w:tc>
          <w:tcPr>
            <w:tcW w:w="1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1,496,007</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(1,418,717)</w:t>
            </w:r>
          </w:p>
        </w:tc>
        <w:tc>
          <w:tcPr>
            <w:tcW w:w="280" w:type="dxa"/>
            <w:vAlign w:val="bottom"/>
            <w:gridSpan w:val="2"/>
          </w:tcPr>
          <w:p>
            <w:pPr>
              <w:jc w:val="right"/>
              <w:ind w:right="15"/>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(13,318)</w:t>
            </w:r>
          </w:p>
        </w:tc>
        <w:tc>
          <w:tcPr>
            <w:tcW w:w="80" w:type="dxa"/>
            <w:vAlign w:val="bottom"/>
          </w:tcPr>
          <w:p>
            <w:pPr>
              <w:spacing w:after="0"/>
              <w:rPr>
                <w:sz w:val="12"/>
                <w:szCs w:val="12"/>
                <w:color w:val="auto"/>
              </w:rPr>
            </w:pPr>
          </w:p>
        </w:tc>
        <w:tc>
          <w:tcPr>
            <w:tcW w:w="220" w:type="dxa"/>
            <w:vAlign w:val="bottom"/>
          </w:tcPr>
          <w:p>
            <w:pPr>
              <w:jc w:val="right"/>
              <w:ind w:right="69"/>
              <w:spacing w:after="0" w:line="14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63,972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100"/>
          </w:cols>
          <w:pgMar w:left="1420" w:top="127" w:right="137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ind w:right="130"/>
              <w:spacing w:after="0"/>
              <w:rPr>
                <w:sz w:val="20"/>
                <w:szCs w:val="20"/>
                <w:color w:val="auto"/>
              </w:rPr>
            </w:pPr>
            <w:r>
              <w:rPr>
                <w:rFonts w:ascii="Arial" w:cs="Arial" w:eastAsia="Arial" w:hAnsi="Arial"/>
                <w:sz w:val="14"/>
                <w:szCs w:val="14"/>
                <w:b w:val="1"/>
                <w:bCs w:val="1"/>
                <w:color w:val="auto"/>
                <w:w w:val="87"/>
              </w:rPr>
              <w:t>Gross Amounts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50"/>
              <w:spacing w:after="0"/>
              <w:rPr>
                <w:sz w:val="20"/>
                <w:szCs w:val="20"/>
                <w:color w:val="auto"/>
              </w:rPr>
            </w:pPr>
            <w:r>
              <w:rPr>
                <w:rFonts w:ascii="Arial" w:cs="Arial" w:eastAsia="Arial" w:hAnsi="Arial"/>
                <w:sz w:val="14"/>
                <w:szCs w:val="14"/>
                <w:b w:val="1"/>
                <w:bCs w:val="1"/>
                <w:color w:val="auto"/>
                <w:w w:val="90"/>
              </w:rPr>
              <w:t>Net Amounts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89"/>
              </w:rPr>
              <w:t>Liabilities Presented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4"/>
            <w:vMerge w:val="restart"/>
          </w:tcPr>
          <w:p>
            <w:pPr>
              <w:jc w:val="right"/>
              <w:ind w:right="29"/>
              <w:spacing w:after="0"/>
              <w:rPr>
                <w:sz w:val="20"/>
                <w:szCs w:val="20"/>
                <w:color w:val="auto"/>
              </w:rPr>
            </w:pPr>
            <w:r>
              <w:rPr>
                <w:rFonts w:ascii="Arial" w:cs="Arial" w:eastAsia="Arial" w:hAnsi="Arial"/>
                <w:sz w:val="14"/>
                <w:szCs w:val="14"/>
                <w:b w:val="1"/>
                <w:bCs w:val="1"/>
                <w:color w:val="auto"/>
                <w:w w:val="89"/>
              </w:rPr>
              <w:t>Gross Amounts Not Offset In the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85"/>
              </w:rPr>
              <w:t>Gross Amounts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0"/>
              <w:spacing w:after="0" w:line="145" w:lineRule="exact"/>
              <w:rPr>
                <w:sz w:val="20"/>
                <w:szCs w:val="20"/>
                <w:color w:val="auto"/>
              </w:rPr>
            </w:pPr>
            <w:r>
              <w:rPr>
                <w:rFonts w:ascii="Arial" w:cs="Arial" w:eastAsia="Arial" w:hAnsi="Arial"/>
                <w:sz w:val="14"/>
                <w:szCs w:val="14"/>
                <w:b w:val="1"/>
                <w:bCs w:val="1"/>
                <w:color w:val="auto"/>
                <w:w w:val="90"/>
              </w:rPr>
              <w:t>Offset in the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50"/>
              <w:spacing w:after="0" w:line="145" w:lineRule="exact"/>
              <w:rPr>
                <w:sz w:val="20"/>
                <w:szCs w:val="20"/>
                <w:color w:val="auto"/>
              </w:rPr>
            </w:pPr>
            <w:r>
              <w:rPr>
                <w:rFonts w:ascii="Arial" w:cs="Arial" w:eastAsia="Arial" w:hAnsi="Arial"/>
                <w:sz w:val="14"/>
                <w:szCs w:val="14"/>
                <w:b w:val="1"/>
                <w:bCs w:val="1"/>
                <w:color w:val="auto"/>
                <w:w w:val="90"/>
              </w:rPr>
              <w:t>in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30"/>
              <w:spacing w:after="0"/>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50"/>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4"/>
                <w:szCs w:val="14"/>
                <w:color w:val="auto"/>
              </w:rPr>
            </w:pPr>
          </w:p>
        </w:tc>
        <w:tc>
          <w:tcPr>
            <w:tcW w:w="216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w w:val="93"/>
              </w:rPr>
              <w:t>Statement of Financial Condition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70"/>
              <w:spacing w:after="0" w:line="116" w:lineRule="exact"/>
              <w:rPr>
                <w:sz w:val="20"/>
                <w:szCs w:val="20"/>
                <w:color w:val="auto"/>
              </w:rPr>
            </w:pPr>
            <w:r>
              <w:rPr>
                <w:rFonts w:ascii="Arial" w:cs="Arial" w:eastAsia="Arial" w:hAnsi="Arial"/>
                <w:sz w:val="13"/>
                <w:szCs w:val="13"/>
                <w:b w:val="1"/>
                <w:bCs w:val="1"/>
                <w:color w:val="auto"/>
                <w:w w:val="96"/>
              </w:rPr>
              <w:t>of Recognized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130"/>
              <w:spacing w:after="0" w:line="116" w:lineRule="exact"/>
              <w:rPr>
                <w:sz w:val="20"/>
                <w:szCs w:val="20"/>
                <w:color w:val="auto"/>
              </w:rPr>
            </w:pPr>
            <w:r>
              <w:rPr>
                <w:rFonts w:ascii="Arial" w:cs="Arial" w:eastAsia="Arial" w:hAnsi="Arial"/>
                <w:sz w:val="13"/>
                <w:szCs w:val="13"/>
                <w:b w:val="1"/>
                <w:bCs w:val="1"/>
                <w:color w:val="auto"/>
                <w:w w:val="96"/>
              </w:rPr>
              <w:t>Statement 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70"/>
              <w:spacing w:after="0" w:line="116" w:lineRule="exact"/>
              <w:rPr>
                <w:sz w:val="20"/>
                <w:szCs w:val="20"/>
                <w:color w:val="auto"/>
              </w:rPr>
            </w:pPr>
            <w:r>
              <w:rPr>
                <w:rFonts w:ascii="Arial" w:cs="Arial" w:eastAsia="Arial" w:hAnsi="Arial"/>
                <w:sz w:val="13"/>
                <w:szCs w:val="13"/>
                <w:b w:val="1"/>
                <w:bCs w:val="1"/>
                <w:color w:val="auto"/>
                <w:w w:val="96"/>
              </w:rPr>
              <w:t>Statement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50"/>
              <w:spacing w:after="0" w:line="116" w:lineRule="exact"/>
              <w:rPr>
                <w:sz w:val="20"/>
                <w:szCs w:val="20"/>
                <w:color w:val="auto"/>
              </w:rPr>
            </w:pPr>
            <w:r>
              <w:rPr>
                <w:rFonts w:ascii="Arial" w:cs="Arial" w:eastAsia="Arial" w:hAnsi="Arial"/>
                <w:sz w:val="13"/>
                <w:szCs w:val="13"/>
                <w:b w:val="1"/>
                <w:bCs w:val="1"/>
                <w:color w:val="auto"/>
              </w:rPr>
              <w:t>Financial</w:t>
            </w:r>
          </w:p>
        </w:tc>
        <w:tc>
          <w:tcPr>
            <w:tcW w:w="120" w:type="dxa"/>
            <w:vAlign w:val="bottom"/>
          </w:tcPr>
          <w:p>
            <w:pPr>
              <w:spacing w:after="0"/>
              <w:rPr>
                <w:sz w:val="10"/>
                <w:szCs w:val="10"/>
                <w:color w:val="auto"/>
              </w:rPr>
            </w:pPr>
          </w:p>
        </w:tc>
        <w:tc>
          <w:tcPr>
            <w:tcW w:w="104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w w:val="99"/>
              </w:rPr>
              <w:t>Cash Collateral</w:t>
            </w:r>
          </w:p>
        </w:tc>
        <w:tc>
          <w:tcPr>
            <w:tcW w:w="6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center"/>
              <w:ind w:right="90"/>
              <w:spacing w:after="0"/>
              <w:rPr>
                <w:sz w:val="20"/>
                <w:szCs w:val="20"/>
                <w:color w:val="auto"/>
              </w:rPr>
            </w:pPr>
            <w:r>
              <w:rPr>
                <w:rFonts w:ascii="Arial" w:cs="Arial" w:eastAsia="Arial" w:hAnsi="Arial"/>
                <w:sz w:val="14"/>
                <w:szCs w:val="14"/>
                <w:b w:val="1"/>
                <w:bCs w:val="1"/>
                <w:color w:val="auto"/>
                <w:w w:val="92"/>
              </w:rPr>
              <w:t>Liabilities</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Financial Condition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3"/>
              </w:rPr>
              <w:t>Financial Condition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3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Pledged</w:t>
            </w: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10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auto"/>
              <w:lef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auto"/>
              <w:lef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100"/>
              <w:spacing w:after="0" w:line="145" w:lineRule="exact"/>
              <w:rPr>
                <w:sz w:val="20"/>
                <w:szCs w:val="20"/>
                <w:color w:val="auto"/>
              </w:rPr>
            </w:pPr>
            <w:r>
              <w:rPr>
                <w:rFonts w:ascii="Arial" w:cs="Arial" w:eastAsia="Arial" w:hAnsi="Arial"/>
                <w:sz w:val="14"/>
                <w:szCs w:val="14"/>
                <w:color w:val="auto"/>
              </w:rPr>
              <w:t>Securities loaned</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30"/>
              <w:spacing w:after="0" w:line="145" w:lineRule="exact"/>
              <w:rPr>
                <w:sz w:val="20"/>
                <w:szCs w:val="20"/>
                <w:color w:val="auto"/>
              </w:rPr>
            </w:pPr>
            <w:r>
              <w:rPr>
                <w:rFonts w:ascii="Arial" w:cs="Arial" w:eastAsia="Arial" w:hAnsi="Arial"/>
                <w:sz w:val="14"/>
                <w:szCs w:val="14"/>
                <w:color w:val="auto"/>
              </w:rPr>
              <w:t>754,687</w:t>
            </w:r>
          </w:p>
        </w:tc>
        <w:tc>
          <w:tcPr>
            <w:tcW w:w="180" w:type="dxa"/>
            <w:vAlign w:val="bottom"/>
            <w:gridSpan w:val="3"/>
          </w:tcPr>
          <w:p>
            <w:pPr>
              <w:jc w:val="right"/>
              <w:ind w:right="9"/>
              <w:spacing w:after="0" w:line="145"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754,687</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(737,731)</w:t>
            </w: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(10,776)</w:t>
            </w:r>
          </w:p>
        </w:tc>
        <w:tc>
          <w:tcPr>
            <w:tcW w:w="280" w:type="dxa"/>
            <w:vAlign w:val="bottom"/>
            <w:gridSpan w:val="2"/>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6,180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10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w w:val="94"/>
              </w:rPr>
              <w:t>Securities sold under agreements</w:t>
            </w: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tcBorders>
              <w:right w:val="single" w:sz="8" w:color="CCEEFF"/>
            </w:tcBorders>
            <w:shd w:val="clear" w:color="auto" w:fill="CCEEFF"/>
          </w:tcPr>
          <w:p>
            <w:pPr>
              <w:spacing w:after="0"/>
              <w:rPr>
                <w:sz w:val="11"/>
                <w:szCs w:val="11"/>
                <w:color w:val="auto"/>
              </w:rPr>
            </w:pPr>
          </w:p>
        </w:tc>
        <w:tc>
          <w:tcPr>
            <w:tcW w:w="60" w:type="dxa"/>
            <w:vAlign w:val="bottom"/>
            <w:tcBorders>
              <w:left w:val="single" w:sz="8" w:color="CCEEFF"/>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tcBorders>
              <w:right w:val="single" w:sz="8" w:color="CCEEFF"/>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 repurchase</w:t>
            </w: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390,642</w:t>
            </w:r>
          </w:p>
        </w:tc>
        <w:tc>
          <w:tcPr>
            <w:tcW w:w="8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100" w:type="dxa"/>
            <w:vAlign w:val="bottom"/>
          </w:tcPr>
          <w:p>
            <w:pPr>
              <w:ind w:left="100"/>
              <w:spacing w:after="0" w:line="145" w:lineRule="exact"/>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Currency forwards</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rPr>
              <w:t>2,032,017</w:t>
            </w: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(2,024,991)</w:t>
            </w: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7,026</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220"/>
              <w:spacing w:after="0" w:line="145"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30"/>
              <w:spacing w:after="0" w:line="145" w:lineRule="exact"/>
              <w:rPr>
                <w:sz w:val="20"/>
                <w:szCs w:val="20"/>
                <w:color w:val="auto"/>
              </w:rPr>
            </w:pPr>
            <w:r>
              <w:rPr>
                <w:rFonts w:ascii="Arial" w:cs="Arial" w:eastAsia="Arial" w:hAnsi="Arial"/>
                <w:sz w:val="14"/>
                <w:szCs w:val="14"/>
                <w:color w:val="auto"/>
              </w:rPr>
              <w:t>5,839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3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5,839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5,783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30"/>
              <w:spacing w:after="0" w:line="145" w:lineRule="exact"/>
              <w:rPr>
                <w:sz w:val="20"/>
                <w:szCs w:val="20"/>
                <w:color w:val="auto"/>
              </w:rPr>
            </w:pPr>
            <w:r>
              <w:rPr>
                <w:rFonts w:ascii="Arial" w:cs="Arial" w:eastAsia="Arial" w:hAnsi="Arial"/>
                <w:sz w:val="14"/>
                <w:szCs w:val="14"/>
                <w:color w:val="auto"/>
              </w:rPr>
              <w:t>3,183,185</w:t>
            </w:r>
          </w:p>
        </w:tc>
        <w:tc>
          <w:tcPr>
            <w:tcW w:w="180" w:type="dxa"/>
            <w:vAlign w:val="bottom"/>
            <w:tcBorders>
              <w:left w:val="single" w:sz="8" w:color="CCEEFF"/>
            </w:tcBorders>
            <w:gridSpan w:val="3"/>
            <w:shd w:val="clear" w:color="auto" w:fill="CCEEFF"/>
          </w:tcPr>
          <w:p>
            <w:pPr>
              <w:jc w:val="right"/>
              <w:ind w:right="9"/>
              <w:spacing w:after="0" w:line="145" w:lineRule="exact"/>
              <w:rPr>
                <w:sz w:val="20"/>
                <w:szCs w:val="20"/>
                <w:color w:val="auto"/>
              </w:rPr>
            </w:pPr>
            <w:r>
              <w:rPr>
                <w:rFonts w:ascii="Arial" w:cs="Arial" w:eastAsia="Arial" w:hAnsi="Arial"/>
                <w:sz w:val="14"/>
                <w:szCs w:val="14"/>
                <w:color w:val="auto"/>
              </w:rPr>
              <w:t>$</w:t>
            </w:r>
          </w:p>
        </w:tc>
        <w:tc>
          <w:tcPr>
            <w:tcW w:w="116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(2,024,991)</w:t>
            </w:r>
          </w:p>
        </w:tc>
        <w:tc>
          <w:tcPr>
            <w:tcW w:w="160" w:type="dxa"/>
            <w:vAlign w:val="bottom"/>
            <w:tcBorders>
              <w:left w:val="single" w:sz="8" w:color="CCEEFF"/>
            </w:tcBorders>
            <w:gridSpan w:val="3"/>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1,158,194</w:t>
            </w:r>
          </w:p>
        </w:tc>
        <w:tc>
          <w:tcPr>
            <w:tcW w:w="160" w:type="dxa"/>
            <w:vAlign w:val="bottom"/>
            <w:tcBorders>
              <w:left w:val="single" w:sz="8" w:color="CCEEFF"/>
            </w:tcBorders>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(1,128,429)</w:t>
            </w:r>
          </w:p>
        </w:tc>
        <w:tc>
          <w:tcPr>
            <w:tcW w:w="2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(10,776)</w:t>
            </w:r>
          </w:p>
        </w:tc>
        <w:tc>
          <w:tcPr>
            <w:tcW w:w="280" w:type="dxa"/>
            <w:vAlign w:val="bottom"/>
            <w:gridSpan w:val="2"/>
            <w:shd w:val="clear" w:color="auto" w:fill="CCEEFF"/>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18,989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10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60" w:type="dxa"/>
            <w:vAlign w:val="bottom"/>
            <w:tcBorders>
              <w:left w:val="single" w:sz="8" w:color="CCEEFF"/>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60" w:type="dxa"/>
            <w:vAlign w:val="bottom"/>
            <w:tcBorders>
              <w:left w:val="single" w:sz="8" w:color="CCEEFF"/>
            </w:tcBorders>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0"/>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89"/>
              </w:rPr>
              <w:t>Gross Amounts</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jc w:val="center"/>
              <w:ind w:right="50"/>
              <w:spacing w:after="0"/>
              <w:rPr>
                <w:sz w:val="20"/>
                <w:szCs w:val="20"/>
                <w:color w:val="auto"/>
              </w:rPr>
            </w:pPr>
            <w:r>
              <w:rPr>
                <w:rFonts w:ascii="Arial" w:cs="Arial" w:eastAsia="Arial" w:hAnsi="Arial"/>
                <w:sz w:val="14"/>
                <w:szCs w:val="14"/>
                <w:b w:val="1"/>
                <w:bCs w:val="1"/>
                <w:color w:val="auto"/>
                <w:w w:val="90"/>
              </w:rPr>
              <w:t>Net Amounts of</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85"/>
              </w:rPr>
              <w:t>Assets Presented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4"/>
            <w:vMerge w:val="restart"/>
          </w:tcPr>
          <w:p>
            <w:pPr>
              <w:jc w:val="right"/>
              <w:ind w:right="49"/>
              <w:spacing w:after="0"/>
              <w:rPr>
                <w:sz w:val="20"/>
                <w:szCs w:val="20"/>
                <w:color w:val="auto"/>
              </w:rPr>
            </w:pPr>
            <w:r>
              <w:rPr>
                <w:rFonts w:ascii="Arial" w:cs="Arial" w:eastAsia="Arial" w:hAnsi="Arial"/>
                <w:sz w:val="14"/>
                <w:szCs w:val="14"/>
                <w:b w:val="1"/>
                <w:bCs w:val="1"/>
                <w:color w:val="auto"/>
                <w:w w:val="89"/>
              </w:rPr>
              <w:t>Gross Amounts Not Offset In the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Gross Amounts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90"/>
              </w:rPr>
              <w:t>Offset in the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50"/>
              <w:spacing w:after="0" w:line="145" w:lineRule="exact"/>
              <w:rPr>
                <w:sz w:val="20"/>
                <w:szCs w:val="20"/>
                <w:color w:val="auto"/>
              </w:rPr>
            </w:pPr>
            <w:r>
              <w:rPr>
                <w:rFonts w:ascii="Arial" w:cs="Arial" w:eastAsia="Arial" w:hAnsi="Arial"/>
                <w:sz w:val="14"/>
                <w:szCs w:val="14"/>
                <w:b w:val="1"/>
                <w:bCs w:val="1"/>
                <w:color w:val="auto"/>
                <w:w w:val="90"/>
              </w:rPr>
              <w:t>in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70"/>
              <w:spacing w:after="0"/>
              <w:rPr>
                <w:sz w:val="20"/>
                <w:szCs w:val="20"/>
                <w:color w:val="auto"/>
              </w:rPr>
            </w:pPr>
            <w:r>
              <w:rPr>
                <w:rFonts w:ascii="Arial" w:cs="Arial" w:eastAsia="Arial" w:hAnsi="Arial"/>
                <w:sz w:val="14"/>
                <w:szCs w:val="14"/>
                <w:b w:val="1"/>
                <w:bCs w:val="1"/>
                <w:color w:val="auto"/>
                <w:w w:val="87"/>
              </w:rPr>
              <w:t>Consolidated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50"/>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4"/>
                <w:szCs w:val="14"/>
                <w:color w:val="auto"/>
              </w:rPr>
            </w:pPr>
          </w:p>
        </w:tc>
        <w:tc>
          <w:tcPr>
            <w:tcW w:w="2160" w:type="dxa"/>
            <w:vAlign w:val="bottom"/>
            <w:gridSpan w:val="5"/>
          </w:tcPr>
          <w:p>
            <w:pPr>
              <w:jc w:val="right"/>
              <w:ind w:right="49"/>
              <w:spacing w:after="0"/>
              <w:rPr>
                <w:sz w:val="20"/>
                <w:szCs w:val="20"/>
                <w:color w:val="auto"/>
              </w:rPr>
            </w:pPr>
            <w:r>
              <w:rPr>
                <w:rFonts w:ascii="Arial" w:cs="Arial" w:eastAsia="Arial" w:hAnsi="Arial"/>
                <w:sz w:val="14"/>
                <w:szCs w:val="14"/>
                <w:b w:val="1"/>
                <w:bCs w:val="1"/>
                <w:color w:val="auto"/>
                <w:w w:val="92"/>
              </w:rPr>
              <w:t>Statement of Financial Condition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ind w:right="10"/>
              <w:spacing w:after="0" w:line="116" w:lineRule="exact"/>
              <w:rPr>
                <w:sz w:val="20"/>
                <w:szCs w:val="20"/>
                <w:color w:val="auto"/>
              </w:rPr>
            </w:pPr>
            <w:r>
              <w:rPr>
                <w:rFonts w:ascii="Arial" w:cs="Arial" w:eastAsia="Arial" w:hAnsi="Arial"/>
                <w:sz w:val="13"/>
                <w:szCs w:val="13"/>
                <w:b w:val="1"/>
                <w:bCs w:val="1"/>
                <w:color w:val="auto"/>
                <w:w w:val="94"/>
              </w:rPr>
              <w:t>of Recognized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70"/>
              <w:spacing w:after="0" w:line="116" w:lineRule="exact"/>
              <w:rPr>
                <w:sz w:val="20"/>
                <w:szCs w:val="20"/>
                <w:color w:val="auto"/>
              </w:rPr>
            </w:pPr>
            <w:r>
              <w:rPr>
                <w:rFonts w:ascii="Arial" w:cs="Arial" w:eastAsia="Arial" w:hAnsi="Arial"/>
                <w:sz w:val="13"/>
                <w:szCs w:val="13"/>
                <w:b w:val="1"/>
                <w:bCs w:val="1"/>
                <w:color w:val="auto"/>
                <w:w w:val="99"/>
              </w:rPr>
              <w:t>Statement 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30"/>
              <w:spacing w:after="0" w:line="116" w:lineRule="exact"/>
              <w:rPr>
                <w:sz w:val="20"/>
                <w:szCs w:val="20"/>
                <w:color w:val="auto"/>
              </w:rPr>
            </w:pPr>
            <w:r>
              <w:rPr>
                <w:rFonts w:ascii="Arial" w:cs="Arial" w:eastAsia="Arial" w:hAnsi="Arial"/>
                <w:sz w:val="13"/>
                <w:szCs w:val="13"/>
                <w:b w:val="1"/>
                <w:bCs w:val="1"/>
                <w:color w:val="auto"/>
                <w:w w:val="96"/>
              </w:rPr>
              <w:t>Statement of</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0"/>
              <w:spacing w:after="0" w:line="116" w:lineRule="exact"/>
              <w:rPr>
                <w:sz w:val="20"/>
                <w:szCs w:val="20"/>
                <w:color w:val="auto"/>
              </w:rPr>
            </w:pPr>
            <w:r>
              <w:rPr>
                <w:rFonts w:ascii="Arial" w:cs="Arial" w:eastAsia="Arial" w:hAnsi="Arial"/>
                <w:sz w:val="13"/>
                <w:szCs w:val="13"/>
                <w:b w:val="1"/>
                <w:bCs w:val="1"/>
                <w:color w:val="auto"/>
              </w:rPr>
              <w:t>Financial</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spacing w:after="0" w:line="116" w:lineRule="exact"/>
              <w:rPr>
                <w:sz w:val="20"/>
                <w:szCs w:val="20"/>
                <w:color w:val="auto"/>
              </w:rPr>
            </w:pPr>
            <w:r>
              <w:rPr>
                <w:rFonts w:ascii="Arial" w:cs="Arial" w:eastAsia="Arial" w:hAnsi="Arial"/>
                <w:sz w:val="13"/>
                <w:szCs w:val="13"/>
                <w:b w:val="1"/>
                <w:bCs w:val="1"/>
                <w:color w:val="auto"/>
              </w:rPr>
              <w:t>Cash Collateral</w:t>
            </w:r>
          </w:p>
        </w:tc>
        <w:tc>
          <w:tcPr>
            <w:tcW w:w="6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center"/>
              <w:ind w:right="70"/>
              <w:spacing w:after="0"/>
              <w:rPr>
                <w:sz w:val="20"/>
                <w:szCs w:val="20"/>
                <w:color w:val="auto"/>
              </w:rPr>
            </w:pPr>
            <w:r>
              <w:rPr>
                <w:rFonts w:ascii="Arial" w:cs="Arial" w:eastAsia="Arial" w:hAnsi="Arial"/>
                <w:sz w:val="14"/>
                <w:szCs w:val="14"/>
                <w:b w:val="1"/>
                <w:bCs w:val="1"/>
                <w:color w:val="auto"/>
                <w:w w:val="82"/>
              </w:rPr>
              <w:t>Assets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Financial Condition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Financial Condition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7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09"/>
              <w:spacing w:after="0"/>
              <w:rPr>
                <w:sz w:val="20"/>
                <w:szCs w:val="20"/>
                <w:color w:val="auto"/>
              </w:rPr>
            </w:pPr>
            <w:r>
              <w:rPr>
                <w:rFonts w:ascii="Arial" w:cs="Arial" w:eastAsia="Arial" w:hAnsi="Arial"/>
                <w:sz w:val="14"/>
                <w:szCs w:val="14"/>
                <w:b w:val="1"/>
                <w:bCs w:val="1"/>
                <w:color w:val="auto"/>
                <w:w w:val="97"/>
              </w:rPr>
              <w:t>Received</w:t>
            </w: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1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auto"/>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100"/>
              <w:spacing w:after="0" w:line="145" w:lineRule="exact"/>
              <w:rPr>
                <w:sz w:val="20"/>
                <w:szCs w:val="20"/>
                <w:color w:val="auto"/>
              </w:rPr>
            </w:pPr>
            <w:r>
              <w:rPr>
                <w:rFonts w:ascii="Arial" w:cs="Arial" w:eastAsia="Arial" w:hAnsi="Arial"/>
                <w:sz w:val="14"/>
                <w:szCs w:val="14"/>
                <w:color w:val="auto"/>
              </w:rPr>
              <w:t>Securities borrowed</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line="145" w:lineRule="exact"/>
              <w:rPr>
                <w:sz w:val="20"/>
                <w:szCs w:val="20"/>
                <w:color w:val="auto"/>
              </w:rPr>
            </w:pPr>
            <w:r>
              <w:rPr>
                <w:rFonts w:ascii="Arial" w:cs="Arial" w:eastAsia="Arial" w:hAnsi="Arial"/>
                <w:sz w:val="14"/>
                <w:szCs w:val="14"/>
                <w:color w:val="auto"/>
              </w:rPr>
              <w:t>220,005</w:t>
            </w:r>
          </w:p>
        </w:tc>
        <w:tc>
          <w:tcPr>
            <w:tcW w:w="180" w:type="dxa"/>
            <w:vAlign w:val="bottom"/>
            <w:gridSpan w:val="3"/>
          </w:tcPr>
          <w:p>
            <w:pPr>
              <w:ind w:left="60"/>
              <w:spacing w:after="0" w:line="145"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3"/>
          </w:tcPr>
          <w:p>
            <w:pPr>
              <w:ind w:left="60"/>
              <w:spacing w:after="0" w:line="145"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220,005</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(216,778)</w:t>
            </w:r>
          </w:p>
        </w:tc>
        <w:tc>
          <w:tcPr>
            <w:tcW w:w="260" w:type="dxa"/>
            <w:vAlign w:val="bottom"/>
            <w:gridSpan w:val="2"/>
          </w:tcPr>
          <w:p>
            <w:pPr>
              <w:jc w:val="right"/>
              <w:ind w:right="15"/>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(248)</w:t>
            </w:r>
          </w:p>
        </w:tc>
        <w:tc>
          <w:tcPr>
            <w:tcW w:w="280" w:type="dxa"/>
            <w:vAlign w:val="bottom"/>
            <w:gridSpan w:val="2"/>
          </w:tcPr>
          <w:p>
            <w:pPr>
              <w:jc w:val="right"/>
              <w:ind w:right="89"/>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2,979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Trading assets, at fair value:</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220"/>
              <w:spacing w:after="0" w:line="145" w:lineRule="exact"/>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10"/>
              <w:spacing w:after="0" w:line="145" w:lineRule="exact"/>
              <w:rPr>
                <w:sz w:val="20"/>
                <w:szCs w:val="20"/>
                <w:color w:val="auto"/>
              </w:rPr>
            </w:pPr>
            <w:r>
              <w:rPr>
                <w:rFonts w:ascii="Arial" w:cs="Arial" w:eastAsia="Arial" w:hAnsi="Arial"/>
                <w:sz w:val="14"/>
                <w:szCs w:val="14"/>
                <w:color w:val="auto"/>
              </w:rPr>
              <w:t>1,147,261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(1,140,239)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7,022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9"/>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7,022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Options</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141</w:t>
            </w: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141</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line="14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10"/>
              <w:spacing w:after="0" w:line="145" w:lineRule="exact"/>
              <w:rPr>
                <w:sz w:val="20"/>
                <w:szCs w:val="20"/>
                <w:color w:val="auto"/>
              </w:rPr>
            </w:pPr>
            <w:r>
              <w:rPr>
                <w:rFonts w:ascii="Arial" w:cs="Arial" w:eastAsia="Arial" w:hAnsi="Arial"/>
                <w:sz w:val="14"/>
                <w:szCs w:val="14"/>
                <w:color w:val="auto"/>
              </w:rPr>
              <w:t>1,367,407</w:t>
            </w:r>
          </w:p>
        </w:tc>
        <w:tc>
          <w:tcPr>
            <w:tcW w:w="60" w:type="dxa"/>
            <w:vAlign w:val="bottom"/>
          </w:tcPr>
          <w:p>
            <w:pPr>
              <w:spacing w:after="0"/>
              <w:rPr>
                <w:sz w:val="13"/>
                <w:szCs w:val="13"/>
                <w:color w:val="auto"/>
              </w:rPr>
            </w:pPr>
          </w:p>
        </w:tc>
        <w:tc>
          <w:tcPr>
            <w:tcW w:w="120" w:type="dxa"/>
            <w:vAlign w:val="bottom"/>
            <w:gridSpan w:val="2"/>
          </w:tcPr>
          <w:p>
            <w:pPr>
              <w:spacing w:after="0" w:line="14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(1,140,239)</w:t>
            </w:r>
          </w:p>
        </w:tc>
        <w:tc>
          <w:tcPr>
            <w:tcW w:w="160" w:type="dxa"/>
            <w:vAlign w:val="bottom"/>
            <w:gridSpan w:val="3"/>
          </w:tcPr>
          <w:p>
            <w:pPr>
              <w:ind w:left="60"/>
              <w:spacing w:after="0" w:line="145"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227,168</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(216,858)</w:t>
            </w:r>
          </w:p>
        </w:tc>
        <w:tc>
          <w:tcPr>
            <w:tcW w:w="260" w:type="dxa"/>
            <w:vAlign w:val="bottom"/>
            <w:gridSpan w:val="2"/>
          </w:tcPr>
          <w:p>
            <w:pPr>
              <w:jc w:val="right"/>
              <w:ind w:right="15"/>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(261)</w:t>
            </w:r>
          </w:p>
        </w:tc>
        <w:tc>
          <w:tcPr>
            <w:tcW w:w="280" w:type="dxa"/>
            <w:vAlign w:val="bottom"/>
            <w:gridSpan w:val="2"/>
          </w:tcPr>
          <w:p>
            <w:pPr>
              <w:jc w:val="right"/>
              <w:ind w:right="89"/>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10,049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3"/>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90"/>
              </w:rPr>
              <w:t>Net Amounts of</w:t>
            </w: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w w:val="87"/>
              </w:rPr>
              <w:t>Gross Amounts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92"/>
              </w:rPr>
              <w:t>Liabilities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4"/>
            <w:vMerge w:val="restart"/>
          </w:tcPr>
          <w:p>
            <w:pPr>
              <w:jc w:val="right"/>
              <w:ind w:right="29"/>
              <w:spacing w:after="0"/>
              <w:rPr>
                <w:sz w:val="20"/>
                <w:szCs w:val="20"/>
                <w:color w:val="auto"/>
              </w:rPr>
            </w:pPr>
            <w:r>
              <w:rPr>
                <w:rFonts w:ascii="Arial" w:cs="Arial" w:eastAsia="Arial" w:hAnsi="Arial"/>
                <w:sz w:val="14"/>
                <w:szCs w:val="14"/>
                <w:b w:val="1"/>
                <w:bCs w:val="1"/>
                <w:color w:val="auto"/>
                <w:w w:val="89"/>
              </w:rPr>
              <w:t>Gross Amounts Not Offset In the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88"/>
              </w:rPr>
              <w:t>Presented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90"/>
              </w:rPr>
              <w:t>Offset in the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90"/>
              </w:rPr>
              <w:t>in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4"/>
          </w:tcPr>
          <w:p>
            <w:pPr>
              <w:jc w:val="right"/>
              <w:ind w:right="629"/>
              <w:spacing w:after="0" w:line="145" w:lineRule="exact"/>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0"/>
              <w:spacing w:after="0"/>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right="10"/>
              <w:spacing w:after="0"/>
              <w:rPr>
                <w:sz w:val="20"/>
                <w:szCs w:val="20"/>
                <w:color w:val="auto"/>
              </w:rPr>
            </w:pPr>
            <w:r>
              <w:rPr>
                <w:rFonts w:ascii="Arial" w:cs="Arial" w:eastAsia="Arial" w:hAnsi="Arial"/>
                <w:sz w:val="14"/>
                <w:szCs w:val="14"/>
                <w:b w:val="1"/>
                <w:bCs w:val="1"/>
                <w:color w:val="auto"/>
                <w:w w:val="87"/>
              </w:rPr>
              <w:t>Consolidated</w:t>
            </w:r>
          </w:p>
        </w:tc>
        <w:tc>
          <w:tcPr>
            <w:tcW w:w="80" w:type="dxa"/>
            <w:vAlign w:val="bottom"/>
          </w:tcPr>
          <w:p>
            <w:pPr>
              <w:spacing w:after="0"/>
              <w:rPr>
                <w:sz w:val="14"/>
                <w:szCs w:val="14"/>
                <w:color w:val="auto"/>
              </w:rPr>
            </w:pPr>
          </w:p>
        </w:tc>
        <w:tc>
          <w:tcPr>
            <w:tcW w:w="216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w w:val="93"/>
              </w:rPr>
              <w:t>Statement of Financial Condition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right"/>
              <w:ind w:right="30"/>
              <w:spacing w:after="0" w:line="116" w:lineRule="exact"/>
              <w:rPr>
                <w:sz w:val="20"/>
                <w:szCs w:val="20"/>
                <w:color w:val="auto"/>
              </w:rPr>
            </w:pPr>
            <w:r>
              <w:rPr>
                <w:rFonts w:ascii="Arial" w:cs="Arial" w:eastAsia="Arial" w:hAnsi="Arial"/>
                <w:sz w:val="13"/>
                <w:szCs w:val="13"/>
                <w:b w:val="1"/>
                <w:bCs w:val="1"/>
                <w:color w:val="auto"/>
                <w:w w:val="94"/>
              </w:rPr>
              <w:t>of Recognized</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jc w:val="center"/>
              <w:ind w:right="50"/>
              <w:spacing w:after="0" w:line="116" w:lineRule="exact"/>
              <w:rPr>
                <w:sz w:val="20"/>
                <w:szCs w:val="20"/>
                <w:color w:val="auto"/>
              </w:rPr>
            </w:pPr>
            <w:r>
              <w:rPr>
                <w:rFonts w:ascii="Arial" w:cs="Arial" w:eastAsia="Arial" w:hAnsi="Arial"/>
                <w:sz w:val="13"/>
                <w:szCs w:val="13"/>
                <w:b w:val="1"/>
                <w:bCs w:val="1"/>
                <w:color w:val="auto"/>
                <w:w w:val="96"/>
              </w:rPr>
              <w:t>Statement 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right="30"/>
              <w:spacing w:after="0" w:line="116" w:lineRule="exact"/>
              <w:rPr>
                <w:sz w:val="20"/>
                <w:szCs w:val="20"/>
                <w:color w:val="auto"/>
              </w:rPr>
            </w:pPr>
            <w:r>
              <w:rPr>
                <w:rFonts w:ascii="Arial" w:cs="Arial" w:eastAsia="Arial" w:hAnsi="Arial"/>
                <w:sz w:val="13"/>
                <w:szCs w:val="13"/>
                <w:b w:val="1"/>
                <w:bCs w:val="1"/>
                <w:color w:val="auto"/>
                <w:w w:val="96"/>
              </w:rPr>
              <w:t>Statement of</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50"/>
              <w:spacing w:after="0" w:line="116" w:lineRule="exact"/>
              <w:rPr>
                <w:sz w:val="20"/>
                <w:szCs w:val="20"/>
                <w:color w:val="auto"/>
              </w:rPr>
            </w:pPr>
            <w:r>
              <w:rPr>
                <w:rFonts w:ascii="Arial" w:cs="Arial" w:eastAsia="Arial" w:hAnsi="Arial"/>
                <w:sz w:val="13"/>
                <w:szCs w:val="13"/>
                <w:b w:val="1"/>
                <w:bCs w:val="1"/>
                <w:color w:val="auto"/>
              </w:rPr>
              <w:t>Financial</w:t>
            </w:r>
          </w:p>
        </w:tc>
        <w:tc>
          <w:tcPr>
            <w:tcW w:w="120" w:type="dxa"/>
            <w:vAlign w:val="bottom"/>
          </w:tcPr>
          <w:p>
            <w:pPr>
              <w:spacing w:after="0"/>
              <w:rPr>
                <w:sz w:val="10"/>
                <w:szCs w:val="10"/>
                <w:color w:val="auto"/>
              </w:rPr>
            </w:pPr>
          </w:p>
        </w:tc>
        <w:tc>
          <w:tcPr>
            <w:tcW w:w="1040" w:type="dxa"/>
            <w:vAlign w:val="bottom"/>
            <w:gridSpan w:val="2"/>
          </w:tcPr>
          <w:p>
            <w:pPr>
              <w:jc w:val="center"/>
              <w:spacing w:after="0" w:line="116" w:lineRule="exact"/>
              <w:rPr>
                <w:sz w:val="20"/>
                <w:szCs w:val="20"/>
                <w:color w:val="auto"/>
              </w:rPr>
            </w:pPr>
            <w:r>
              <w:rPr>
                <w:rFonts w:ascii="Arial" w:cs="Arial" w:eastAsia="Arial" w:hAnsi="Arial"/>
                <w:sz w:val="13"/>
                <w:szCs w:val="13"/>
                <w:b w:val="1"/>
                <w:bCs w:val="1"/>
                <w:color w:val="auto"/>
                <w:w w:val="99"/>
              </w:rPr>
              <w:t>Cash Collateral</w:t>
            </w:r>
          </w:p>
        </w:tc>
        <w:tc>
          <w:tcPr>
            <w:tcW w:w="6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68"/>
        </w:trPr>
        <w:tc>
          <w:tcPr>
            <w:tcW w:w="2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ind w:right="150"/>
              <w:spacing w:after="0"/>
              <w:rPr>
                <w:sz w:val="20"/>
                <w:szCs w:val="20"/>
                <w:color w:val="auto"/>
              </w:rPr>
            </w:pPr>
            <w:r>
              <w:rPr>
                <w:rFonts w:ascii="Arial" w:cs="Arial" w:eastAsia="Arial" w:hAnsi="Arial"/>
                <w:sz w:val="14"/>
                <w:szCs w:val="14"/>
                <w:b w:val="1"/>
                <w:bCs w:val="1"/>
                <w:color w:val="auto"/>
              </w:rPr>
              <w:t>Liabilities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Financial Condition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Financial Condition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3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Pledged</w:t>
            </w: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1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100"/>
              <w:spacing w:after="0" w:line="145" w:lineRule="exact"/>
              <w:rPr>
                <w:sz w:val="20"/>
                <w:szCs w:val="20"/>
                <w:color w:val="auto"/>
              </w:rPr>
            </w:pPr>
            <w:r>
              <w:rPr>
                <w:rFonts w:ascii="Arial" w:cs="Arial" w:eastAsia="Arial" w:hAnsi="Arial"/>
                <w:sz w:val="14"/>
                <w:szCs w:val="14"/>
                <w:color w:val="auto"/>
              </w:rPr>
              <w:t>Securities loaned</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222,203</w:t>
            </w:r>
          </w:p>
        </w:tc>
        <w:tc>
          <w:tcPr>
            <w:tcW w:w="18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3"/>
          </w:tcPr>
          <w:p>
            <w:pPr>
              <w:ind w:left="80"/>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222,203</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(221,792)</w:t>
            </w: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411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Trading liabilities, at fair value:</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00" w:type="dxa"/>
            <w:vAlign w:val="bottom"/>
          </w:tcPr>
          <w:p>
            <w:pPr>
              <w:ind w:left="220"/>
              <w:spacing w:after="0" w:line="145" w:lineRule="exact"/>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1,009,038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(1,009,038)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220"/>
              <w:spacing w:after="0" w:line="145" w:lineRule="exact"/>
              <w:rPr>
                <w:sz w:val="20"/>
                <w:szCs w:val="20"/>
                <w:color w:val="auto"/>
              </w:rPr>
            </w:pPr>
            <w:r>
              <w:rPr>
                <w:rFonts w:ascii="Arial" w:cs="Arial" w:eastAsia="Arial" w:hAnsi="Arial"/>
                <w:sz w:val="14"/>
                <w:szCs w:val="14"/>
                <w:color w:val="auto"/>
              </w:rPr>
              <w:t>Options</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80</w:t>
            </w: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80</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100" w:type="dxa"/>
            <w:vAlign w:val="bottom"/>
          </w:tcPr>
          <w:p>
            <w:pPr>
              <w:spacing w:after="0" w:line="145" w:lineRule="exact"/>
              <w:rPr>
                <w:sz w:val="20"/>
                <w:szCs w:val="20"/>
                <w:color w:val="auto"/>
              </w:rPr>
            </w:pPr>
            <w:r>
              <w:rPr>
                <w:rFonts w:ascii="Arial" w:cs="Arial" w:eastAsia="Arial" w:hAnsi="Arial"/>
                <w:sz w:val="14"/>
                <w:szCs w:val="14"/>
                <w:color w:val="auto"/>
              </w:rPr>
              <w:t>Total</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5" w:lineRule="exact"/>
              <w:rPr>
                <w:sz w:val="20"/>
                <w:szCs w:val="20"/>
                <w:color w:val="auto"/>
              </w:rPr>
            </w:pPr>
            <w:r>
              <w:rPr>
                <w:rFonts w:ascii="Arial" w:cs="Arial" w:eastAsia="Arial" w:hAnsi="Arial"/>
                <w:sz w:val="14"/>
                <w:szCs w:val="14"/>
                <w:color w:val="auto"/>
              </w:rPr>
              <w:t>1,231,321</w:t>
            </w:r>
          </w:p>
        </w:tc>
        <w:tc>
          <w:tcPr>
            <w:tcW w:w="180" w:type="dxa"/>
            <w:vAlign w:val="bottom"/>
            <w:gridSpan w:val="3"/>
          </w:tcPr>
          <w:p>
            <w:pPr>
              <w:ind w:left="80"/>
              <w:spacing w:after="0" w:line="145"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5" w:lineRule="exact"/>
              <w:rPr>
                <w:sz w:val="20"/>
                <w:szCs w:val="20"/>
                <w:color w:val="auto"/>
              </w:rPr>
            </w:pPr>
            <w:r>
              <w:rPr>
                <w:rFonts w:ascii="Arial" w:cs="Arial" w:eastAsia="Arial" w:hAnsi="Arial"/>
                <w:sz w:val="14"/>
                <w:szCs w:val="14"/>
                <w:color w:val="auto"/>
              </w:rPr>
              <w:t>(1,009,038)</w:t>
            </w:r>
          </w:p>
        </w:tc>
        <w:tc>
          <w:tcPr>
            <w:tcW w:w="160" w:type="dxa"/>
            <w:vAlign w:val="bottom"/>
            <w:gridSpan w:val="3"/>
          </w:tcPr>
          <w:p>
            <w:pPr>
              <w:ind w:left="80"/>
              <w:spacing w:after="0" w:line="14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222,283</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(221,872)</w:t>
            </w: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411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8"/>
          <w:szCs w:val="18"/>
          <w:color w:val="auto"/>
        </w:rPr>
        <w:t>The following table presents gross obligations for securities lending transactions by remaining contractual maturity and the class of collateral pledged.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8"/>
          </w:tcPr>
          <w:p>
            <w:pPr>
              <w:jc w:val="center"/>
              <w:ind w:right="10"/>
              <w:spacing w:after="0" w:line="139" w:lineRule="exact"/>
              <w:rPr>
                <w:sz w:val="20"/>
                <w:szCs w:val="20"/>
                <w:color w:val="auto"/>
              </w:rPr>
            </w:pPr>
            <w:r>
              <w:rPr>
                <w:rFonts w:ascii="Arial" w:cs="Arial" w:eastAsia="Arial" w:hAnsi="Arial"/>
                <w:sz w:val="14"/>
                <w:szCs w:val="14"/>
                <w:b w:val="1"/>
                <w:bCs w:val="1"/>
                <w:color w:val="auto"/>
                <w:w w:val="94"/>
              </w:rPr>
              <w:t>Remaining Contractual Maturity</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0"/>
                <w:szCs w:val="10"/>
                <w:color w:val="auto"/>
              </w:rPr>
            </w:pPr>
          </w:p>
        </w:tc>
        <w:tc>
          <w:tcPr>
            <w:tcW w:w="96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Overnight and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90"/>
              <w:spacing w:after="0" w:line="116" w:lineRule="exact"/>
              <w:rPr>
                <w:sz w:val="20"/>
                <w:szCs w:val="20"/>
                <w:color w:val="auto"/>
              </w:rPr>
            </w:pPr>
            <w:r>
              <w:rPr>
                <w:rFonts w:ascii="Arial" w:cs="Arial" w:eastAsia="Arial" w:hAnsi="Arial"/>
                <w:sz w:val="13"/>
                <w:szCs w:val="13"/>
                <w:b w:val="1"/>
                <w:bCs w:val="1"/>
                <w:color w:val="auto"/>
                <w:w w:val="95"/>
              </w:rPr>
              <w:t>Less than</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90"/>
              <w:spacing w:after="0" w:line="116" w:lineRule="exact"/>
              <w:rPr>
                <w:sz w:val="20"/>
                <w:szCs w:val="20"/>
                <w:color w:val="auto"/>
              </w:rPr>
            </w:pPr>
            <w:r>
              <w:rPr>
                <w:rFonts w:ascii="Arial" w:cs="Arial" w:eastAsia="Arial" w:hAnsi="Arial"/>
                <w:sz w:val="13"/>
                <w:szCs w:val="13"/>
                <w:b w:val="1"/>
                <w:bCs w:val="1"/>
                <w:color w:val="auto"/>
                <w:w w:val="98"/>
              </w:rPr>
              <w:t>30 - 60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50"/>
              <w:spacing w:after="0" w:line="116" w:lineRule="exact"/>
              <w:rPr>
                <w:sz w:val="20"/>
                <w:szCs w:val="20"/>
                <w:color w:val="auto"/>
              </w:rPr>
            </w:pPr>
            <w:r>
              <w:rPr>
                <w:rFonts w:ascii="Arial" w:cs="Arial" w:eastAsia="Arial" w:hAnsi="Arial"/>
                <w:sz w:val="13"/>
                <w:szCs w:val="13"/>
                <w:b w:val="1"/>
                <w:bCs w:val="1"/>
                <w:color w:val="auto"/>
              </w:rPr>
              <w:t>61 - 90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Continuous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50"/>
              <w:spacing w:after="0"/>
              <w:rPr>
                <w:sz w:val="20"/>
                <w:szCs w:val="20"/>
                <w:color w:val="auto"/>
              </w:rPr>
            </w:pPr>
            <w:r>
              <w:rPr>
                <w:rFonts w:ascii="Arial" w:cs="Arial" w:eastAsia="Arial" w:hAnsi="Arial"/>
                <w:sz w:val="14"/>
                <w:szCs w:val="14"/>
                <w:b w:val="1"/>
                <w:bCs w:val="1"/>
                <w:color w:val="auto"/>
              </w:rPr>
              <w:t>30 days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days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10"/>
              <w:spacing w:after="0"/>
              <w:rPr>
                <w:sz w:val="20"/>
                <w:szCs w:val="20"/>
                <w:color w:val="auto"/>
              </w:rPr>
            </w:pPr>
            <w:r>
              <w:rPr>
                <w:rFonts w:ascii="Arial" w:cs="Arial" w:eastAsia="Arial" w:hAnsi="Arial"/>
                <w:sz w:val="14"/>
                <w:szCs w:val="14"/>
                <w:b w:val="1"/>
                <w:bCs w:val="1"/>
                <w:color w:val="auto"/>
              </w:rPr>
              <w:t>Days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3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60" w:type="dxa"/>
            <w:vAlign w:val="bottom"/>
          </w:tcPr>
          <w:p>
            <w:pPr>
              <w:spacing w:after="0" w:line="145" w:lineRule="exact"/>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Equity securities</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100,000</w:t>
            </w:r>
          </w:p>
        </w:tc>
        <w:tc>
          <w:tcPr>
            <w:tcW w:w="3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90,000</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200,000</w:t>
            </w:r>
          </w:p>
        </w:tc>
        <w:tc>
          <w:tcPr>
            <w:tcW w:w="380" w:type="dxa"/>
            <w:vAlign w:val="bottom"/>
            <w:gridSpan w:val="2"/>
            <w:shd w:val="clear" w:color="auto" w:fill="CCEEFF"/>
          </w:tcPr>
          <w:p>
            <w:pPr>
              <w:jc w:val="right"/>
              <w:ind w:right="29"/>
              <w:spacing w:after="0" w:line="14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tcPr>
          <w:p>
            <w:pPr>
              <w:ind w:left="80"/>
              <w:spacing w:after="0" w:line="145" w:lineRule="exact"/>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642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642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100,000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90,000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200,000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390,642</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Securities lending transactions: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tcPr>
          <w:p>
            <w:pPr>
              <w:ind w:left="80"/>
              <w:spacing w:after="0" w:line="145" w:lineRule="exact"/>
              <w:rPr>
                <w:sz w:val="20"/>
                <w:szCs w:val="20"/>
                <w:color w:val="auto"/>
              </w:rPr>
            </w:pPr>
            <w:r>
              <w:rPr>
                <w:rFonts w:ascii="Arial" w:cs="Arial" w:eastAsia="Arial" w:hAnsi="Arial"/>
                <w:sz w:val="14"/>
                <w:szCs w:val="14"/>
                <w:color w:val="auto"/>
              </w:rPr>
              <w:t>Equity securities</w:t>
            </w:r>
          </w:p>
        </w:tc>
        <w:tc>
          <w:tcPr>
            <w:tcW w:w="3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754,687</w:t>
            </w:r>
          </w:p>
        </w:tc>
        <w:tc>
          <w:tcPr>
            <w:tcW w:w="340" w:type="dxa"/>
            <w:vAlign w:val="bottom"/>
            <w:gridSpan w:val="2"/>
          </w:tcPr>
          <w:p>
            <w:pPr>
              <w:jc w:val="right"/>
              <w:ind w:right="10"/>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9"/>
              <w:spacing w:after="0" w:line="14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Total</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754,687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 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9"/>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Remaining Contractual Maturity</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0"/>
                <w:szCs w:val="10"/>
                <w:color w:val="auto"/>
              </w:rPr>
            </w:pPr>
          </w:p>
        </w:tc>
        <w:tc>
          <w:tcPr>
            <w:tcW w:w="960" w:type="dxa"/>
            <w:vAlign w:val="bottom"/>
            <w:gridSpan w:val="2"/>
          </w:tcPr>
          <w:p>
            <w:pPr>
              <w:jc w:val="right"/>
              <w:spacing w:after="0" w:line="116" w:lineRule="exact"/>
              <w:rPr>
                <w:sz w:val="20"/>
                <w:szCs w:val="20"/>
                <w:color w:val="auto"/>
              </w:rPr>
            </w:pPr>
            <w:r>
              <w:rPr>
                <w:rFonts w:ascii="Arial" w:cs="Arial" w:eastAsia="Arial" w:hAnsi="Arial"/>
                <w:sz w:val="13"/>
                <w:szCs w:val="13"/>
                <w:b w:val="1"/>
                <w:bCs w:val="1"/>
                <w:color w:val="auto"/>
              </w:rPr>
              <w:t>Overnight and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70"/>
              <w:spacing w:after="0" w:line="116" w:lineRule="exact"/>
              <w:rPr>
                <w:sz w:val="20"/>
                <w:szCs w:val="20"/>
                <w:color w:val="auto"/>
              </w:rPr>
            </w:pPr>
            <w:r>
              <w:rPr>
                <w:rFonts w:ascii="Arial" w:cs="Arial" w:eastAsia="Arial" w:hAnsi="Arial"/>
                <w:sz w:val="13"/>
                <w:szCs w:val="13"/>
                <w:b w:val="1"/>
                <w:bCs w:val="1"/>
                <w:color w:val="auto"/>
                <w:w w:val="95"/>
              </w:rPr>
              <w:t>Less than</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91"/>
              <w:spacing w:after="0" w:line="116" w:lineRule="exact"/>
              <w:rPr>
                <w:sz w:val="20"/>
                <w:szCs w:val="20"/>
                <w:color w:val="auto"/>
              </w:rPr>
            </w:pPr>
            <w:r>
              <w:rPr>
                <w:rFonts w:ascii="Arial" w:cs="Arial" w:eastAsia="Arial" w:hAnsi="Arial"/>
                <w:sz w:val="13"/>
                <w:szCs w:val="13"/>
                <w:b w:val="1"/>
                <w:bCs w:val="1"/>
                <w:color w:val="auto"/>
                <w:w w:val="98"/>
              </w:rPr>
              <w:t>30 - 60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51"/>
              <w:spacing w:after="0" w:line="116" w:lineRule="exact"/>
              <w:rPr>
                <w:sz w:val="20"/>
                <w:szCs w:val="20"/>
                <w:color w:val="auto"/>
              </w:rPr>
            </w:pPr>
            <w:r>
              <w:rPr>
                <w:rFonts w:ascii="Arial" w:cs="Arial" w:eastAsia="Arial" w:hAnsi="Arial"/>
                <w:sz w:val="13"/>
                <w:szCs w:val="13"/>
                <w:b w:val="1"/>
                <w:bCs w:val="1"/>
                <w:color w:val="auto"/>
              </w:rPr>
              <w:t>61 - 90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b w:val="1"/>
                <w:bCs w:val="1"/>
                <w:color w:val="auto"/>
                <w:w w:val="89"/>
              </w:rPr>
              <w:t>Continuous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30 days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days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Days</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3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560" w:type="dxa"/>
            <w:vAlign w:val="bottom"/>
          </w:tcPr>
          <w:p>
            <w:pPr>
              <w:spacing w:after="0" w:line="145" w:lineRule="exact"/>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Equity securities</w:t>
            </w:r>
          </w:p>
        </w:tc>
        <w:tc>
          <w:tcPr>
            <w:tcW w:w="3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222,203</w:t>
            </w:r>
          </w:p>
        </w:tc>
        <w:tc>
          <w:tcPr>
            <w:tcW w:w="3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60"/>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4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line="14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222,203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60" w:type="dxa"/>
            <w:vAlign w:val="bottom"/>
          </w:tcPr>
          <w:p>
            <w:pPr>
              <w:spacing w:after="0" w:line="14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2"/>
                <w:szCs w:val="12"/>
                <w:color w:val="auto"/>
              </w:rPr>
            </w:pP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5" w:lineRule="exact"/>
              <w:rPr>
                <w:sz w:val="20"/>
                <w:szCs w:val="20"/>
                <w:color w:val="auto"/>
              </w:rPr>
            </w:pPr>
            <w:r>
              <w:rPr>
                <w:rFonts w:ascii="Arial" w:cs="Arial" w:eastAsia="Arial" w:hAnsi="Arial"/>
                <w:sz w:val="14"/>
                <w:szCs w:val="14"/>
                <w:color w:val="auto"/>
              </w:rPr>
              <w:t>222,203</w:t>
            </w:r>
          </w:p>
        </w:tc>
        <w:tc>
          <w:tcPr>
            <w:tcW w:w="3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760" w:type="dxa"/>
            <w:vAlign w:val="bottom"/>
          </w:tcPr>
          <w:p>
            <w:pPr>
              <w:ind w:left="560"/>
              <w:spacing w:after="0" w:line="14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60"/>
              <w:spacing w:after="0" w:line="145"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560"/>
              <w:spacing w:after="0" w:line="145"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40"/>
              <w:spacing w:after="0" w:line="145" w:lineRule="exact"/>
              <w:rPr>
                <w:sz w:val="20"/>
                <w:szCs w:val="20"/>
                <w:color w:val="auto"/>
              </w:rPr>
            </w:pPr>
            <w:r>
              <w:rPr>
                <w:rFonts w:ascii="Arial" w:cs="Arial" w:eastAsia="Arial" w:hAnsi="Arial"/>
                <w:sz w:val="14"/>
                <w:szCs w:val="14"/>
                <w:u w:val="single" w:color="auto"/>
                <w:color w:val="auto"/>
              </w:rPr>
              <w:t>$</w:t>
            </w:r>
          </w:p>
        </w:tc>
        <w:tc>
          <w:tcPr>
            <w:tcW w:w="940" w:type="dxa"/>
            <w:vAlign w:val="bottom"/>
            <w:gridSpan w:val="2"/>
          </w:tcPr>
          <w:p>
            <w:pPr>
              <w:ind w:left="5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line="14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222,203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the Company’s derivative instruments on a gross basis consisted of the following at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December 31,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2016</w:t>
            </w:r>
          </w:p>
        </w:tc>
      </w:tr>
      <w:tr>
        <w:trPr>
          <w:trHeight w:val="139"/>
        </w:trPr>
        <w:tc>
          <w:tcPr>
            <w:tcW w:w="16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Derivatives Assets</w:t>
            </w:r>
          </w:p>
        </w:tc>
        <w:tc>
          <w:tcPr>
            <w:tcW w:w="180" w:type="dxa"/>
            <w:vAlign w:val="bottom"/>
          </w:tcPr>
          <w:p>
            <w:pPr>
              <w:spacing w:after="0"/>
              <w:rPr>
                <w:sz w:val="12"/>
                <w:szCs w:val="12"/>
                <w:color w:val="auto"/>
              </w:rPr>
            </w:pPr>
          </w:p>
        </w:tc>
        <w:tc>
          <w:tcPr>
            <w:tcW w:w="282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Financial Statements Location</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9"/>
              <w:spacing w:after="0" w:line="139" w:lineRule="exact"/>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9"/>
              <w:spacing w:after="0" w:line="139"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69"/>
              <w:spacing w:after="0" w:line="139" w:lineRule="exact"/>
              <w:rPr>
                <w:sz w:val="20"/>
                <w:szCs w:val="20"/>
                <w:color w:val="auto"/>
              </w:rPr>
            </w:pPr>
            <w:r>
              <w:rPr>
                <w:rFonts w:ascii="Arial" w:cs="Arial" w:eastAsia="Arial" w:hAnsi="Arial"/>
                <w:sz w:val="14"/>
                <w:szCs w:val="14"/>
                <w:b w:val="1"/>
                <w:bCs w:val="1"/>
                <w:color w:val="auto"/>
                <w:w w:val="95"/>
              </w:rPr>
              <w:t>Fair Value</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29"/>
              <w:spacing w:after="0" w:line="139" w:lineRule="exact"/>
              <w:rPr>
                <w:sz w:val="20"/>
                <w:szCs w:val="20"/>
                <w:color w:val="auto"/>
              </w:rPr>
            </w:pPr>
            <w:r>
              <w:rPr>
                <w:rFonts w:ascii="Arial" w:cs="Arial" w:eastAsia="Arial" w:hAnsi="Arial"/>
                <w:sz w:val="14"/>
                <w:szCs w:val="14"/>
                <w:b w:val="1"/>
                <w:bCs w:val="1"/>
                <w:color w:val="auto"/>
                <w:w w:val="99"/>
              </w:rPr>
              <w:t>Notional</w:t>
            </w:r>
          </w:p>
        </w:tc>
        <w:tc>
          <w:tcPr>
            <w:tcW w:w="40" w:type="dxa"/>
            <w:vAlign w:val="bottom"/>
          </w:tcPr>
          <w:p>
            <w:pPr>
              <w:spacing w:after="0"/>
              <w:rPr>
                <w:sz w:val="12"/>
                <w:szCs w:val="12"/>
                <w:color w:val="auto"/>
              </w:rPr>
            </w:pPr>
          </w:p>
        </w:tc>
      </w:tr>
      <w:tr>
        <w:trPr>
          <w:trHeight w:val="116"/>
        </w:trPr>
        <w:tc>
          <w:tcPr>
            <w:tcW w:w="20" w:type="dxa"/>
            <w:vAlign w:val="bottom"/>
          </w:tcPr>
          <w:p>
            <w:pPr>
              <w:spacing w:after="0"/>
              <w:rPr>
                <w:sz w:val="10"/>
                <w:szCs w:val="10"/>
                <w:color w:val="auto"/>
              </w:rPr>
            </w:pPr>
          </w:p>
        </w:tc>
        <w:tc>
          <w:tcPr>
            <w:tcW w:w="1620" w:type="dxa"/>
            <w:vAlign w:val="bottom"/>
            <w:tcBorders>
              <w:top w:val="single" w:sz="8" w:color="auto"/>
            </w:tcBorders>
          </w:tcPr>
          <w:p>
            <w:pPr>
              <w:spacing w:after="0" w:line="116" w:lineRule="exact"/>
              <w:rPr>
                <w:sz w:val="20"/>
                <w:szCs w:val="20"/>
                <w:color w:val="auto"/>
              </w:rPr>
            </w:pPr>
            <w:r>
              <w:rPr>
                <w:rFonts w:ascii="Arial" w:cs="Arial" w:eastAsia="Arial" w:hAnsi="Arial"/>
                <w:sz w:val="13"/>
                <w:szCs w:val="13"/>
                <w:b w:val="1"/>
                <w:bCs w:val="1"/>
                <w:color w:val="auto"/>
                <w:w w:val="97"/>
              </w:rPr>
              <w:t>Derivative instruments not</w:t>
            </w:r>
          </w:p>
        </w:tc>
        <w:tc>
          <w:tcPr>
            <w:tcW w:w="180" w:type="dxa"/>
            <w:vAlign w:val="bottom"/>
          </w:tcPr>
          <w:p>
            <w:pPr>
              <w:spacing w:after="0"/>
              <w:rPr>
                <w:sz w:val="10"/>
                <w:szCs w:val="10"/>
                <w:color w:val="auto"/>
              </w:rPr>
            </w:pPr>
          </w:p>
        </w:tc>
        <w:tc>
          <w:tcPr>
            <w:tcW w:w="2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6"/>
        </w:trPr>
        <w:tc>
          <w:tcPr>
            <w:tcW w:w="16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designated as hedging</w:t>
            </w:r>
          </w:p>
        </w:tc>
        <w:tc>
          <w:tcPr>
            <w:tcW w:w="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8"/>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1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Equities futures</w:t>
            </w:r>
          </w:p>
        </w:tc>
        <w:tc>
          <w:tcPr>
            <w:tcW w:w="3000" w:type="dxa"/>
            <w:vAlign w:val="bottom"/>
            <w:gridSpan w:val="2"/>
            <w:shd w:val="clear" w:color="auto" w:fill="CCEEFF"/>
          </w:tcPr>
          <w:p>
            <w:pPr>
              <w:ind w:left="180"/>
              <w:spacing w:after="0" w:line="127" w:lineRule="exact"/>
              <w:rPr>
                <w:sz w:val="20"/>
                <w:szCs w:val="20"/>
                <w:color w:val="auto"/>
              </w:rPr>
            </w:pPr>
            <w:r>
              <w:rPr>
                <w:rFonts w:ascii="Arial" w:cs="Arial" w:eastAsia="Arial" w:hAnsi="Arial"/>
                <w:sz w:val="14"/>
                <w:szCs w:val="14"/>
                <w:color w:val="auto"/>
                <w:w w:val="99"/>
              </w:rPr>
              <w:t>Receivables from broker dealers and clearing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4"/>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organizations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1,985,770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1,461,286</w:t>
            </w:r>
          </w:p>
        </w:tc>
        <w:tc>
          <w:tcPr>
            <w:tcW w:w="40" w:type="dxa"/>
            <w:vAlign w:val="bottom"/>
            <w:shd w:val="clear" w:color="auto" w:fill="CCEEFF"/>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1620" w:type="dxa"/>
            <w:vAlign w:val="bottom"/>
          </w:tcPr>
          <w:p>
            <w:pPr>
              <w:spacing w:after="0" w:line="127" w:lineRule="exact"/>
              <w:rPr>
                <w:sz w:val="20"/>
                <w:szCs w:val="20"/>
                <w:color w:val="auto"/>
              </w:rPr>
            </w:pPr>
            <w:r>
              <w:rPr>
                <w:rFonts w:ascii="Arial" w:cs="Arial" w:eastAsia="Arial" w:hAnsi="Arial"/>
                <w:sz w:val="14"/>
                <w:szCs w:val="14"/>
                <w:color w:val="auto"/>
              </w:rPr>
              <w:t>Commodity futures</w:t>
            </w:r>
          </w:p>
        </w:tc>
        <w:tc>
          <w:tcPr>
            <w:tcW w:w="3000" w:type="dxa"/>
            <w:vAlign w:val="bottom"/>
            <w:gridSpan w:val="2"/>
          </w:tcPr>
          <w:p>
            <w:pPr>
              <w:ind w:left="180"/>
              <w:spacing w:after="0" w:line="127" w:lineRule="exact"/>
              <w:rPr>
                <w:sz w:val="20"/>
                <w:szCs w:val="20"/>
                <w:color w:val="auto"/>
              </w:rPr>
            </w:pPr>
            <w:r>
              <w:rPr>
                <w:rFonts w:ascii="Arial" w:cs="Arial" w:eastAsia="Arial" w:hAnsi="Arial"/>
                <w:sz w:val="14"/>
                <w:szCs w:val="14"/>
                <w:color w:val="auto"/>
                <w:w w:val="99"/>
              </w:rPr>
              <w:t>Receivables from broker dealers and clearing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0" w:type="dxa"/>
            <w:vAlign w:val="bottom"/>
            <w:gridSpan w:val="2"/>
          </w:tcPr>
          <w:p>
            <w:pPr>
              <w:ind w:left="180"/>
              <w:spacing w:after="0"/>
              <w:rPr>
                <w:sz w:val="20"/>
                <w:szCs w:val="20"/>
                <w:color w:val="auto"/>
              </w:rPr>
            </w:pPr>
            <w:r>
              <w:rPr>
                <w:rFonts w:ascii="Arial" w:cs="Arial" w:eastAsia="Arial" w:hAnsi="Arial"/>
                <w:sz w:val="14"/>
                <w:szCs w:val="14"/>
                <w:color w:val="auto"/>
              </w:rPr>
              <w:t>organizations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21,231,001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13,964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3,918,778</w:t>
            </w:r>
          </w:p>
        </w:tc>
        <w:tc>
          <w:tcPr>
            <w:tcW w:w="40" w:type="dxa"/>
            <w:vAlign w:val="bottom"/>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1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Currency futures</w:t>
            </w:r>
          </w:p>
        </w:tc>
        <w:tc>
          <w:tcPr>
            <w:tcW w:w="3000" w:type="dxa"/>
            <w:vAlign w:val="bottom"/>
            <w:gridSpan w:val="2"/>
            <w:shd w:val="clear" w:color="auto" w:fill="CCEEFF"/>
          </w:tcPr>
          <w:p>
            <w:pPr>
              <w:ind w:left="180"/>
              <w:spacing w:after="0" w:line="127" w:lineRule="exact"/>
              <w:rPr>
                <w:sz w:val="20"/>
                <w:szCs w:val="20"/>
                <w:color w:val="auto"/>
              </w:rPr>
            </w:pPr>
            <w:r>
              <w:rPr>
                <w:rFonts w:ascii="Arial" w:cs="Arial" w:eastAsia="Arial" w:hAnsi="Arial"/>
                <w:sz w:val="14"/>
                <w:szCs w:val="14"/>
                <w:color w:val="auto"/>
                <w:w w:val="99"/>
              </w:rPr>
              <w:t>Receivables from broker dealers and clearing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4"/>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organizations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3,994,412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3,264,093</w:t>
            </w:r>
          </w:p>
        </w:tc>
        <w:tc>
          <w:tcPr>
            <w:tcW w:w="40" w:type="dxa"/>
            <w:vAlign w:val="bottom"/>
            <w:shd w:val="clear" w:color="auto" w:fill="CCEEFF"/>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1620" w:type="dxa"/>
            <w:vAlign w:val="bottom"/>
          </w:tcPr>
          <w:p>
            <w:pPr>
              <w:spacing w:after="0" w:line="127" w:lineRule="exact"/>
              <w:rPr>
                <w:sz w:val="20"/>
                <w:szCs w:val="20"/>
                <w:color w:val="auto"/>
              </w:rPr>
            </w:pPr>
            <w:r>
              <w:rPr>
                <w:rFonts w:ascii="Arial" w:cs="Arial" w:eastAsia="Arial" w:hAnsi="Arial"/>
                <w:sz w:val="14"/>
                <w:szCs w:val="14"/>
                <w:color w:val="auto"/>
              </w:rPr>
              <w:t>Fixed income futures</w:t>
            </w:r>
          </w:p>
        </w:tc>
        <w:tc>
          <w:tcPr>
            <w:tcW w:w="3000" w:type="dxa"/>
            <w:vAlign w:val="bottom"/>
            <w:gridSpan w:val="2"/>
          </w:tcPr>
          <w:p>
            <w:pPr>
              <w:ind w:left="180"/>
              <w:spacing w:after="0" w:line="127" w:lineRule="exact"/>
              <w:rPr>
                <w:sz w:val="20"/>
                <w:szCs w:val="20"/>
                <w:color w:val="auto"/>
              </w:rPr>
            </w:pPr>
            <w:r>
              <w:rPr>
                <w:rFonts w:ascii="Arial" w:cs="Arial" w:eastAsia="Arial" w:hAnsi="Arial"/>
                <w:sz w:val="14"/>
                <w:szCs w:val="14"/>
                <w:color w:val="auto"/>
                <w:w w:val="99"/>
              </w:rPr>
              <w:t>Receivables from broker dealers and clearing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0" w:type="dxa"/>
            <w:vAlign w:val="bottom"/>
            <w:gridSpan w:val="2"/>
          </w:tcPr>
          <w:p>
            <w:pPr>
              <w:ind w:left="180"/>
              <w:spacing w:after="0"/>
              <w:rPr>
                <w:sz w:val="20"/>
                <w:szCs w:val="20"/>
                <w:color w:val="auto"/>
              </w:rPr>
            </w:pPr>
            <w:r>
              <w:rPr>
                <w:rFonts w:ascii="Arial" w:cs="Arial" w:eastAsia="Arial" w:hAnsi="Arial"/>
                <w:sz w:val="14"/>
                <w:szCs w:val="14"/>
                <w:color w:val="auto"/>
              </w:rPr>
              <w:t>organizations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44,395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5,730</w:t>
            </w:r>
          </w:p>
        </w:tc>
        <w:tc>
          <w:tcPr>
            <w:tcW w:w="4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16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Options</w:t>
            </w:r>
          </w:p>
        </w:tc>
        <w:tc>
          <w:tcPr>
            <w:tcW w:w="300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rPr>
              <w:t>Financial instruments owned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7,045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682,369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6,844</w:t>
            </w:r>
          </w:p>
        </w:tc>
        <w:tc>
          <w:tcPr>
            <w:tcW w:w="4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Currency forwards</w:t>
            </w:r>
          </w:p>
        </w:tc>
        <w:tc>
          <w:tcPr>
            <w:tcW w:w="3000" w:type="dxa"/>
            <w:vAlign w:val="bottom"/>
            <w:gridSpan w:val="2"/>
          </w:tcPr>
          <w:p>
            <w:pPr>
              <w:ind w:left="180"/>
              <w:spacing w:after="0"/>
              <w:rPr>
                <w:sz w:val="20"/>
                <w:szCs w:val="20"/>
                <w:color w:val="auto"/>
              </w:rPr>
            </w:pPr>
            <w:r>
              <w:rPr>
                <w:rFonts w:ascii="Arial" w:cs="Arial" w:eastAsia="Arial" w:hAnsi="Arial"/>
                <w:sz w:val="14"/>
                <w:szCs w:val="14"/>
                <w:color w:val="auto"/>
              </w:rPr>
              <w:t>Financial instruments owned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2,045,487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5"/>
              </w:rPr>
              <w:t>124,000,221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1,147,261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94,192,414</w:t>
            </w:r>
          </w:p>
        </w:tc>
        <w:tc>
          <w:tcPr>
            <w:tcW w:w="40" w:type="dxa"/>
            <w:vAlign w:val="bottom"/>
          </w:tcPr>
          <w:p>
            <w:pPr>
              <w:spacing w:after="0"/>
              <w:rPr>
                <w:sz w:val="15"/>
                <w:szCs w:val="15"/>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Derivatives Liabilities</w:t>
            </w:r>
          </w:p>
        </w:tc>
        <w:tc>
          <w:tcPr>
            <w:tcW w:w="180" w:type="dxa"/>
            <w:vAlign w:val="bottom"/>
          </w:tcPr>
          <w:p>
            <w:pPr>
              <w:spacing w:after="0"/>
              <w:rPr>
                <w:sz w:val="14"/>
                <w:szCs w:val="14"/>
                <w:color w:val="auto"/>
              </w:rPr>
            </w:pPr>
          </w:p>
        </w:tc>
        <w:tc>
          <w:tcPr>
            <w:tcW w:w="2820" w:type="dxa"/>
            <w:vAlign w:val="bottom"/>
          </w:tcPr>
          <w:p>
            <w:pPr>
              <w:ind w:left="500"/>
              <w:spacing w:after="0"/>
              <w:rPr>
                <w:sz w:val="20"/>
                <w:szCs w:val="20"/>
                <w:color w:val="auto"/>
              </w:rPr>
            </w:pPr>
            <w:r>
              <w:rPr>
                <w:rFonts w:ascii="Arial" w:cs="Arial" w:eastAsia="Arial" w:hAnsi="Arial"/>
                <w:sz w:val="14"/>
                <w:szCs w:val="14"/>
                <w:b w:val="1"/>
                <w:bCs w:val="1"/>
                <w:color w:val="auto"/>
              </w:rPr>
              <w:t>Financial Statements Location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620" w:type="dxa"/>
            <w:vAlign w:val="bottom"/>
            <w:tcBorders>
              <w:top w:val="single" w:sz="8" w:color="auto"/>
            </w:tcBorders>
          </w:tcPr>
          <w:p>
            <w:pPr>
              <w:spacing w:after="0" w:line="116" w:lineRule="exact"/>
              <w:rPr>
                <w:sz w:val="20"/>
                <w:szCs w:val="20"/>
                <w:color w:val="auto"/>
              </w:rPr>
            </w:pPr>
            <w:r>
              <w:rPr>
                <w:rFonts w:ascii="Arial" w:cs="Arial" w:eastAsia="Arial" w:hAnsi="Arial"/>
                <w:sz w:val="13"/>
                <w:szCs w:val="13"/>
                <w:b w:val="1"/>
                <w:bCs w:val="1"/>
                <w:color w:val="auto"/>
                <w:w w:val="97"/>
              </w:rPr>
              <w:t>Derivative instruments not</w:t>
            </w:r>
          </w:p>
        </w:tc>
        <w:tc>
          <w:tcPr>
            <w:tcW w:w="180" w:type="dxa"/>
            <w:vAlign w:val="bottom"/>
          </w:tcPr>
          <w:p>
            <w:pPr>
              <w:spacing w:after="0"/>
              <w:rPr>
                <w:sz w:val="10"/>
                <w:szCs w:val="10"/>
                <w:color w:val="auto"/>
              </w:rPr>
            </w:pPr>
          </w:p>
        </w:tc>
        <w:tc>
          <w:tcPr>
            <w:tcW w:w="2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designated as hedging</w:t>
            </w:r>
          </w:p>
        </w:tc>
        <w:tc>
          <w:tcPr>
            <w:tcW w:w="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Equities futures</w:t>
            </w:r>
          </w:p>
        </w:tc>
        <w:tc>
          <w:tcPr>
            <w:tcW w:w="3000" w:type="dxa"/>
            <w:vAlign w:val="bottom"/>
            <w:gridSpan w:val="2"/>
            <w:shd w:val="clear" w:color="auto" w:fill="CCEEFF"/>
          </w:tcPr>
          <w:p>
            <w:pPr>
              <w:ind w:left="180"/>
              <w:spacing w:after="0" w:line="127" w:lineRule="exact"/>
              <w:rPr>
                <w:sz w:val="20"/>
                <w:szCs w:val="20"/>
                <w:color w:val="auto"/>
              </w:rPr>
            </w:pPr>
            <w:r>
              <w:rPr>
                <w:rFonts w:ascii="Arial" w:cs="Arial" w:eastAsia="Arial" w:hAnsi="Arial"/>
                <w:sz w:val="14"/>
                <w:szCs w:val="14"/>
                <w:color w:val="auto"/>
              </w:rPr>
              <w:t>Payables to broker dealers and clearing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organizations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142,658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20" w:type="dxa"/>
            <w:vAlign w:val="bottom"/>
          </w:tcPr>
          <w:p>
            <w:pPr>
              <w:spacing w:after="0" w:line="127" w:lineRule="exact"/>
              <w:rPr>
                <w:sz w:val="20"/>
                <w:szCs w:val="20"/>
                <w:color w:val="auto"/>
              </w:rPr>
            </w:pPr>
            <w:r>
              <w:rPr>
                <w:rFonts w:ascii="Arial" w:cs="Arial" w:eastAsia="Arial" w:hAnsi="Arial"/>
                <w:sz w:val="14"/>
                <w:szCs w:val="14"/>
                <w:color w:val="auto"/>
              </w:rPr>
              <w:t>Commodity futures</w:t>
            </w:r>
          </w:p>
        </w:tc>
        <w:tc>
          <w:tcPr>
            <w:tcW w:w="3000" w:type="dxa"/>
            <w:vAlign w:val="bottom"/>
            <w:gridSpan w:val="2"/>
          </w:tcPr>
          <w:p>
            <w:pPr>
              <w:ind w:left="180"/>
              <w:spacing w:after="0" w:line="127" w:lineRule="exact"/>
              <w:rPr>
                <w:sz w:val="20"/>
                <w:szCs w:val="20"/>
                <w:color w:val="auto"/>
              </w:rPr>
            </w:pPr>
            <w:r>
              <w:rPr>
                <w:rFonts w:ascii="Arial" w:cs="Arial" w:eastAsia="Arial" w:hAnsi="Arial"/>
                <w:sz w:val="14"/>
                <w:szCs w:val="14"/>
                <w:color w:val="auto"/>
              </w:rPr>
              <w:t>Payables to broker dealers and clearing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0" w:type="dxa"/>
            <w:vAlign w:val="bottom"/>
            <w:gridSpan w:val="2"/>
          </w:tcPr>
          <w:p>
            <w:pPr>
              <w:ind w:left="180"/>
              <w:spacing w:after="0"/>
              <w:rPr>
                <w:sz w:val="20"/>
                <w:szCs w:val="20"/>
                <w:color w:val="auto"/>
              </w:rPr>
            </w:pPr>
            <w:r>
              <w:rPr>
                <w:rFonts w:ascii="Arial" w:cs="Arial" w:eastAsia="Arial" w:hAnsi="Arial"/>
                <w:sz w:val="14"/>
                <w:szCs w:val="14"/>
                <w:color w:val="auto"/>
              </w:rPr>
              <w:t>organizations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130,042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22,616,170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2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Currency futures</w:t>
            </w:r>
          </w:p>
        </w:tc>
        <w:tc>
          <w:tcPr>
            <w:tcW w:w="3000" w:type="dxa"/>
            <w:vAlign w:val="bottom"/>
            <w:gridSpan w:val="2"/>
            <w:shd w:val="clear" w:color="auto" w:fill="CCEEFF"/>
          </w:tcPr>
          <w:p>
            <w:pPr>
              <w:ind w:left="180"/>
              <w:spacing w:after="0" w:line="127" w:lineRule="exact"/>
              <w:rPr>
                <w:sz w:val="20"/>
                <w:szCs w:val="20"/>
                <w:color w:val="auto"/>
              </w:rPr>
            </w:pPr>
            <w:r>
              <w:rPr>
                <w:rFonts w:ascii="Arial" w:cs="Arial" w:eastAsia="Arial" w:hAnsi="Arial"/>
                <w:sz w:val="14"/>
                <w:szCs w:val="14"/>
                <w:color w:val="auto"/>
              </w:rPr>
              <w:t>Payables to broker dealers and clearing</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organizations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7,756,958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1,137,908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20" w:type="dxa"/>
            <w:vAlign w:val="bottom"/>
          </w:tcPr>
          <w:p>
            <w:pPr>
              <w:spacing w:after="0" w:line="127" w:lineRule="exact"/>
              <w:rPr>
                <w:sz w:val="20"/>
                <w:szCs w:val="20"/>
                <w:color w:val="auto"/>
              </w:rPr>
            </w:pPr>
            <w:r>
              <w:rPr>
                <w:rFonts w:ascii="Arial" w:cs="Arial" w:eastAsia="Arial" w:hAnsi="Arial"/>
                <w:sz w:val="14"/>
                <w:szCs w:val="14"/>
                <w:color w:val="auto"/>
              </w:rPr>
              <w:t>Fixed income futures</w:t>
            </w:r>
          </w:p>
        </w:tc>
        <w:tc>
          <w:tcPr>
            <w:tcW w:w="3000" w:type="dxa"/>
            <w:vAlign w:val="bottom"/>
            <w:gridSpan w:val="2"/>
          </w:tcPr>
          <w:p>
            <w:pPr>
              <w:ind w:left="180"/>
              <w:spacing w:after="0" w:line="127" w:lineRule="exact"/>
              <w:rPr>
                <w:sz w:val="20"/>
                <w:szCs w:val="20"/>
                <w:color w:val="auto"/>
              </w:rPr>
            </w:pPr>
            <w:r>
              <w:rPr>
                <w:rFonts w:ascii="Arial" w:cs="Arial" w:eastAsia="Arial" w:hAnsi="Arial"/>
                <w:sz w:val="14"/>
                <w:szCs w:val="14"/>
                <w:color w:val="auto"/>
              </w:rPr>
              <w:t>Payables to broker dealers and clearing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0" w:type="dxa"/>
            <w:vAlign w:val="bottom"/>
            <w:gridSpan w:val="2"/>
          </w:tcPr>
          <w:p>
            <w:pPr>
              <w:ind w:left="180"/>
              <w:spacing w:after="0"/>
              <w:rPr>
                <w:sz w:val="20"/>
                <w:szCs w:val="20"/>
                <w:color w:val="auto"/>
              </w:rPr>
            </w:pPr>
            <w:r>
              <w:rPr>
                <w:rFonts w:ascii="Arial" w:cs="Arial" w:eastAsia="Arial" w:hAnsi="Arial"/>
                <w:sz w:val="14"/>
                <w:szCs w:val="14"/>
                <w:color w:val="auto"/>
              </w:rPr>
              <w:t>organizations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Options</w:t>
            </w:r>
          </w:p>
        </w:tc>
        <w:tc>
          <w:tcPr>
            <w:tcW w:w="300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w w:val="99"/>
              </w:rPr>
              <w:t>Financial instruments sold, not yet purchased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5,839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681,147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tcPr>
          <w:p>
            <w:pPr>
              <w:spacing w:after="0" w:line="145" w:lineRule="exact"/>
              <w:rPr>
                <w:sz w:val="20"/>
                <w:szCs w:val="20"/>
                <w:color w:val="auto"/>
              </w:rPr>
            </w:pPr>
            <w:r>
              <w:rPr>
                <w:rFonts w:ascii="Arial" w:cs="Arial" w:eastAsia="Arial" w:hAnsi="Arial"/>
                <w:sz w:val="14"/>
                <w:szCs w:val="14"/>
                <w:color w:val="auto"/>
              </w:rPr>
              <w:t>Currency forwards</w:t>
            </w:r>
          </w:p>
        </w:tc>
        <w:tc>
          <w:tcPr>
            <w:tcW w:w="3000" w:type="dxa"/>
            <w:vAlign w:val="bottom"/>
            <w:gridSpan w:val="2"/>
          </w:tcPr>
          <w:p>
            <w:pPr>
              <w:ind w:left="180"/>
              <w:spacing w:after="0" w:line="145" w:lineRule="exact"/>
              <w:rPr>
                <w:sz w:val="20"/>
                <w:szCs w:val="20"/>
                <w:color w:val="auto"/>
              </w:rPr>
            </w:pPr>
            <w:r>
              <w:rPr>
                <w:rFonts w:ascii="Arial" w:cs="Arial" w:eastAsia="Arial" w:hAnsi="Arial"/>
                <w:sz w:val="14"/>
                <w:szCs w:val="14"/>
                <w:color w:val="auto"/>
                <w:w w:val="99"/>
              </w:rPr>
              <w:t>Financial instruments sold, not yet purchased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2,032,017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w w:val="95"/>
              </w:rPr>
              <w:t>123,993,234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1,009,038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85,874,684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620" w:type="dxa"/>
            <w:vAlign w:val="bottom"/>
          </w:tcPr>
          <w:p>
            <w:pPr>
              <w:spacing w:after="0" w:line="123" w:lineRule="exact"/>
              <w:rPr>
                <w:sz w:val="20"/>
                <w:szCs w:val="20"/>
                <w:color w:val="auto"/>
              </w:rPr>
            </w:pPr>
            <w:r>
              <w:rPr>
                <w:rFonts w:ascii="Arial" w:cs="Arial" w:eastAsia="Arial" w:hAnsi="Arial"/>
                <w:sz w:val="14"/>
                <w:szCs w:val="14"/>
                <w:b w:val="1"/>
                <w:bCs w:val="1"/>
                <w:color w:val="auto"/>
              </w:rPr>
              <w:t>Derivative instruments</w:t>
            </w:r>
          </w:p>
        </w:tc>
        <w:tc>
          <w:tcPr>
            <w:tcW w:w="1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designated as hedging</w:t>
            </w:r>
          </w:p>
        </w:tc>
        <w:tc>
          <w:tcPr>
            <w:tcW w:w="1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instruments:</w:t>
            </w:r>
          </w:p>
        </w:tc>
        <w:tc>
          <w:tcPr>
            <w:tcW w:w="1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2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Currency forwards</w:t>
            </w:r>
          </w:p>
        </w:tc>
        <w:tc>
          <w:tcPr>
            <w:tcW w:w="3000" w:type="dxa"/>
            <w:vAlign w:val="bottom"/>
            <w:gridSpan w:val="2"/>
            <w:shd w:val="clear" w:color="auto" w:fill="CCEEFF"/>
          </w:tcPr>
          <w:p>
            <w:pPr>
              <w:ind w:left="180"/>
              <w:spacing w:after="0" w:line="145" w:lineRule="exact"/>
              <w:rPr>
                <w:sz w:val="20"/>
                <w:szCs w:val="20"/>
                <w:color w:val="auto"/>
              </w:rPr>
            </w:pPr>
            <w:r>
              <w:rPr>
                <w:rFonts w:ascii="Arial" w:cs="Arial" w:eastAsia="Arial" w:hAnsi="Arial"/>
                <w:sz w:val="14"/>
                <w:szCs w:val="14"/>
                <w:color w:val="auto"/>
                <w:w w:val="99"/>
              </w:rPr>
              <w:t>Financial instruments sold, not yet purchased</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16,115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8"/>
          <w:szCs w:val="18"/>
          <w:color w:val="auto"/>
        </w:rPr>
        <w:t>Amounts included in receivables from and payables to broker-dealers and clearing organizations represent net variation margin on long and short futures contracts.</w:t>
      </w:r>
    </w:p>
    <w:p>
      <w:pPr>
        <w:spacing w:after="0" w:line="180" w:lineRule="exact"/>
        <w:rPr>
          <w:sz w:val="20"/>
          <w:szCs w:val="20"/>
          <w:color w:val="auto"/>
        </w:rPr>
      </w:pPr>
    </w:p>
    <w:p>
      <w:pPr>
        <w:jc w:val="both"/>
        <w:ind w:right="100" w:firstLine="635"/>
        <w:spacing w:after="0" w:line="329" w:lineRule="auto"/>
        <w:rPr>
          <w:sz w:val="20"/>
          <w:szCs w:val="20"/>
          <w:color w:val="auto"/>
        </w:rPr>
      </w:pPr>
      <w:r>
        <w:rPr>
          <w:rFonts w:ascii="Arial" w:cs="Arial" w:eastAsia="Arial" w:hAnsi="Arial"/>
          <w:sz w:val="15"/>
          <w:szCs w:val="15"/>
          <w:color w:val="auto"/>
        </w:rPr>
        <w:t>The following table summarizes the net gain from derivative instruments not designated as hedging instruments under ASC 815, which are recorded in trading income, net, and from those designated as hedging instrument under ASC 815, which are recorded in accumulated other comprehensive income in the accompanying consolidated statements of</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years ended December 31, 2017, 2016, and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Financial Statements</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8"/>
        </w:trPr>
        <w:tc>
          <w:tcPr>
            <w:tcW w:w="2680" w:type="dxa"/>
            <w:vAlign w:val="bottom"/>
            <w:gridSpan w:val="2"/>
            <w:vMerge w:val="continue"/>
          </w:tcPr>
          <w:p>
            <w:pPr>
              <w:spacing w:after="0"/>
              <w:rPr>
                <w:sz w:val="14"/>
                <w:szCs w:val="14"/>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60" w:type="dxa"/>
            <w:vAlign w:val="bottom"/>
            <w:tcBorders>
              <w:top w:val="single" w:sz="8" w:color="auto"/>
            </w:tcBorders>
          </w:tcPr>
          <w:p>
            <w:pPr>
              <w:spacing w:after="0" w:line="116" w:lineRule="exact"/>
              <w:rPr>
                <w:sz w:val="20"/>
                <w:szCs w:val="20"/>
                <w:color w:val="auto"/>
              </w:rPr>
            </w:pPr>
            <w:r>
              <w:rPr>
                <w:rFonts w:ascii="Arial" w:cs="Arial" w:eastAsia="Arial" w:hAnsi="Arial"/>
                <w:sz w:val="13"/>
                <w:szCs w:val="13"/>
                <w:b w:val="1"/>
                <w:bCs w:val="1"/>
                <w:color w:val="auto"/>
              </w:rPr>
              <w:t>Derivative instruments not designated as</w:t>
            </w:r>
          </w:p>
        </w:tc>
        <w:tc>
          <w:tcPr>
            <w:tcW w:w="140" w:type="dxa"/>
            <w:vAlign w:val="bottom"/>
          </w:tcPr>
          <w:p>
            <w:pPr>
              <w:spacing w:after="0"/>
              <w:rPr>
                <w:sz w:val="10"/>
                <w:szCs w:val="10"/>
                <w:color w:val="auto"/>
              </w:rPr>
            </w:pPr>
          </w:p>
        </w:tc>
        <w:tc>
          <w:tcPr>
            <w:tcW w:w="1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hedging instruments:</w:t>
            </w: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Futures</w:t>
            </w:r>
          </w:p>
        </w:tc>
        <w:tc>
          <w:tcPr>
            <w:tcW w:w="180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Trading income, net</w:t>
            </w:r>
          </w:p>
        </w:tc>
        <w:tc>
          <w:tcPr>
            <w:tcW w:w="34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290,609</w:t>
            </w:r>
          </w:p>
        </w:tc>
        <w:tc>
          <w:tcPr>
            <w:tcW w:w="320" w:type="dxa"/>
            <w:vAlign w:val="bottom"/>
            <w:gridSpan w:val="2"/>
            <w:shd w:val="clear" w:color="auto" w:fill="CCEEFF"/>
          </w:tcPr>
          <w:p>
            <w:pPr>
              <w:jc w:val="right"/>
              <w:ind w:right="50"/>
              <w:spacing w:after="0" w:line="145"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559,626</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6"/>
              </w:rPr>
              <w:t>1,180,483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60" w:type="dxa"/>
            <w:vAlign w:val="bottom"/>
          </w:tcPr>
          <w:p>
            <w:pPr>
              <w:spacing w:after="0" w:line="145" w:lineRule="exact"/>
              <w:rPr>
                <w:sz w:val="20"/>
                <w:szCs w:val="20"/>
                <w:color w:val="auto"/>
              </w:rPr>
            </w:pPr>
            <w:r>
              <w:rPr>
                <w:rFonts w:ascii="Arial" w:cs="Arial" w:eastAsia="Arial" w:hAnsi="Arial"/>
                <w:sz w:val="14"/>
                <w:szCs w:val="14"/>
                <w:color w:val="auto"/>
              </w:rPr>
              <w:t>Currency forwards</w:t>
            </w:r>
          </w:p>
        </w:tc>
        <w:tc>
          <w:tcPr>
            <w:tcW w:w="180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Trading income, net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2,603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1,915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(16,431)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Options</w:t>
            </w:r>
          </w:p>
        </w:tc>
        <w:tc>
          <w:tcPr>
            <w:tcW w:w="1800" w:type="dxa"/>
            <w:vAlign w:val="bottom"/>
            <w:gridSpan w:val="2"/>
            <w:shd w:val="clear" w:color="auto" w:fill="CCEEFF"/>
          </w:tcPr>
          <w:p>
            <w:pPr>
              <w:ind w:left="140"/>
              <w:spacing w:after="0" w:line="145" w:lineRule="exact"/>
              <w:rPr>
                <w:sz w:val="20"/>
                <w:szCs w:val="20"/>
                <w:color w:val="auto"/>
              </w:rPr>
            </w:pPr>
            <w:r>
              <w:rPr>
                <w:rFonts w:ascii="Arial" w:cs="Arial" w:eastAsia="Arial" w:hAnsi="Arial"/>
                <w:sz w:val="14"/>
                <w:szCs w:val="14"/>
                <w:color w:val="auto"/>
              </w:rPr>
              <w:t>Trading income, net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(7,166)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(410)</w:t>
            </w:r>
          </w:p>
        </w:tc>
        <w:tc>
          <w:tcPr>
            <w:tcW w:w="1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(1,784)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6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Others</w:t>
            </w:r>
          </w:p>
        </w:tc>
        <w:tc>
          <w:tcPr>
            <w:tcW w:w="1800" w:type="dxa"/>
            <w:vAlign w:val="bottom"/>
            <w:tcBorders>
              <w:bottom w:val="single" w:sz="8" w:color="CCEEFF"/>
            </w:tcBorders>
            <w:gridSpan w:val="2"/>
          </w:tcPr>
          <w:p>
            <w:pPr>
              <w:ind w:left="140"/>
              <w:spacing w:after="0" w:line="145" w:lineRule="exact"/>
              <w:rPr>
                <w:sz w:val="20"/>
                <w:szCs w:val="20"/>
                <w:color w:val="auto"/>
              </w:rPr>
            </w:pPr>
            <w:r>
              <w:rPr>
                <w:rFonts w:ascii="Arial" w:cs="Arial" w:eastAsia="Arial" w:hAnsi="Arial"/>
                <w:sz w:val="14"/>
                <w:szCs w:val="14"/>
                <w:color w:val="auto"/>
              </w:rPr>
              <w:t>Trading income, net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286,046</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561,125</w:t>
            </w:r>
          </w:p>
        </w:tc>
        <w:tc>
          <w:tcPr>
            <w:tcW w:w="180" w:type="dxa"/>
            <w:vAlign w:val="bottom"/>
            <w:tcBorders>
              <w:bottom w:val="single" w:sz="8" w:color="CCEEFF"/>
              <w:right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1,162,272</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66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Derivative instruments designated as</w:t>
            </w:r>
          </w:p>
        </w:tc>
        <w:tc>
          <w:tcPr>
            <w:tcW w:w="14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hedging instruments:</w:t>
            </w: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60" w:type="dxa"/>
            <w:vAlign w:val="bottom"/>
          </w:tcPr>
          <w:p>
            <w:pPr>
              <w:spacing w:after="0" w:line="127" w:lineRule="exact"/>
              <w:rPr>
                <w:sz w:val="20"/>
                <w:szCs w:val="20"/>
                <w:color w:val="auto"/>
              </w:rPr>
            </w:pPr>
            <w:r>
              <w:rPr>
                <w:rFonts w:ascii="Arial" w:cs="Arial" w:eastAsia="Arial" w:hAnsi="Arial"/>
                <w:sz w:val="14"/>
                <w:szCs w:val="14"/>
                <w:color w:val="auto"/>
              </w:rPr>
              <w:t>Foreign exchange - forward contract</w:t>
            </w:r>
          </w:p>
        </w:tc>
        <w:tc>
          <w:tcPr>
            <w:tcW w:w="1800" w:type="dxa"/>
            <w:vAlign w:val="bottom"/>
            <w:gridSpan w:val="2"/>
          </w:tcPr>
          <w:p>
            <w:pPr>
              <w:ind w:left="140"/>
              <w:spacing w:after="0" w:line="127" w:lineRule="exact"/>
              <w:rPr>
                <w:sz w:val="20"/>
                <w:szCs w:val="20"/>
                <w:color w:val="auto"/>
              </w:rPr>
            </w:pPr>
            <w:r>
              <w:rPr>
                <w:rFonts w:ascii="Arial" w:cs="Arial" w:eastAsia="Arial" w:hAnsi="Arial"/>
                <w:sz w:val="14"/>
                <w:szCs w:val="14"/>
                <w:color w:val="auto"/>
              </w:rPr>
              <w:t>Accumulated other</w:t>
            </w:r>
          </w:p>
        </w:tc>
        <w:tc>
          <w:tcPr>
            <w:tcW w:w="34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(642)</w:t>
            </w:r>
          </w:p>
        </w:tc>
        <w:tc>
          <w:tcPr>
            <w:tcW w:w="32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0" w:type="dxa"/>
            <w:vAlign w:val="bottom"/>
            <w:gridSpan w:val="2"/>
          </w:tcPr>
          <w:p>
            <w:pPr>
              <w:ind w:left="140"/>
              <w:spacing w:after="0" w:line="151" w:lineRule="exact"/>
              <w:rPr>
                <w:sz w:val="20"/>
                <w:szCs w:val="20"/>
                <w:color w:val="auto"/>
              </w:rPr>
            </w:pPr>
            <w:r>
              <w:rPr>
                <w:rFonts w:ascii="Arial" w:cs="Arial" w:eastAsia="Arial" w:hAnsi="Arial"/>
                <w:sz w:val="14"/>
                <w:szCs w:val="14"/>
                <w:color w:val="auto"/>
              </w:rPr>
              <w:t>comprehensive income</w:t>
            </w:r>
          </w:p>
        </w:tc>
        <w:tc>
          <w:tcPr>
            <w:tcW w:w="3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Income before income taxes and noncontrolling interest is as follows for the years ended December 31, 2017, 2016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24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9"/>
              <w:spacing w:after="0" w:line="13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9"/>
              <w:spacing w:after="0" w:line="13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9"/>
              <w:spacing w:after="0" w:line="13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178"/>
        </w:trPr>
        <w:tc>
          <w:tcPr>
            <w:tcW w:w="2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8"/>
        </w:trPr>
        <w:tc>
          <w:tcPr>
            <w:tcW w:w="2480" w:type="dxa"/>
            <w:vAlign w:val="bottom"/>
          </w:tcPr>
          <w:p>
            <w:pPr>
              <w:spacing w:after="0"/>
              <w:rPr>
                <w:sz w:val="20"/>
                <w:szCs w:val="20"/>
                <w:color w:val="auto"/>
              </w:rPr>
            </w:pPr>
            <w:r>
              <w:rPr>
                <w:rFonts w:ascii="Arial" w:cs="Arial" w:eastAsia="Arial" w:hAnsi="Arial"/>
                <w:sz w:val="14"/>
                <w:szCs w:val="14"/>
                <w:color w:val="auto"/>
              </w:rPr>
              <w:t>U.S. operations</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70,484</w:t>
            </w:r>
          </w:p>
        </w:tc>
        <w:tc>
          <w:tcPr>
            <w:tcW w:w="4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138,950</w:t>
            </w:r>
          </w:p>
        </w:tc>
        <w:tc>
          <w:tcPr>
            <w:tcW w:w="18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154,947</w:t>
            </w:r>
          </w:p>
        </w:tc>
        <w:tc>
          <w:tcPr>
            <w:tcW w:w="80" w:type="dxa"/>
            <w:vAlign w:val="bottom"/>
          </w:tcPr>
          <w:p>
            <w:pPr>
              <w:spacing w:after="0"/>
              <w:rPr>
                <w:sz w:val="17"/>
                <w:szCs w:val="17"/>
                <w:color w:val="auto"/>
              </w:rPr>
            </w:pPr>
          </w:p>
        </w:tc>
      </w:tr>
      <w:tr>
        <w:trPr>
          <w:trHeight w:val="198"/>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Non-U.S. operations</w:t>
            </w:r>
          </w:p>
        </w:tc>
        <w:tc>
          <w:tcPr>
            <w:tcW w:w="13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42,680</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40,641</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60,982</w:t>
            </w:r>
          </w:p>
        </w:tc>
        <w:tc>
          <w:tcPr>
            <w:tcW w:w="80" w:type="dxa"/>
            <w:vAlign w:val="bottom"/>
            <w:shd w:val="clear" w:color="auto" w:fill="CCEEFF"/>
          </w:tcPr>
          <w:p>
            <w:pPr>
              <w:spacing w:after="0"/>
              <w:rPr>
                <w:sz w:val="17"/>
                <w:szCs w:val="17"/>
                <w:color w:val="auto"/>
              </w:rPr>
            </w:pPr>
          </w:p>
        </w:tc>
      </w:tr>
      <w:tr>
        <w:trPr>
          <w:trHeight w:val="165"/>
        </w:trPr>
        <w:tc>
          <w:tcPr>
            <w:tcW w:w="248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113,164</w:t>
            </w:r>
          </w:p>
        </w:tc>
        <w:tc>
          <w:tcPr>
            <w:tcW w:w="4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179,591</w:t>
            </w:r>
          </w:p>
        </w:tc>
        <w:tc>
          <w:tcPr>
            <w:tcW w:w="180" w:type="dxa"/>
            <w:vAlign w:val="bottom"/>
          </w:tcPr>
          <w:p>
            <w:pPr>
              <w:spacing w:after="0"/>
              <w:rPr>
                <w:sz w:val="14"/>
                <w:szCs w:val="14"/>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215,929</w:t>
            </w:r>
          </w:p>
        </w:tc>
        <w:tc>
          <w:tcPr>
            <w:tcW w:w="80" w:type="dxa"/>
            <w:vAlign w:val="bottom"/>
          </w:tcPr>
          <w:p>
            <w:pPr>
              <w:spacing w:after="0"/>
              <w:rPr>
                <w:sz w:val="14"/>
                <w:szCs w:val="14"/>
                <w:color w:val="auto"/>
              </w:rPr>
            </w:pPr>
          </w:p>
        </w:tc>
      </w:tr>
      <w:tr>
        <w:trPr>
          <w:trHeight w:val="26"/>
        </w:trPr>
        <w:tc>
          <w:tcPr>
            <w:tcW w:w="2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provision for income taxes consists of the following for the years ended December 31, 2017, 2016 and 2015.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For the years ended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700" w:type="dxa"/>
            <w:vAlign w:val="bottom"/>
            <w:tcBorders>
              <w:bottom w:val="single" w:sz="8" w:color="CCEEFF"/>
            </w:tcBorders>
            <w:vMerge w:val="continue"/>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9"/>
              <w:spacing w:after="0" w:line="13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9"/>
              <w:spacing w:after="0" w:line="139"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9"/>
              <w:spacing w:after="0" w:line="139"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Current provision (benefit)</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00"/>
              <w:spacing w:after="0" w:line="145" w:lineRule="exact"/>
              <w:rPr>
                <w:sz w:val="20"/>
                <w:szCs w:val="20"/>
                <w:color w:val="auto"/>
              </w:rPr>
            </w:pPr>
            <w:r>
              <w:rPr>
                <w:rFonts w:ascii="Arial" w:cs="Arial" w:eastAsia="Arial" w:hAnsi="Arial"/>
                <w:sz w:val="14"/>
                <w:szCs w:val="14"/>
                <w:color w:val="auto"/>
              </w:rPr>
              <w:t>Federal</w:t>
            </w:r>
          </w:p>
        </w:tc>
        <w:tc>
          <w:tcPr>
            <w:tcW w:w="132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(9,991)</w:t>
            </w:r>
          </w:p>
        </w:tc>
        <w:tc>
          <w:tcPr>
            <w:tcW w:w="400" w:type="dxa"/>
            <w:vAlign w:val="bottom"/>
            <w:gridSpan w:val="2"/>
          </w:tcPr>
          <w:p>
            <w:pPr>
              <w:jc w:val="right"/>
              <w:ind w:right="69"/>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2,690</w:t>
            </w:r>
          </w:p>
        </w:tc>
        <w:tc>
          <w:tcPr>
            <w:tcW w:w="120" w:type="dxa"/>
            <w:vAlign w:val="bottom"/>
          </w:tcPr>
          <w:p>
            <w:pPr>
              <w:spacing w:after="0"/>
              <w:rPr>
                <w:sz w:val="12"/>
                <w:szCs w:val="12"/>
                <w:color w:val="auto"/>
              </w:rPr>
            </w:pPr>
          </w:p>
        </w:tc>
        <w:tc>
          <w:tcPr>
            <w:tcW w:w="280" w:type="dxa"/>
            <w:vAlign w:val="bottom"/>
            <w:gridSpan w:val="2"/>
          </w:tcPr>
          <w:p>
            <w:pPr>
              <w:jc w:val="right"/>
              <w:ind w:right="110"/>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7,584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State and Local</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00"/>
              <w:spacing w:after="0" w:line="145" w:lineRule="exact"/>
              <w:rPr>
                <w:sz w:val="20"/>
                <w:szCs w:val="20"/>
                <w:color w:val="auto"/>
              </w:rPr>
            </w:pPr>
            <w:r>
              <w:rPr>
                <w:rFonts w:ascii="Arial" w:cs="Arial" w:eastAsia="Arial" w:hAnsi="Arial"/>
                <w:sz w:val="14"/>
                <w:szCs w:val="14"/>
                <w:color w:val="auto"/>
              </w:rPr>
              <w:t>Foreign</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1,219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5,210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6,762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Deferred provision (benefit)</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00"/>
              <w:spacing w:after="0" w:line="145" w:lineRule="exact"/>
              <w:rPr>
                <w:sz w:val="20"/>
                <w:szCs w:val="20"/>
                <w:color w:val="auto"/>
              </w:rPr>
            </w:pPr>
            <w:r>
              <w:rPr>
                <w:rFonts w:ascii="Arial" w:cs="Arial" w:eastAsia="Arial" w:hAnsi="Arial"/>
                <w:sz w:val="14"/>
                <w:szCs w:val="14"/>
                <w:color w:val="auto"/>
              </w:rPr>
              <w:t>Federal</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106,415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13,547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Arial" w:cs="Arial" w:eastAsia="Arial" w:hAnsi="Arial"/>
                <w:sz w:val="14"/>
                <w:szCs w:val="14"/>
                <w:color w:val="auto"/>
              </w:rPr>
              <w:t>3,345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State and Local</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(3,380)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00" w:type="dxa"/>
            <w:vAlign w:val="bottom"/>
            <w:tcBorders>
              <w:bottom w:val="single" w:sz="8" w:color="CCEEFF"/>
            </w:tcBorders>
          </w:tcPr>
          <w:p>
            <w:pPr>
              <w:ind w:left="100"/>
              <w:spacing w:after="0" w:line="145" w:lineRule="exact"/>
              <w:rPr>
                <w:sz w:val="20"/>
                <w:szCs w:val="20"/>
                <w:color w:val="auto"/>
              </w:rPr>
            </w:pPr>
            <w:r>
              <w:rPr>
                <w:rFonts w:ascii="Arial" w:cs="Arial" w:eastAsia="Arial" w:hAnsi="Arial"/>
                <w:sz w:val="14"/>
                <w:szCs w:val="14"/>
                <w:color w:val="auto"/>
              </w:rPr>
              <w:t>Foreign</w:t>
            </w:r>
          </w:p>
        </w:tc>
        <w:tc>
          <w:tcPr>
            <w:tcW w:w="1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(428)</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592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70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Provision for income taxes</w:t>
            </w:r>
          </w:p>
        </w:tc>
        <w:tc>
          <w:tcPr>
            <w:tcW w:w="1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94,266</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9"/>
              <w:spacing w:after="0" w:line="13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21,251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18,439</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35"/>
        <w:spacing w:after="0" w:line="262" w:lineRule="auto"/>
        <w:rPr>
          <w:sz w:val="20"/>
          <w:szCs w:val="20"/>
          <w:color w:val="auto"/>
        </w:rPr>
      </w:pPr>
      <w:r>
        <w:rPr>
          <w:rFonts w:ascii="Arial" w:cs="Arial" w:eastAsia="Arial" w:hAnsi="Arial"/>
          <w:sz w:val="17"/>
          <w:szCs w:val="17"/>
          <w:color w:val="auto"/>
        </w:rPr>
        <w:t>The Tax Cuts and Jobs Act (“2017 Tax Act”) was signed into law on December 22, 2017. The 2017 Tax Act significantly revises the U.S. corporate income tax by, among other things, lowering the statutory corporate tax rate from 35% to 21%, and eliminating certain deductions. The Company has not completed its determination of the accounting implications of the 2017 Tax Act on its tax accruals. However, the Company has reasonably estimated the effects of the 2017 Tax Act and recorded provisional amounts in our financial statements as of December 31, 2017. The Company recorded a provisional deferred tax expense for the impact of the 2017 Tax Act of approximately $90.6 million, which is primarily composed of the remeasurement of federal net deferred tax assets as a result of the permanent reduction in the U.S. statutory corporate tax rate to 21% from 35%. The Company expects to complete its analysis of the 2017 Tax Act by the third quarter of 2018, which is within the one-year measurement period prescribed by SEC Staff Accounting Bulletin No. 118. As the Company completes its analysis, collects and prepares necessary data, and interprets any additional guidance issued by the U.S. Treasury Department, the IRS, and other standard-setting bodies, it may make adjustments to the provisional amounts. Those adjustments may materially impact the Company’s provision for income</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taxes in the period in which the adjustments are made.</w:t>
      </w:r>
    </w:p>
    <w:p>
      <w:pPr>
        <w:spacing w:after="0" w:line="216" w:lineRule="exact"/>
        <w:rPr>
          <w:sz w:val="20"/>
          <w:szCs w:val="20"/>
          <w:color w:val="auto"/>
        </w:rPr>
      </w:pPr>
    </w:p>
    <w:p>
      <w:pPr>
        <w:ind w:right="20" w:firstLine="635"/>
        <w:spacing w:after="0" w:line="251" w:lineRule="auto"/>
        <w:rPr>
          <w:sz w:val="20"/>
          <w:szCs w:val="20"/>
          <w:color w:val="auto"/>
        </w:rPr>
      </w:pPr>
      <w:r>
        <w:rPr>
          <w:rFonts w:ascii="Arial" w:cs="Arial" w:eastAsia="Arial" w:hAnsi="Arial"/>
          <w:sz w:val="18"/>
          <w:szCs w:val="18"/>
          <w:color w:val="auto"/>
        </w:rPr>
        <w:t>As discussed in Note 6 “Tax Receivable Agreements” the Company revalued its tax receivable agreement obligation as a result of this decrease in the U.S. corporate income tax rate and recorded a gain of $86.6 million, which is reported in Other, net on the consolidated statements of operations for the year ended December 31, 2017. This gain does not impact the Company’s provision for income taxes.</w:t>
      </w:r>
    </w:p>
    <w:p>
      <w:pPr>
        <w:spacing w:after="0" w:line="192" w:lineRule="exact"/>
        <w:rPr>
          <w:sz w:val="20"/>
          <w:szCs w:val="20"/>
          <w:color w:val="auto"/>
        </w:rPr>
      </w:pPr>
    </w:p>
    <w:p>
      <w:pPr>
        <w:ind w:firstLine="635"/>
        <w:spacing w:after="0" w:line="264" w:lineRule="auto"/>
        <w:rPr>
          <w:sz w:val="20"/>
          <w:szCs w:val="20"/>
          <w:color w:val="auto"/>
        </w:rPr>
      </w:pPr>
      <w:r>
        <w:rPr>
          <w:rFonts w:ascii="Arial" w:cs="Arial" w:eastAsia="Arial" w:hAnsi="Arial"/>
          <w:sz w:val="18"/>
          <w:szCs w:val="18"/>
          <w:color w:val="auto"/>
        </w:rPr>
        <w:t>The reconciliation of the tax provision at the U.S. Federal Statutory Rate to the provision for income taxes for the years ended December 31, 2017, 2016 and 2015 is as follows:</w:t>
      </w:r>
    </w:p>
    <w:p>
      <w:pPr>
        <w:spacing w:after="0" w:line="183"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89"/>
              <w:spacing w:after="0" w:line="13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89"/>
              <w:spacing w:after="0" w:line="139"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r>
      <w:tr>
        <w:trPr>
          <w:trHeight w:val="139"/>
        </w:trPr>
        <w:tc>
          <w:tcPr>
            <w:tcW w:w="304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6"/>
        </w:trPr>
        <w:tc>
          <w:tcPr>
            <w:tcW w:w="3820" w:type="dxa"/>
            <w:vAlign w:val="bottom"/>
            <w:gridSpan w:val="2"/>
          </w:tcPr>
          <w:p>
            <w:pPr>
              <w:spacing w:after="0" w:line="145" w:lineRule="exact"/>
              <w:rPr>
                <w:sz w:val="20"/>
                <w:szCs w:val="20"/>
                <w:color w:val="auto"/>
              </w:rPr>
            </w:pPr>
            <w:r>
              <w:rPr>
                <w:rFonts w:ascii="Arial" w:cs="Arial" w:eastAsia="Arial" w:hAnsi="Arial"/>
                <w:sz w:val="14"/>
                <w:szCs w:val="14"/>
                <w:color w:val="auto"/>
              </w:rPr>
              <w:t>Tax provision at the U.S. federal statutory rate</w:t>
            </w: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35.0</w:t>
            </w:r>
          </w:p>
        </w:tc>
        <w:tc>
          <w:tcPr>
            <w:tcW w:w="220" w:type="dxa"/>
            <w:vAlign w:val="bottom"/>
          </w:tcPr>
          <w:p>
            <w:pPr>
              <w:jc w:val="right"/>
              <w:ind w:right="29"/>
              <w:spacing w:after="0" w:line="145" w:lineRule="exact"/>
              <w:rPr>
                <w:sz w:val="20"/>
                <w:szCs w:val="20"/>
                <w:color w:val="auto"/>
              </w:rPr>
            </w:pPr>
            <w:r>
              <w:rPr>
                <w:rFonts w:ascii="Arial" w:cs="Arial" w:eastAsia="Arial" w:hAnsi="Arial"/>
                <w:sz w:val="14"/>
                <w:szCs w:val="14"/>
                <w:color w:val="auto"/>
                <w:w w:val="79"/>
              </w:rPr>
              <w:t>%</w:t>
            </w: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35.0</w:t>
            </w:r>
          </w:p>
        </w:tc>
        <w:tc>
          <w:tcPr>
            <w:tcW w:w="200" w:type="dxa"/>
            <w:vAlign w:val="bottom"/>
          </w:tcPr>
          <w:p>
            <w:pPr>
              <w:jc w:val="right"/>
              <w:ind w:right="9"/>
              <w:spacing w:after="0" w:line="145" w:lineRule="exact"/>
              <w:rPr>
                <w:sz w:val="20"/>
                <w:szCs w:val="20"/>
                <w:color w:val="auto"/>
              </w:rPr>
            </w:pPr>
            <w:r>
              <w:rPr>
                <w:rFonts w:ascii="Arial" w:cs="Arial" w:eastAsia="Arial" w:hAnsi="Arial"/>
                <w:sz w:val="14"/>
                <w:szCs w:val="14"/>
                <w:color w:val="auto"/>
                <w:w w:val="79"/>
              </w:rPr>
              <w:t>%</w:t>
            </w: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35.0</w:t>
            </w:r>
          </w:p>
        </w:tc>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w:t>
            </w:r>
          </w:p>
        </w:tc>
      </w:tr>
      <w:tr>
        <w:trPr>
          <w:trHeight w:val="146"/>
        </w:trPr>
        <w:tc>
          <w:tcPr>
            <w:tcW w:w="382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Less: rate attributable to noncontrolling interest</w:t>
            </w:r>
          </w:p>
        </w:tc>
        <w:tc>
          <w:tcPr>
            <w:tcW w:w="3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w w:val="98"/>
              </w:rPr>
              <w:t>(19.1)</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(24.4)</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(27.8)</w:t>
            </w:r>
          </w:p>
        </w:tc>
        <w:tc>
          <w:tcPr>
            <w:tcW w:w="280" w:type="dxa"/>
            <w:vAlign w:val="bottom"/>
            <w:shd w:val="clear" w:color="auto" w:fill="CCEEFF"/>
          </w:tcPr>
          <w:p>
            <w:pPr>
              <w:spacing w:after="0"/>
              <w:rPr>
                <w:sz w:val="12"/>
                <w:szCs w:val="12"/>
                <w:color w:val="auto"/>
              </w:rPr>
            </w:pPr>
          </w:p>
        </w:tc>
      </w:tr>
      <w:tr>
        <w:trPr>
          <w:trHeight w:val="146"/>
        </w:trPr>
        <w:tc>
          <w:tcPr>
            <w:tcW w:w="3820" w:type="dxa"/>
            <w:vAlign w:val="bottom"/>
            <w:gridSpan w:val="2"/>
          </w:tcPr>
          <w:p>
            <w:pPr>
              <w:spacing w:after="0" w:line="145" w:lineRule="exact"/>
              <w:rPr>
                <w:sz w:val="20"/>
                <w:szCs w:val="20"/>
                <w:color w:val="auto"/>
              </w:rPr>
            </w:pPr>
            <w:r>
              <w:rPr>
                <w:rFonts w:ascii="Arial" w:cs="Arial" w:eastAsia="Arial" w:hAnsi="Arial"/>
                <w:sz w:val="14"/>
                <w:szCs w:val="14"/>
                <w:color w:val="auto"/>
              </w:rPr>
              <w:t>State and local taxes, net of federal benefit</w:t>
            </w: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1.3</w:t>
            </w:r>
          </w:p>
        </w:tc>
        <w:tc>
          <w:tcPr>
            <w:tcW w:w="2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1.4</w:t>
            </w:r>
          </w:p>
        </w:tc>
        <w:tc>
          <w:tcPr>
            <w:tcW w:w="280" w:type="dxa"/>
            <w:vAlign w:val="bottom"/>
          </w:tcPr>
          <w:p>
            <w:pPr>
              <w:spacing w:after="0"/>
              <w:rPr>
                <w:sz w:val="12"/>
                <w:szCs w:val="12"/>
                <w:color w:val="auto"/>
              </w:rPr>
            </w:pPr>
          </w:p>
        </w:tc>
      </w:tr>
      <w:tr>
        <w:trPr>
          <w:trHeight w:val="146"/>
        </w:trPr>
        <w:tc>
          <w:tcPr>
            <w:tcW w:w="382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Impact of 2017 Tax Act on deferred tax assets</w:t>
            </w:r>
          </w:p>
        </w:tc>
        <w:tc>
          <w:tcPr>
            <w:tcW w:w="3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80.1</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r>
      <w:tr>
        <w:trPr>
          <w:trHeight w:val="127"/>
        </w:trPr>
        <w:tc>
          <w:tcPr>
            <w:tcW w:w="3820" w:type="dxa"/>
            <w:vAlign w:val="bottom"/>
            <w:gridSpan w:val="2"/>
          </w:tcPr>
          <w:p>
            <w:pPr>
              <w:spacing w:after="0" w:line="127" w:lineRule="exact"/>
              <w:rPr>
                <w:sz w:val="20"/>
                <w:szCs w:val="20"/>
                <w:color w:val="auto"/>
              </w:rPr>
            </w:pPr>
            <w:r>
              <w:rPr>
                <w:rFonts w:ascii="Arial" w:cs="Arial" w:eastAsia="Arial" w:hAnsi="Arial"/>
                <w:sz w:val="14"/>
                <w:szCs w:val="14"/>
                <w:color w:val="auto"/>
              </w:rPr>
              <w:t>Impact of 2017 Tax Act on tax receivable</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64"/>
        </w:trPr>
        <w:tc>
          <w:tcPr>
            <w:tcW w:w="3820" w:type="dxa"/>
            <w:vAlign w:val="bottom"/>
            <w:gridSpan w:val="2"/>
          </w:tcPr>
          <w:p>
            <w:pPr>
              <w:spacing w:after="0"/>
              <w:rPr>
                <w:sz w:val="20"/>
                <w:szCs w:val="20"/>
                <w:color w:val="auto"/>
              </w:rPr>
            </w:pPr>
            <w:r>
              <w:rPr>
                <w:rFonts w:ascii="Arial" w:cs="Arial" w:eastAsia="Arial" w:hAnsi="Arial"/>
                <w:sz w:val="14"/>
                <w:szCs w:val="14"/>
                <w:color w:val="auto"/>
              </w:rPr>
              <w:t>agreement obligation</w:t>
            </w:r>
          </w:p>
        </w:tc>
        <w:tc>
          <w:tcPr>
            <w:tcW w:w="380" w:type="dxa"/>
            <w:vAlign w:val="bottom"/>
          </w:tcPr>
          <w:p>
            <w:pPr>
              <w:jc w:val="right"/>
              <w:spacing w:after="0"/>
              <w:rPr>
                <w:sz w:val="20"/>
                <w:szCs w:val="20"/>
                <w:color w:val="auto"/>
              </w:rPr>
            </w:pPr>
            <w:r>
              <w:rPr>
                <w:rFonts w:ascii="Arial" w:cs="Arial" w:eastAsia="Arial" w:hAnsi="Arial"/>
                <w:sz w:val="14"/>
                <w:szCs w:val="14"/>
                <w:color w:val="auto"/>
                <w:w w:val="98"/>
              </w:rPr>
              <w:t>(12.9)</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r>
      <w:tr>
        <w:trPr>
          <w:trHeight w:val="146"/>
        </w:trPr>
        <w:tc>
          <w:tcPr>
            <w:tcW w:w="382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Non-deductible expenses, net</w:t>
            </w:r>
          </w:p>
        </w:tc>
        <w:tc>
          <w:tcPr>
            <w:tcW w:w="3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r>
      <w:tr>
        <w:trPr>
          <w:trHeight w:val="146"/>
        </w:trPr>
        <w:tc>
          <w:tcPr>
            <w:tcW w:w="3820" w:type="dxa"/>
            <w:vAlign w:val="bottom"/>
            <w:gridSpan w:val="2"/>
          </w:tcPr>
          <w:p>
            <w:pPr>
              <w:spacing w:after="0" w:line="145" w:lineRule="exact"/>
              <w:rPr>
                <w:sz w:val="20"/>
                <w:szCs w:val="20"/>
                <w:color w:val="auto"/>
              </w:rPr>
            </w:pPr>
            <w:r>
              <w:rPr>
                <w:rFonts w:ascii="Arial" w:cs="Arial" w:eastAsia="Arial" w:hAnsi="Arial"/>
                <w:sz w:val="14"/>
                <w:szCs w:val="14"/>
                <w:color w:val="auto"/>
              </w:rPr>
              <w:t>Other, net</w:t>
            </w: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r>
      <w:tr>
        <w:trPr>
          <w:trHeight w:val="145"/>
        </w:trPr>
        <w:tc>
          <w:tcPr>
            <w:tcW w:w="3040" w:type="dxa"/>
            <w:vAlign w:val="bottom"/>
            <w:tcBorders>
              <w:top w:val="single" w:sz="8" w:color="CCEEFF"/>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Provision for income taxes</w:t>
            </w: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83.3</w:t>
            </w:r>
          </w:p>
        </w:tc>
        <w:tc>
          <w:tcPr>
            <w:tcW w:w="220" w:type="dxa"/>
            <w:vAlign w:val="bottom"/>
            <w:tcBorders>
              <w:top w:val="single" w:sz="8" w:color="CCEEFF"/>
              <w:bottom w:val="single" w:sz="8" w:color="CCEEFF"/>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9"/>
              </w:rPr>
              <w:t>%</w:t>
            </w:r>
          </w:p>
        </w:tc>
        <w:tc>
          <w:tcPr>
            <w:tcW w:w="11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11.9</w:t>
            </w:r>
          </w:p>
        </w:tc>
        <w:tc>
          <w:tcPr>
            <w:tcW w:w="200" w:type="dxa"/>
            <w:vAlign w:val="bottom"/>
            <w:tcBorders>
              <w:top w:val="single" w:sz="8" w:color="CCEEFF"/>
              <w:bottom w:val="single" w:sz="8" w:color="CCEEFF"/>
            </w:tcBorders>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w w:val="79"/>
              </w:rPr>
              <w:t>%</w:t>
            </w:r>
          </w:p>
        </w:tc>
        <w:tc>
          <w:tcPr>
            <w:tcW w:w="118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8.6</w:t>
            </w:r>
          </w:p>
        </w:tc>
        <w:tc>
          <w:tcPr>
            <w:tcW w:w="28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74"/>
              </w:rPr>
              <w:t>%</w:t>
            </w: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the deferred tax assets and liabilities as of December 31, 2017 and 2016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7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9"/>
              <w:spacing w:after="0" w:line="13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89"/>
              <w:spacing w:after="0" w:line="13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Deferred income tax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20"/>
              <w:spacing w:after="0"/>
              <w:rPr>
                <w:sz w:val="20"/>
                <w:szCs w:val="20"/>
                <w:color w:val="auto"/>
              </w:rPr>
            </w:pPr>
            <w:r>
              <w:rPr>
                <w:rFonts w:ascii="Arial" w:cs="Arial" w:eastAsia="Arial" w:hAnsi="Arial"/>
                <w:sz w:val="14"/>
                <w:szCs w:val="14"/>
                <w:color w:val="auto"/>
              </w:rPr>
              <w:t>Tax Receivable Agreement</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101,594</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185,677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5,213</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20"/>
              <w:spacing w:after="0"/>
              <w:rPr>
                <w:sz w:val="20"/>
                <w:szCs w:val="20"/>
                <w:color w:val="auto"/>
              </w:rPr>
            </w:pPr>
            <w:r>
              <w:rPr>
                <w:rFonts w:ascii="Arial" w:cs="Arial" w:eastAsia="Arial" w:hAnsi="Arial"/>
                <w:sz w:val="14"/>
                <w:szCs w:val="14"/>
                <w:color w:val="auto"/>
              </w:rPr>
              <w:t>Intangibles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14,547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Fixed assets and other</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20"/>
              <w:spacing w:after="0"/>
              <w:rPr>
                <w:sz w:val="20"/>
                <w:szCs w:val="20"/>
                <w:color w:val="auto"/>
              </w:rPr>
            </w:pPr>
            <w:r>
              <w:rPr>
                <w:rFonts w:ascii="Arial" w:cs="Arial" w:eastAsia="Arial" w:hAnsi="Arial"/>
                <w:sz w:val="14"/>
                <w:szCs w:val="14"/>
                <w:color w:val="auto"/>
              </w:rPr>
              <w:t>Tax credits and net operating loss carryforwards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50,867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Less: Valuation allowance on net operating loss carryforwards and tax credits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(43,544)</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780" w:type="dxa"/>
            <w:vAlign w:val="bottom"/>
          </w:tcPr>
          <w:p>
            <w:pPr>
              <w:spacing w:after="0"/>
              <w:rPr>
                <w:sz w:val="20"/>
                <w:szCs w:val="20"/>
                <w:color w:val="auto"/>
              </w:rPr>
            </w:pPr>
            <w:r>
              <w:rPr>
                <w:rFonts w:ascii="Arial" w:cs="Arial" w:eastAsia="Arial" w:hAnsi="Arial"/>
                <w:sz w:val="14"/>
                <w:szCs w:val="14"/>
                <w:color w:val="auto"/>
              </w:rPr>
              <w:t>Total deferred income tax assets</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142,102</w:t>
            </w:r>
          </w:p>
        </w:tc>
        <w:tc>
          <w:tcPr>
            <w:tcW w:w="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193,859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7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780" w:type="dxa"/>
            <w:vAlign w:val="bottom"/>
          </w:tcPr>
          <w:p>
            <w:pPr>
              <w:spacing w:after="0"/>
              <w:rPr>
                <w:sz w:val="20"/>
                <w:szCs w:val="20"/>
                <w:color w:val="auto"/>
              </w:rPr>
            </w:pPr>
            <w:r>
              <w:rPr>
                <w:rFonts w:ascii="Arial" w:cs="Arial" w:eastAsia="Arial" w:hAnsi="Arial"/>
                <w:sz w:val="14"/>
                <w:szCs w:val="14"/>
                <w:b w:val="1"/>
                <w:bCs w:val="1"/>
                <w:color w:val="auto"/>
              </w:rPr>
              <w:t>Deferred income tax liabilities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7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Fixed assets</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income tax liabilities</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16,342</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00" w:firstLine="635"/>
        <w:spacing w:after="0" w:line="306" w:lineRule="auto"/>
        <w:rPr>
          <w:sz w:val="20"/>
          <w:szCs w:val="20"/>
          <w:color w:val="auto"/>
        </w:rPr>
      </w:pPr>
      <w:r>
        <w:rPr>
          <w:rFonts w:ascii="Arial" w:cs="Arial" w:eastAsia="Arial" w:hAnsi="Arial"/>
          <w:sz w:val="15"/>
          <w:szCs w:val="15"/>
          <w:color w:val="auto"/>
        </w:rPr>
        <w:t>Subsequent to consummation of the Reorganization Transactions and the IPO, the Company is subject to U.S. federal, state and local income tax at the rate applicable to corporations less the rate attributable to the noncontrolling interest in Virtu Financial. These noncontrolling interests are subject to U.S. taxation as partnerships. Accordingly, for years ended December 31, 2017, 2016 and 2015,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is also affected by the differing effective tax rates in foreign, state and local jurisdictions where certain of the Company’s subsidiaries are subject to corporate taxation.</w:t>
      </w:r>
    </w:p>
    <w:p>
      <w:pPr>
        <w:spacing w:after="0" w:line="154" w:lineRule="exact"/>
        <w:rPr>
          <w:sz w:val="20"/>
          <w:szCs w:val="20"/>
          <w:color w:val="auto"/>
        </w:rPr>
      </w:pPr>
    </w:p>
    <w:p>
      <w:pPr>
        <w:ind w:right="100" w:firstLine="635"/>
        <w:spacing w:after="0" w:line="251" w:lineRule="auto"/>
        <w:rPr>
          <w:sz w:val="20"/>
          <w:szCs w:val="20"/>
          <w:color w:val="auto"/>
        </w:rPr>
      </w:pPr>
      <w:r>
        <w:rPr>
          <w:rFonts w:ascii="Arial" w:cs="Arial" w:eastAsia="Arial" w:hAnsi="Arial"/>
          <w:sz w:val="18"/>
          <w:szCs w:val="18"/>
          <w:color w:val="auto"/>
        </w:rPr>
        <w:t>Included in other assets on the consolidated statements of financial condition at December 31, 2017 and 2016 are current income tax receivables of $115.2 million and $5.8 million, respectively. The balance at December 31, 2017 primarily comprises the income tax benefit of KCG net operating losses that were generated prior to the Acquisition of KCG and that are eligible to be carried back by the Company.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income taxes arise primarily due to the amortization of the deferred tax assets recognized in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connection with the IPO (Note 6 “Tax Receivable Agreements” and Note 15 “Capital Structure”) and the Acquisition of KCG (Note 3 “Acquisition of KCG Holdings, Inc”), differences in the valuation of financial assets and liabilities, and in connection with other temporary differences arising from the deductibility of compensation and depreciation expenses in different time periods for book and income tax return purposes.</w:t>
      </w:r>
    </w:p>
    <w:p>
      <w:pPr>
        <w:spacing w:after="0" w:line="192" w:lineRule="exact"/>
        <w:rPr>
          <w:sz w:val="20"/>
          <w:szCs w:val="20"/>
          <w:color w:val="auto"/>
        </w:rPr>
      </w:pPr>
    </w:p>
    <w:p>
      <w:pPr>
        <w:ind w:firstLine="635"/>
        <w:spacing w:after="0" w:line="302" w:lineRule="auto"/>
        <w:rPr>
          <w:sz w:val="20"/>
          <w:szCs w:val="20"/>
          <w:color w:val="auto"/>
        </w:rPr>
      </w:pPr>
      <w:r>
        <w:rPr>
          <w:rFonts w:ascii="Arial" w:cs="Arial" w:eastAsia="Arial" w:hAnsi="Arial"/>
          <w:sz w:val="15"/>
          <w:szCs w:val="15"/>
          <w:color w:val="auto"/>
        </w:rPr>
        <w:t>There are no expiration dates on the deferred tax assets. The Company’s deferred tax asset at December 31, 2017 includes an alternative minimum tax credit carryforward of $0.6 million, which can be either be refunded or applied against future income tax liability pursuant to the 2017 Tax Act.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of $231.8 million at December 31, 2017 and has recorded a related deferred tax asset of $43.5 million. A full valuation allowance was also recorded against this deferred tax asset at December 31, 2017 as it is more likely than not that this deferred tax asset will not be realized. No valuation allowance against the remaining deferred taxes was recorded as of December 31, 2017 and 2016 because it is more likely than not that these deferred tax assets will be fully realized.</w:t>
      </w:r>
    </w:p>
    <w:p>
      <w:pPr>
        <w:spacing w:after="0" w:line="250" w:lineRule="exact"/>
        <w:rPr>
          <w:sz w:val="20"/>
          <w:szCs w:val="20"/>
          <w:color w:val="auto"/>
        </w:rPr>
      </w:pPr>
    </w:p>
    <w:p>
      <w:pPr>
        <w:ind w:right="20" w:firstLine="635"/>
        <w:spacing w:after="0" w:line="261" w:lineRule="auto"/>
        <w:rPr>
          <w:sz w:val="20"/>
          <w:szCs w:val="20"/>
          <w:color w:val="auto"/>
        </w:rPr>
      </w:pPr>
      <w:r>
        <w:rPr>
          <w:rFonts w:ascii="Arial" w:cs="Arial" w:eastAsia="Arial" w:hAnsi="Arial"/>
          <w:sz w:val="17"/>
          <w:szCs w:val="17"/>
          <w:color w:val="auto"/>
        </w:rPr>
        <w:t>The Company is subject to taxation in U.S. federal, state, local and foreign jurisdictions. As of December 31, 2017, the Company’s tax years for 2013 through 2016 and 2010 through 2017 are subject to examination by U.S. and non-U.S. tax authorities, respectively. As a result of the Acquisition of KCG, the Company has assumed any KCG tax exposures. KCG is currently subject to U.S. Federal income tax examinations for 2013 through 2017, and to non-U.S. income tax examinations for the tax years 2007 through 2016. In addition, the Company is subject to state and local income tax examinations in various jurisdictions for the tax years 2007 through 2016.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4" w:lineRule="exact"/>
        <w:rPr>
          <w:sz w:val="20"/>
          <w:szCs w:val="20"/>
          <w:color w:val="auto"/>
        </w:rPr>
      </w:pPr>
    </w:p>
    <w:p>
      <w:pPr>
        <w:ind w:right="160" w:firstLine="635"/>
        <w:spacing w:after="0" w:line="247" w:lineRule="auto"/>
        <w:rPr>
          <w:sz w:val="20"/>
          <w:szCs w:val="20"/>
          <w:color w:val="auto"/>
        </w:rPr>
      </w:pPr>
      <w:r>
        <w:rPr>
          <w:rFonts w:ascii="Arial" w:cs="Arial" w:eastAsia="Arial" w:hAnsi="Arial"/>
          <w:sz w:val="18"/>
          <w:szCs w:val="18"/>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 of comprehensive income</w:t>
      </w:r>
    </w:p>
    <w:p>
      <w:pPr>
        <w:spacing w:after="0" w:line="195" w:lineRule="exact"/>
        <w:rPr>
          <w:sz w:val="20"/>
          <w:szCs w:val="20"/>
          <w:color w:val="auto"/>
        </w:rPr>
      </w:pPr>
    </w:p>
    <w:p>
      <w:pPr>
        <w:jc w:val="both"/>
        <w:ind w:right="220" w:firstLine="635"/>
        <w:spacing w:after="0" w:line="276" w:lineRule="auto"/>
        <w:rPr>
          <w:sz w:val="20"/>
          <w:szCs w:val="20"/>
          <w:color w:val="auto"/>
        </w:rPr>
      </w:pPr>
      <w:r>
        <w:rPr>
          <w:rFonts w:ascii="Arial" w:cs="Arial" w:eastAsia="Arial" w:hAnsi="Arial"/>
          <w:sz w:val="17"/>
          <w:szCs w:val="17"/>
          <w:color w:val="auto"/>
        </w:rPr>
        <w:t>The Company had $7.3 million of unrecognized tax benefits as of December 31, 2017, all of which would affect the Company’s effective tax rate if recognized. The Company has determined that there are no uncertain tax positions that would have a material impact on the Company’s financial position as of December 31, 2016.</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reconciles the beginning and ending amount of unrecognized tax benefits:</w:t>
      </w:r>
    </w:p>
    <w:p>
      <w:pPr>
        <w:sectPr>
          <w:pgSz w:w="11900" w:h="16838" w:orient="portrait"/>
          <w:cols w:equalWidth="0" w:num="1">
            <w:col w:w="9040"/>
          </w:cols>
          <w:pgMar w:left="1420" w:top="127" w:right="1439"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3452495" cy="1009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52495" cy="100965"/>
                    </a:xfrm>
                    <a:prstGeom prst="rect">
                      <a:avLst/>
                    </a:prstGeom>
                    <a:noFill/>
                  </pic:spPr>
                </pic:pic>
              </a:graphicData>
            </a:graphic>
          </wp:anchor>
        </w:drawing>
      </w:r>
    </w:p>
    <w:p>
      <w:pPr>
        <w:ind w:left="220" w:right="1334" w:hanging="211"/>
        <w:spacing w:after="0" w:line="233" w:lineRule="auto"/>
        <w:rPr>
          <w:sz w:val="20"/>
          <w:szCs w:val="20"/>
          <w:color w:val="auto"/>
        </w:rPr>
      </w:pPr>
      <w:r>
        <w:rPr>
          <w:rFonts w:ascii="Arial" w:cs="Arial" w:eastAsia="Arial" w:hAnsi="Arial"/>
          <w:sz w:val="13"/>
          <w:szCs w:val="13"/>
          <w:color w:val="auto"/>
        </w:rPr>
        <w:t>Balance at December 31, 2016 Increase from Acquisition of KCG</w:t>
      </w:r>
    </w:p>
    <w:p>
      <w:pPr>
        <w:spacing w:after="0" w:line="1" w:lineRule="exact"/>
        <w:rPr>
          <w:sz w:val="20"/>
          <w:szCs w:val="20"/>
          <w:color w:val="auto"/>
        </w:rPr>
      </w:pPr>
    </w:p>
    <w:p>
      <w:pPr>
        <w:ind w:left="220" w:right="154"/>
        <w:spacing w:after="0" w:line="264" w:lineRule="auto"/>
        <w:rPr>
          <w:sz w:val="20"/>
          <w:szCs w:val="20"/>
          <w:color w:val="auto"/>
        </w:rPr>
      </w:pPr>
      <w:r>
        <w:rPr>
          <w:rFonts w:ascii="Arial" w:cs="Arial" w:eastAsia="Arial" w:hAnsi="Arial"/>
          <w:sz w:val="12"/>
          <w:szCs w:val="12"/>
          <w:color w:val="auto"/>
        </w:rPr>
        <w:t>Decreases based on tax positions related to prior period Increase based on tax positions related to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3452495" cy="927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52495" cy="927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wp:posOffset>
            </wp:positionV>
            <wp:extent cx="3452495" cy="1009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52495" cy="1009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Balance at December 31, 2017</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right"/>
        <w:ind w:right="3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645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ind w:left="366"/>
        <w:spacing w:after="0"/>
        <w:rPr>
          <w:sz w:val="20"/>
          <w:szCs w:val="20"/>
          <w:color w:val="auto"/>
        </w:rPr>
      </w:pPr>
      <w:r>
        <w:rPr>
          <w:rFonts w:ascii="Arial" w:cs="Arial" w:eastAsia="Arial" w:hAnsi="Arial"/>
          <w:sz w:val="14"/>
          <w:szCs w:val="14"/>
          <w:b w:val="1"/>
          <w:bCs w:val="1"/>
          <w:color w:val="auto"/>
        </w:rPr>
        <w:t>2017</w:t>
      </w:r>
    </w:p>
    <w:p>
      <w:pPr>
        <w:ind w:left="806" w:hanging="806"/>
        <w:spacing w:after="0" w:line="216" w:lineRule="auto"/>
        <w:tabs>
          <w:tab w:leader="none" w:pos="806" w:val="left"/>
        </w:tabs>
        <w:numPr>
          <w:ilvl w:val="0"/>
          <w:numId w:val="42"/>
        </w:numPr>
        <w:rPr>
          <w:rFonts w:ascii="Arial" w:cs="Arial" w:eastAsia="Arial" w:hAnsi="Arial"/>
          <w:sz w:val="14"/>
          <w:szCs w:val="14"/>
          <w:color w:val="auto"/>
        </w:rPr>
      </w:pPr>
      <w:r>
        <w:rPr>
          <w:rFonts w:ascii="Arial" w:cs="Arial" w:eastAsia="Arial" w:hAnsi="Arial"/>
          <w:sz w:val="14"/>
          <w:szCs w:val="14"/>
          <w:color w:val="auto"/>
        </w:rPr>
        <w:t>—</w:t>
      </w:r>
    </w:p>
    <w:p>
      <w:pPr>
        <w:ind w:left="626"/>
        <w:spacing w:after="0" w:line="216" w:lineRule="auto"/>
        <w:rPr>
          <w:rFonts w:ascii="Arial" w:cs="Arial" w:eastAsia="Arial" w:hAnsi="Arial"/>
          <w:sz w:val="14"/>
          <w:szCs w:val="14"/>
          <w:color w:val="auto"/>
        </w:rPr>
      </w:pPr>
      <w:r>
        <w:rPr>
          <w:rFonts w:ascii="Arial" w:cs="Arial" w:eastAsia="Arial" w:hAnsi="Arial"/>
          <w:sz w:val="14"/>
          <w:szCs w:val="14"/>
          <w:color w:val="auto"/>
        </w:rPr>
        <w:t>7,232</w:t>
      </w:r>
    </w:p>
    <w:p>
      <w:pPr>
        <w:ind w:left="806"/>
        <w:spacing w:after="0" w:line="216" w:lineRule="auto"/>
        <w:rPr>
          <w:rFonts w:ascii="Arial" w:cs="Arial" w:eastAsia="Arial" w:hAnsi="Arial"/>
          <w:sz w:val="14"/>
          <w:szCs w:val="14"/>
          <w:color w:val="auto"/>
        </w:rPr>
      </w:pPr>
      <w:r>
        <w:rPr>
          <w:rFonts w:ascii="Arial" w:cs="Arial" w:eastAsia="Arial" w:hAnsi="Arial"/>
          <w:sz w:val="14"/>
          <w:szCs w:val="14"/>
          <w:color w:val="auto"/>
        </w:rPr>
        <w:t>—</w:t>
      </w:r>
    </w:p>
    <w:p>
      <w:pPr>
        <w:ind w:left="806"/>
        <w:spacing w:after="0" w:line="236" w:lineRule="auto"/>
        <w:rPr>
          <w:rFonts w:ascii="Arial" w:cs="Arial" w:eastAsia="Arial" w:hAnsi="Arial"/>
          <w:sz w:val="14"/>
          <w:szCs w:val="14"/>
          <w:color w:val="auto"/>
        </w:rPr>
      </w:pPr>
      <w:r>
        <w:rPr>
          <w:rFonts w:ascii="Arial" w:cs="Arial" w:eastAsia="Arial" w:hAnsi="Arial"/>
          <w:sz w:val="14"/>
          <w:szCs w:val="14"/>
          <w:color w:val="auto"/>
        </w:rPr>
        <w:t>68</w:t>
      </w:r>
    </w:p>
    <w:p>
      <w:pPr>
        <w:ind w:left="626" w:hanging="626"/>
        <w:spacing w:after="0"/>
        <w:tabs>
          <w:tab w:leader="none" w:pos="626" w:val="left"/>
        </w:tabs>
        <w:numPr>
          <w:ilvl w:val="0"/>
          <w:numId w:val="43"/>
        </w:numPr>
        <w:rPr>
          <w:rFonts w:ascii="Arial" w:cs="Arial" w:eastAsia="Arial" w:hAnsi="Arial"/>
          <w:sz w:val="14"/>
          <w:szCs w:val="14"/>
          <w:color w:val="auto"/>
        </w:rPr>
      </w:pPr>
      <w:r>
        <w:rPr>
          <w:rFonts w:ascii="Arial" w:cs="Arial" w:eastAsia="Arial" w:hAnsi="Arial"/>
          <w:sz w:val="14"/>
          <w:szCs w:val="14"/>
          <w:color w:val="auto"/>
        </w:rPr>
        <w:t>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6381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8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14" w:space="720"/>
            <w:col w:w="4806"/>
          </w:cols>
          <w:pgMar w:left="1420" w:top="127" w:right="143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575437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222" w:lineRule="exact"/>
        <w:rPr>
          <w:sz w:val="20"/>
          <w:szCs w:val="20"/>
          <w:color w:val="auto"/>
        </w:rPr>
      </w:pPr>
    </w:p>
    <w:p>
      <w:pPr>
        <w:ind w:right="2240" w:firstLine="635"/>
        <w:spacing w:after="0" w:line="264" w:lineRule="auto"/>
        <w:rPr>
          <w:sz w:val="20"/>
          <w:szCs w:val="20"/>
          <w:color w:val="auto"/>
        </w:rPr>
      </w:pPr>
      <w:r>
        <w:rPr>
          <w:rFonts w:ascii="Arial" w:cs="Arial" w:eastAsia="Arial" w:hAnsi="Arial"/>
          <w:sz w:val="18"/>
          <w:szCs w:val="18"/>
          <w:color w:val="auto"/>
        </w:rPr>
        <w:t>At December 31, 2017, minimum rental commitments under non-cancellable leases are approximately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420" w:type="dxa"/>
            <w:vAlign w:val="bottom"/>
          </w:tcPr>
          <w:p>
            <w:pPr>
              <w:spacing w:after="0"/>
              <w:rPr>
                <w:sz w:val="14"/>
                <w:szCs w:val="14"/>
                <w:color w:val="auto"/>
              </w:rPr>
            </w:pPr>
          </w:p>
        </w:tc>
        <w:tc>
          <w:tcPr>
            <w:tcW w:w="3480" w:type="dxa"/>
            <w:vAlign w:val="bottom"/>
            <w:gridSpan w:val="5"/>
          </w:tcPr>
          <w:p>
            <w:pPr>
              <w:ind w:left="520"/>
              <w:spacing w:after="0"/>
              <w:rPr>
                <w:sz w:val="20"/>
                <w:szCs w:val="20"/>
                <w:color w:val="auto"/>
              </w:rPr>
            </w:pPr>
            <w:r>
              <w:rPr>
                <w:rFonts w:ascii="Arial" w:cs="Arial" w:eastAsia="Arial" w:hAnsi="Arial"/>
                <w:sz w:val="14"/>
                <w:szCs w:val="14"/>
                <w:b w:val="1"/>
                <w:bCs w:val="1"/>
                <w:color w:val="auto"/>
              </w:rPr>
              <w:t>Minimum Rental Commitments</w:t>
            </w:r>
          </w:p>
        </w:tc>
        <w:tc>
          <w:tcPr>
            <w:tcW w:w="0" w:type="dxa"/>
            <w:vAlign w:val="bottom"/>
          </w:tcPr>
          <w:p>
            <w:pPr>
              <w:spacing w:after="0"/>
              <w:rPr>
                <w:sz w:val="1"/>
                <w:szCs w:val="1"/>
                <w:color w:val="auto"/>
              </w:rPr>
            </w:pPr>
          </w:p>
        </w:tc>
      </w:tr>
      <w:tr>
        <w:trPr>
          <w:trHeight w:val="139"/>
        </w:trPr>
        <w:tc>
          <w:tcPr>
            <w:tcW w:w="3360" w:type="dxa"/>
            <w:vAlign w:val="bottom"/>
            <w:gridSpan w:val="2"/>
            <w:vMerge w:val="continue"/>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280"/>
              <w:spacing w:after="0" w:line="139" w:lineRule="exact"/>
              <w:rPr>
                <w:sz w:val="20"/>
                <w:szCs w:val="20"/>
                <w:color w:val="auto"/>
              </w:rPr>
            </w:pPr>
            <w:r>
              <w:rPr>
                <w:rFonts w:ascii="Arial" w:cs="Arial" w:eastAsia="Arial" w:hAnsi="Arial"/>
                <w:sz w:val="14"/>
                <w:szCs w:val="14"/>
                <w:b w:val="1"/>
                <w:bCs w:val="1"/>
                <w:color w:val="auto"/>
              </w:rPr>
              <w:t>Capital</w:t>
            </w:r>
          </w:p>
        </w:tc>
        <w:tc>
          <w:tcPr>
            <w:tcW w:w="3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529"/>
              <w:spacing w:after="0" w:line="139" w:lineRule="exact"/>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2018</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18,829</w:t>
            </w:r>
          </w:p>
        </w:tc>
        <w:tc>
          <w:tcPr>
            <w:tcW w:w="1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33,331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line="145"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Arial" w:cs="Arial" w:eastAsia="Arial" w:hAnsi="Arial"/>
                <w:sz w:val="14"/>
                <w:szCs w:val="14"/>
                <w:color w:val="auto"/>
              </w:rPr>
              <w:t>17,759</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jc w:val="right"/>
              <w:spacing w:after="0" w:line="145" w:lineRule="exact"/>
              <w:rPr>
                <w:sz w:val="20"/>
                <w:szCs w:val="20"/>
                <w:color w:val="auto"/>
              </w:rPr>
            </w:pPr>
            <w:r>
              <w:rPr>
                <w:rFonts w:ascii="Arial" w:cs="Arial" w:eastAsia="Arial" w:hAnsi="Arial"/>
                <w:sz w:val="14"/>
                <w:szCs w:val="14"/>
                <w:color w:val="auto"/>
              </w:rPr>
              <w:t>30,712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2020</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6,942</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29,238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line="145" w:lineRule="exact"/>
              <w:rPr>
                <w:sz w:val="20"/>
                <w:szCs w:val="20"/>
                <w:color w:val="auto"/>
              </w:rPr>
            </w:pPr>
            <w:r>
              <w:rPr>
                <w:rFonts w:ascii="Arial" w:cs="Arial" w:eastAsia="Arial" w:hAnsi="Arial"/>
                <w:sz w:val="14"/>
                <w:szCs w:val="14"/>
                <w:color w:val="auto"/>
              </w:rPr>
              <w:t>2021</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60" w:type="dxa"/>
            <w:vAlign w:val="bottom"/>
          </w:tcPr>
          <w:p>
            <w:pPr>
              <w:jc w:val="right"/>
              <w:spacing w:after="0" w:line="145" w:lineRule="exact"/>
              <w:rPr>
                <w:sz w:val="20"/>
                <w:szCs w:val="20"/>
                <w:color w:val="auto"/>
              </w:rPr>
            </w:pPr>
            <w:r>
              <w:rPr>
                <w:rFonts w:ascii="Arial" w:cs="Arial" w:eastAsia="Arial" w:hAnsi="Arial"/>
                <w:sz w:val="14"/>
                <w:szCs w:val="14"/>
                <w:color w:val="auto"/>
              </w:rPr>
              <w:t>21,017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18,063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360" w:type="dxa"/>
            <w:vAlign w:val="bottom"/>
            <w:gridSpan w:val="2"/>
          </w:tcPr>
          <w:p>
            <w:pPr>
              <w:spacing w:after="0" w:line="145" w:lineRule="exact"/>
              <w:rPr>
                <w:sz w:val="20"/>
                <w:szCs w:val="20"/>
                <w:color w:val="auto"/>
              </w:rPr>
            </w:pPr>
            <w:r>
              <w:rPr>
                <w:rFonts w:ascii="Arial" w:cs="Arial" w:eastAsia="Arial" w:hAnsi="Arial"/>
                <w:sz w:val="14"/>
                <w:szCs w:val="14"/>
                <w:color w:val="auto"/>
              </w:rPr>
              <w:t>Thereafter</w:t>
            </w:r>
          </w:p>
        </w:tc>
        <w:tc>
          <w:tcPr>
            <w:tcW w:w="420" w:type="dxa"/>
            <w:vAlign w:val="bottom"/>
          </w:tcPr>
          <w:p>
            <w:pPr>
              <w:spacing w:after="0"/>
              <w:rPr>
                <w:sz w:val="12"/>
                <w:szCs w:val="12"/>
                <w:color w:val="auto"/>
              </w:rPr>
            </w:pPr>
          </w:p>
        </w:tc>
        <w:tc>
          <w:tcPr>
            <w:tcW w:w="156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60" w:type="dxa"/>
            <w:vAlign w:val="bottom"/>
          </w:tcPr>
          <w:p>
            <w:pPr>
              <w:jc w:val="right"/>
              <w:spacing w:after="0" w:line="145" w:lineRule="exact"/>
              <w:rPr>
                <w:sz w:val="20"/>
                <w:szCs w:val="20"/>
                <w:color w:val="auto"/>
              </w:rPr>
            </w:pPr>
            <w:r>
              <w:rPr>
                <w:rFonts w:ascii="Arial" w:cs="Arial" w:eastAsia="Arial" w:hAnsi="Arial"/>
                <w:sz w:val="14"/>
                <w:szCs w:val="14"/>
                <w:color w:val="auto"/>
              </w:rPr>
              <w:t>127,723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60" w:type="dxa"/>
            <w:vAlign w:val="bottom"/>
            <w:tcBorders>
              <w:top w:val="single" w:sz="8" w:color="CCEEFF"/>
              <w:bottom w:val="single" w:sz="8" w:color="CCEEFF"/>
            </w:tcBorders>
            <w:gridSpan w:val="2"/>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Total minimum lease payments</w:t>
            </w:r>
          </w:p>
        </w:tc>
        <w:tc>
          <w:tcPr>
            <w:tcW w:w="420" w:type="dxa"/>
            <w:vAlign w:val="bottom"/>
            <w:tcBorders>
              <w:top w:val="single" w:sz="8" w:color="auto"/>
              <w:bottom w:val="single" w:sz="8" w:color="auto"/>
            </w:tcBorders>
            <w:shd w:val="clear" w:color="auto" w:fill="CCEEFF"/>
          </w:tcPr>
          <w:p>
            <w:pPr>
              <w:jc w:val="right"/>
              <w:ind w:right="209"/>
              <w:spacing w:after="0" w:line="139"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43,530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169"/>
              <w:spacing w:after="0" w:line="139"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260,084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635"/>
        <w:spacing w:after="0" w:line="286" w:lineRule="auto"/>
        <w:rPr>
          <w:sz w:val="20"/>
          <w:szCs w:val="20"/>
          <w:color w:val="auto"/>
        </w:rPr>
      </w:pPr>
      <w:r>
        <w:rPr>
          <w:rFonts w:ascii="Arial" w:cs="Arial" w:eastAsia="Arial" w:hAnsi="Arial"/>
          <w:sz w:val="17"/>
          <w:szCs w:val="17"/>
          <w:color w:val="auto"/>
        </w:rPr>
        <w:t>Total operating lease expense, net of amortization expense related to landlord incentives, for the years ended December 31, 2017, 2016 and 2015 was approximately $13.1 million, $2.4 million, and $5.3 million, respectively. Occupancy lease expense for the years ended December 31, 2017, 2016 and 2015 of $12.9 million, $1.3 million and $3.9 million, respectively, is included within operations and administrative expenses in the consolidated statements of comprehensive income. Communication equipment lease expense for the years ended December 31, 2017, 2016 and 2015 of $0.2 million, $1.1 million and $1.4 million, respectively, is included within communication and data processing in the accompanying consolidated statements of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 w:lineRule="exact"/>
        <w:rPr>
          <w:sz w:val="20"/>
          <w:szCs w:val="20"/>
          <w:color w:val="auto"/>
        </w:rPr>
      </w:pPr>
    </w:p>
    <w:p>
      <w:pPr>
        <w:ind w:right="20" w:firstLine="635"/>
        <w:spacing w:after="0" w:line="299" w:lineRule="auto"/>
        <w:rPr>
          <w:sz w:val="20"/>
          <w:szCs w:val="20"/>
          <w:color w:val="auto"/>
        </w:rPr>
      </w:pPr>
      <w:r>
        <w:rPr>
          <w:rFonts w:ascii="Arial" w:cs="Arial" w:eastAsia="Arial" w:hAnsi="Arial"/>
          <w:sz w:val="15"/>
          <w:szCs w:val="15"/>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matters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for potential claims, including securities actions, against the Company and its respective directors and officers.</w:t>
      </w:r>
    </w:p>
    <w:p>
      <w:pPr>
        <w:spacing w:after="0" w:line="370" w:lineRule="exact"/>
        <w:rPr>
          <w:sz w:val="20"/>
          <w:szCs w:val="20"/>
          <w:color w:val="auto"/>
        </w:rPr>
      </w:pPr>
    </w:p>
    <w:p>
      <w:pPr>
        <w:ind w:right="100" w:firstLine="635"/>
        <w:spacing w:after="0" w:line="265" w:lineRule="auto"/>
        <w:rPr>
          <w:sz w:val="20"/>
          <w:szCs w:val="20"/>
          <w:color w:val="auto"/>
        </w:rPr>
      </w:pPr>
      <w:r>
        <w:rPr>
          <w:rFonts w:ascii="Arial" w:cs="Arial" w:eastAsia="Arial" w:hAnsi="Arial"/>
          <w:sz w:val="17"/>
          <w:szCs w:val="17"/>
          <w:color w:val="auto"/>
        </w:rPr>
        <w:t xml:space="preserve">In connection with the Acquisition of KCG, a previously filed complaint, which was initially captioned </w:t>
      </w:r>
      <w:r>
        <w:rPr>
          <w:rFonts w:ascii="Arial" w:cs="Arial" w:eastAsia="Arial" w:hAnsi="Arial"/>
          <w:sz w:val="17"/>
          <w:szCs w:val="17"/>
          <w:i w:val="1"/>
          <w:iCs w:val="1"/>
          <w:color w:val="auto"/>
        </w:rPr>
        <w:t>Greenway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KCG Holdings, Inc., et al., Case No. 2017-0421-JTL </w:t>
      </w:r>
      <w:r>
        <w:rPr>
          <w:rFonts w:ascii="Arial" w:cs="Arial" w:eastAsia="Arial" w:hAnsi="Arial"/>
          <w:sz w:val="17"/>
          <w:szCs w:val="17"/>
          <w:color w:val="auto"/>
        </w:rPr>
        <w:t>and filed on behalf of a putative class in Delaware Chancery Court, was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recaptioned </w:t>
      </w:r>
      <w:r>
        <w:rPr>
          <w:rFonts w:ascii="Arial" w:cs="Arial" w:eastAsia="Arial" w:hAnsi="Arial"/>
          <w:sz w:val="17"/>
          <w:szCs w:val="17"/>
          <w:i w:val="1"/>
          <w:iCs w:val="1"/>
          <w:color w:val="auto"/>
        </w:rPr>
        <w:t>Chester County Employees’ Retirement Fund v. KCG Holdings, Inc., et al.</w:t>
      </w:r>
      <w:r>
        <w:rPr>
          <w:rFonts w:ascii="Arial" w:cs="Arial" w:eastAsia="Arial" w:hAnsi="Arial"/>
          <w:sz w:val="17"/>
          <w:szCs w:val="17"/>
          <w:color w:val="auto"/>
        </w:rPr>
        <w:t>, amended and refiled on February 14, 2018 to include claims for the alleged breach of fiduciary duties against former KCG board members, claims against each of Virtu and Jefferies for allegedly aiding and abetting the KCG board members’ alleged breaches of fiduciary duty and a claim against Virtu and Jefferies for alleged civil conspiracy. No amount of damages is stated in the amended complaint, which Virtu intends to defend vigorously.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and Regulatory Matters</w:t>
      </w:r>
    </w:p>
    <w:p>
      <w:pPr>
        <w:spacing w:after="0" w:line="222" w:lineRule="exact"/>
        <w:rPr>
          <w:sz w:val="20"/>
          <w:szCs w:val="20"/>
          <w:color w:val="auto"/>
        </w:rPr>
      </w:pPr>
    </w:p>
    <w:p>
      <w:pPr>
        <w:ind w:right="60" w:firstLine="635"/>
        <w:spacing w:after="0" w:line="317" w:lineRule="auto"/>
        <w:rPr>
          <w:sz w:val="20"/>
          <w:szCs w:val="20"/>
          <w:color w:val="auto"/>
        </w:rPr>
      </w:pPr>
      <w:r>
        <w:rPr>
          <w:rFonts w:ascii="Arial" w:cs="Arial" w:eastAsia="Arial" w:hAnsi="Arial"/>
          <w:sz w:val="15"/>
          <w:szCs w:val="15"/>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securities. In addition, there has been an increased focus by Congress, federal and state regulators, SROs and the media on market structure issues, and in particular, high frequency trading, best execution, internalization, ATS manner of operations, market fragmentation and complexity, colocation, cybersecurity, access to market data feeds and remuneration arrangements, such as payment for order flow and exchange fee structures. The Company has received information requests from various authorities, including the SEC, requesting, among other items, information regarding these market structure matters, to which the Company has responded or is in the process of responding.</w:t>
      </w:r>
    </w:p>
    <w:p>
      <w:pPr>
        <w:spacing w:after="0" w:line="7" w:lineRule="exact"/>
        <w:rPr>
          <w:sz w:val="20"/>
          <w:szCs w:val="20"/>
          <w:color w:val="auto"/>
        </w:rPr>
      </w:pPr>
    </w:p>
    <w:p>
      <w:pPr>
        <w:ind w:right="60" w:firstLine="635"/>
        <w:spacing w:after="0" w:line="262" w:lineRule="auto"/>
        <w:rPr>
          <w:sz w:val="20"/>
          <w:szCs w:val="20"/>
          <w:color w:val="auto"/>
        </w:rPr>
      </w:pPr>
      <w:r>
        <w:rPr>
          <w:rFonts w:ascii="Arial" w:cs="Arial" w:eastAsia="Arial" w:hAnsi="Arial"/>
          <w:sz w:val="17"/>
          <w:szCs w:val="17"/>
          <w:color w:val="auto"/>
        </w:rPr>
        <w:t>The Company is currently the subject of various regulatory reviews and investigations by federal, state and foreign regulators and SROs, including the SEC and the Financial Industry Regulatory Authority. In some instances, these matters may rise to a disciplinary action and/or a civil or administrative action. For example,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The Company had fully reserved for the monetary penalty as of December 31, 2017 and anticipates paying the fine during the year ended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Arrangements</w:t>
      </w:r>
    </w:p>
    <w:p>
      <w:pPr>
        <w:spacing w:after="0" w:line="103" w:lineRule="exact"/>
        <w:rPr>
          <w:sz w:val="20"/>
          <w:szCs w:val="20"/>
          <w:color w:val="auto"/>
        </w:rPr>
      </w:pPr>
    </w:p>
    <w:p>
      <w:pPr>
        <w:ind w:right="40" w:firstLine="635"/>
        <w:spacing w:after="0" w:line="268"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directors, employees, and agents against expenses,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Capital Structure</w:t>
      </w:r>
    </w:p>
    <w:p>
      <w:pPr>
        <w:spacing w:after="0" w:line="222" w:lineRule="exact"/>
        <w:rPr>
          <w:sz w:val="20"/>
          <w:szCs w:val="20"/>
          <w:color w:val="auto"/>
        </w:rPr>
      </w:pPr>
    </w:p>
    <w:p>
      <w:pPr>
        <w:ind w:firstLine="635"/>
        <w:spacing w:after="0" w:line="251" w:lineRule="auto"/>
        <w:rPr>
          <w:sz w:val="20"/>
          <w:szCs w:val="20"/>
          <w:color w:val="auto"/>
        </w:rPr>
      </w:pPr>
      <w:r>
        <w:rPr>
          <w:rFonts w:ascii="Arial" w:cs="Arial" w:eastAsia="Arial" w:hAnsi="Arial"/>
          <w:sz w:val="18"/>
          <w:szCs w:val="18"/>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Reorganization Transactions</w:t>
      </w:r>
    </w:p>
    <w:p>
      <w:pPr>
        <w:spacing w:after="0" w:line="183" w:lineRule="exact"/>
        <w:rPr>
          <w:sz w:val="20"/>
          <w:szCs w:val="20"/>
          <w:color w:val="auto"/>
        </w:rPr>
      </w:pPr>
    </w:p>
    <w:p>
      <w:pPr>
        <w:ind w:right="40" w:firstLine="635"/>
        <w:spacing w:after="0" w:line="308" w:lineRule="auto"/>
        <w:rPr>
          <w:sz w:val="20"/>
          <w:szCs w:val="20"/>
          <w:color w:val="auto"/>
        </w:rPr>
      </w:pPr>
      <w:r>
        <w:rPr>
          <w:rFonts w:ascii="Arial" w:cs="Arial" w:eastAsia="Arial" w:hAnsi="Arial"/>
          <w:sz w:val="15"/>
          <w:szCs w:val="15"/>
          <w:color w:val="auto"/>
        </w:rPr>
        <w:t>Prior to the IPO, the Company’s business was conducted through Virtu Financial and its subsidiaries. In a series of transactions that occurred in connection with the IPO, (i) the Company became the sole managing member of Virtu Financial and acquired Virtu Financial Units, (ii) certain direct or indirect equityholders of Virtu Financial acquired shares of the Company’s Class A common stock and (iii) certain direct or indirect equityholders of Virtu Financial had their interests reclassified into Virtu Financial Units and acquired shares of the Company’s Class C common stock or, in the case of the TJMT Holdings LLC only, shares of the Company’s Class D common stock (collectively, the “Virtu Members”).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On April 21, 2015, the Company completed its IPO of 19,012,112 shares of its Class A common stock, par value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$0.00001 per share, including 2,479,840 shares of Class A common stock sold in connection with the full exercise of the option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to purchase additional shares granted to the underwriters, at a price to the public of $19.00 per share. The shares began trading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on NASDAQ on April 16, 2015 under the ticker symbol “VIRT” and the offering was closed on April 21, 2015. In connection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with the Reorganization Transactions, the Company sold 16,532,272 shares of Class A common stock. The Company used its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net proceeds from its IPO to purchase shares of Class A common stock from an</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499"/>
        <w:spacing w:after="0" w:line="264" w:lineRule="auto"/>
        <w:rPr>
          <w:sz w:val="20"/>
          <w:szCs w:val="20"/>
          <w:color w:val="auto"/>
        </w:rPr>
      </w:pPr>
      <w:r>
        <w:rPr>
          <w:rFonts w:ascii="Arial" w:cs="Arial" w:eastAsia="Arial" w:hAnsi="Arial"/>
          <w:sz w:val="18"/>
          <w:szCs w:val="18"/>
          <w:color w:val="auto"/>
        </w:rPr>
        <w:t>affiliate of Silver Lake Partners, purchase Virtu Financial Units and corresponding shares of Class C common stock from certain Virtu Members, and for working capital and general corporate purposes.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2015 Management Incentive Plan</w:t>
      </w:r>
    </w:p>
    <w:p>
      <w:pPr>
        <w:spacing w:after="0" w:line="196" w:lineRule="exact"/>
        <w:rPr>
          <w:sz w:val="20"/>
          <w:szCs w:val="20"/>
          <w:color w:val="auto"/>
        </w:rPr>
      </w:pPr>
    </w:p>
    <w:p>
      <w:pPr>
        <w:ind w:right="19" w:firstLine="635"/>
        <w:spacing w:after="0" w:line="266"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Offerings</w:t>
      </w:r>
    </w:p>
    <w:p>
      <w:pPr>
        <w:spacing w:after="0" w:line="183" w:lineRule="exact"/>
        <w:rPr>
          <w:sz w:val="20"/>
          <w:szCs w:val="20"/>
          <w:color w:val="auto"/>
        </w:rPr>
      </w:pPr>
    </w:p>
    <w:p>
      <w:pPr>
        <w:ind w:right="19" w:firstLine="635"/>
        <w:spacing w:after="0" w:line="265" w:lineRule="auto"/>
        <w:rPr>
          <w:sz w:val="20"/>
          <w:szCs w:val="20"/>
          <w:color w:val="auto"/>
        </w:rPr>
      </w:pPr>
      <w:r>
        <w:rPr>
          <w:rFonts w:ascii="Arial" w:cs="Arial" w:eastAsia="Arial" w:hAnsi="Arial"/>
          <w:sz w:val="17"/>
          <w:szCs w:val="17"/>
          <w:color w:val="auto"/>
        </w:rPr>
        <w:t>In September 2016, the Company completed a public offering (the “September 2016 Secondary Offering,” collectively with the November 2015 Secondary Offering, the “Secondary Offerings”) of 1,103,668 shares of the Company’s Class A common stock. The Company sold 1,103,668 shares of Class A common stock at a price to the public of $15.75 per share. The Company used the net proceeds from the September 2016 Secondary Offering to purchase Virtu Financial Units (together with corresponding shares of Class C common stock) from certain employees at a net price equal to the price paid by the underwriters for shares of its Class A common stock, which was the price at which the shares were offered to the public less underwriting discounts and commissions of $0.10 per share.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KCG</w:t>
      </w:r>
    </w:p>
    <w:p>
      <w:pPr>
        <w:spacing w:after="0" w:line="222" w:lineRule="exact"/>
        <w:rPr>
          <w:sz w:val="20"/>
          <w:szCs w:val="20"/>
          <w:color w:val="auto"/>
        </w:rPr>
      </w:pPr>
    </w:p>
    <w:p>
      <w:pPr>
        <w:ind w:right="79" w:firstLine="635"/>
        <w:spacing w:after="0" w:line="266" w:lineRule="auto"/>
        <w:rPr>
          <w:sz w:val="20"/>
          <w:szCs w:val="20"/>
          <w:color w:val="auto"/>
        </w:rPr>
      </w:pPr>
      <w:r>
        <w:rPr>
          <w:rFonts w:ascii="Arial" w:cs="Arial" w:eastAsia="Arial" w:hAnsi="Arial"/>
          <w:sz w:val="17"/>
          <w:szCs w:val="17"/>
          <w:color w:val="auto"/>
        </w:rPr>
        <w:t>On the Closing Date and in connection with the financing of the Acquisition, the Company issued 6,346,155 shares of the Company’s Class A common stock to Aranda for an aggregate purchase price of approximately $99.0 million and 39,725,979 shares of the Company Class A Common Stock to NIH for an aggregate purchase price of approximately $613.5 million. On August 10, 2017, the Company issued an additional 1,666,666 shares of its Class A Common Stock for an aggregate purchase price of $26.0 million and an additional 338,124 shares of its Class A Common Stock for an aggregate purchase price of $5.2 million. See Note 3 for further details.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Exchanges</w:t>
      </w:r>
    </w:p>
    <w:p>
      <w:pPr>
        <w:spacing w:after="0" w:line="222" w:lineRule="exact"/>
        <w:rPr>
          <w:sz w:val="20"/>
          <w:szCs w:val="20"/>
          <w:color w:val="auto"/>
        </w:rPr>
      </w:pPr>
    </w:p>
    <w:p>
      <w:pPr>
        <w:ind w:right="19" w:firstLine="635"/>
        <w:spacing w:after="0" w:line="271" w:lineRule="auto"/>
        <w:rPr>
          <w:sz w:val="20"/>
          <w:szCs w:val="20"/>
          <w:color w:val="auto"/>
        </w:rPr>
      </w:pPr>
      <w:r>
        <w:rPr>
          <w:rFonts w:ascii="Arial" w:cs="Arial" w:eastAsia="Arial" w:hAnsi="Arial"/>
          <w:sz w:val="17"/>
          <w:szCs w:val="17"/>
          <w:color w:val="auto"/>
        </w:rPr>
        <w:t>In February, May, August and November 2017, pursuant to the exchange agreement by and among the Company, Virtu Financial and holders of Virtu Financial common units, certain current and former employees elected to exchange 683,762, 307,544, 155,009, and 209,448 units, respectively, in Virtu Financial held on their behalf by Virtu Financial Employee Holdco LLC (“Employee Holdco”) on a one-for-one basis for shares of Class A common stock.</w:t>
      </w:r>
    </w:p>
    <w:p>
      <w:pPr>
        <w:spacing w:after="0" w:line="175" w:lineRule="exact"/>
        <w:rPr>
          <w:sz w:val="20"/>
          <w:szCs w:val="20"/>
          <w:color w:val="auto"/>
        </w:rPr>
      </w:pPr>
    </w:p>
    <w:p>
      <w:pPr>
        <w:ind w:right="59" w:firstLine="635"/>
        <w:spacing w:after="0" w:line="254" w:lineRule="auto"/>
        <w:rPr>
          <w:sz w:val="20"/>
          <w:szCs w:val="20"/>
          <w:color w:val="auto"/>
        </w:rPr>
      </w:pPr>
      <w:r>
        <w:rPr>
          <w:rFonts w:ascii="Arial" w:cs="Arial" w:eastAsia="Arial" w:hAnsi="Arial"/>
          <w:sz w:val="18"/>
          <w:szCs w:val="18"/>
          <w:color w:val="auto"/>
        </w:rPr>
        <w:t>As a result of the completion of the IPO, the Reorganization Transactions, the Secondary Offerings, employee exchange, and the share issuance in connection with the Acquisition, the Company holds approximately 48.3% interest in Virtu Financial at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Share-based compensation prior to the Company’s Reorganization completed on April 15, 2015 and IPO commenced 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16, 2015:</w:t>
      </w:r>
    </w:p>
    <w:p>
      <w:pPr>
        <w:spacing w:after="0" w:line="205" w:lineRule="exact"/>
        <w:rPr>
          <w:sz w:val="20"/>
          <w:szCs w:val="20"/>
          <w:color w:val="auto"/>
        </w:rPr>
      </w:pPr>
    </w:p>
    <w:p>
      <w:pPr>
        <w:ind w:right="39" w:firstLine="635"/>
        <w:spacing w:after="0" w:line="304" w:lineRule="auto"/>
        <w:rPr>
          <w:sz w:val="20"/>
          <w:szCs w:val="20"/>
          <w:color w:val="auto"/>
        </w:rPr>
      </w:pPr>
      <w:r>
        <w:rPr>
          <w:rFonts w:ascii="Arial" w:cs="Arial" w:eastAsia="Arial" w:hAnsi="Arial"/>
          <w:sz w:val="15"/>
          <w:szCs w:val="15"/>
          <w:color w:val="auto"/>
        </w:rPr>
        <w:t>Class A-2 profits interests were issued to Employee Holdco LLC, a holding company that holds the interests on behalf of certain key employees or stakeholders. During the years ended December 31, 2017, 2016 and 2015, the Company recorded expense relating to non-voting common interest units, which were originally granted as Class A-2 profits interests and were reclassified into non-voting common interest units in connection with the Reorganization Transactions. The non-voting common interest units are subject to the same vesting requirements as the prior Class A-2 profits interests, which were either fully vested upon issuance or vested over a period of up to four years, and in each case are subject to repurchase provisions upon certain termination events. These awards were accounted for as equity awards and were measured at fair value at the date of grant. The Company recognized compensation expense related to</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vesting of non-voting common interest units (formerly Class A-2 profits interests) of $0.7 million, $1.3 million and $1.5 million for the years ended December 31, 2017, 2016 and 2015, respectively. As of December 31, 2017 and 2016, total unrecognized share-based compensation expense related to unvested non-voting common interest units (formerly Class A-2 profits interests), was $0.1 million and $0.8 million, respectively; and this amount is expected to be recognized over a weighted average period of 0.1 years and 0.8 years, respectively.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8, 2011, 2,625,000 Class A-2 capital interests were contributed by Class A-2 members to Virtu East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MIP LLC (“East MIP”). East MIP issued Class A interests to the members who contributed the Class A-2 capital</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interests, and Class B interests (“East MIP Class B interests”) to certain key employees. Additionally, Class B interests were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issued to Employee Holdco on behalf of certain key employees and stakeholders on July 8, 2011, and on subsequent dates. East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MIP Class B interests and Class B interests were each subject to time based vesting over four years and only fully vested upon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consummation of a qualifying capital transaction by the Company, including an IPO. In connection with the Reorganization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Transactions, East MIP was liquidated and a portion of the Class A-2 capital interests held by East MIP were contributed to</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Virtu Employee Holdco on behalf of holders of East MIP Class B Interests (or, in the case of certain employees located outside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United States, contributed to a trust whose trustee is one of the Company’s subsidiaries), which Class A-2 capital interests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were subsequently reclassified into non-voting common interest units. The Company recognized compensation expense in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respect of non-voting common interest units (formerly Class B interests) vested of $0.7 million, $1.1 million and $44.9 million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2017, 2016 and 2015, respectively. The compensation expense related to non-voting common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interest units (formerly Class B interests) was included within charges related to share based compensation at IPO in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comprehensive income. As of December 31, 2017 and 2016, total unrecognized share-based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expense related to unvested non-voting common interest units (formerly Class B interests) was $0.1 million and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$0.8 million, respectively; and this amount is expected to be recognized over a weighted average period of 0.1 years and 1.0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years, respectively.</w:t>
      </w:r>
    </w:p>
    <w:p>
      <w:pPr>
        <w:spacing w:after="0" w:line="165" w:lineRule="exact"/>
        <w:rPr>
          <w:sz w:val="20"/>
          <w:szCs w:val="20"/>
          <w:color w:val="auto"/>
        </w:rPr>
      </w:pPr>
    </w:p>
    <w:p>
      <w:pPr>
        <w:ind w:firstLine="635"/>
        <w:spacing w:after="0" w:line="306" w:lineRule="auto"/>
        <w:rPr>
          <w:sz w:val="20"/>
          <w:szCs w:val="20"/>
          <w:color w:val="auto"/>
        </w:rPr>
      </w:pPr>
      <w:r>
        <w:rPr>
          <w:rFonts w:ascii="Arial" w:cs="Arial" w:eastAsia="Arial" w:hAnsi="Arial"/>
          <w:sz w:val="15"/>
          <w:szCs w:val="15"/>
          <w:color w:val="auto"/>
        </w:rPr>
        <w:t>Additionally, in connection with the compensation charges related to non-voting common interest units (formerly Class B interests) mentioned above, the Company capitalized $0.04 million, $0.09 million and $9.2 million for the years ended December 31, 2017, 2016 and 2015, respectively. The amortization costs related to these capitalized compensation charges and previously capitalized compensation charges related to East MIP Class B interests and Class B interests were approximately $0.07 million, $0.7 million and $8.5 million for the years ended December 31, 2017, 2016 and 2015, respectively. The costs attributable to employees incurred in development of software for internal use were included within charges related to share based compensation at IPO in the consolidated statements of comprehensive income.</w:t>
      </w:r>
    </w:p>
    <w:p>
      <w:pPr>
        <w:spacing w:after="0" w:line="127" w:lineRule="exact"/>
        <w:rPr>
          <w:sz w:val="20"/>
          <w:szCs w:val="20"/>
          <w:color w:val="auto"/>
        </w:rPr>
      </w:pPr>
    </w:p>
    <w:p>
      <w:pPr>
        <w:ind w:right="140" w:firstLine="635"/>
        <w:spacing w:after="0" w:line="254" w:lineRule="auto"/>
        <w:rPr>
          <w:sz w:val="20"/>
          <w:szCs w:val="20"/>
          <w:color w:val="auto"/>
        </w:rPr>
      </w:pPr>
      <w:r>
        <w:rPr>
          <w:rFonts w:ascii="Arial" w:cs="Arial" w:eastAsia="Arial" w:hAnsi="Arial"/>
          <w:sz w:val="18"/>
          <w:szCs w:val="18"/>
          <w:color w:val="auto"/>
        </w:rPr>
        <w:t>The fair value of the Class A-2 profit, Class B and East MIP Class B interest was estimated by the Company using an option pricing methodology based on expected volatility, risk-free rates and expected life. Expected volatility is calculated based on companies in the same peer group as the Company.</w:t>
      </w:r>
    </w:p>
    <w:p>
      <w:pPr>
        <w:spacing w:after="0" w:line="189" w:lineRule="exact"/>
        <w:rPr>
          <w:sz w:val="20"/>
          <w:szCs w:val="20"/>
          <w:color w:val="auto"/>
        </w:rPr>
      </w:pPr>
    </w:p>
    <w:p>
      <w:pPr>
        <w:ind w:right="220" w:firstLine="635"/>
        <w:spacing w:after="0" w:line="312" w:lineRule="auto"/>
        <w:rPr>
          <w:sz w:val="20"/>
          <w:szCs w:val="20"/>
          <w:color w:val="auto"/>
        </w:rPr>
      </w:pPr>
      <w:r>
        <w:rPr>
          <w:rFonts w:ascii="Arial" w:cs="Arial" w:eastAsia="Arial" w:hAnsi="Arial"/>
          <w:sz w:val="15"/>
          <w:szCs w:val="15"/>
          <w:color w:val="auto"/>
        </w:rPr>
        <w:t>In connection with the Reorganization Transactions, all Class A-2 profits interests, Class B and East MIP Class B interests were reclassified into non-voting common interest units. As of December 31, 2017 and 2016, there were 12,301,067 and 14,231,535 non-voting common interest units outstanding, respectively, and 1,930,468, 1,162,891 and 57,106 non-voting common interest units and corresponding Class C common stock were exchanged into Class A common stock, forfeited or repurchased during the years ended December 31, 2017, 2016 and 2015,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Share-based compensation after the Company’s Reorganization completed on April 15, 2015 and IPO completed 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16, 2015:</w:t>
      </w:r>
    </w:p>
    <w:p>
      <w:pPr>
        <w:spacing w:after="0" w:line="192" w:lineRule="exact"/>
        <w:rPr>
          <w:sz w:val="20"/>
          <w:szCs w:val="20"/>
          <w:color w:val="auto"/>
        </w:rPr>
      </w:pPr>
    </w:p>
    <w:p>
      <w:pPr>
        <w:ind w:firstLine="635"/>
        <w:spacing w:after="0" w:line="329" w:lineRule="auto"/>
        <w:rPr>
          <w:sz w:val="20"/>
          <w:szCs w:val="20"/>
          <w:color w:val="auto"/>
        </w:rPr>
      </w:pPr>
      <w:r>
        <w:rPr>
          <w:rFonts w:ascii="Arial" w:cs="Arial" w:eastAsia="Arial" w:hAnsi="Arial"/>
          <w:sz w:val="15"/>
          <w:szCs w:val="15"/>
          <w:color w:val="auto"/>
        </w:rPr>
        <w:t>Pursuant to 2015 Management Incentive Plan as described in Note 15 “Capital Structure”, and in connection with the IPO, non-qualified stock options to purchase shares of Class A common stock were granted, each of which vests in equal annual installments over a period of the four years from grant date and expires not later than 10 years from the date of grant.</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summarizes activity related to stock options for the year ended December 31, 2017 and 2016:</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Options Outstanding</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6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16"/>
        </w:trPr>
        <w:tc>
          <w:tcPr>
            <w:tcW w:w="2060" w:type="dxa"/>
            <w:vAlign w:val="bottom"/>
          </w:tcPr>
          <w:p>
            <w:pPr>
              <w:spacing w:after="0"/>
              <w:rPr>
                <w:sz w:val="10"/>
                <w:szCs w:val="10"/>
                <w:color w:val="auto"/>
              </w:rPr>
            </w:pPr>
          </w:p>
        </w:tc>
        <w:tc>
          <w:tcPr>
            <w:tcW w:w="104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b w:val="1"/>
                <w:bCs w:val="1"/>
                <w:color w:val="auto"/>
              </w:rPr>
              <w:t>Number of</w:t>
            </w:r>
          </w:p>
        </w:tc>
        <w:tc>
          <w:tcPr>
            <w:tcW w:w="2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tcPr>
          <w:p>
            <w:pPr>
              <w:jc w:val="center"/>
              <w:ind w:right="280"/>
              <w:spacing w:after="0" w:line="116" w:lineRule="exact"/>
              <w:rPr>
                <w:sz w:val="20"/>
                <w:szCs w:val="20"/>
                <w:color w:val="auto"/>
              </w:rPr>
            </w:pPr>
            <w:r>
              <w:rPr>
                <w:rFonts w:ascii="Arial" w:cs="Arial" w:eastAsia="Arial" w:hAnsi="Arial"/>
                <w:sz w:val="13"/>
                <w:szCs w:val="13"/>
                <w:b w:val="1"/>
                <w:bCs w:val="1"/>
                <w:color w:val="auto"/>
                <w:w w:val="96"/>
              </w:rPr>
              <w:t>Weighted Average</w:t>
            </w:r>
          </w:p>
        </w:tc>
        <w:tc>
          <w:tcPr>
            <w:tcW w:w="132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6"/>
              </w:rPr>
              <w:t>Weighted Average</w:t>
            </w:r>
          </w:p>
        </w:tc>
        <w:tc>
          <w:tcPr>
            <w:tcW w:w="260" w:type="dxa"/>
            <w:vAlign w:val="bottom"/>
          </w:tcPr>
          <w:p>
            <w:pPr>
              <w:spacing w:after="0"/>
              <w:rPr>
                <w:sz w:val="10"/>
                <w:szCs w:val="10"/>
                <w:color w:val="auto"/>
              </w:rPr>
            </w:pPr>
          </w:p>
        </w:tc>
        <w:tc>
          <w:tcPr>
            <w:tcW w:w="106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4"/>
                <w:szCs w:val="14"/>
                <w:b w:val="1"/>
                <w:bCs w:val="1"/>
                <w:color w:val="auto"/>
              </w:rPr>
              <w:t>Number of</w:t>
            </w:r>
          </w:p>
        </w:tc>
        <w:tc>
          <w:tcPr>
            <w:tcW w:w="2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0"/>
              <w:spacing w:after="0" w:line="116" w:lineRule="exact"/>
              <w:rPr>
                <w:sz w:val="20"/>
                <w:szCs w:val="20"/>
                <w:color w:val="auto"/>
              </w:rPr>
            </w:pPr>
            <w:r>
              <w:rPr>
                <w:rFonts w:ascii="Arial" w:cs="Arial" w:eastAsia="Arial" w:hAnsi="Arial"/>
                <w:sz w:val="13"/>
                <w:szCs w:val="13"/>
                <w:b w:val="1"/>
                <w:bCs w:val="1"/>
                <w:color w:val="auto"/>
                <w:w w:val="96"/>
              </w:rPr>
              <w:t>Weighted Average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Remaining</w:t>
            </w: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68"/>
        </w:trPr>
        <w:tc>
          <w:tcPr>
            <w:tcW w:w="2060" w:type="dxa"/>
            <w:vAlign w:val="bottom"/>
          </w:tcPr>
          <w:p>
            <w:pPr>
              <w:spacing w:after="0"/>
              <w:rPr>
                <w:sz w:val="14"/>
                <w:szCs w:val="14"/>
                <w:color w:val="auto"/>
              </w:rPr>
            </w:pPr>
          </w:p>
        </w:tc>
        <w:tc>
          <w:tcPr>
            <w:tcW w:w="1040" w:type="dxa"/>
            <w:vAlign w:val="bottom"/>
          </w:tcPr>
          <w:p>
            <w:pPr>
              <w:jc w:val="right"/>
              <w:ind w:right="209"/>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Contractual Life</w:t>
            </w:r>
          </w:p>
        </w:tc>
        <w:tc>
          <w:tcPr>
            <w:tcW w:w="1060" w:type="dxa"/>
            <w:vAlign w:val="bottom"/>
          </w:tcPr>
          <w:p>
            <w:pPr>
              <w:jc w:val="right"/>
              <w:ind w:right="229"/>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39"/>
        </w:trPr>
        <w:tc>
          <w:tcPr>
            <w:tcW w:w="20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At December 31, 2014</w:t>
            </w:r>
          </w:p>
        </w:tc>
        <w:tc>
          <w:tcPr>
            <w:tcW w:w="10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9,228,000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Arial" w:cs="Arial" w:eastAsia="Arial" w:hAnsi="Arial"/>
                <w:sz w:val="14"/>
                <w:szCs w:val="14"/>
                <w:color w:val="auto"/>
              </w:rPr>
              <w:t>19.00</w:t>
            </w:r>
          </w:p>
        </w:tc>
        <w:tc>
          <w:tcPr>
            <w:tcW w:w="260" w:type="dxa"/>
            <w:vAlign w:val="bottom"/>
          </w:tcPr>
          <w:p>
            <w:pPr>
              <w:spacing w:after="0"/>
              <w:rPr>
                <w:sz w:val="12"/>
                <w:szCs w:val="12"/>
                <w:color w:val="auto"/>
              </w:rPr>
            </w:pPr>
          </w:p>
        </w:tc>
        <w:tc>
          <w:tcPr>
            <w:tcW w:w="1320" w:type="dxa"/>
            <w:vAlign w:val="bottom"/>
          </w:tcPr>
          <w:p>
            <w:pPr>
              <w:jc w:val="right"/>
              <w:spacing w:after="0" w:line="145" w:lineRule="exact"/>
              <w:rPr>
                <w:sz w:val="20"/>
                <w:szCs w:val="20"/>
                <w:color w:val="auto"/>
              </w:rPr>
            </w:pPr>
            <w:r>
              <w:rPr>
                <w:rFonts w:ascii="Arial" w:cs="Arial" w:eastAsia="Arial" w:hAnsi="Arial"/>
                <w:sz w:val="14"/>
                <w:szCs w:val="14"/>
                <w:color w:val="auto"/>
              </w:rPr>
              <w:t>10.00</w:t>
            </w:r>
          </w:p>
        </w:tc>
        <w:tc>
          <w:tcPr>
            <w:tcW w:w="26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Exercised</w:t>
            </w:r>
          </w:p>
        </w:tc>
        <w:tc>
          <w:tcPr>
            <w:tcW w:w="10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Forfeited or expired</w:t>
            </w:r>
          </w:p>
        </w:tc>
        <w:tc>
          <w:tcPr>
            <w:tcW w:w="10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(234,000)</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At December 31, 2015</w:t>
            </w:r>
          </w:p>
        </w:tc>
        <w:tc>
          <w:tcPr>
            <w:tcW w:w="10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8,994,000</w:t>
            </w:r>
          </w:p>
        </w:tc>
        <w:tc>
          <w:tcPr>
            <w:tcW w:w="3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19.00</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9.29</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Exercised</w:t>
            </w:r>
          </w:p>
        </w:tc>
        <w:tc>
          <w:tcPr>
            <w:tcW w:w="10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Forfeited or expired</w:t>
            </w: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(760,000)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At December 31, 2016</w:t>
            </w:r>
          </w:p>
        </w:tc>
        <w:tc>
          <w:tcPr>
            <w:tcW w:w="10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8,234,000</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19.00</w:t>
            </w: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8.29</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2,058,500</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60" w:type="dxa"/>
            <w:vAlign w:val="bottom"/>
          </w:tcPr>
          <w:p>
            <w:pPr>
              <w:spacing w:after="0" w:line="145" w:lineRule="exact"/>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Exercised</w:t>
            </w:r>
          </w:p>
        </w:tc>
        <w:tc>
          <w:tcPr>
            <w:tcW w:w="10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6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Forfeited or expired</w:t>
            </w:r>
          </w:p>
        </w:tc>
        <w:tc>
          <w:tcPr>
            <w:tcW w:w="10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(496,000)</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gridSpan w:val="2"/>
          </w:tcPr>
          <w:p>
            <w:pPr>
              <w:jc w:val="right"/>
              <w:ind w:right="320"/>
              <w:spacing w:after="0" w:line="14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tcPr>
          <w:p>
            <w:pPr>
              <w:jc w:val="right"/>
              <w:spacing w:after="0" w:line="14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gridSpan w:val="2"/>
          </w:tcPr>
          <w:p>
            <w:pPr>
              <w:jc w:val="right"/>
              <w:ind w:right="12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206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At December 31, 2017</w:t>
            </w:r>
          </w:p>
        </w:tc>
        <w:tc>
          <w:tcPr>
            <w:tcW w:w="10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7,738,000</w:t>
            </w:r>
          </w:p>
        </w:tc>
        <w:tc>
          <w:tcPr>
            <w:tcW w:w="36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19.00</w:t>
            </w:r>
          </w:p>
        </w:tc>
        <w:tc>
          <w:tcPr>
            <w:tcW w:w="26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7.29</w:t>
            </w:r>
          </w:p>
        </w:tc>
        <w:tc>
          <w:tcPr>
            <w:tcW w:w="2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3,869,000</w:t>
            </w:r>
          </w:p>
        </w:tc>
        <w:tc>
          <w:tcPr>
            <w:tcW w:w="32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19.00</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35"/>
        <w:spacing w:after="0" w:line="271" w:lineRule="auto"/>
        <w:rPr>
          <w:sz w:val="20"/>
          <w:szCs w:val="20"/>
          <w:color w:val="auto"/>
        </w:rPr>
      </w:pPr>
      <w:r>
        <w:rPr>
          <w:rFonts w:ascii="Arial" w:cs="Arial" w:eastAsia="Arial" w:hAnsi="Arial"/>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5" w:lineRule="exact"/>
        <w:rPr>
          <w:sz w:val="20"/>
          <w:szCs w:val="20"/>
          <w:color w:val="auto"/>
        </w:rPr>
      </w:pPr>
    </w:p>
    <w:p>
      <w:pPr>
        <w:ind w:right="100" w:firstLine="635"/>
        <w:spacing w:after="0" w:line="250" w:lineRule="auto"/>
        <w:rPr>
          <w:sz w:val="20"/>
          <w:szCs w:val="20"/>
          <w:color w:val="auto"/>
        </w:rPr>
      </w:pPr>
      <w:r>
        <w:rPr>
          <w:rFonts w:ascii="Arial" w:cs="Arial" w:eastAsia="Arial" w:hAnsi="Arial"/>
          <w:sz w:val="18"/>
          <w:szCs w:val="18"/>
          <w:color w:val="auto"/>
        </w:rPr>
        <w:t>The Company recognized $5.2 million, $5.6 million and $4.7 million of compensation expense in relation to the stock options issued and outstanding for the years ended December 31, 2017, 2016 and 2015, respectively. As of December 31, 2017 and 2016, total unrecognized share-based compensation expense related to unvested stock options was $7.5 million and $14.2 million, respectively, and these amounts are to be recognized over a weighted average period of 1.3 years and 2.3 years,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Restricted Stock Units</w:t>
      </w:r>
    </w:p>
    <w:p>
      <w:pPr>
        <w:spacing w:after="0" w:line="222" w:lineRule="exact"/>
        <w:rPr>
          <w:sz w:val="20"/>
          <w:szCs w:val="20"/>
          <w:color w:val="auto"/>
        </w:rPr>
      </w:pPr>
    </w:p>
    <w:p>
      <w:pPr>
        <w:ind w:firstLine="635"/>
        <w:spacing w:after="0" w:line="263" w:lineRule="auto"/>
        <w:rPr>
          <w:sz w:val="20"/>
          <w:szCs w:val="20"/>
          <w:color w:val="auto"/>
        </w:rPr>
      </w:pPr>
      <w:r>
        <w:rPr>
          <w:rFonts w:ascii="Arial" w:cs="Arial" w:eastAsia="Arial" w:hAnsi="Arial"/>
          <w:sz w:val="17"/>
          <w:szCs w:val="17"/>
          <w:color w:val="auto"/>
        </w:rPr>
        <w:t>Pursuant to the 2015 Management Incentive Plan as described in Note 15, “Capital Structure”, subsequent to the IPO, shares of immediately vested Class A common stock and restricted stock units were granted, the latter which vest over a period of up to 4 years. The fair value of the Class A common stock and RSUs was determined based on a volume weighted average price and is being recognized on a straight line basis over the vesting period. For the years ended December 31, 2017, 2016 and 2015, there were 19,719, 656,019 and 576,693 shares of immediately vested Class A common stock granted as part of year-end compensation, and the Company recorded compensation expense of $0.3 million, $10.6 million and $13.2 million, respectively. In addition, the Company accrued compensation expense of $11.0 million for the year ended December 31, 2017 related to immediately vested Class A common stock expected to be awarded in early 2018 as part of year-end incentive compensation for the 2017 performance year, which is included in employee compensation and payroll taxes on the Consolidated Statements of Comprehensive Income and accounts payable and accrued expenses and other liabilities on the Consolidated Statements of Financial Condition.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activity related to the RSUs: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2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29"/>
              <w:spacing w:after="0" w:line="145" w:lineRule="exact"/>
              <w:rPr>
                <w:sz w:val="20"/>
                <w:szCs w:val="20"/>
                <w:color w:val="auto"/>
              </w:rPr>
            </w:pPr>
            <w:r>
              <w:rPr>
                <w:rFonts w:ascii="Arial" w:cs="Arial" w:eastAsia="Arial" w:hAnsi="Arial"/>
                <w:sz w:val="14"/>
                <w:szCs w:val="14"/>
                <w:b w:val="1"/>
                <w:bCs w:val="1"/>
                <w:color w:val="auto"/>
                <w:w w:val="91"/>
              </w:rPr>
              <w:t>Average Fair</w:t>
            </w:r>
          </w:p>
        </w:tc>
        <w:tc>
          <w:tcPr>
            <w:tcW w:w="0" w:type="dxa"/>
            <w:vAlign w:val="bottom"/>
          </w:tcPr>
          <w:p>
            <w:pPr>
              <w:spacing w:after="0"/>
              <w:rPr>
                <w:sz w:val="1"/>
                <w:szCs w:val="1"/>
                <w:color w:val="auto"/>
              </w:rPr>
            </w:pPr>
          </w:p>
        </w:tc>
      </w:tr>
      <w:tr>
        <w:trPr>
          <w:trHeight w:val="168"/>
        </w:trPr>
        <w:tc>
          <w:tcPr>
            <w:tcW w:w="5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39"/>
        </w:trPr>
        <w:tc>
          <w:tcPr>
            <w:tcW w:w="51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At December 31, 2014</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5160" w:type="dxa"/>
            <w:vAlign w:val="bottom"/>
          </w:tcPr>
          <w:p>
            <w:pPr>
              <w:spacing w:after="0" w:line="145" w:lineRule="exact"/>
              <w:rPr>
                <w:sz w:val="20"/>
                <w:szCs w:val="20"/>
                <w:color w:val="auto"/>
              </w:rPr>
            </w:pPr>
            <w:r>
              <w:rPr>
                <w:rFonts w:ascii="Arial" w:cs="Arial" w:eastAsia="Arial" w:hAnsi="Arial"/>
                <w:sz w:val="14"/>
                <w:szCs w:val="14"/>
                <w:color w:val="auto"/>
              </w:rPr>
              <w:t>Granted</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984,466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146"/>
        </w:trPr>
        <w:tc>
          <w:tcPr>
            <w:tcW w:w="51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Forfeited</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516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51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At December 31, 2015</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984,466</w:t>
            </w:r>
          </w:p>
        </w:tc>
        <w:tc>
          <w:tcPr>
            <w:tcW w:w="3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146"/>
        </w:trPr>
        <w:tc>
          <w:tcPr>
            <w:tcW w:w="5160" w:type="dxa"/>
            <w:vAlign w:val="bottom"/>
          </w:tcPr>
          <w:p>
            <w:pPr>
              <w:spacing w:after="0" w:line="145" w:lineRule="exact"/>
              <w:rPr>
                <w:sz w:val="20"/>
                <w:szCs w:val="20"/>
                <w:color w:val="auto"/>
              </w:rPr>
            </w:pPr>
            <w:r>
              <w:rPr>
                <w:rFonts w:ascii="Arial" w:cs="Arial" w:eastAsia="Arial" w:hAnsi="Arial"/>
                <w:sz w:val="14"/>
                <w:szCs w:val="14"/>
                <w:color w:val="auto"/>
              </w:rPr>
              <w:t>Granted</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1,019,148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46"/>
        </w:trPr>
        <w:tc>
          <w:tcPr>
            <w:tcW w:w="51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Forfeited</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(133,138)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22.51</w:t>
            </w:r>
          </w:p>
        </w:tc>
        <w:tc>
          <w:tcPr>
            <w:tcW w:w="0" w:type="dxa"/>
            <w:vAlign w:val="bottom"/>
          </w:tcPr>
          <w:p>
            <w:pPr>
              <w:spacing w:after="0"/>
              <w:rPr>
                <w:sz w:val="1"/>
                <w:szCs w:val="1"/>
                <w:color w:val="auto"/>
              </w:rPr>
            </w:pPr>
          </w:p>
        </w:tc>
      </w:tr>
      <w:tr>
        <w:trPr>
          <w:trHeight w:val="146"/>
        </w:trPr>
        <w:tc>
          <w:tcPr>
            <w:tcW w:w="516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(297,035)</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spacing w:after="0" w:line="145"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39"/>
        </w:trPr>
        <w:tc>
          <w:tcPr>
            <w:tcW w:w="51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At December 31, 2016</w:t>
            </w: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1,573,441</w:t>
            </w:r>
          </w:p>
        </w:tc>
        <w:tc>
          <w:tcPr>
            <w:tcW w:w="30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146"/>
        </w:trPr>
        <w:tc>
          <w:tcPr>
            <w:tcW w:w="5160" w:type="dxa"/>
            <w:vAlign w:val="bottom"/>
          </w:tcPr>
          <w:p>
            <w:pPr>
              <w:spacing w:after="0" w:line="145" w:lineRule="exact"/>
              <w:rPr>
                <w:sz w:val="20"/>
                <w:szCs w:val="20"/>
                <w:color w:val="auto"/>
              </w:rPr>
            </w:pPr>
            <w:r>
              <w:rPr>
                <w:rFonts w:ascii="Arial" w:cs="Arial" w:eastAsia="Arial" w:hAnsi="Arial"/>
                <w:sz w:val="14"/>
                <w:szCs w:val="14"/>
                <w:color w:val="auto"/>
              </w:rPr>
              <w:t>Granted</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64,402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146"/>
        </w:trPr>
        <w:tc>
          <w:tcPr>
            <w:tcW w:w="516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Forfeited</w:t>
            </w: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(258,250)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46"/>
        </w:trPr>
        <w:tc>
          <w:tcPr>
            <w:tcW w:w="516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(526,546)</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jc w:val="right"/>
              <w:spacing w:after="0" w:line="145" w:lineRule="exact"/>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45"/>
        </w:trPr>
        <w:tc>
          <w:tcPr>
            <w:tcW w:w="516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At December 31, 2017</w:t>
            </w:r>
          </w:p>
        </w:tc>
        <w:tc>
          <w:tcPr>
            <w:tcW w:w="8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853,047</w:t>
            </w:r>
          </w:p>
        </w:tc>
        <w:tc>
          <w:tcPr>
            <w:tcW w:w="30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59" w:firstLine="635"/>
        <w:spacing w:after="0" w:line="317" w:lineRule="auto"/>
        <w:rPr>
          <w:sz w:val="20"/>
          <w:szCs w:val="20"/>
          <w:color w:val="auto"/>
        </w:rPr>
      </w:pPr>
      <w:r>
        <w:rPr>
          <w:rFonts w:ascii="Arial" w:cs="Arial" w:eastAsia="Arial" w:hAnsi="Arial"/>
          <w:sz w:val="15"/>
          <w:szCs w:val="15"/>
          <w:color w:val="auto"/>
        </w:rPr>
        <w:t>The Company recognized $9.9 million, $6.3 million and $0.5 million of compensation expense in relation to the restricted stock units for the years ended December 31, 2017, 2016 and 2015, respectively. As of December 31, 2017 and 2016, total unrecognized share-based compensation expense related to unvested RSUs was $14.3 million and $28.5 million, respectively, and this amount is to be recognized over a weighted average period of 1.5 years and 2.6 years,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Property, Equipment and Capitalized Software</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Property, equipment and capitalized software consisted of the following at December 31, 2017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192"/>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Capitalized software costs</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94,915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77,591</w:t>
            </w:r>
          </w:p>
        </w:tc>
        <w:tc>
          <w:tcPr>
            <w:tcW w:w="140" w:type="dxa"/>
            <w:vAlign w:val="bottom"/>
            <w:shd w:val="clear" w:color="auto" w:fill="CCEEFF"/>
          </w:tcPr>
          <w:p>
            <w:pPr>
              <w:spacing w:after="0"/>
              <w:rPr>
                <w:sz w:val="16"/>
                <w:szCs w:val="16"/>
                <w:color w:val="auto"/>
              </w:rPr>
            </w:pPr>
          </w:p>
        </w:tc>
      </w:tr>
      <w:tr>
        <w:trPr>
          <w:trHeight w:val="198"/>
        </w:trPr>
        <w:tc>
          <w:tcPr>
            <w:tcW w:w="4620" w:type="dxa"/>
            <w:vAlign w:val="bottom"/>
          </w:tcPr>
          <w:p>
            <w:pPr>
              <w:spacing w:after="0"/>
              <w:rPr>
                <w:sz w:val="20"/>
                <w:szCs w:val="20"/>
                <w:color w:val="auto"/>
              </w:rPr>
            </w:pPr>
            <w:r>
              <w:rPr>
                <w:rFonts w:ascii="Arial" w:cs="Arial" w:eastAsia="Arial" w:hAnsi="Arial"/>
                <w:sz w:val="14"/>
                <w:szCs w:val="14"/>
                <w:color w:val="auto"/>
              </w:rPr>
              <w:t>Leasehold improvements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93,624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3,636</w:t>
            </w:r>
          </w:p>
        </w:tc>
        <w:tc>
          <w:tcPr>
            <w:tcW w:w="140" w:type="dxa"/>
            <w:vAlign w:val="bottom"/>
          </w:tcPr>
          <w:p>
            <w:pPr>
              <w:spacing w:after="0"/>
              <w:rPr>
                <w:sz w:val="17"/>
                <w:szCs w:val="17"/>
                <w:color w:val="auto"/>
              </w:rPr>
            </w:pPr>
          </w:p>
        </w:tc>
      </w:tr>
      <w:tr>
        <w:trPr>
          <w:trHeight w:val="198"/>
        </w:trPr>
        <w:tc>
          <w:tcPr>
            <w:tcW w:w="4620" w:type="dxa"/>
            <w:vAlign w:val="bottom"/>
            <w:shd w:val="clear" w:color="auto" w:fill="CCEEFF"/>
          </w:tcPr>
          <w:p>
            <w:pPr>
              <w:spacing w:after="0"/>
              <w:rPr>
                <w:sz w:val="20"/>
                <w:szCs w:val="20"/>
                <w:color w:val="auto"/>
              </w:rPr>
            </w:pPr>
            <w:r>
              <w:rPr>
                <w:rFonts w:ascii="Arial" w:cs="Arial" w:eastAsia="Arial" w:hAnsi="Arial"/>
                <w:sz w:val="14"/>
                <w:szCs w:val="14"/>
                <w:color w:val="auto"/>
              </w:rPr>
              <w:t>Furniture and equipment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324,135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61,540</w:t>
            </w:r>
          </w:p>
        </w:tc>
        <w:tc>
          <w:tcPr>
            <w:tcW w:w="140" w:type="dxa"/>
            <w:vAlign w:val="bottom"/>
            <w:shd w:val="clear" w:color="auto" w:fill="CCEEFF"/>
          </w:tcPr>
          <w:p>
            <w:pPr>
              <w:spacing w:after="0"/>
              <w:rPr>
                <w:sz w:val="17"/>
                <w:szCs w:val="17"/>
                <w:color w:val="auto"/>
              </w:rPr>
            </w:pPr>
          </w:p>
        </w:tc>
      </w:tr>
      <w:tr>
        <w:trPr>
          <w:trHeight w:val="198"/>
        </w:trPr>
        <w:tc>
          <w:tcPr>
            <w:tcW w:w="4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Land</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40" w:type="dxa"/>
            <w:vAlign w:val="bottom"/>
            <w:tcBorders>
              <w:bottom w:val="single" w:sz="8" w:color="CCEEFF"/>
            </w:tcBorders>
          </w:tcPr>
          <w:p>
            <w:pPr>
              <w:spacing w:after="0"/>
              <w:rPr>
                <w:sz w:val="17"/>
                <w:szCs w:val="17"/>
                <w:color w:val="auto"/>
              </w:rPr>
            </w:pPr>
          </w:p>
        </w:tc>
      </w:tr>
      <w:tr>
        <w:trPr>
          <w:trHeight w:val="192"/>
        </w:trPr>
        <w:tc>
          <w:tcPr>
            <w:tcW w:w="4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512,674</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142,844</w:t>
            </w:r>
          </w:p>
        </w:tc>
        <w:tc>
          <w:tcPr>
            <w:tcW w:w="140" w:type="dxa"/>
            <w:vAlign w:val="bottom"/>
            <w:shd w:val="clear" w:color="auto" w:fill="CCEEFF"/>
          </w:tcPr>
          <w:p>
            <w:pPr>
              <w:spacing w:after="0"/>
              <w:rPr>
                <w:sz w:val="16"/>
                <w:szCs w:val="16"/>
                <w:color w:val="auto"/>
              </w:rPr>
            </w:pPr>
          </w:p>
        </w:tc>
      </w:tr>
      <w:tr>
        <w:trPr>
          <w:trHeight w:val="198"/>
        </w:trPr>
        <w:tc>
          <w:tcPr>
            <w:tcW w:w="4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(375,656)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(113,184)</w:t>
            </w:r>
          </w:p>
        </w:tc>
        <w:tc>
          <w:tcPr>
            <w:tcW w:w="140" w:type="dxa"/>
            <w:vAlign w:val="bottom"/>
            <w:tcBorders>
              <w:bottom w:val="single" w:sz="8" w:color="CCEEFF"/>
            </w:tcBorders>
          </w:tcPr>
          <w:p>
            <w:pPr>
              <w:spacing w:after="0"/>
              <w:rPr>
                <w:sz w:val="17"/>
                <w:szCs w:val="17"/>
                <w:color w:val="auto"/>
              </w:rPr>
            </w:pPr>
          </w:p>
        </w:tc>
      </w:tr>
      <w:tr>
        <w:trPr>
          <w:trHeight w:val="198"/>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property, equipment and capitalized software, net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137,018</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29,660</w:t>
            </w:r>
          </w:p>
        </w:tc>
        <w:tc>
          <w:tcPr>
            <w:tcW w:w="140" w:type="dxa"/>
            <w:vAlign w:val="bottom"/>
            <w:tcBorders>
              <w:bottom w:val="single" w:sz="8" w:color="CCEEFF"/>
            </w:tcBorders>
            <w:shd w:val="clear" w:color="auto" w:fill="CCEEFF"/>
          </w:tcPr>
          <w:p>
            <w:pPr>
              <w:spacing w:after="0"/>
              <w:rPr>
                <w:sz w:val="17"/>
                <w:szCs w:val="17"/>
                <w:color w:val="auto"/>
              </w:rPr>
            </w:pPr>
          </w:p>
        </w:tc>
      </w:tr>
    </w:tbl>
    <w:p>
      <w:pPr>
        <w:spacing w:after="0" w:line="199" w:lineRule="exact"/>
        <w:rPr>
          <w:sz w:val="20"/>
          <w:szCs w:val="20"/>
          <w:color w:val="auto"/>
        </w:rPr>
      </w:pPr>
    </w:p>
    <w:p>
      <w:pPr>
        <w:ind w:right="579" w:firstLine="635"/>
        <w:spacing w:after="0" w:line="276" w:lineRule="auto"/>
        <w:rPr>
          <w:sz w:val="20"/>
          <w:szCs w:val="20"/>
          <w:color w:val="auto"/>
        </w:rPr>
      </w:pPr>
      <w:r>
        <w:rPr>
          <w:rFonts w:ascii="Arial" w:cs="Arial" w:eastAsia="Arial" w:hAnsi="Arial"/>
          <w:sz w:val="17"/>
          <w:szCs w:val="17"/>
          <w:color w:val="auto"/>
        </w:rPr>
        <w:t>Depreciation expense for property and equipment for the years ended December 31, 2017, 2016, and 2015 was approximately $36.8 million, $19.6 million and $24.0 million, respectively, and is included within depreciation and amortization expense in the accompanying consolidated statements of comprehensive income.</w:t>
      </w:r>
    </w:p>
    <w:p>
      <w:pPr>
        <w:spacing w:after="0" w:line="172" w:lineRule="exact"/>
        <w:rPr>
          <w:sz w:val="20"/>
          <w:szCs w:val="20"/>
          <w:color w:val="auto"/>
        </w:rPr>
      </w:pPr>
    </w:p>
    <w:p>
      <w:pPr>
        <w:ind w:right="99" w:firstLine="635"/>
        <w:spacing w:after="0" w:line="266" w:lineRule="auto"/>
        <w:rPr>
          <w:sz w:val="20"/>
          <w:szCs w:val="20"/>
          <w:color w:val="auto"/>
        </w:rPr>
      </w:pPr>
      <w:r>
        <w:rPr>
          <w:rFonts w:ascii="Arial" w:cs="Arial" w:eastAsia="Arial" w:hAnsi="Arial"/>
          <w:sz w:val="17"/>
          <w:szCs w:val="17"/>
          <w:color w:val="auto"/>
        </w:rPr>
        <w:t>The Company’s capitalized software development costs excluding the compensation charges recognized in relation to the IPO disclosed below were approximately $15.7 million, $11.1 million, and $10.1 million for years ended</w:t>
      </w:r>
    </w:p>
    <w:p>
      <w:pPr>
        <w:spacing w:after="0" w:line="1" w:lineRule="exact"/>
        <w:rPr>
          <w:sz w:val="20"/>
          <w:szCs w:val="20"/>
          <w:color w:val="auto"/>
        </w:rPr>
      </w:pPr>
    </w:p>
    <w:p>
      <w:pPr>
        <w:ind w:right="299"/>
        <w:spacing w:after="0" w:line="321" w:lineRule="auto"/>
        <w:rPr>
          <w:sz w:val="20"/>
          <w:szCs w:val="20"/>
          <w:color w:val="auto"/>
        </w:rPr>
      </w:pPr>
      <w:r>
        <w:rPr>
          <w:rFonts w:ascii="Arial" w:cs="Arial" w:eastAsia="Arial" w:hAnsi="Arial"/>
          <w:sz w:val="15"/>
          <w:szCs w:val="15"/>
          <w:color w:val="auto"/>
        </w:rPr>
        <w:t>December 31, 2017, 2016 and 2015, respectively. The related amortization expense was approximately $10.1 million, $10.1 million, and $9.6 million for the years ended December 31, 2017, 2016, and 2015, respectively, and is included within depreciation and amortization expense in the accompanying consolidated statements of comprehensive income.</w:t>
      </w:r>
    </w:p>
    <w:p>
      <w:pPr>
        <w:spacing w:after="0" w:line="143" w:lineRule="exact"/>
        <w:rPr>
          <w:sz w:val="20"/>
          <w:szCs w:val="20"/>
          <w:color w:val="auto"/>
        </w:rPr>
      </w:pPr>
    </w:p>
    <w:p>
      <w:pPr>
        <w:ind w:right="139" w:firstLine="635"/>
        <w:spacing w:after="0" w:line="266" w:lineRule="auto"/>
        <w:rPr>
          <w:sz w:val="20"/>
          <w:szCs w:val="20"/>
          <w:color w:val="auto"/>
        </w:rPr>
      </w:pPr>
      <w:r>
        <w:rPr>
          <w:rFonts w:ascii="Arial" w:cs="Arial" w:eastAsia="Arial" w:hAnsi="Arial"/>
          <w:sz w:val="17"/>
          <w:szCs w:val="17"/>
          <w:color w:val="auto"/>
        </w:rPr>
        <w:t>Additionally, in connection with the compensation charges related to non-voting interest units (formerly Class B interests) recognized upon the IPO (Note 16 “Share-based Compensation”), the Company capitalized approximately $0.04 million, $0.09 million and $9.2 million for the years ended December 31, 2017, 2016 and 2015 respectively. The amortization costs related to these capitalized compensation charges and previously capitalized compensation charges related to East MIP Class B interests and Class B interests were approximately $0.07 million, $0.7 million and $8.5 million for the years ended December 31, 2017, 2016 and 2015, respectively.</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Regulatory Requirement</w:t>
      </w:r>
    </w:p>
    <w:p>
      <w:pPr>
        <w:spacing w:after="0" w:line="209" w:lineRule="exact"/>
        <w:rPr>
          <w:sz w:val="20"/>
          <w:szCs w:val="20"/>
          <w:color w:val="auto"/>
        </w:rPr>
      </w:pPr>
    </w:p>
    <w:p>
      <w:pPr>
        <w:ind w:right="39" w:firstLine="635"/>
        <w:spacing w:after="0" w:line="248" w:lineRule="auto"/>
        <w:rPr>
          <w:sz w:val="20"/>
          <w:szCs w:val="20"/>
          <w:color w:val="auto"/>
        </w:rPr>
      </w:pPr>
      <w:r>
        <w:rPr>
          <w:rFonts w:ascii="Arial" w:cs="Arial" w:eastAsia="Arial" w:hAnsi="Arial"/>
          <w:sz w:val="18"/>
          <w:szCs w:val="18"/>
          <w:color w:val="auto"/>
        </w:rPr>
        <w:t>As of December 31, 2017 and 2016, broker-dealer subsidiaries of the Company are subject to the SEC Uniform Net Capital Rule 15c3-1, which requires the maintenance of minimum net capital of $1.0 million for each of the three broker-dealer subsidiaries. Pursuant to NYSE and NYSE MKT (formerly NYSE Amex) rules, Virtu Financial Capital Markets LLC was also required to maintain $4.1 million and $1.9 million of capital in connection with the operation of its DMM business as of December 31, 2017 and December 31, 2016, respectively. The required amount is determined under the exchange rules as the greater of $1 million or 15% of the market value of 60 trading units for each symbol in which the broker-dealer subsidiary is registered as the DMM.</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regulatory capital and regulatory capital requirements of these subsidiaries as of December 31, 2017 was as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jc w:val="center"/>
              <w:ind w:left="989"/>
              <w:spacing w:after="0"/>
              <w:rPr>
                <w:sz w:val="20"/>
                <w:szCs w:val="20"/>
                <w:color w:val="auto"/>
              </w:rPr>
            </w:pPr>
            <w:r>
              <w:rPr>
                <w:rFonts w:ascii="Arial" w:cs="Arial" w:eastAsia="Arial" w:hAnsi="Arial"/>
                <w:sz w:val="14"/>
                <w:szCs w:val="14"/>
                <w:b w:val="1"/>
                <w:bCs w:val="1"/>
                <w:color w:val="auto"/>
                <w:w w:val="90"/>
              </w:rPr>
              <w:t>Regulatory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Regulatory Capital</w:t>
            </w:r>
          </w:p>
        </w:tc>
        <w:tc>
          <w:tcPr>
            <w:tcW w:w="1300" w:type="dxa"/>
            <w:vAlign w:val="bottom"/>
          </w:tcPr>
          <w:p>
            <w:pPr>
              <w:jc w:val="center"/>
              <w:ind w:left="129"/>
              <w:spacing w:after="0"/>
              <w:rPr>
                <w:sz w:val="20"/>
                <w:szCs w:val="20"/>
                <w:color w:val="auto"/>
              </w:rPr>
            </w:pPr>
            <w:r>
              <w:rPr>
                <w:rFonts w:ascii="Arial" w:cs="Arial" w:eastAsia="Arial" w:hAnsi="Arial"/>
                <w:sz w:val="14"/>
                <w:szCs w:val="14"/>
                <w:b w:val="1"/>
                <w:bCs w:val="1"/>
                <w:color w:val="auto"/>
                <w:w w:val="87"/>
              </w:rPr>
              <w:t>Excess Regulatory</w:t>
            </w:r>
          </w:p>
        </w:tc>
        <w:tc>
          <w:tcPr>
            <w:tcW w:w="0" w:type="dxa"/>
            <w:vAlign w:val="bottom"/>
          </w:tcPr>
          <w:p>
            <w:pPr>
              <w:spacing w:after="0"/>
              <w:rPr>
                <w:sz w:val="1"/>
                <w:szCs w:val="1"/>
                <w:color w:val="auto"/>
              </w:rPr>
            </w:pPr>
          </w:p>
        </w:tc>
      </w:tr>
      <w:tr>
        <w:trPr>
          <w:trHeight w:val="168"/>
        </w:trPr>
        <w:tc>
          <w:tcPr>
            <w:tcW w:w="2120" w:type="dxa"/>
            <w:vAlign w:val="bottom"/>
            <w:vMerge w:val="continue"/>
          </w:tcPr>
          <w:p>
            <w:pPr>
              <w:spacing w:after="0"/>
              <w:rPr>
                <w:sz w:val="14"/>
                <w:szCs w:val="14"/>
                <w:color w:val="auto"/>
              </w:rPr>
            </w:pPr>
          </w:p>
        </w:tc>
        <w:tc>
          <w:tcPr>
            <w:tcW w:w="2120" w:type="dxa"/>
            <w:vAlign w:val="bottom"/>
          </w:tcPr>
          <w:p>
            <w:pPr>
              <w:jc w:val="center"/>
              <w:ind w:left="1009"/>
              <w:spacing w:after="0"/>
              <w:rPr>
                <w:sz w:val="20"/>
                <w:szCs w:val="20"/>
                <w:color w:val="auto"/>
              </w:rPr>
            </w:pPr>
            <w:r>
              <w:rPr>
                <w:rFonts w:ascii="Arial" w:cs="Arial" w:eastAsia="Arial" w:hAnsi="Arial"/>
                <w:sz w:val="14"/>
                <w:szCs w:val="14"/>
                <w:b w:val="1"/>
                <w:bCs w:val="1"/>
                <w:color w:val="auto"/>
                <w:w w:val="94"/>
              </w:rPr>
              <w:t>Capital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Requirement</w:t>
            </w:r>
          </w:p>
        </w:tc>
        <w:tc>
          <w:tcPr>
            <w:tcW w:w="1300" w:type="dxa"/>
            <w:vAlign w:val="bottom"/>
          </w:tcPr>
          <w:p>
            <w:pPr>
              <w:jc w:val="center"/>
              <w:ind w:left="129"/>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r>
      <w:tr>
        <w:trPr>
          <w:trHeight w:val="172"/>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Virtu Americas LLC</w:t>
            </w:r>
          </w:p>
        </w:tc>
        <w:tc>
          <w:tcPr>
            <w:tcW w:w="1040" w:type="dxa"/>
            <w:vAlign w:val="bottom"/>
            <w:gridSpan w:val="2"/>
            <w:shd w:val="clear" w:color="auto" w:fill="CCEEFF"/>
          </w:tcPr>
          <w:p>
            <w:pPr>
              <w:jc w:val="right"/>
              <w:ind w:right="60"/>
              <w:spacing w:after="0" w:line="171" w:lineRule="exact"/>
              <w:rPr>
                <w:sz w:val="20"/>
                <w:szCs w:val="20"/>
                <w:color w:val="auto"/>
              </w:rPr>
            </w:pPr>
            <w:r>
              <w:rPr>
                <w:rFonts w:ascii="Arial" w:cs="Arial" w:eastAsia="Arial" w:hAnsi="Arial"/>
                <w:sz w:val="16"/>
                <w:szCs w:val="16"/>
                <w:color w:val="auto"/>
              </w:rPr>
              <w:t>$   379,875</w:t>
            </w:r>
          </w:p>
        </w:tc>
        <w:tc>
          <w:tcPr>
            <w:tcW w:w="700" w:type="dxa"/>
            <w:vAlign w:val="bottom"/>
            <w:gridSpan w:val="2"/>
            <w:shd w:val="clear" w:color="auto" w:fill="CCEEFF"/>
          </w:tcPr>
          <w:p>
            <w:pPr>
              <w:jc w:val="right"/>
              <w:ind w:right="400"/>
              <w:spacing w:after="0" w:line="171"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1,000</w:t>
            </w:r>
          </w:p>
        </w:tc>
        <w:tc>
          <w:tcPr>
            <w:tcW w:w="620" w:type="dxa"/>
            <w:vAlign w:val="bottom"/>
            <w:gridSpan w:val="2"/>
            <w:shd w:val="clear" w:color="auto" w:fill="CCEEFF"/>
          </w:tcPr>
          <w:p>
            <w:pPr>
              <w:jc w:val="right"/>
              <w:ind w:right="340"/>
              <w:spacing w:after="0" w:line="171"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shd w:val="clear" w:color="auto" w:fill="CCEEFF"/>
          </w:tcPr>
          <w:p>
            <w:pPr>
              <w:jc w:val="right"/>
              <w:ind w:right="21"/>
              <w:spacing w:after="0" w:line="171" w:lineRule="exact"/>
              <w:rPr>
                <w:sz w:val="20"/>
                <w:szCs w:val="20"/>
                <w:color w:val="auto"/>
              </w:rPr>
            </w:pPr>
            <w:r>
              <w:rPr>
                <w:rFonts w:ascii="Arial" w:cs="Arial" w:eastAsia="Arial" w:hAnsi="Arial"/>
                <w:sz w:val="16"/>
                <w:szCs w:val="16"/>
                <w:color w:val="auto"/>
              </w:rPr>
              <w:t>378,875</w:t>
            </w:r>
          </w:p>
        </w:tc>
      </w:tr>
      <w:tr>
        <w:trPr>
          <w:trHeight w:val="198"/>
        </w:trPr>
        <w:tc>
          <w:tcPr>
            <w:tcW w:w="3100" w:type="dxa"/>
            <w:vAlign w:val="bottom"/>
          </w:tcPr>
          <w:p>
            <w:pPr>
              <w:spacing w:after="0"/>
              <w:rPr>
                <w:sz w:val="20"/>
                <w:szCs w:val="20"/>
                <w:color w:val="auto"/>
              </w:rPr>
            </w:pPr>
            <w:r>
              <w:rPr>
                <w:rFonts w:ascii="Arial" w:cs="Arial" w:eastAsia="Arial" w:hAnsi="Arial"/>
                <w:sz w:val="14"/>
                <w:szCs w:val="14"/>
                <w:color w:val="auto"/>
              </w:rPr>
              <w:t>Virtu Financial BD LLC</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40,683</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39,683</w:t>
            </w:r>
          </w:p>
        </w:tc>
      </w:tr>
      <w:tr>
        <w:trPr>
          <w:trHeight w:val="225"/>
        </w:trPr>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Virtu Financial Capital Markets LLC</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8,308</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3,194</w:t>
            </w:r>
          </w:p>
        </w:tc>
      </w:tr>
    </w:tbl>
    <w:p>
      <w:pPr>
        <w:spacing w:after="0" w:line="252"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The regulatory capital and regulatory capital requirements of these subsidiaries as of December 31, 2016 was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w:t>
            </w: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Excess Regulatory</w:t>
            </w:r>
          </w:p>
        </w:tc>
      </w:tr>
      <w:tr>
        <w:trPr>
          <w:trHeight w:val="209"/>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Requirement</w:t>
            </w:r>
          </w:p>
        </w:tc>
        <w:tc>
          <w:tcPr>
            <w:tcW w:w="2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Capital</w:t>
            </w:r>
          </w:p>
        </w:tc>
        <w:tc>
          <w:tcPr>
            <w:tcW w:w="60" w:type="dxa"/>
            <w:vAlign w:val="bottom"/>
            <w:tcBorders>
              <w:bottom w:val="single" w:sz="8" w:color="CCEEFF"/>
            </w:tcBorders>
          </w:tcPr>
          <w:p>
            <w:pPr>
              <w:spacing w:after="0"/>
              <w:rPr>
                <w:sz w:val="18"/>
                <w:szCs w:val="18"/>
                <w:color w:val="auto"/>
              </w:rPr>
            </w:pPr>
          </w:p>
        </w:tc>
      </w:tr>
      <w:tr>
        <w:trPr>
          <w:trHeight w:val="205"/>
        </w:trPr>
        <w:tc>
          <w:tcPr>
            <w:tcW w:w="3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Virtu Financial BD LLC</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74,467</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73,467</w:t>
            </w:r>
          </w:p>
        </w:tc>
        <w:tc>
          <w:tcPr>
            <w:tcW w:w="60" w:type="dxa"/>
            <w:vAlign w:val="bottom"/>
            <w:shd w:val="clear" w:color="auto" w:fill="CCEEFF"/>
          </w:tcPr>
          <w:p>
            <w:pPr>
              <w:spacing w:after="0"/>
              <w:rPr>
                <w:sz w:val="17"/>
                <w:szCs w:val="17"/>
                <w:color w:val="auto"/>
              </w:rPr>
            </w:pPr>
          </w:p>
        </w:tc>
      </w:tr>
      <w:tr>
        <w:trPr>
          <w:trHeight w:val="240"/>
        </w:trPr>
        <w:tc>
          <w:tcPr>
            <w:tcW w:w="3320" w:type="dxa"/>
            <w:vAlign w:val="bottom"/>
            <w:gridSpan w:val="2"/>
          </w:tcPr>
          <w:p>
            <w:pPr>
              <w:spacing w:after="0"/>
              <w:rPr>
                <w:sz w:val="20"/>
                <w:szCs w:val="20"/>
                <w:color w:val="auto"/>
              </w:rPr>
            </w:pPr>
            <w:r>
              <w:rPr>
                <w:rFonts w:ascii="Arial" w:cs="Arial" w:eastAsia="Arial" w:hAnsi="Arial"/>
                <w:sz w:val="14"/>
                <w:szCs w:val="14"/>
                <w:color w:val="auto"/>
              </w:rPr>
              <w:t>Virtu Financial Capital Markets LLC</w:t>
            </w:r>
          </w:p>
        </w:tc>
        <w:tc>
          <w:tcPr>
            <w:tcW w:w="820" w:type="dxa"/>
            <w:vAlign w:val="bottom"/>
          </w:tcPr>
          <w:p>
            <w:pPr>
              <w:jc w:val="right"/>
              <w:spacing w:after="0"/>
              <w:rPr>
                <w:sz w:val="20"/>
                <w:szCs w:val="20"/>
                <w:color w:val="auto"/>
              </w:rPr>
            </w:pPr>
            <w:r>
              <w:rPr>
                <w:rFonts w:ascii="Arial" w:cs="Arial" w:eastAsia="Arial" w:hAnsi="Arial"/>
                <w:sz w:val="16"/>
                <w:szCs w:val="16"/>
                <w:color w:val="auto"/>
              </w:rPr>
              <w:t>10,830</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2,886</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7,944</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Geographic Information and Business Segments</w:t>
      </w:r>
    </w:p>
    <w:p>
      <w:pPr>
        <w:spacing w:after="0" w:line="209" w:lineRule="exact"/>
        <w:rPr>
          <w:sz w:val="20"/>
          <w:szCs w:val="20"/>
          <w:color w:val="auto"/>
        </w:rPr>
      </w:pPr>
    </w:p>
    <w:p>
      <w:pPr>
        <w:ind w:right="99" w:firstLine="635"/>
        <w:spacing w:after="0" w:line="304" w:lineRule="auto"/>
        <w:rPr>
          <w:sz w:val="20"/>
          <w:szCs w:val="20"/>
          <w:color w:val="auto"/>
        </w:rPr>
      </w:pPr>
      <w:r>
        <w:rPr>
          <w:rFonts w:ascii="Arial" w:cs="Arial" w:eastAsia="Arial" w:hAnsi="Arial"/>
          <w:sz w:val="15"/>
          <w:szCs w:val="15"/>
          <w:color w:val="auto"/>
        </w:rPr>
        <w:t>The Company operates its business in the U.S. and internationally, primarily in Europe and Asia. Significant transactions and balances between geographic regions occur primarily as a result of certain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2017, 2016, and 2015</w:t>
      </w:r>
      <w:r>
        <w:rPr>
          <w:rFonts w:ascii="Arial" w:cs="Arial" w:eastAsia="Arial" w:hAnsi="Arial"/>
          <w:sz w:val="13"/>
          <w:szCs w:val="13"/>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9"/>
              <w:spacing w:after="0" w:line="13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9"/>
              <w:spacing w:after="0" w:line="13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9"/>
              <w:spacing w:after="0" w:line="139"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80" w:type="dxa"/>
            <w:vAlign w:val="bottom"/>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line="145" w:lineRule="exact"/>
              <w:rPr>
                <w:sz w:val="20"/>
                <w:szCs w:val="20"/>
                <w:color w:val="auto"/>
              </w:rPr>
            </w:pPr>
            <w:r>
              <w:rPr>
                <w:rFonts w:ascii="Arial" w:cs="Arial" w:eastAsia="Arial" w:hAnsi="Arial"/>
                <w:sz w:val="14"/>
                <w:szCs w:val="14"/>
                <w:color w:val="auto"/>
              </w:rPr>
              <w:t>United States</w:t>
            </w:r>
          </w:p>
        </w:tc>
        <w:tc>
          <w:tcPr>
            <w:tcW w:w="600" w:type="dxa"/>
            <w:vAlign w:val="bottom"/>
            <w:gridSpan w:val="2"/>
          </w:tcPr>
          <w:p>
            <w:pPr>
              <w:jc w:val="right"/>
              <w:ind w:right="109"/>
              <w:spacing w:after="0" w:line="14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791,044</w:t>
            </w:r>
          </w:p>
        </w:tc>
        <w:tc>
          <w:tcPr>
            <w:tcW w:w="40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455,418</w:t>
            </w:r>
          </w:p>
        </w:tc>
        <w:tc>
          <w:tcPr>
            <w:tcW w:w="160" w:type="dxa"/>
            <w:vAlign w:val="bottom"/>
          </w:tcPr>
          <w:p>
            <w:pPr>
              <w:spacing w:after="0"/>
              <w:rPr>
                <w:sz w:val="12"/>
                <w:szCs w:val="12"/>
                <w:color w:val="auto"/>
              </w:rPr>
            </w:pPr>
          </w:p>
        </w:tc>
        <w:tc>
          <w:tcPr>
            <w:tcW w:w="220" w:type="dxa"/>
            <w:vAlign w:val="bottom"/>
            <w:gridSpan w:val="2"/>
          </w:tcPr>
          <w:p>
            <w:pPr>
              <w:jc w:val="right"/>
              <w:ind w:right="90"/>
              <w:spacing w:after="0" w:line="14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5" w:lineRule="exact"/>
              <w:rPr>
                <w:sz w:val="20"/>
                <w:szCs w:val="20"/>
                <w:color w:val="auto"/>
              </w:rPr>
            </w:pPr>
            <w:r>
              <w:rPr>
                <w:rFonts w:ascii="Arial" w:cs="Arial" w:eastAsia="Arial" w:hAnsi="Arial"/>
                <w:sz w:val="14"/>
                <w:szCs w:val="14"/>
                <w:color w:val="auto"/>
              </w:rPr>
              <w:t>537,310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Ireland</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97,637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139,642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166,739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line="145" w:lineRule="exact"/>
              <w:rPr>
                <w:sz w:val="20"/>
                <w:szCs w:val="20"/>
                <w:color w:val="auto"/>
              </w:rPr>
            </w:pPr>
            <w:r>
              <w:rPr>
                <w:rFonts w:ascii="Arial" w:cs="Arial" w:eastAsia="Arial" w:hAnsi="Arial"/>
                <w:sz w:val="14"/>
                <w:szCs w:val="14"/>
                <w:color w:val="auto"/>
              </w:rPr>
              <w:t>United Kingdom</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21,143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Singapore</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113,891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106,813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91,816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line="145" w:lineRule="exact"/>
              <w:rPr>
                <w:sz w:val="20"/>
                <w:szCs w:val="20"/>
                <w:color w:val="auto"/>
              </w:rPr>
            </w:pPr>
            <w:r>
              <w:rPr>
                <w:rFonts w:ascii="Arial" w:cs="Arial" w:eastAsia="Arial" w:hAnsi="Arial"/>
                <w:sz w:val="14"/>
                <w:szCs w:val="14"/>
                <w:color w:val="auto"/>
              </w:rPr>
              <w:t>Sweden</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4"/>
                <w:szCs w:val="14"/>
                <w:color w:val="auto"/>
              </w:rPr>
              <w:t>3,986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32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Others</w:t>
            </w: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281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399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348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80" w:type="dxa"/>
            <w:vAlign w:val="bottom"/>
          </w:tcPr>
          <w:p>
            <w:pPr>
              <w:spacing w:after="0" w:line="139" w:lineRule="exact"/>
              <w:rPr>
                <w:sz w:val="20"/>
                <w:szCs w:val="20"/>
                <w:color w:val="auto"/>
              </w:rPr>
            </w:pPr>
            <w:r>
              <w:rPr>
                <w:rFonts w:ascii="Arial" w:cs="Arial" w:eastAsia="Arial" w:hAnsi="Arial"/>
                <w:sz w:val="14"/>
                <w:szCs w:val="14"/>
                <w:color w:val="auto"/>
              </w:rPr>
              <w:t>Total revenues</w:t>
            </w:r>
          </w:p>
        </w:tc>
        <w:tc>
          <w:tcPr>
            <w:tcW w:w="34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3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1,027,982</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702,272</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796,213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both"/>
        <w:ind w:right="260" w:firstLine="635"/>
        <w:spacing w:after="0" w:line="276" w:lineRule="auto"/>
        <w:rPr>
          <w:sz w:val="20"/>
          <w:szCs w:val="20"/>
          <w:color w:val="auto"/>
        </w:rPr>
      </w:pPr>
      <w:r>
        <w:rPr>
          <w:rFonts w:ascii="Arial" w:cs="Arial" w:eastAsia="Arial" w:hAnsi="Arial"/>
          <w:sz w:val="17"/>
          <w:szCs w:val="17"/>
          <w:color w:val="auto"/>
        </w:rPr>
        <w:t>Prior to the Acquisition, the Company was managed and operated as one business, and, accordingly, operated under one reportable segment. As a result of the acquisition of KCG, beginning in the third quarter of 2017 the Company has three operating segments: (i) Market Making; (ii) Execution Services; and (iii) Corporate.</w:t>
      </w:r>
    </w:p>
    <w:p>
      <w:pPr>
        <w:spacing w:after="0" w:line="172" w:lineRule="exact"/>
        <w:rPr>
          <w:sz w:val="20"/>
          <w:szCs w:val="20"/>
          <w:color w:val="auto"/>
        </w:rPr>
      </w:pPr>
    </w:p>
    <w:p>
      <w:pPr>
        <w:ind w:right="60" w:firstLine="635"/>
        <w:spacing w:after="0" w:line="264" w:lineRule="auto"/>
        <w:rPr>
          <w:sz w:val="20"/>
          <w:szCs w:val="20"/>
          <w:color w:val="auto"/>
        </w:rPr>
      </w:pPr>
      <w:r>
        <w:rPr>
          <w:rFonts w:ascii="Arial" w:cs="Arial" w:eastAsia="Arial" w:hAnsi="Arial"/>
          <w:sz w:val="17"/>
          <w:szCs w:val="17"/>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 dealers, banks and institutions. The Company engages in principal trading in the Market Making segment direct to clients as well as in a supplemental capacity on exchanges,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Bulletin Board marketplaces operated by the OTC Markets Group Inc. and the AIM.</w:t>
      </w:r>
    </w:p>
    <w:p>
      <w:pPr>
        <w:spacing w:after="0" w:line="185" w:lineRule="exact"/>
        <w:rPr>
          <w:sz w:val="20"/>
          <w:szCs w:val="20"/>
          <w:color w:val="auto"/>
        </w:rPr>
      </w:pPr>
    </w:p>
    <w:p>
      <w:pPr>
        <w:ind w:right="20" w:firstLine="635"/>
        <w:spacing w:after="0" w:line="303" w:lineRule="auto"/>
        <w:rPr>
          <w:sz w:val="20"/>
          <w:szCs w:val="20"/>
          <w:color w:val="auto"/>
        </w:rPr>
      </w:pPr>
      <w:r>
        <w:rPr>
          <w:rFonts w:ascii="Arial" w:cs="Arial" w:eastAsia="Arial" w:hAnsi="Arial"/>
          <w:sz w:val="15"/>
          <w:szCs w:val="15"/>
          <w:color w:val="auto"/>
        </w:rPr>
        <w:t>The Execution Services segment comprises agency-based trading and trading venues, offering execution services in global equities, options, futures and fixed income on behalf of institutions, banks and broker 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executing program, block and riskless principal trades in global equities and ETFs; (iii) a fixed income ECN that also offers trading applications; and (iv) an ATS for U.S. equities. Technology licensing fees are earned from third parties for licensing of the Company’s proprietary risk management and trading infrastructure technology and the provision of associated management and hosting services.</w:t>
      </w:r>
    </w:p>
    <w:p>
      <w:pPr>
        <w:spacing w:after="0" w:line="157" w:lineRule="exact"/>
        <w:rPr>
          <w:sz w:val="20"/>
          <w:szCs w:val="20"/>
          <w:color w:val="auto"/>
        </w:rPr>
      </w:pPr>
    </w:p>
    <w:p>
      <w:pPr>
        <w:ind w:right="140" w:firstLine="635"/>
        <w:spacing w:after="0" w:line="254" w:lineRule="auto"/>
        <w:rPr>
          <w:sz w:val="20"/>
          <w:szCs w:val="20"/>
          <w:color w:val="auto"/>
        </w:rPr>
      </w:pPr>
      <w:r>
        <w:rPr>
          <w:rFonts w:ascii="Arial" w:cs="Arial" w:eastAsia="Arial" w:hAnsi="Arial"/>
          <w:sz w:val="18"/>
          <w:szCs w:val="18"/>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89" w:lineRule="exact"/>
        <w:rPr>
          <w:sz w:val="20"/>
          <w:szCs w:val="20"/>
          <w:color w:val="auto"/>
        </w:rPr>
      </w:pPr>
    </w:p>
    <w:p>
      <w:pPr>
        <w:ind w:right="40" w:firstLine="635"/>
        <w:spacing w:after="0" w:line="329" w:lineRule="auto"/>
        <w:rPr>
          <w:sz w:val="20"/>
          <w:szCs w:val="20"/>
          <w:color w:val="auto"/>
        </w:rPr>
      </w:pPr>
      <w:r>
        <w:rPr>
          <w:rFonts w:ascii="Arial" w:cs="Arial" w:eastAsia="Arial" w:hAnsi="Arial"/>
          <w:sz w:val="15"/>
          <w:szCs w:val="15"/>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are summarized in the following table: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tcPr>
          <w:p>
            <w:pPr>
              <w:jc w:val="right"/>
              <w:ind w:right="243"/>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4"/>
                <w:szCs w:val="14"/>
                <w:color w:val="auto"/>
              </w:rPr>
            </w:pPr>
          </w:p>
        </w:tc>
        <w:tc>
          <w:tcPr>
            <w:tcW w:w="1080" w:type="dxa"/>
            <w:vAlign w:val="bottom"/>
          </w:tcPr>
          <w:p>
            <w:pPr>
              <w:jc w:val="right"/>
              <w:ind w:right="163"/>
              <w:spacing w:after="0"/>
              <w:rPr>
                <w:sz w:val="20"/>
                <w:szCs w:val="20"/>
                <w:color w:val="auto"/>
              </w:rPr>
            </w:pPr>
            <w:r>
              <w:rPr>
                <w:rFonts w:ascii="Arial" w:cs="Arial" w:eastAsia="Arial" w:hAnsi="Arial"/>
                <w:sz w:val="14"/>
                <w:szCs w:val="14"/>
                <w:b w:val="1"/>
                <w:bCs w:val="1"/>
                <w:color w:val="auto"/>
              </w:rPr>
              <w:t>Execution</w:t>
            </w:r>
          </w:p>
        </w:tc>
        <w:tc>
          <w:tcPr>
            <w:tcW w:w="200" w:type="dxa"/>
            <w:vAlign w:val="bottom"/>
          </w:tcPr>
          <w:p>
            <w:pPr>
              <w:spacing w:after="0"/>
              <w:rPr>
                <w:sz w:val="14"/>
                <w:szCs w:val="14"/>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68"/>
        </w:trPr>
        <w:tc>
          <w:tcPr>
            <w:tcW w:w="3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43"/>
              <w:spacing w:after="0"/>
              <w:rPr>
                <w:sz w:val="20"/>
                <w:szCs w:val="20"/>
                <w:color w:val="auto"/>
              </w:rPr>
            </w:pPr>
            <w:r>
              <w:rPr>
                <w:rFonts w:ascii="Arial" w:cs="Arial" w:eastAsia="Arial" w:hAnsi="Arial"/>
                <w:sz w:val="14"/>
                <w:szCs w:val="14"/>
                <w:b w:val="1"/>
                <w:bCs w:val="1"/>
                <w:color w:val="auto"/>
              </w:rPr>
              <w:t>Making</w:t>
            </w:r>
          </w:p>
        </w:tc>
        <w:tc>
          <w:tcPr>
            <w:tcW w:w="180" w:type="dxa"/>
            <w:vAlign w:val="bottom"/>
          </w:tcPr>
          <w:p>
            <w:pPr>
              <w:spacing w:after="0"/>
              <w:rPr>
                <w:sz w:val="14"/>
                <w:szCs w:val="14"/>
                <w:color w:val="auto"/>
              </w:rPr>
            </w:pPr>
          </w:p>
        </w:tc>
        <w:tc>
          <w:tcPr>
            <w:tcW w:w="1080" w:type="dxa"/>
            <w:vAlign w:val="bottom"/>
          </w:tcPr>
          <w:p>
            <w:pPr>
              <w:jc w:val="right"/>
              <w:ind w:right="223"/>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080" w:type="dxa"/>
            <w:vAlign w:val="bottom"/>
          </w:tcPr>
          <w:p>
            <w:pPr>
              <w:jc w:val="right"/>
              <w:ind w:right="383"/>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100"/>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836,707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99,135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92,140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1,027,982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74,633</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(12,519)</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51,050</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2016:</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100"/>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691,884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10,352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702,272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5"/>
              </w:rPr>
              <w:t>Income (loss) before income taxes and noncontrolling interest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176,145</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4,403</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2015:</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tcPr>
          <w:p>
            <w:pPr>
              <w:ind w:left="100"/>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785,591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10,622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796,213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211,443</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(1) Amounts shown in the Corporate segment include eliminations of income statement and balance sheet items included in the Company's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5754370" cy="927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9271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09" w:lineRule="exact"/>
        <w:rPr>
          <w:sz w:val="20"/>
          <w:szCs w:val="20"/>
          <w:color w:val="auto"/>
        </w:rPr>
      </w:pPr>
    </w:p>
    <w:p>
      <w:pPr>
        <w:ind w:right="200" w:firstLine="635"/>
        <w:spacing w:after="0" w:line="254" w:lineRule="auto"/>
        <w:rPr>
          <w:sz w:val="20"/>
          <w:szCs w:val="20"/>
          <w:color w:val="auto"/>
        </w:rPr>
      </w:pPr>
      <w:r>
        <w:rPr>
          <w:rFonts w:ascii="Arial" w:cs="Arial" w:eastAsia="Arial" w:hAnsi="Arial"/>
          <w:sz w:val="18"/>
          <w:szCs w:val="18"/>
          <w:color w:val="auto"/>
        </w:rPr>
        <w:t>The Company incurs expenses and maintains balances with its affiliates in the ordinary course of business. As of December 31, 2017, and December 31, 2016, the Company had a receivable of $0.08 million and a payable of $0.2 million to its affiliates,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ind w:right="80" w:firstLine="635"/>
        <w:spacing w:after="0" w:line="251" w:lineRule="auto"/>
        <w:rPr>
          <w:sz w:val="20"/>
          <w:szCs w:val="20"/>
          <w:color w:val="auto"/>
        </w:rPr>
      </w:pPr>
      <w:r>
        <w:rPr>
          <w:rFonts w:ascii="Arial" w:cs="Arial" w:eastAsia="Arial" w:hAnsi="Arial"/>
          <w:sz w:val="18"/>
          <w:szCs w:val="18"/>
          <w:color w:val="auto"/>
        </w:rPr>
        <w:t>The Company conducts securities lending transactions with Industrial and Commercial Bank of China (“ICBC”), which is partially owned by Temasek Holdings (Private) Limited and its affiliates. As of December 31, 2017, the Company had a securities borrowed contract of $23.1 million and a securities loaned contract of $1.1 million with ICBC. The Company did not have outstanding securities with ICBC as of December 31, 2016.</w:t>
      </w:r>
    </w:p>
    <w:p>
      <w:pPr>
        <w:spacing w:after="0" w:line="192" w:lineRule="exact"/>
        <w:rPr>
          <w:sz w:val="20"/>
          <w:szCs w:val="20"/>
          <w:color w:val="auto"/>
        </w:rPr>
      </w:pPr>
    </w:p>
    <w:p>
      <w:pPr>
        <w:ind w:right="120" w:firstLine="635"/>
        <w:spacing w:after="0" w:line="251" w:lineRule="auto"/>
        <w:rPr>
          <w:sz w:val="20"/>
          <w:szCs w:val="20"/>
          <w:color w:val="auto"/>
        </w:rPr>
      </w:pPr>
      <w:r>
        <w:rPr>
          <w:rFonts w:ascii="Arial" w:cs="Arial" w:eastAsia="Arial" w:hAnsi="Arial"/>
          <w:sz w:val="18"/>
          <w:szCs w:val="18"/>
          <w:color w:val="auto"/>
        </w:rPr>
        <w:t>The Company purchases network connections services from affiliates of Level 3 Communications (“Level 3”). Temasek Holdings (Private) Limited and its affiliates have a significant ownership interest in Level 3. During the years ended December 31, 2017, 2016 and 2015 the Company paid $2.5 million, $2.4 million, and $4.3 million, respectively, to Level 3 for these services.</w:t>
      </w:r>
    </w:p>
    <w:p>
      <w:pPr>
        <w:spacing w:after="0" w:line="153" w:lineRule="exact"/>
        <w:rPr>
          <w:sz w:val="20"/>
          <w:szCs w:val="20"/>
          <w:color w:val="auto"/>
        </w:rPr>
      </w:pPr>
    </w:p>
    <w:p>
      <w:pPr>
        <w:ind w:right="120" w:firstLine="635"/>
        <w:spacing w:after="0" w:line="251" w:lineRule="auto"/>
        <w:rPr>
          <w:sz w:val="20"/>
          <w:szCs w:val="20"/>
          <w:color w:val="auto"/>
        </w:rPr>
      </w:pPr>
      <w:r>
        <w:rPr>
          <w:rFonts w:ascii="Arial" w:cs="Arial" w:eastAsia="Arial" w:hAnsi="Arial"/>
          <w:sz w:val="18"/>
          <w:szCs w:val="18"/>
          <w:color w:val="auto"/>
        </w:rPr>
        <w:t>The Company purchases and leases computer equipment and maintenance and support from affiliates of Dell Inc. (“Dell”). Temasek Holdings (Private) Limited and its affiliates have a significant ownership interest in Dell. During the years ended December 31, 2017. 2016 and 2015, the Company paid $2.5 million, $2.7 million and $3.6 million, respectively, to Dell for these purchases and leases.</w:t>
      </w:r>
    </w:p>
    <w:p>
      <w:pPr>
        <w:spacing w:after="0" w:line="188" w:lineRule="exact"/>
        <w:rPr>
          <w:sz w:val="20"/>
          <w:szCs w:val="20"/>
          <w:color w:val="auto"/>
        </w:rPr>
      </w:pPr>
    </w:p>
    <w:p>
      <w:pPr>
        <w:ind w:right="40" w:firstLine="635"/>
        <w:spacing w:after="0" w:line="257" w:lineRule="auto"/>
        <w:rPr>
          <w:sz w:val="20"/>
          <w:szCs w:val="20"/>
          <w:color w:val="auto"/>
        </w:rPr>
      </w:pPr>
      <w:r>
        <w:rPr>
          <w:rFonts w:ascii="Arial" w:cs="Arial" w:eastAsia="Arial" w:hAnsi="Arial"/>
          <w:sz w:val="19"/>
          <w:szCs w:val="19"/>
          <w:color w:val="auto"/>
        </w:rPr>
        <w:t>The Company purchases telecommunications services from Singapore Telecommunications Limited (“Singtel”). Temasek and its affiliates have a significant ownership interest in Singtel. During the years ended December 31, 2017, 2016, and 2015, the Company paid $0.1 million, $0.2 million, and $0.1 million, respectively, to Singtel for these purchases.</w:t>
      </w:r>
    </w:p>
    <w:p>
      <w:pPr>
        <w:spacing w:after="0" w:line="180" w:lineRule="exact"/>
        <w:rPr>
          <w:sz w:val="20"/>
          <w:szCs w:val="20"/>
          <w:color w:val="auto"/>
        </w:rPr>
      </w:pPr>
    </w:p>
    <w:p>
      <w:pPr>
        <w:ind w:right="20" w:firstLine="635"/>
        <w:spacing w:after="0" w:line="317" w:lineRule="auto"/>
        <w:rPr>
          <w:sz w:val="20"/>
          <w:szCs w:val="20"/>
          <w:color w:val="auto"/>
        </w:rPr>
      </w:pPr>
      <w:r>
        <w:rPr>
          <w:rFonts w:ascii="Arial" w:cs="Arial" w:eastAsia="Arial" w:hAnsi="Arial"/>
          <w:sz w:val="15"/>
          <w:szCs w:val="15"/>
          <w:color w:val="auto"/>
        </w:rPr>
        <w:t>The Company employed the son of the Company’s Founder and Executive Chairman, as a trader during the year ended December 31, 2015, This employee was paid approximately $0.8 million of employee compensation during year ended December 31, 2015, and granted 60,000 stock options with respect to shares of the Company’s Class A common stock under the 2015 Management Incentive Plan. The Company had no such expense during the years ended December 31, 2017 and 2016.</w:t>
      </w:r>
    </w:p>
    <w:p>
      <w:pPr>
        <w:spacing w:after="0" w:line="143" w:lineRule="exact"/>
        <w:rPr>
          <w:sz w:val="20"/>
          <w:szCs w:val="20"/>
          <w:color w:val="auto"/>
        </w:rPr>
      </w:pPr>
    </w:p>
    <w:p>
      <w:pPr>
        <w:ind w:right="240" w:firstLine="635"/>
        <w:spacing w:after="0" w:line="262" w:lineRule="auto"/>
        <w:rPr>
          <w:sz w:val="20"/>
          <w:szCs w:val="20"/>
          <w:color w:val="auto"/>
        </w:rPr>
      </w:pPr>
      <w:r>
        <w:rPr>
          <w:rFonts w:ascii="Arial" w:cs="Arial" w:eastAsia="Arial" w:hAnsi="Arial"/>
          <w:sz w:val="19"/>
          <w:szCs w:val="19"/>
          <w:color w:val="auto"/>
        </w:rPr>
        <w:t>The Company has engaged a member of the Board of Directors to provide leadership consulting services. The Company has paid approximately $4 thousand, $0.03 million and $0.1 million for such engagement for the years ended December 31, 2017, 2016, and 2015, respectively.</w:t>
      </w:r>
    </w:p>
    <w:p>
      <w:pPr>
        <w:spacing w:after="0" w:line="175" w:lineRule="exact"/>
        <w:rPr>
          <w:sz w:val="20"/>
          <w:szCs w:val="20"/>
          <w:color w:val="auto"/>
        </w:rPr>
      </w:pPr>
    </w:p>
    <w:p>
      <w:pPr>
        <w:ind w:firstLine="635"/>
        <w:spacing w:after="0" w:line="329" w:lineRule="auto"/>
        <w:rPr>
          <w:sz w:val="20"/>
          <w:szCs w:val="20"/>
          <w:color w:val="auto"/>
        </w:rPr>
      </w:pPr>
      <w:r>
        <w:rPr>
          <w:rFonts w:ascii="Arial" w:cs="Arial" w:eastAsia="Arial" w:hAnsi="Arial"/>
          <w:sz w:val="15"/>
          <w:szCs w:val="15"/>
          <w:color w:val="auto"/>
        </w:rPr>
        <w:t>Additionally, the Company entered into sublease arrangements with affiliates of the Company’s Founder and Executive Chairman for office space no longer used by the Company. For the years ended December 31, 2017, 2016 and 2015, the Company received $0.06 million, $0.04 million and $0.1 million, respectively, pursuant to these arrangements.</w:t>
      </w:r>
    </w:p>
    <w:p>
      <w:pPr>
        <w:spacing w:after="0" w:line="137" w:lineRule="exact"/>
        <w:rPr>
          <w:sz w:val="20"/>
          <w:szCs w:val="20"/>
          <w:color w:val="auto"/>
        </w:rPr>
      </w:pPr>
    </w:p>
    <w:p>
      <w:pPr>
        <w:ind w:right="200" w:firstLine="635"/>
        <w:spacing w:after="0" w:line="251" w:lineRule="auto"/>
        <w:rPr>
          <w:sz w:val="20"/>
          <w:szCs w:val="20"/>
          <w:color w:val="auto"/>
        </w:rPr>
      </w:pPr>
      <w:r>
        <w:rPr>
          <w:rFonts w:ascii="Arial" w:cs="Arial" w:eastAsia="Arial" w:hAnsi="Arial"/>
          <w:sz w:val="18"/>
          <w:szCs w:val="18"/>
          <w:color w:val="auto"/>
        </w:rPr>
        <w:t>The Company has held a minority interest in SBI since 2016 (See Note 11, “Financial Assets and Liabilities”). The Company pays exchange fees to SBI for the trading activities conducted on its proprietary trading system. The Company paid $6.0 million and $2.2 million for the year ended December 31, 2017 and for the period since the completion of the minority interest investment to December 31, 2016, respectively.</w:t>
      </w:r>
    </w:p>
    <w:p>
      <w:pPr>
        <w:spacing w:after="0" w:line="192" w:lineRule="exact"/>
        <w:rPr>
          <w:sz w:val="20"/>
          <w:szCs w:val="20"/>
          <w:color w:val="auto"/>
        </w:rPr>
      </w:pPr>
    </w:p>
    <w:p>
      <w:pPr>
        <w:ind w:right="60" w:firstLine="635"/>
        <w:spacing w:after="0" w:line="268" w:lineRule="auto"/>
        <w:rPr>
          <w:sz w:val="20"/>
          <w:szCs w:val="20"/>
          <w:color w:val="auto"/>
        </w:rPr>
      </w:pPr>
      <w:r>
        <w:rPr>
          <w:rFonts w:ascii="Arial" w:cs="Arial" w:eastAsia="Arial" w:hAnsi="Arial"/>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consolidated statements of comprehensive income. The Company made payments of $8.3 million and $0.6 million to the JVs for the years ended December 31, 2017 and 2016, respectively. The Company made no such payments for the year ended December 31, 2015.</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Parent Company</w:t>
      </w:r>
    </w:p>
    <w:p>
      <w:pPr>
        <w:spacing w:after="0" w:line="222" w:lineRule="exact"/>
        <w:rPr>
          <w:sz w:val="20"/>
          <w:szCs w:val="20"/>
          <w:color w:val="auto"/>
        </w:rPr>
      </w:pPr>
    </w:p>
    <w:p>
      <w:pPr>
        <w:ind w:right="140" w:firstLine="635"/>
        <w:spacing w:after="0" w:line="266" w:lineRule="auto"/>
        <w:rPr>
          <w:sz w:val="20"/>
          <w:szCs w:val="20"/>
          <w:color w:val="auto"/>
        </w:rPr>
      </w:pPr>
      <w:r>
        <w:rPr>
          <w:rFonts w:ascii="Arial" w:cs="Arial" w:eastAsia="Arial" w:hAnsi="Arial"/>
          <w:sz w:val="17"/>
          <w:szCs w:val="17"/>
          <w:color w:val="auto"/>
        </w:rPr>
        <w:t>VFI is the sole managing member of Virtu Financial, which guarantees the indebtedness of its direct subsidiary under the senior secured facility and senior secured second lien notes (Note 10 “Borrowings”). VFI is limited to its ability to receive distributions (including for purposes of paying corporate and other overhead expenses and dividends) from Virtu Financial under its Fourth Amended and Restated Credit Agreement and senior secured second lien notes. The following financial statements (the “Parent Company Only Financial Statements”) should be read in conjunction with the consolidated financial statements of the Company and the foregoing.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ind w:right="19" w:firstLine="622"/>
        <w:spacing w:after="0" w:line="271" w:lineRule="auto"/>
        <w:rPr>
          <w:sz w:val="20"/>
          <w:szCs w:val="20"/>
          <w:color w:val="auto"/>
        </w:rPr>
      </w:pPr>
      <w:r>
        <w:rPr>
          <w:rFonts w:ascii="Arial" w:cs="Arial" w:eastAsia="Arial" w:hAnsi="Arial"/>
          <w:sz w:val="17"/>
          <w:szCs w:val="17"/>
          <w:color w:val="auto"/>
        </w:rPr>
        <w:t>The condensed statements of financial condition as of December 31, 2017 and 2016 reflect the condensed financial condition of VFI. The condensed statements of comprehensive income and of cash flows for the year ended December 31, 2015 reflect the condensed operating results and cash flows of Virtu Financial prior to April 15, 2015 and reflect the condensed operating results and cash flows of VFI from April 16, 2015 through December 31, 2015.</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Virtu Financial,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 Only)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ind w:lef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16"/>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interest data)</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3"/>
                <w:szCs w:val="13"/>
                <w:b w:val="1"/>
                <w:bCs w:val="1"/>
                <w:color w:val="auto"/>
              </w:rPr>
              <w:t>December 31,</w:t>
            </w: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30"/>
              <w:spacing w:after="0" w:line="116"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5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right"/>
              <w:ind w:right="29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Pr>
          <w:p>
            <w:pPr>
              <w:ind w:left="80"/>
              <w:spacing w:after="0" w:line="145" w:lineRule="exact"/>
              <w:rPr>
                <w:sz w:val="20"/>
                <w:szCs w:val="20"/>
                <w:color w:val="auto"/>
              </w:rPr>
            </w:pPr>
            <w:r>
              <w:rPr>
                <w:rFonts w:ascii="Arial" w:cs="Arial" w:eastAsia="Arial" w:hAnsi="Arial"/>
                <w:sz w:val="14"/>
                <w:szCs w:val="14"/>
                <w:color w:val="auto"/>
              </w:rPr>
              <w:t>Cash</w:t>
            </w:r>
          </w:p>
        </w:tc>
        <w:tc>
          <w:tcPr>
            <w:tcW w:w="2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60,193</w:t>
            </w:r>
          </w:p>
        </w:tc>
        <w:tc>
          <w:tcPr>
            <w:tcW w:w="140" w:type="dxa"/>
            <w:vAlign w:val="bottom"/>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17,149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Deferred tax asset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124,631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192,961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Pr>
          <w:p>
            <w:pPr>
              <w:ind w:left="80"/>
              <w:spacing w:after="0" w:line="145" w:lineRule="exact"/>
              <w:rPr>
                <w:sz w:val="20"/>
                <w:szCs w:val="20"/>
                <w:color w:val="auto"/>
              </w:rPr>
            </w:pPr>
            <w:r>
              <w:rPr>
                <w:rFonts w:ascii="Arial" w:cs="Arial" w:eastAsia="Arial" w:hAnsi="Arial"/>
                <w:sz w:val="14"/>
                <w:szCs w:val="14"/>
                <w:color w:val="auto"/>
              </w:rPr>
              <w:t>Investment in subsidiary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1,549,162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165,204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10,731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1,892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240" w:type="dxa"/>
            <w:vAlign w:val="bottom"/>
            <w:tcBorders>
              <w:bottom w:val="single" w:sz="8" w:color="CCEEFF"/>
            </w:tcBorders>
          </w:tcPr>
          <w:p>
            <w:pPr>
              <w:ind w:left="300"/>
              <w:spacing w:after="0" w:line="139" w:lineRule="exact"/>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1,744,717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377,206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5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240" w:type="dxa"/>
            <w:vAlign w:val="bottom"/>
          </w:tcPr>
          <w:p>
            <w:pPr>
              <w:spacing w:after="0" w:line="145" w:lineRule="exact"/>
              <w:rPr>
                <w:sz w:val="20"/>
                <w:szCs w:val="20"/>
                <w:color w:val="auto"/>
              </w:rPr>
            </w:pPr>
            <w:r>
              <w:rPr>
                <w:rFonts w:ascii="Arial" w:cs="Arial" w:eastAsia="Arial" w:hAnsi="Arial"/>
                <w:sz w:val="14"/>
                <w:szCs w:val="14"/>
                <w:b w:val="1"/>
                <w:bCs w:val="1"/>
                <w:color w:val="auto"/>
              </w:rPr>
              <w:t>Liabilities, redeemable membership interest and 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Pr>
          <w:p>
            <w:pPr>
              <w:ind w:left="80"/>
              <w:spacing w:after="0" w:line="145" w:lineRule="exact"/>
              <w:rPr>
                <w:sz w:val="20"/>
                <w:szCs w:val="20"/>
                <w:color w:val="auto"/>
              </w:rPr>
            </w:pPr>
            <w:r>
              <w:rPr>
                <w:rFonts w:ascii="Arial" w:cs="Arial" w:eastAsia="Arial" w:hAnsi="Arial"/>
                <w:sz w:val="14"/>
                <w:szCs w:val="14"/>
                <w:color w:val="auto"/>
              </w:rPr>
              <w:t>Payable to affiliate</w:t>
            </w:r>
          </w:p>
        </w:tc>
        <w:tc>
          <w:tcPr>
            <w:tcW w:w="2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767,101</w:t>
            </w:r>
          </w:p>
        </w:tc>
        <w:tc>
          <w:tcPr>
            <w:tcW w:w="140" w:type="dxa"/>
            <w:vAlign w:val="bottom"/>
          </w:tcPr>
          <w:p>
            <w:pPr>
              <w:spacing w:after="0"/>
              <w:rPr>
                <w:sz w:val="12"/>
                <w:szCs w:val="12"/>
                <w:color w:val="auto"/>
              </w:rPr>
            </w:pP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Accounts payable and accrued expenses and other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Borders>
              <w:bottom w:val="single" w:sz="8" w:color="CCEEFF"/>
            </w:tcBorders>
          </w:tcPr>
          <w:p>
            <w:pPr>
              <w:ind w:left="80"/>
              <w:spacing w:after="0" w:line="145" w:lineRule="exact"/>
              <w:rPr>
                <w:sz w:val="20"/>
                <w:szCs w:val="20"/>
                <w:color w:val="auto"/>
              </w:rPr>
            </w:pPr>
            <w:r>
              <w:rPr>
                <w:rFonts w:ascii="Arial" w:cs="Arial" w:eastAsia="Arial" w:hAnsi="Arial"/>
                <w:sz w:val="14"/>
                <w:szCs w:val="14"/>
                <w:color w:val="auto"/>
              </w:rPr>
              <w:t>Tax receivable agreement obligations</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147,040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231,404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shd w:val="clear" w:color="auto" w:fill="CCEEFF"/>
          </w:tcPr>
          <w:p>
            <w:pPr>
              <w:ind w:left="300"/>
              <w:spacing w:after="0" w:line="139" w:lineRule="exact"/>
              <w:rPr>
                <w:sz w:val="20"/>
                <w:szCs w:val="20"/>
                <w:color w:val="auto"/>
              </w:rPr>
            </w:pPr>
            <w:r>
              <w:rPr>
                <w:rFonts w:ascii="Arial" w:cs="Arial" w:eastAsia="Arial" w:hAnsi="Arial"/>
                <w:sz w:val="14"/>
                <w:szCs w:val="14"/>
                <w:color w:val="auto"/>
              </w:rPr>
              <w:t>Total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914,148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231,533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Virtu Financial Inc. Stockholders' equity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tcPr>
          <w:p>
            <w:pPr>
              <w:ind w:left="80"/>
              <w:spacing w:after="0" w:line="127" w:lineRule="exact"/>
              <w:rPr>
                <w:sz w:val="20"/>
                <w:szCs w:val="20"/>
                <w:color w:val="auto"/>
              </w:rPr>
            </w:pPr>
            <w:r>
              <w:rPr>
                <w:rFonts w:ascii="Arial" w:cs="Arial" w:eastAsia="Arial" w:hAnsi="Arial"/>
                <w:sz w:val="14"/>
                <w:szCs w:val="14"/>
                <w:color w:val="auto"/>
              </w:rPr>
              <w:t>Class A-1 — Authorized and Issued — 0 and 0 interests, Outstanding — 0 and 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Arial" w:cs="Arial" w:eastAsia="Arial" w:hAnsi="Arial"/>
                <w:sz w:val="14"/>
                <w:szCs w:val="14"/>
                <w:color w:val="auto"/>
              </w:rPr>
              <w:t>interests, at December 31, 2017 and 2016, respectively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rPr>
              <w:t>Class A-2 — Authorized and Issued — 0 and 0 interests, Outstanding — 0 and 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interests, at December 31, 2017 and 2016, respectively</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tcPr>
          <w:p>
            <w:pPr>
              <w:ind w:left="80"/>
              <w:spacing w:after="0" w:line="127" w:lineRule="exact"/>
              <w:rPr>
                <w:sz w:val="20"/>
                <w:szCs w:val="20"/>
                <w:color w:val="auto"/>
              </w:rPr>
            </w:pPr>
            <w:r>
              <w:rPr>
                <w:rFonts w:ascii="Arial" w:cs="Arial" w:eastAsia="Arial" w:hAnsi="Arial"/>
                <w:sz w:val="14"/>
                <w:szCs w:val="14"/>
                <w:color w:val="auto"/>
              </w:rPr>
              <w:t>Class A common stock (par value $0.00001), Authorized — 1,000,000,000 and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Pr>
          <w:p>
            <w:pPr>
              <w:ind w:left="80"/>
              <w:spacing w:after="0" w:line="145" w:lineRule="exact"/>
              <w:rPr>
                <w:sz w:val="20"/>
                <w:szCs w:val="20"/>
                <w:color w:val="auto"/>
              </w:rPr>
            </w:pPr>
            <w:r>
              <w:rPr>
                <w:rFonts w:ascii="Arial" w:cs="Arial" w:eastAsia="Arial" w:hAnsi="Arial"/>
                <w:sz w:val="14"/>
                <w:szCs w:val="14"/>
                <w:color w:val="auto"/>
                <w:w w:val="97"/>
              </w:rPr>
              <w:t>1,000,000,000 shares, Issued — 90,415,532 and 40,436,580 shares, Outstanding —</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Arial" w:cs="Arial" w:eastAsia="Arial" w:hAnsi="Arial"/>
                <w:sz w:val="14"/>
                <w:szCs w:val="14"/>
                <w:color w:val="auto"/>
              </w:rPr>
              <w:t>89,798,609 and 39,983,514 shares at December 31, 2017 and 2016, respectively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rPr>
              <w:t>Class B common stock (par value $0.00001), Authorized — 175,000,000 and</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5"/>
              </w:rPr>
              <w:t>175,000,000 shares, Issued and Outstanding — 0 and 0 shares at December 31, 2017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and 2016, respectively</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tcPr>
          <w:p>
            <w:pPr>
              <w:ind w:left="80"/>
              <w:spacing w:after="0" w:line="127" w:lineRule="exact"/>
              <w:rPr>
                <w:sz w:val="20"/>
                <w:szCs w:val="20"/>
                <w:color w:val="auto"/>
              </w:rPr>
            </w:pPr>
            <w:r>
              <w:rPr>
                <w:rFonts w:ascii="Arial" w:cs="Arial" w:eastAsia="Arial" w:hAnsi="Arial"/>
                <w:sz w:val="14"/>
                <w:szCs w:val="14"/>
                <w:color w:val="auto"/>
                <w:w w:val="94"/>
              </w:rPr>
              <w:t>Class C common stock (par value $0.00001), Authorized — 90,000,000 and 90,000,000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Pr>
          <w:p>
            <w:pPr>
              <w:ind w:left="80"/>
              <w:spacing w:after="0" w:line="145" w:lineRule="exact"/>
              <w:rPr>
                <w:sz w:val="20"/>
                <w:szCs w:val="20"/>
                <w:color w:val="auto"/>
              </w:rPr>
            </w:pPr>
            <w:r>
              <w:rPr>
                <w:rFonts w:ascii="Arial" w:cs="Arial" w:eastAsia="Arial" w:hAnsi="Arial"/>
                <w:sz w:val="14"/>
                <w:szCs w:val="14"/>
                <w:color w:val="auto"/>
                <w:w w:val="96"/>
              </w:rPr>
              <w:t>shares, Issued — 17,880,239 and 19,810,707 shares, Outstanding — 17,880,239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Arial" w:cs="Arial" w:eastAsia="Arial" w:hAnsi="Arial"/>
                <w:sz w:val="14"/>
                <w:szCs w:val="14"/>
                <w:color w:val="auto"/>
              </w:rPr>
              <w:t>19,810,707, at December 31, 2017 and 2016, respectively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rPr>
              <w:t>Class D common stock (par value $0.00001), Authorized — 175,000,000 and</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6"/>
              </w:rPr>
              <w:t>175,000,000 shares, Issued and Outstanding — 79,610,490 and 79,610,490 shares at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December 31, 2017 and 2016, respectively</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tcPr>
          <w:p>
            <w:pPr>
              <w:ind w:left="80"/>
              <w:spacing w:after="0" w:line="127" w:lineRule="exact"/>
              <w:rPr>
                <w:sz w:val="20"/>
                <w:szCs w:val="20"/>
                <w:color w:val="auto"/>
              </w:rPr>
            </w:pPr>
            <w:r>
              <w:rPr>
                <w:rFonts w:ascii="Arial" w:cs="Arial" w:eastAsia="Arial" w:hAnsi="Arial"/>
                <w:sz w:val="14"/>
                <w:szCs w:val="14"/>
                <w:color w:val="auto"/>
                <w:w w:val="95"/>
              </w:rPr>
              <w:t>Treasury stock, at cost, 616,923 and 453,066 shares at December 31, 2017 and 2016,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240" w:type="dxa"/>
            <w:vAlign w:val="bottom"/>
          </w:tcPr>
          <w:p>
            <w:pPr>
              <w:ind w:left="80"/>
              <w:spacing w:after="0"/>
              <w:rPr>
                <w:sz w:val="20"/>
                <w:szCs w:val="20"/>
                <w:color w:val="auto"/>
              </w:rPr>
            </w:pPr>
            <w:r>
              <w:rPr>
                <w:rFonts w:ascii="Arial" w:cs="Arial" w:eastAsia="Arial" w:hAnsi="Arial"/>
                <w:sz w:val="14"/>
                <w:szCs w:val="14"/>
                <w:color w:val="auto"/>
              </w:rPr>
              <w:t>respectively</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(11,041)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(8,358)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900,746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155,536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tcPr>
          <w:p>
            <w:pPr>
              <w:ind w:left="80"/>
              <w:spacing w:after="0" w:line="145"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(62,129)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5" w:lineRule="exact"/>
              <w:rPr>
                <w:sz w:val="20"/>
                <w:szCs w:val="20"/>
                <w:color w:val="auto"/>
              </w:rPr>
            </w:pPr>
            <w:r>
              <w:rPr>
                <w:rFonts w:ascii="Arial" w:cs="Arial" w:eastAsia="Arial" w:hAnsi="Arial"/>
                <w:sz w:val="14"/>
                <w:szCs w:val="14"/>
                <w:color w:val="auto"/>
              </w:rPr>
              <w:t>(1,254)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Accumulated other comprehensive income (loss)</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2,991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40" w:type="dxa"/>
            <w:vAlign w:val="bottom"/>
          </w:tcPr>
          <w:p>
            <w:pPr>
              <w:spacing w:after="0" w:line="139" w:lineRule="exact"/>
              <w:rPr>
                <w:sz w:val="20"/>
                <w:szCs w:val="20"/>
                <w:color w:val="auto"/>
              </w:rPr>
            </w:pPr>
            <w:r>
              <w:rPr>
                <w:rFonts w:ascii="Arial" w:cs="Arial" w:eastAsia="Arial" w:hAnsi="Arial"/>
                <w:sz w:val="14"/>
                <w:szCs w:val="14"/>
                <w:color w:val="auto"/>
              </w:rPr>
              <w:t>Total Virtu Financial Inc. stockholders' equity</w:t>
            </w:r>
          </w:p>
        </w:tc>
        <w:tc>
          <w:tcPr>
            <w:tcW w:w="200" w:type="dxa"/>
            <w:vAlign w:val="bottom"/>
          </w:tcPr>
          <w:p>
            <w:pPr>
              <w:spacing w:after="0"/>
              <w:rPr>
                <w:sz w:val="12"/>
                <w:szCs w:val="12"/>
                <w:color w:val="auto"/>
              </w:rPr>
            </w:pPr>
          </w:p>
        </w:tc>
        <w:tc>
          <w:tcPr>
            <w:tcW w:w="8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39" w:lineRule="exact"/>
              <w:rPr>
                <w:sz w:val="20"/>
                <w:szCs w:val="20"/>
                <w:color w:val="auto"/>
              </w:rPr>
            </w:pPr>
            <w:r>
              <w:rPr>
                <w:rFonts w:ascii="Arial" w:cs="Arial" w:eastAsia="Arial" w:hAnsi="Arial"/>
                <w:sz w:val="14"/>
                <w:szCs w:val="14"/>
                <w:color w:val="auto"/>
              </w:rPr>
              <w:t>830,569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Pr>
          <w:p>
            <w:pPr>
              <w:jc w:val="right"/>
              <w:spacing w:after="0" w:line="139" w:lineRule="exact"/>
              <w:rPr>
                <w:sz w:val="20"/>
                <w:szCs w:val="20"/>
                <w:color w:val="auto"/>
              </w:rPr>
            </w:pPr>
            <w:r>
              <w:rPr>
                <w:rFonts w:ascii="Arial" w:cs="Arial" w:eastAsia="Arial" w:hAnsi="Arial"/>
                <w:sz w:val="14"/>
                <w:szCs w:val="14"/>
                <w:color w:val="auto"/>
              </w:rPr>
              <w:t>145,673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5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240" w:type="dxa"/>
            <w:vAlign w:val="bottom"/>
          </w:tcPr>
          <w:p>
            <w:pPr>
              <w:spacing w:after="0" w:line="145" w:lineRule="exact"/>
              <w:rPr>
                <w:sz w:val="20"/>
                <w:szCs w:val="20"/>
                <w:color w:val="auto"/>
              </w:rPr>
            </w:pPr>
            <w:r>
              <w:rPr>
                <w:rFonts w:ascii="Arial" w:cs="Arial" w:eastAsia="Arial" w:hAnsi="Arial"/>
                <w:sz w:val="14"/>
                <w:szCs w:val="14"/>
                <w:color w:val="auto"/>
              </w:rPr>
              <w:t>Total liabilities and stockholders' equity</w:t>
            </w:r>
          </w:p>
        </w:tc>
        <w:tc>
          <w:tcPr>
            <w:tcW w:w="2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1,744,717</w:t>
            </w:r>
          </w:p>
        </w:tc>
        <w:tc>
          <w:tcPr>
            <w:tcW w:w="140" w:type="dxa"/>
            <w:vAlign w:val="bottom"/>
          </w:tcPr>
          <w:p>
            <w:pPr>
              <w:spacing w:after="0"/>
              <w:rPr>
                <w:sz w:val="13"/>
                <w:szCs w:val="13"/>
                <w:color w:val="auto"/>
              </w:rPr>
            </w:pPr>
          </w:p>
        </w:tc>
        <w:tc>
          <w:tcPr>
            <w:tcW w:w="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377,206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840" w:type="dxa"/>
            <w:vAlign w:val="bottom"/>
            <w:gridSpan w:val="3"/>
          </w:tcPr>
          <w:p>
            <w:pPr>
              <w:jc w:val="center"/>
              <w:ind w:left="218"/>
              <w:spacing w:after="0"/>
              <w:rPr>
                <w:sz w:val="20"/>
                <w:szCs w:val="20"/>
                <w:color w:val="auto"/>
              </w:rPr>
            </w:pPr>
            <w:r>
              <w:rPr>
                <w:rFonts w:ascii="Arial" w:cs="Arial" w:eastAsia="Arial" w:hAnsi="Arial"/>
                <w:sz w:val="18"/>
                <w:szCs w:val="18"/>
                <w:b w:val="1"/>
                <w:bCs w:val="1"/>
                <w:color w:val="auto"/>
                <w:w w:val="93"/>
              </w:rPr>
              <w:t>Virtu Financial, Inc.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1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(Parent Company Only)</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8"/>
          </w:tcPr>
          <w:p>
            <w:pPr>
              <w:jc w:val="center"/>
              <w:ind w:left="2588"/>
              <w:spacing w:after="0"/>
              <w:rPr>
                <w:sz w:val="20"/>
                <w:szCs w:val="20"/>
                <w:color w:val="auto"/>
              </w:rPr>
            </w:pPr>
            <w:r>
              <w:rPr>
                <w:rFonts w:ascii="Arial" w:cs="Arial" w:eastAsia="Arial" w:hAnsi="Arial"/>
                <w:sz w:val="18"/>
                <w:szCs w:val="18"/>
                <w:b w:val="1"/>
                <w:bCs w:val="1"/>
                <w:color w:val="auto"/>
                <w:w w:val="86"/>
              </w:rPr>
              <w:t>Condensed Statements of Comprehensive Income</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6"/>
          </w:tcPr>
          <w:p>
            <w:pPr>
              <w:jc w:val="right"/>
              <w:ind w:right="9"/>
              <w:spacing w:after="0"/>
              <w:rPr>
                <w:sz w:val="20"/>
                <w:szCs w:val="20"/>
                <w:color w:val="auto"/>
              </w:rPr>
            </w:pPr>
            <w:r>
              <w:rPr>
                <w:rFonts w:ascii="Arial" w:cs="Arial" w:eastAsia="Arial" w:hAnsi="Arial"/>
                <w:sz w:val="14"/>
                <w:szCs w:val="14"/>
                <w:b w:val="1"/>
                <w:bCs w:val="1"/>
                <w:color w:val="auto"/>
              </w:rPr>
              <w:t>For the Years Ended</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6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9"/>
              <w:spacing w:after="0" w:line="139"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89"/>
              <w:spacing w:after="0" w:line="139"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209"/>
              <w:spacing w:after="0" w:line="139" w:lineRule="exact"/>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Revenues:</w:t>
            </w:r>
          </w:p>
        </w:tc>
        <w:tc>
          <w:tcPr>
            <w:tcW w:w="10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Pr>
          <w:p>
            <w:pPr>
              <w:ind w:left="200"/>
              <w:spacing w:after="0" w:line="145" w:lineRule="exact"/>
              <w:rPr>
                <w:sz w:val="20"/>
                <w:szCs w:val="20"/>
                <w:color w:val="auto"/>
              </w:rPr>
            </w:pPr>
            <w:r>
              <w:rPr>
                <w:rFonts w:ascii="Arial" w:cs="Arial" w:eastAsia="Arial" w:hAnsi="Arial"/>
                <w:sz w:val="14"/>
                <w:szCs w:val="14"/>
                <w:color w:val="auto"/>
              </w:rPr>
              <w:t>Service fee revenue</w:t>
            </w:r>
          </w:p>
        </w:tc>
        <w:tc>
          <w:tcPr>
            <w:tcW w:w="1200" w:type="dxa"/>
            <w:vAlign w:val="bottom"/>
            <w:gridSpan w:val="2"/>
          </w:tcPr>
          <w:p>
            <w:pPr>
              <w:jc w:val="center"/>
              <w:ind w:left="878"/>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1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5" w:lineRule="exact"/>
              <w:rPr>
                <w:sz w:val="20"/>
                <w:szCs w:val="20"/>
                <w:color w:val="auto"/>
              </w:rPr>
            </w:pPr>
            <w:r>
              <w:rPr>
                <w:rFonts w:ascii="Arial" w:cs="Arial" w:eastAsia="Arial" w:hAnsi="Arial"/>
                <w:sz w:val="14"/>
                <w:szCs w:val="14"/>
                <w:color w:val="auto"/>
              </w:rPr>
              <w:t>445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Other Income</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86,599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86,599</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rPr>
              <w:t>445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440" w:type="dxa"/>
            <w:vAlign w:val="bottom"/>
          </w:tcPr>
          <w:p>
            <w:pPr>
              <w:spacing w:after="0" w:line="145" w:lineRule="exact"/>
              <w:rPr>
                <w:sz w:val="20"/>
                <w:szCs w:val="20"/>
                <w:color w:val="auto"/>
              </w:rPr>
            </w:pPr>
            <w:r>
              <w:rPr>
                <w:rFonts w:ascii="Arial" w:cs="Arial" w:eastAsia="Arial" w:hAnsi="Arial"/>
                <w:sz w:val="14"/>
                <w:szCs w:val="14"/>
                <w:b w:val="1"/>
                <w:bCs w:val="1"/>
                <w:color w:val="auto"/>
              </w:rPr>
              <w:t>Operating Expenses:</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Operations and administrative</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40" w:type="dxa"/>
            <w:vAlign w:val="bottom"/>
            <w:shd w:val="clear" w:color="auto" w:fill="CCEEFF"/>
          </w:tcPr>
          <w:p>
            <w:pPr>
              <w:ind w:left="200"/>
              <w:spacing w:after="0" w:line="139" w:lineRule="exact"/>
              <w:rPr>
                <w:sz w:val="20"/>
                <w:szCs w:val="20"/>
                <w:color w:val="auto"/>
              </w:rPr>
            </w:pPr>
            <w:r>
              <w:rPr>
                <w:rFonts w:ascii="Arial" w:cs="Arial" w:eastAsia="Arial" w:hAnsi="Arial"/>
                <w:sz w:val="14"/>
                <w:szCs w:val="14"/>
                <w:color w:val="auto"/>
              </w:rPr>
              <w:t>Income (loss) before equity in income of subsidiary</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86,418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Borders>
              <w:bottom w:val="single" w:sz="8" w:color="CCEEFF"/>
            </w:tcBorders>
          </w:tcPr>
          <w:p>
            <w:pPr>
              <w:ind w:left="200"/>
              <w:spacing w:after="0" w:line="145" w:lineRule="exact"/>
              <w:rPr>
                <w:sz w:val="20"/>
                <w:szCs w:val="20"/>
                <w:color w:val="auto"/>
              </w:rPr>
            </w:pPr>
            <w:r>
              <w:rPr>
                <w:rFonts w:ascii="Arial" w:cs="Arial" w:eastAsia="Arial" w:hAnsi="Arial"/>
                <w:sz w:val="14"/>
                <w:szCs w:val="14"/>
                <w:color w:val="auto"/>
              </w:rPr>
              <w:t>Equity in income of subsidiary, net of tax</w:t>
            </w:r>
          </w:p>
        </w:tc>
        <w:tc>
          <w:tcPr>
            <w:tcW w:w="1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(83,479)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33,178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104,036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tcBorders>
              <w:bottom w:val="single" w:sz="8" w:color="CCEEFF"/>
            </w:tcBorders>
            <w:shd w:val="clear" w:color="auto" w:fill="CCEEFF"/>
          </w:tcPr>
          <w:p>
            <w:pPr>
              <w:ind w:left="200"/>
              <w:spacing w:after="0" w:line="139" w:lineRule="exact"/>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center"/>
              <w:ind w:right="29"/>
              <w:spacing w:after="0" w:line="13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2,939</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32,980</w:t>
            </w: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104,034</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tcPr>
          <w:p>
            <w:pPr>
              <w:ind w:left="200"/>
              <w:spacing w:after="0" w:line="132" w:lineRule="exact"/>
              <w:rPr>
                <w:sz w:val="20"/>
                <w:szCs w:val="20"/>
                <w:color w:val="auto"/>
              </w:rPr>
            </w:pPr>
            <w:r>
              <w:rPr>
                <w:rFonts w:ascii="Arial" w:cs="Arial" w:eastAsia="Arial" w:hAnsi="Arial"/>
                <w:sz w:val="14"/>
                <w:szCs w:val="14"/>
                <w:color w:val="auto"/>
              </w:rPr>
              <w:t>Net income attributable to common stockholders</w:t>
            </w: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4"/>
                <w:szCs w:val="14"/>
                <w:color w:val="auto"/>
              </w:rPr>
              <w:t>2,939</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Arial" w:cs="Arial" w:eastAsia="Arial" w:hAnsi="Arial"/>
                <w:sz w:val="14"/>
                <w:szCs w:val="14"/>
                <w:color w:val="auto"/>
              </w:rPr>
              <w:t>32,980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Arial" w:cs="Arial" w:eastAsia="Arial" w:hAnsi="Arial"/>
                <w:sz w:val="14"/>
                <w:szCs w:val="14"/>
                <w:color w:val="auto"/>
              </w:rPr>
              <w:t>20,887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Other comprehensive income (loss):</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40" w:type="dxa"/>
            <w:vAlign w:val="bottom"/>
            <w:tcBorders>
              <w:bottom w:val="single" w:sz="8" w:color="CCEEFF"/>
            </w:tcBorders>
          </w:tcPr>
          <w:p>
            <w:pPr>
              <w:ind w:left="300"/>
              <w:spacing w:after="0" w:line="145" w:lineRule="exact"/>
              <w:rPr>
                <w:sz w:val="20"/>
                <w:szCs w:val="20"/>
                <w:color w:val="auto"/>
              </w:rPr>
            </w:pPr>
            <w:r>
              <w:rPr>
                <w:rFonts w:ascii="Arial" w:cs="Arial" w:eastAsia="Arial" w:hAnsi="Arial"/>
                <w:sz w:val="14"/>
                <w:szCs w:val="14"/>
                <w:color w:val="auto"/>
                <w:w w:val="95"/>
              </w:rPr>
              <w:t>Foreign currency translation adjustment, net of taxes</w:t>
            </w:r>
          </w:p>
        </w:tc>
        <w:tc>
          <w:tcPr>
            <w:tcW w:w="1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3,243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(351)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(4,534)</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440" w:type="dxa"/>
            <w:vAlign w:val="bottom"/>
            <w:tcBorders>
              <w:bottom w:val="single" w:sz="8" w:color="CCEEFF"/>
            </w:tcBorders>
            <w:shd w:val="clear" w:color="auto" w:fill="CCEEFF"/>
          </w:tcPr>
          <w:p>
            <w:pPr>
              <w:ind w:left="200"/>
              <w:spacing w:after="0" w:line="139" w:lineRule="exact"/>
              <w:rPr>
                <w:sz w:val="20"/>
                <w:szCs w:val="20"/>
                <w:color w:val="auto"/>
              </w:rPr>
            </w:pPr>
            <w:r>
              <w:rPr>
                <w:rFonts w:ascii="Arial" w:cs="Arial" w:eastAsia="Arial" w:hAnsi="Arial"/>
                <w:sz w:val="14"/>
                <w:szCs w:val="14"/>
                <w:color w:val="auto"/>
              </w:rPr>
              <w:t>Comprehensive income</w:t>
            </w:r>
          </w:p>
        </w:tc>
        <w:tc>
          <w:tcPr>
            <w:tcW w:w="10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center"/>
              <w:ind w:right="29"/>
              <w:spacing w:after="0" w:line="13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6,182</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32,629</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16,353</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300" w:type="dxa"/>
            <w:vAlign w:val="bottom"/>
            <w:gridSpan w:val="4"/>
          </w:tcPr>
          <w:p>
            <w:pPr>
              <w:jc w:val="center"/>
              <w:ind w:left="3648"/>
              <w:spacing w:after="0"/>
              <w:rPr>
                <w:sz w:val="20"/>
                <w:szCs w:val="20"/>
                <w:color w:val="auto"/>
              </w:rPr>
            </w:pPr>
            <w:r>
              <w:rPr>
                <w:rFonts w:ascii="Arial" w:cs="Arial" w:eastAsia="Arial" w:hAnsi="Arial"/>
                <w:sz w:val="18"/>
                <w:szCs w:val="18"/>
                <w:b w:val="1"/>
                <w:bCs w:val="1"/>
                <w:color w:val="auto"/>
                <w:w w:val="93"/>
              </w:rPr>
              <w:t>Virtu Financial, Inc.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40" w:type="dxa"/>
            <w:vAlign w:val="bottom"/>
            <w:gridSpan w:val="6"/>
          </w:tcPr>
          <w:p>
            <w:pPr>
              <w:jc w:val="center"/>
              <w:ind w:left="3408"/>
              <w:spacing w:after="0"/>
              <w:rPr>
                <w:sz w:val="20"/>
                <w:szCs w:val="20"/>
                <w:color w:val="auto"/>
              </w:rPr>
            </w:pPr>
            <w:r>
              <w:rPr>
                <w:rFonts w:ascii="Arial" w:cs="Arial" w:eastAsia="Arial" w:hAnsi="Arial"/>
                <w:sz w:val="18"/>
                <w:szCs w:val="18"/>
                <w:b w:val="1"/>
                <w:bCs w:val="1"/>
                <w:color w:val="auto"/>
                <w:w w:val="90"/>
              </w:rPr>
              <w:t>(Parent Company Only)</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40" w:type="dxa"/>
            <w:vAlign w:val="bottom"/>
            <w:gridSpan w:val="8"/>
          </w:tcPr>
          <w:p>
            <w:pPr>
              <w:jc w:val="center"/>
              <w:ind w:left="2608"/>
              <w:spacing w:after="0"/>
              <w:rPr>
                <w:sz w:val="20"/>
                <w:szCs w:val="20"/>
                <w:color w:val="auto"/>
              </w:rPr>
            </w:pPr>
            <w:r>
              <w:rPr>
                <w:rFonts w:ascii="Arial" w:cs="Arial" w:eastAsia="Arial" w:hAnsi="Arial"/>
                <w:sz w:val="18"/>
                <w:szCs w:val="18"/>
                <w:b w:val="1"/>
                <w:bCs w:val="1"/>
                <w:color w:val="auto"/>
                <w:w w:val="86"/>
              </w:rPr>
              <w:t>Condensed Statements of Cash Flows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7"/>
          </w:tcPr>
          <w:p>
            <w:pPr>
              <w:jc w:val="center"/>
              <w:ind w:left="389"/>
              <w:spacing w:after="0"/>
              <w:rPr>
                <w:sz w:val="20"/>
                <w:szCs w:val="20"/>
                <w:color w:val="auto"/>
              </w:rPr>
            </w:pPr>
            <w:r>
              <w:rPr>
                <w:rFonts w:ascii="Arial" w:cs="Arial" w:eastAsia="Arial" w:hAnsi="Arial"/>
                <w:sz w:val="14"/>
                <w:szCs w:val="14"/>
                <w:b w:val="1"/>
                <w:bCs w:val="1"/>
                <w:color w:val="auto"/>
                <w:w w:val="91"/>
              </w:rPr>
              <w:t>For the Years Ended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9"/>
              <w:spacing w:after="0" w:line="13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29"/>
              <w:spacing w:after="0" w:line="13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09"/>
              <w:spacing w:after="0" w:line="13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8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80"/>
              <w:spacing w:after="0" w:line="145" w:lineRule="exact"/>
              <w:rPr>
                <w:sz w:val="20"/>
                <w:szCs w:val="20"/>
                <w:color w:val="auto"/>
              </w:rPr>
            </w:pPr>
            <w:r>
              <w:rPr>
                <w:rFonts w:ascii="Arial" w:cs="Arial" w:eastAsia="Arial" w:hAnsi="Arial"/>
                <w:sz w:val="14"/>
                <w:szCs w:val="14"/>
                <w:color w:val="auto"/>
              </w:rPr>
              <w:t>Net income</w:t>
            </w:r>
          </w:p>
        </w:tc>
        <w:tc>
          <w:tcPr>
            <w:tcW w:w="180" w:type="dxa"/>
            <w:vAlign w:val="bottom"/>
          </w:tcPr>
          <w:p>
            <w:pPr>
              <w:jc w:val="right"/>
              <w:ind w:right="29"/>
              <w:spacing w:after="0" w:line="14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2,939</w:t>
            </w:r>
          </w:p>
        </w:tc>
        <w:tc>
          <w:tcPr>
            <w:tcW w:w="100" w:type="dxa"/>
            <w:vAlign w:val="bottom"/>
          </w:tcPr>
          <w:p>
            <w:pPr>
              <w:spacing w:after="0"/>
              <w:rPr>
                <w:sz w:val="12"/>
                <w:szCs w:val="12"/>
                <w:color w:val="auto"/>
              </w:rPr>
            </w:pPr>
          </w:p>
        </w:tc>
        <w:tc>
          <w:tcPr>
            <w:tcW w:w="240" w:type="dxa"/>
            <w:vAlign w:val="bottom"/>
            <w:gridSpan w:val="2"/>
          </w:tcPr>
          <w:p>
            <w:pPr>
              <w:jc w:val="right"/>
              <w:ind w:right="29"/>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32,980</w:t>
            </w:r>
          </w:p>
        </w:tc>
        <w:tc>
          <w:tcPr>
            <w:tcW w:w="160" w:type="dxa"/>
            <w:vAlign w:val="bottom"/>
          </w:tcPr>
          <w:p>
            <w:pPr>
              <w:spacing w:after="0"/>
              <w:rPr>
                <w:sz w:val="12"/>
                <w:szCs w:val="12"/>
                <w:color w:val="auto"/>
              </w:rPr>
            </w:pPr>
          </w:p>
        </w:tc>
        <w:tc>
          <w:tcPr>
            <w:tcW w:w="160" w:type="dxa"/>
            <w:vAlign w:val="bottom"/>
          </w:tcPr>
          <w:p>
            <w:pPr>
              <w:jc w:val="right"/>
              <w:ind w:right="9"/>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104,034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tcPr>
          <w:p>
            <w:pPr>
              <w:ind w:left="80"/>
              <w:spacing w:after="0" w:line="127" w:lineRule="exact"/>
              <w:rPr>
                <w:sz w:val="20"/>
                <w:szCs w:val="20"/>
                <w:color w:val="auto"/>
              </w:rPr>
            </w:pPr>
            <w:r>
              <w:rPr>
                <w:rFonts w:ascii="Arial" w:cs="Arial" w:eastAsia="Arial" w:hAnsi="Arial"/>
                <w:sz w:val="14"/>
                <w:szCs w:val="14"/>
                <w:color w:val="auto"/>
                <w:w w:val="98"/>
              </w:rPr>
              <w:t>Adjustments to reconcile net income to net cash provided by operating</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80" w:type="dxa"/>
            <w:vAlign w:val="bottom"/>
          </w:tcPr>
          <w:p>
            <w:pPr>
              <w:ind w:left="80"/>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Equity in income of subsidiary, net of tax</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(513,601)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157,975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(18,237)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Tax receivable agreement obligation reduction</w:t>
            </w: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(86,599)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Deferred taxes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102,973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13,197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3,392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(8,500)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Changes in operating assets and liabilities:</w:t>
            </w: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(8,832)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(4,012)</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5,900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80" w:type="dxa"/>
            <w:vAlign w:val="bottom"/>
          </w:tcPr>
          <w:p>
            <w:pPr>
              <w:ind w:left="300"/>
              <w:spacing w:after="0" w:line="139" w:lineRule="exact"/>
              <w:rPr>
                <w:sz w:val="20"/>
                <w:szCs w:val="20"/>
                <w:color w:val="auto"/>
              </w:rPr>
            </w:pPr>
            <w:r>
              <w:rPr>
                <w:rFonts w:ascii="Arial" w:cs="Arial" w:eastAsia="Arial" w:hAnsi="Arial"/>
                <w:sz w:val="14"/>
                <w:szCs w:val="14"/>
                <w:color w:val="auto"/>
              </w:rPr>
              <w:t>Net cash provided by (used in) operating activities</w:t>
            </w:r>
          </w:p>
        </w:tc>
        <w:tc>
          <w:tcPr>
            <w:tcW w:w="1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4"/>
                <w:szCs w:val="14"/>
                <w:color w:val="auto"/>
              </w:rPr>
              <w:t>(511,620)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4"/>
                <w:szCs w:val="14"/>
                <w:color w:val="auto"/>
              </w:rPr>
              <w:t>200,140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color w:val="auto"/>
              </w:rPr>
              <w:t>95,089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380" w:type="dxa"/>
            <w:vAlign w:val="bottom"/>
          </w:tcPr>
          <w:p>
            <w:pPr>
              <w:spacing w:after="0" w:line="145"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shd w:val="clear" w:color="auto" w:fill="CCEEFF"/>
          </w:tcPr>
          <w:p>
            <w:pPr>
              <w:ind w:left="200"/>
              <w:spacing w:after="0" w:line="127" w:lineRule="exact"/>
              <w:rPr>
                <w:sz w:val="20"/>
                <w:szCs w:val="20"/>
                <w:color w:val="auto"/>
              </w:rPr>
            </w:pPr>
            <w:r>
              <w:rPr>
                <w:rFonts w:ascii="Arial" w:cs="Arial" w:eastAsia="Arial" w:hAnsi="Arial"/>
                <w:sz w:val="14"/>
                <w:szCs w:val="14"/>
                <w:color w:val="auto"/>
                <w:w w:val="97"/>
              </w:rPr>
              <w:t>Acquisition of KCG Holdings, net of cash acquired, described in Note</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(23,908)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Borders>
              <w:bottom w:val="single" w:sz="8" w:color="CCEEFF"/>
            </w:tcBorders>
          </w:tcPr>
          <w:p>
            <w:pPr>
              <w:ind w:left="200"/>
              <w:spacing w:after="0" w:line="145" w:lineRule="exact"/>
              <w:rPr>
                <w:sz w:val="20"/>
                <w:szCs w:val="20"/>
                <w:color w:val="auto"/>
              </w:rPr>
            </w:pPr>
            <w:r>
              <w:rPr>
                <w:rFonts w:ascii="Arial" w:cs="Arial" w:eastAsia="Arial" w:hAnsi="Arial"/>
                <w:sz w:val="14"/>
                <w:szCs w:val="14"/>
                <w:color w:val="auto"/>
              </w:rPr>
              <w:t>Investments in subsidiaries, equity basis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16,846</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24,893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64,624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80" w:type="dxa"/>
            <w:vAlign w:val="bottom"/>
            <w:shd w:val="clear" w:color="auto" w:fill="CCEEFF"/>
          </w:tcPr>
          <w:p>
            <w:pPr>
              <w:ind w:left="300"/>
              <w:spacing w:after="0" w:line="139" w:lineRule="exact"/>
              <w:rPr>
                <w:sz w:val="20"/>
                <w:szCs w:val="20"/>
                <w:color w:val="auto"/>
              </w:rPr>
            </w:pPr>
            <w:r>
              <w:rPr>
                <w:rFonts w:ascii="Arial" w:cs="Arial" w:eastAsia="Arial" w:hAnsi="Arial"/>
                <w:sz w:val="14"/>
                <w:szCs w:val="14"/>
                <w:color w:val="auto"/>
              </w:rPr>
              <w:t>Net cash provided by (used in) investing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(7,062)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24,893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64,624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Distribution to members</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(130,000)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Distribution from Virtu Financial to non-controlling interest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(89,563)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(162,969)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(81,377)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Dividends</w:t>
            </w: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(63,814)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(37,759)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(17,362)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Payments on repurchase of non-voting common interest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(11,143)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(2,097)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Repurchase of Class C common stock</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(98)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Purchase of treasury stock</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(2,683)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(4,539)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(3,819)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Tax receivable agreement obligations</w:t>
            </w: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(7,045)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200"/>
              <w:spacing w:after="0" w:line="145" w:lineRule="exact"/>
              <w:rPr>
                <w:sz w:val="20"/>
                <w:szCs w:val="20"/>
                <w:color w:val="auto"/>
              </w:rPr>
            </w:pPr>
            <w:r>
              <w:rPr>
                <w:rFonts w:ascii="Arial" w:cs="Arial" w:eastAsia="Arial" w:hAnsi="Arial"/>
                <w:sz w:val="14"/>
                <w:szCs w:val="14"/>
                <w:color w:val="auto"/>
              </w:rPr>
              <w:t>Issuance of common stock, net of offering costs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735,974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327,366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tcPr>
          <w:p>
            <w:pPr>
              <w:ind w:left="200"/>
              <w:spacing w:after="0" w:line="127" w:lineRule="exact"/>
              <w:rPr>
                <w:sz w:val="20"/>
                <w:szCs w:val="20"/>
                <w:color w:val="auto"/>
              </w:rPr>
            </w:pPr>
            <w:r>
              <w:rPr>
                <w:rFonts w:ascii="Arial" w:cs="Arial" w:eastAsia="Arial" w:hAnsi="Arial"/>
                <w:sz w:val="14"/>
                <w:szCs w:val="14"/>
                <w:color w:val="auto"/>
              </w:rPr>
              <w:t>Repurchase of Virtu Financial Units and</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w w:val="95"/>
              </w:rPr>
              <w:t>corresponding number of Class A and C common stock in connections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80" w:type="dxa"/>
            <w:vAlign w:val="bottom"/>
          </w:tcPr>
          <w:p>
            <w:pPr>
              <w:ind w:left="200"/>
              <w:spacing w:after="0"/>
              <w:rPr>
                <w:sz w:val="20"/>
                <w:szCs w:val="20"/>
                <w:color w:val="auto"/>
              </w:rPr>
            </w:pPr>
            <w:r>
              <w:rPr>
                <w:rFonts w:ascii="Arial" w:cs="Arial" w:eastAsia="Arial" w:hAnsi="Arial"/>
                <w:sz w:val="14"/>
                <w:szCs w:val="14"/>
                <w:color w:val="auto"/>
              </w:rPr>
              <w:t>with IPO</w:t>
            </w: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(277,153)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shd w:val="clear" w:color="auto" w:fill="CCEEFF"/>
          </w:tcPr>
          <w:p>
            <w:pPr>
              <w:ind w:left="200"/>
              <w:spacing w:after="0" w:line="127" w:lineRule="exact"/>
              <w:rPr>
                <w:sz w:val="20"/>
                <w:szCs w:val="20"/>
                <w:color w:val="auto"/>
              </w:rPr>
            </w:pPr>
            <w:r>
              <w:rPr>
                <w:rFonts w:ascii="Arial" w:cs="Arial" w:eastAsia="Arial" w:hAnsi="Arial"/>
                <w:sz w:val="14"/>
                <w:szCs w:val="14"/>
                <w:color w:val="auto"/>
                <w:w w:val="97"/>
              </w:rPr>
              <w:t>Issuance of common stock in connection with secondary offering, net</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 offering costs</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16,677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tcPr>
          <w:p>
            <w:pPr>
              <w:ind w:left="200"/>
              <w:spacing w:after="0" w:line="127" w:lineRule="exact"/>
              <w:rPr>
                <w:sz w:val="20"/>
                <w:szCs w:val="20"/>
                <w:color w:val="auto"/>
              </w:rPr>
            </w:pPr>
            <w:r>
              <w:rPr>
                <w:rFonts w:ascii="Arial" w:cs="Arial" w:eastAsia="Arial" w:hAnsi="Arial"/>
                <w:sz w:val="14"/>
                <w:szCs w:val="14"/>
                <w:color w:val="auto"/>
              </w:rPr>
              <w:t>Repurchase of Virtu Financial Units and corresponding number of</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80" w:type="dxa"/>
            <w:vAlign w:val="bottom"/>
          </w:tcPr>
          <w:p>
            <w:pPr>
              <w:ind w:left="200"/>
              <w:spacing w:after="0"/>
              <w:rPr>
                <w:sz w:val="20"/>
                <w:szCs w:val="20"/>
                <w:color w:val="auto"/>
              </w:rPr>
            </w:pPr>
            <w:r>
              <w:rPr>
                <w:rFonts w:ascii="Arial" w:cs="Arial" w:eastAsia="Arial" w:hAnsi="Arial"/>
                <w:sz w:val="14"/>
                <w:szCs w:val="14"/>
                <w:color w:val="auto"/>
              </w:rPr>
              <w:t>Class C common stock in connection with secondary offering</w:t>
            </w: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(17,383)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80" w:type="dxa"/>
            <w:vAlign w:val="bottom"/>
            <w:tcBorders>
              <w:top w:val="single" w:sz="8" w:color="CCEEFF"/>
            </w:tcBorders>
            <w:shd w:val="clear" w:color="auto" w:fill="CCEEFF"/>
          </w:tcPr>
          <w:p>
            <w:pPr>
              <w:ind w:left="300"/>
              <w:spacing w:after="0" w:line="139" w:lineRule="exact"/>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Borders>
              <w:top w:val="single" w:sz="8" w:color="auto"/>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561,726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(208,071)</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(185,465)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Net increase (decrease) in Cash</w:t>
            </w:r>
          </w:p>
        </w:tc>
        <w:tc>
          <w:tcPr>
            <w:tcW w:w="180" w:type="dxa"/>
            <w:vAlign w:val="bottom"/>
            <w:shd w:val="clear" w:color="auto" w:fill="CCEEFF"/>
          </w:tcPr>
          <w:p>
            <w:pPr>
              <w:jc w:val="right"/>
              <w:ind w:right="29"/>
              <w:spacing w:after="0" w:line="145"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43,044</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9"/>
              <w:spacing w:after="0" w:line="145"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16,962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9"/>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(25,752)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Cash, beginning of period</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17,149</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25,939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Cash, end of period</w:t>
            </w:r>
          </w:p>
        </w:tc>
        <w:tc>
          <w:tcPr>
            <w:tcW w:w="180" w:type="dxa"/>
            <w:vAlign w:val="bottom"/>
            <w:tcBorders>
              <w:bottom w:val="single" w:sz="8" w:color="auto"/>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60,193</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9"/>
              <w:spacing w:after="0" w:line="13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17,149</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
              <w:spacing w:after="0" w:line="139"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187</w:t>
            </w: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80" w:type="dxa"/>
            <w:vAlign w:val="bottom"/>
          </w:tcPr>
          <w:p>
            <w:pPr>
              <w:ind w:left="80"/>
              <w:spacing w:after="0" w:line="145" w:lineRule="exact"/>
              <w:rPr>
                <w:sz w:val="20"/>
                <w:szCs w:val="20"/>
                <w:color w:val="auto"/>
              </w:rPr>
            </w:pPr>
            <w:r>
              <w:rPr>
                <w:rFonts w:ascii="Arial" w:cs="Arial" w:eastAsia="Arial" w:hAnsi="Arial"/>
                <w:sz w:val="14"/>
                <w:szCs w:val="14"/>
                <w:color w:val="auto"/>
              </w:rPr>
              <w:t>Taxes paid</w:t>
            </w:r>
          </w:p>
        </w:tc>
        <w:tc>
          <w:tcPr>
            <w:tcW w:w="180" w:type="dxa"/>
            <w:vAlign w:val="bottom"/>
          </w:tcPr>
          <w:p>
            <w:pPr>
              <w:jc w:val="right"/>
              <w:ind w:right="29"/>
              <w:spacing w:after="0" w:line="145"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133</w:t>
            </w:r>
          </w:p>
        </w:tc>
        <w:tc>
          <w:tcPr>
            <w:tcW w:w="100" w:type="dxa"/>
            <w:vAlign w:val="bottom"/>
          </w:tcPr>
          <w:p>
            <w:pPr>
              <w:spacing w:after="0"/>
              <w:rPr>
                <w:sz w:val="13"/>
                <w:szCs w:val="13"/>
                <w:color w:val="auto"/>
              </w:rPr>
            </w:pPr>
          </w:p>
        </w:tc>
        <w:tc>
          <w:tcPr>
            <w:tcW w:w="240" w:type="dxa"/>
            <w:vAlign w:val="bottom"/>
            <w:gridSpan w:val="2"/>
          </w:tcPr>
          <w:p>
            <w:pPr>
              <w:jc w:val="right"/>
              <w:ind w:right="29"/>
              <w:spacing w:after="0" w:line="14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5" w:lineRule="exact"/>
              <w:rPr>
                <w:sz w:val="20"/>
                <w:szCs w:val="20"/>
                <w:color w:val="auto"/>
              </w:rPr>
            </w:pPr>
            <w:r>
              <w:rPr>
                <w:rFonts w:ascii="Arial" w:cs="Arial" w:eastAsia="Arial" w:hAnsi="Arial"/>
                <w:sz w:val="14"/>
                <w:szCs w:val="14"/>
                <w:color w:val="auto"/>
              </w:rPr>
              <w:t>8,813</w:t>
            </w:r>
          </w:p>
        </w:tc>
        <w:tc>
          <w:tcPr>
            <w:tcW w:w="160" w:type="dxa"/>
            <w:vAlign w:val="bottom"/>
          </w:tcPr>
          <w:p>
            <w:pPr>
              <w:spacing w:after="0"/>
              <w:rPr>
                <w:sz w:val="13"/>
                <w:szCs w:val="13"/>
                <w:color w:val="auto"/>
              </w:rPr>
            </w:pPr>
          </w:p>
        </w:tc>
        <w:tc>
          <w:tcPr>
            <w:tcW w:w="160" w:type="dxa"/>
            <w:vAlign w:val="bottom"/>
          </w:tcPr>
          <w:p>
            <w:pPr>
              <w:jc w:val="right"/>
              <w:ind w:right="9"/>
              <w:spacing w:after="0" w:line="14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5,615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3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4380" w:type="dxa"/>
            <w:vAlign w:val="bottom"/>
          </w:tcPr>
          <w:p>
            <w:pPr>
              <w:spacing w:after="0" w:line="145" w:lineRule="exact"/>
              <w:rPr>
                <w:sz w:val="20"/>
                <w:szCs w:val="20"/>
                <w:color w:val="auto"/>
              </w:rPr>
            </w:pPr>
            <w:r>
              <w:rPr>
                <w:rFonts w:ascii="Arial" w:cs="Arial" w:eastAsia="Arial" w:hAnsi="Arial"/>
                <w:sz w:val="14"/>
                <w:szCs w:val="14"/>
                <w:b w:val="1"/>
                <w:bCs w:val="1"/>
                <w:color w:val="auto"/>
              </w:rPr>
              <w:t>Non-cash financing activities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Tax receivable agreement described in Note 6</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1,534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(21,854)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tcPr>
          <w:p>
            <w:pPr>
              <w:ind w:left="80"/>
              <w:spacing w:after="0"/>
              <w:rPr>
                <w:sz w:val="20"/>
                <w:szCs w:val="20"/>
                <w:color w:val="auto"/>
              </w:rPr>
            </w:pPr>
            <w:r>
              <w:rPr>
                <w:rFonts w:ascii="Arial" w:cs="Arial" w:eastAsia="Arial" w:hAnsi="Arial"/>
                <w:sz w:val="14"/>
                <w:szCs w:val="14"/>
                <w:color w:val="auto"/>
              </w:rPr>
              <w:t>Secondary offerings described in Note 15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09" w:lineRule="exact"/>
        <w:rPr>
          <w:sz w:val="20"/>
          <w:szCs w:val="20"/>
          <w:color w:val="auto"/>
        </w:rPr>
      </w:pPr>
    </w:p>
    <w:p>
      <w:pPr>
        <w:ind w:right="120" w:firstLine="635"/>
        <w:spacing w:after="0" w:line="254" w:lineRule="auto"/>
        <w:rPr>
          <w:sz w:val="20"/>
          <w:szCs w:val="20"/>
          <w:color w:val="auto"/>
        </w:rPr>
      </w:pPr>
      <w:r>
        <w:rPr>
          <w:rFonts w:ascii="Arial" w:cs="Arial" w:eastAsia="Arial" w:hAnsi="Arial"/>
          <w:sz w:val="18"/>
          <w:szCs w:val="18"/>
          <w:color w:val="auto"/>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w:t>
      </w:r>
    </w:p>
    <w:p>
      <w:pPr>
        <w:spacing w:after="0" w:line="189" w:lineRule="exact"/>
        <w:rPr>
          <w:sz w:val="20"/>
          <w:szCs w:val="20"/>
          <w:color w:val="auto"/>
        </w:rPr>
      </w:pPr>
    </w:p>
    <w:p>
      <w:pPr>
        <w:ind w:right="20" w:firstLine="635"/>
        <w:spacing w:after="0" w:line="249" w:lineRule="auto"/>
        <w:rPr>
          <w:sz w:val="20"/>
          <w:szCs w:val="20"/>
          <w:color w:val="auto"/>
        </w:rPr>
      </w:pPr>
      <w:r>
        <w:rPr>
          <w:rFonts w:ascii="Arial" w:cs="Arial" w:eastAsia="Arial" w:hAnsi="Arial"/>
          <w:sz w:val="18"/>
          <w:szCs w:val="18"/>
          <w:color w:val="auto"/>
        </w:rPr>
        <w:t>On January 2, 2018, the Company completed the sale of its BondPoint business to ICE for total gross proceeds of $400 million. The Company used the after-tax net proceeds to prepay $250.0 million of principal under its Fourth Amended and Restated Credit Agreement. Concurrently with the closing of the sale of BondPoint, on January 8, 2018, the Company entered into a refinancing transaction to reprice its senior secured term loan at LIBOR plus 3.25%, along with additional principal repayment of $26.0 million. Following the refinancing the transaction, the total principal outstanding under the senior secured facility is $624 million.</w:t>
      </w:r>
    </w:p>
    <w:p>
      <w:pPr>
        <w:spacing w:after="0" w:line="193" w:lineRule="exact"/>
        <w:rPr>
          <w:sz w:val="20"/>
          <w:szCs w:val="20"/>
          <w:color w:val="auto"/>
        </w:rPr>
      </w:pPr>
    </w:p>
    <w:p>
      <w:pPr>
        <w:ind w:firstLine="635"/>
        <w:spacing w:after="0" w:line="293" w:lineRule="auto"/>
        <w:rPr>
          <w:sz w:val="20"/>
          <w:szCs w:val="20"/>
          <w:color w:val="auto"/>
        </w:rPr>
      </w:pPr>
      <w:r>
        <w:rPr>
          <w:rFonts w:ascii="Arial" w:cs="Arial" w:eastAsia="Arial" w:hAnsi="Arial"/>
          <w:sz w:val="17"/>
          <w:szCs w:val="17"/>
          <w:color w:val="auto"/>
        </w:rPr>
        <w:t>The following table contains information about the Company’s purchases of its Class A common stock during the period from January 1, 2018 to the date of this report (in thousands, except average price paid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4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Shares Purchased as</w:t>
            </w:r>
          </w:p>
        </w:tc>
        <w:tc>
          <w:tcPr>
            <w:tcW w:w="340" w:type="dxa"/>
            <w:vAlign w:val="bottom"/>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Total Number of</w:t>
            </w:r>
          </w:p>
        </w:tc>
        <w:tc>
          <w:tcPr>
            <w:tcW w:w="580" w:type="dxa"/>
            <w:vAlign w:val="bottom"/>
          </w:tcPr>
          <w:p>
            <w:pPr>
              <w:spacing w:after="0"/>
              <w:rPr>
                <w:sz w:val="12"/>
                <w:szCs w:val="12"/>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Average Price Paid</w:t>
            </w: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Part of Publicly</w:t>
            </w:r>
          </w:p>
        </w:tc>
        <w:tc>
          <w:tcPr>
            <w:tcW w:w="340" w:type="dxa"/>
            <w:vAlign w:val="bottom"/>
          </w:tcPr>
          <w:p>
            <w:pPr>
              <w:spacing w:after="0"/>
              <w:rPr>
                <w:sz w:val="12"/>
                <w:szCs w:val="12"/>
                <w:color w:val="auto"/>
              </w:rPr>
            </w:pP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13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Announced Plans or</w:t>
            </w:r>
          </w:p>
        </w:tc>
        <w:tc>
          <w:tcPr>
            <w:tcW w:w="340" w:type="dxa"/>
            <w:vAlign w:val="bottom"/>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b w:val="1"/>
                <w:bCs w:val="1"/>
                <w:color w:val="auto"/>
                <w:w w:val="96"/>
              </w:rPr>
              <w:t>Shares Purchased</w:t>
            </w:r>
          </w:p>
        </w:tc>
        <w:tc>
          <w:tcPr>
            <w:tcW w:w="5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3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Plans or Programs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2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4"/>
                <w:szCs w:val="14"/>
                <w:color w:val="auto"/>
              </w:rPr>
              <w:t>January 1, 2018 - January 31, 2018</w:t>
            </w:r>
          </w:p>
        </w:tc>
        <w:tc>
          <w:tcPr>
            <w:tcW w:w="1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Common stock repurchases</w:t>
            </w:r>
          </w:p>
        </w:tc>
        <w:tc>
          <w:tcPr>
            <w:tcW w:w="13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600" w:type="dxa"/>
            <w:vAlign w:val="bottom"/>
            <w:gridSpan w:val="2"/>
          </w:tcPr>
          <w:p>
            <w:pPr>
              <w:jc w:val="right"/>
              <w:ind w:right="340"/>
              <w:spacing w:after="0" w:line="145"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480" w:type="dxa"/>
            <w:vAlign w:val="bottom"/>
            <w:gridSpan w:val="2"/>
          </w:tcPr>
          <w:p>
            <w:pPr>
              <w:spacing w:after="0" w:line="145" w:lineRule="exact"/>
              <w:rPr>
                <w:sz w:val="20"/>
                <w:szCs w:val="20"/>
                <w:color w:val="auto"/>
              </w:rPr>
            </w:pPr>
            <w:r>
              <w:rPr>
                <w:rFonts w:ascii="Arial" w:cs="Arial" w:eastAsia="Arial" w:hAnsi="Arial"/>
                <w:sz w:val="14"/>
                <w:szCs w:val="14"/>
                <w:color w:val="auto"/>
              </w:rPr>
              <w:t>February 1, 2018 - February 28, 2018</w:t>
            </w: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4"/>
                <w:szCs w:val="14"/>
                <w:color w:val="auto"/>
              </w:rPr>
              <w:t>Common stock repurchases</w:t>
            </w:r>
          </w:p>
        </w:tc>
        <w:tc>
          <w:tcPr>
            <w:tcW w:w="13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375,000</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29.27</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375,000</w:t>
            </w:r>
          </w:p>
        </w:tc>
        <w:tc>
          <w:tcPr>
            <w:tcW w:w="16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39,023,750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4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March 1, 2018 - March 13, 2018</w:t>
            </w:r>
          </w:p>
        </w:tc>
        <w:tc>
          <w:tcPr>
            <w:tcW w:w="1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gridSpan w:val="2"/>
          </w:tcPr>
          <w:p>
            <w:pPr>
              <w:ind w:left="80"/>
              <w:spacing w:after="0" w:line="145" w:lineRule="exact"/>
              <w:rPr>
                <w:sz w:val="20"/>
                <w:szCs w:val="20"/>
                <w:color w:val="auto"/>
              </w:rPr>
            </w:pPr>
            <w:r>
              <w:rPr>
                <w:rFonts w:ascii="Arial" w:cs="Arial" w:eastAsia="Arial" w:hAnsi="Arial"/>
                <w:sz w:val="14"/>
                <w:szCs w:val="14"/>
                <w:color w:val="auto"/>
              </w:rPr>
              <w:t>Common stock repurchases</w:t>
            </w:r>
          </w:p>
        </w:tc>
        <w:tc>
          <w:tcPr>
            <w:tcW w:w="13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600" w:type="dxa"/>
            <w:vAlign w:val="bottom"/>
            <w:gridSpan w:val="2"/>
          </w:tcPr>
          <w:p>
            <w:pPr>
              <w:jc w:val="right"/>
              <w:ind w:right="340"/>
              <w:spacing w:after="0" w:line="145"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39,023,750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480" w:type="dxa"/>
            <w:vAlign w:val="bottom"/>
            <w:tcBorders>
              <w:bottom w:val="single" w:sz="8" w:color="CCEEFF"/>
            </w:tcBorders>
            <w:gridSpan w:val="2"/>
          </w:tcPr>
          <w:p>
            <w:pPr>
              <w:spacing w:after="0" w:line="145" w:lineRule="exact"/>
              <w:rPr>
                <w:sz w:val="20"/>
                <w:szCs w:val="20"/>
                <w:color w:val="auto"/>
              </w:rPr>
            </w:pPr>
            <w:r>
              <w:rPr>
                <w:rFonts w:ascii="Arial" w:cs="Arial" w:eastAsia="Arial" w:hAnsi="Arial"/>
                <w:sz w:val="14"/>
                <w:szCs w:val="14"/>
                <w:color w:val="auto"/>
              </w:rPr>
              <w:t>Total</w:t>
            </w:r>
          </w:p>
        </w:tc>
        <w:tc>
          <w:tcPr>
            <w:tcW w:w="1320" w:type="dxa"/>
            <w:vAlign w:val="bottom"/>
            <w:tcBorders>
              <w:bottom w:val="single" w:sz="8" w:color="auto"/>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80" w:type="dxa"/>
            <w:vAlign w:val="bottom"/>
            <w:tcBorders>
              <w:bottom w:val="single" w:sz="8" w:color="CCEEFF"/>
            </w:tcBorders>
            <w:gridSpan w:val="2"/>
            <w:shd w:val="clear" w:color="auto" w:fill="CCEEFF"/>
          </w:tcPr>
          <w:p>
            <w:pPr>
              <w:ind w:left="80"/>
              <w:spacing w:after="0" w:line="139" w:lineRule="exact"/>
              <w:rPr>
                <w:sz w:val="20"/>
                <w:szCs w:val="20"/>
                <w:color w:val="auto"/>
              </w:rPr>
            </w:pPr>
            <w:r>
              <w:rPr>
                <w:rFonts w:ascii="Arial" w:cs="Arial" w:eastAsia="Arial" w:hAnsi="Arial"/>
                <w:sz w:val="14"/>
                <w:szCs w:val="14"/>
                <w:color w:val="auto"/>
              </w:rPr>
              <w:t>Common stock repurchases</w:t>
            </w:r>
          </w:p>
        </w:tc>
        <w:tc>
          <w:tcPr>
            <w:tcW w:w="13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375,000</w:t>
            </w:r>
          </w:p>
        </w:tc>
        <w:tc>
          <w:tcPr>
            <w:tcW w:w="5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29.27</w:t>
            </w: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375,000</w:t>
            </w:r>
          </w:p>
        </w:tc>
        <w:tc>
          <w:tcPr>
            <w:tcW w:w="164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39,023,750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14363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40" w:right="20" w:hanging="322"/>
        <w:spacing w:after="0" w:line="265" w:lineRule="auto"/>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February 8, 2018, the Company’s board of directors authorized a new share repurchase program of up to $50.0 million in Class A common stock and common units by March 31, 2019.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w:t>
      </w:r>
    </w:p>
    <w:p>
      <w:pPr>
        <w:spacing w:after="0" w:line="394" w:lineRule="exact"/>
        <w:rPr>
          <w:sz w:val="20"/>
          <w:szCs w:val="20"/>
          <w:color w:val="auto"/>
        </w:rPr>
      </w:pPr>
    </w:p>
    <w:p>
      <w:pPr>
        <w:ind w:right="220" w:firstLine="635"/>
        <w:spacing w:after="0" w:line="254" w:lineRule="auto"/>
        <w:rPr>
          <w:sz w:val="20"/>
          <w:szCs w:val="20"/>
          <w:color w:val="auto"/>
        </w:rPr>
      </w:pPr>
      <w:r>
        <w:rPr>
          <w:rFonts w:ascii="Arial" w:cs="Arial" w:eastAsia="Arial" w:hAnsi="Arial"/>
          <w:sz w:val="18"/>
          <w:szCs w:val="18"/>
          <w:color w:val="auto"/>
        </w:rPr>
        <w:t>On February 8, 2018, the Company’s board of directors declared a dividend of $0.24 per share of Class A common stock and Class B common stock and per Restricted Stock Unit that will be paid on March 15, 2018 to holders of record as of March 1, 2018.</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SUPPLEMENTAL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Quarterly Results of Operations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color w:val="auto"/>
                <w:w w:val="92"/>
              </w:rPr>
              <w:t>For the Three Months Ended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ind w:right="30"/>
              <w:spacing w:after="0" w:line="120" w:lineRule="exact"/>
              <w:rPr>
                <w:sz w:val="20"/>
                <w:szCs w:val="20"/>
                <w:color w:val="auto"/>
              </w:rPr>
            </w:pPr>
            <w:r>
              <w:rPr>
                <w:rFonts w:ascii="Arial" w:cs="Arial" w:eastAsia="Arial" w:hAnsi="Arial"/>
                <w:sz w:val="13"/>
                <w:szCs w:val="13"/>
                <w:color w:val="auto"/>
              </w:rPr>
              <w:t>March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3"/>
                <w:szCs w:val="13"/>
                <w:color w:val="auto"/>
                <w:w w:val="94"/>
              </w:rPr>
              <w:t>September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3"/>
                <w:szCs w:val="13"/>
                <w:color w:val="auto"/>
                <w:w w:val="95"/>
              </w:rPr>
              <w:t>December 31,</w:t>
            </w:r>
          </w:p>
        </w:tc>
        <w:tc>
          <w:tcPr>
            <w:tcW w:w="0" w:type="dxa"/>
            <w:vAlign w:val="bottom"/>
          </w:tcPr>
          <w:p>
            <w:pPr>
              <w:spacing w:after="0"/>
              <w:rPr>
                <w:sz w:val="1"/>
                <w:szCs w:val="1"/>
                <w:color w:val="auto"/>
              </w:rPr>
            </w:pPr>
          </w:p>
        </w:tc>
      </w:tr>
      <w:tr>
        <w:trPr>
          <w:trHeight w:val="164"/>
        </w:trPr>
        <w:tc>
          <w:tcPr>
            <w:tcW w:w="3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June 30,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30, 2017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revenue</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147,287</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144,888</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271,286</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464,521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123,405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139,696</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317,781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333,936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23,882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5,192</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(46,495)</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130,585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line="132" w:lineRule="exact"/>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2" w:lineRule="exact"/>
              <w:rPr>
                <w:sz w:val="20"/>
                <w:szCs w:val="20"/>
                <w:color w:val="auto"/>
              </w:rPr>
            </w:pPr>
            <w:r>
              <w:rPr>
                <w:rFonts w:ascii="Arial" w:cs="Arial" w:eastAsia="Arial" w:hAnsi="Arial"/>
                <w:sz w:val="14"/>
                <w:szCs w:val="14"/>
                <w:color w:val="auto"/>
              </w:rPr>
              <w:t>21,074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2" w:lineRule="exact"/>
              <w:rPr>
                <w:sz w:val="20"/>
                <w:szCs w:val="20"/>
                <w:color w:val="auto"/>
              </w:rPr>
            </w:pPr>
            <w:r>
              <w:rPr>
                <w:rFonts w:ascii="Arial" w:cs="Arial" w:eastAsia="Arial" w:hAnsi="Arial"/>
                <w:sz w:val="14"/>
                <w:szCs w:val="14"/>
                <w:color w:val="auto"/>
              </w:rPr>
              <w:t>4,413</w:t>
            </w:r>
          </w:p>
        </w:tc>
        <w:tc>
          <w:tcPr>
            <w:tcW w:w="60" w:type="dxa"/>
            <w:vAlign w:val="bottom"/>
          </w:tcPr>
          <w:p>
            <w:pPr>
              <w:spacing w:after="0"/>
              <w:rPr>
                <w:sz w:val="11"/>
                <w:szCs w:val="11"/>
                <w:color w:val="auto"/>
              </w:rPr>
            </w:pPr>
          </w:p>
        </w:tc>
        <w:tc>
          <w:tcPr>
            <w:tcW w:w="80" w:type="dxa"/>
            <w:vAlign w:val="bottom"/>
          </w:tcPr>
          <w:p>
            <w:pPr>
              <w:jc w:val="right"/>
              <w:spacing w:after="0" w:line="13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32" w:lineRule="exact"/>
              <w:rPr>
                <w:sz w:val="20"/>
                <w:szCs w:val="20"/>
                <w:color w:val="auto"/>
              </w:rPr>
            </w:pPr>
            <w:r>
              <w:rPr>
                <w:rFonts w:ascii="Arial" w:cs="Arial" w:eastAsia="Arial" w:hAnsi="Arial"/>
                <w:sz w:val="14"/>
                <w:szCs w:val="14"/>
                <w:color w:val="auto"/>
              </w:rPr>
              <w:t>(39,990)</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2" w:lineRule="exact"/>
              <w:rPr>
                <w:sz w:val="20"/>
                <w:szCs w:val="20"/>
                <w:color w:val="auto"/>
              </w:rPr>
            </w:pPr>
            <w:r>
              <w:rPr>
                <w:rFonts w:ascii="Arial" w:cs="Arial" w:eastAsia="Arial" w:hAnsi="Arial"/>
                <w:sz w:val="14"/>
                <w:szCs w:val="14"/>
                <w:color w:val="auto"/>
              </w:rPr>
              <w:t>33,401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38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rPr>
              <w:t>Less: net income (loss) attributable to noncontrolling</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interests</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16,494</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3,512</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(26,472)</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22,425</w:t>
            </w: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line="139" w:lineRule="exact"/>
              <w:rPr>
                <w:sz w:val="20"/>
                <w:szCs w:val="20"/>
                <w:color w:val="auto"/>
              </w:rPr>
            </w:pPr>
            <w:r>
              <w:rPr>
                <w:rFonts w:ascii="Arial" w:cs="Arial" w:eastAsia="Arial" w:hAnsi="Arial"/>
                <w:sz w:val="14"/>
                <w:szCs w:val="14"/>
                <w:color w:val="auto"/>
              </w:rPr>
              <w:t>Net income (loss) attributable to Virtu Financial, Inc.</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4,580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901</w:t>
            </w:r>
          </w:p>
        </w:tc>
        <w:tc>
          <w:tcPr>
            <w:tcW w:w="60" w:type="dxa"/>
            <w:vAlign w:val="bottom"/>
          </w:tcPr>
          <w:p>
            <w:pPr>
              <w:spacing w:after="0"/>
              <w:rPr>
                <w:sz w:val="12"/>
                <w:szCs w:val="12"/>
                <w:color w:val="auto"/>
              </w:rPr>
            </w:pPr>
          </w:p>
        </w:tc>
        <w:tc>
          <w:tcPr>
            <w:tcW w:w="8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(13,518)</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10,976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Net income per share of common stock:</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80"/>
              <w:spacing w:after="0" w:line="145" w:lineRule="exact"/>
              <w:rPr>
                <w:sz w:val="20"/>
                <w:szCs w:val="20"/>
                <w:color w:val="auto"/>
              </w:rPr>
            </w:pPr>
            <w:r>
              <w:rPr>
                <w:rFonts w:ascii="Arial" w:cs="Arial" w:eastAsia="Arial" w:hAnsi="Arial"/>
                <w:sz w:val="14"/>
                <w:szCs w:val="14"/>
                <w:color w:val="auto"/>
              </w:rPr>
              <w:t>Basic</w:t>
            </w: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95"/>
              </w:rPr>
              <w:t>0.10</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0.01</w:t>
            </w:r>
          </w:p>
        </w:tc>
        <w:tc>
          <w:tcPr>
            <w:tcW w:w="1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(0.17)</w:t>
            </w:r>
          </w:p>
        </w:tc>
        <w:tc>
          <w:tcPr>
            <w:tcW w:w="1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Diluted</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0.10</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0.01</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(0.17)</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color w:val="auto"/>
                <w:w w:val="92"/>
              </w:rPr>
              <w:t>For the 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ind w:right="30"/>
              <w:spacing w:after="0" w:line="120" w:lineRule="exact"/>
              <w:rPr>
                <w:sz w:val="20"/>
                <w:szCs w:val="20"/>
                <w:color w:val="auto"/>
              </w:rPr>
            </w:pPr>
            <w:r>
              <w:rPr>
                <w:rFonts w:ascii="Arial" w:cs="Arial" w:eastAsia="Arial" w:hAnsi="Arial"/>
                <w:sz w:val="13"/>
                <w:szCs w:val="13"/>
                <w:color w:val="auto"/>
              </w:rPr>
              <w:t>March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20" w:lineRule="exact"/>
              <w:rPr>
                <w:sz w:val="20"/>
                <w:szCs w:val="20"/>
                <w:color w:val="auto"/>
              </w:rPr>
            </w:pPr>
            <w:r>
              <w:rPr>
                <w:rFonts w:ascii="Arial" w:cs="Arial" w:eastAsia="Arial" w:hAnsi="Arial"/>
                <w:sz w:val="13"/>
                <w:szCs w:val="13"/>
                <w:color w:val="auto"/>
                <w:w w:val="94"/>
              </w:rPr>
              <w:t>September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3"/>
                <w:szCs w:val="13"/>
                <w:color w:val="auto"/>
                <w:w w:val="95"/>
              </w:rPr>
              <w:t>December 31,</w:t>
            </w:r>
          </w:p>
        </w:tc>
        <w:tc>
          <w:tcPr>
            <w:tcW w:w="0" w:type="dxa"/>
            <w:vAlign w:val="bottom"/>
          </w:tcPr>
          <w:p>
            <w:pPr>
              <w:spacing w:after="0"/>
              <w:rPr>
                <w:sz w:val="1"/>
                <w:szCs w:val="1"/>
                <w:color w:val="auto"/>
              </w:rPr>
            </w:pPr>
          </w:p>
        </w:tc>
      </w:tr>
      <w:tr>
        <w:trPr>
          <w:trHeight w:val="164"/>
        </w:trPr>
        <w:tc>
          <w:tcPr>
            <w:tcW w:w="3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June 30,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30, 2016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Total revenue</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192,638</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174,181</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164,806</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170,647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line="145"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133,936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129,767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126,932</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132,046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80" w:type="dxa"/>
            <w:vAlign w:val="bottom"/>
            <w:tcBorders>
              <w:bottom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58,702</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44,414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37,874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9" w:lineRule="exact"/>
              <w:rPr>
                <w:sz w:val="20"/>
                <w:szCs w:val="20"/>
                <w:color w:val="auto"/>
              </w:rPr>
            </w:pPr>
            <w:r>
              <w:rPr>
                <w:rFonts w:ascii="Arial" w:cs="Arial" w:eastAsia="Arial" w:hAnsi="Arial"/>
                <w:sz w:val="14"/>
                <w:szCs w:val="14"/>
                <w:color w:val="auto"/>
              </w:rPr>
              <w:t>38,601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line="132"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2" w:lineRule="exact"/>
              <w:rPr>
                <w:sz w:val="20"/>
                <w:szCs w:val="20"/>
                <w:color w:val="auto"/>
              </w:rPr>
            </w:pPr>
            <w:r>
              <w:rPr>
                <w:rFonts w:ascii="Arial" w:cs="Arial" w:eastAsia="Arial" w:hAnsi="Arial"/>
                <w:sz w:val="14"/>
                <w:szCs w:val="14"/>
                <w:color w:val="auto"/>
              </w:rPr>
              <w:t>51,356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2" w:lineRule="exact"/>
              <w:rPr>
                <w:sz w:val="20"/>
                <w:szCs w:val="20"/>
                <w:color w:val="auto"/>
              </w:rPr>
            </w:pPr>
            <w:r>
              <w:rPr>
                <w:rFonts w:ascii="Arial" w:cs="Arial" w:eastAsia="Arial" w:hAnsi="Arial"/>
                <w:sz w:val="14"/>
                <w:szCs w:val="14"/>
                <w:color w:val="auto"/>
              </w:rPr>
              <w:t>39,286</w:t>
            </w:r>
          </w:p>
        </w:tc>
        <w:tc>
          <w:tcPr>
            <w:tcW w:w="60" w:type="dxa"/>
            <w:vAlign w:val="bottom"/>
          </w:tcPr>
          <w:p>
            <w:pPr>
              <w:spacing w:after="0"/>
              <w:rPr>
                <w:sz w:val="11"/>
                <w:szCs w:val="11"/>
                <w:color w:val="auto"/>
              </w:rPr>
            </w:pPr>
          </w:p>
        </w:tc>
        <w:tc>
          <w:tcPr>
            <w:tcW w:w="80" w:type="dxa"/>
            <w:vAlign w:val="bottom"/>
          </w:tcPr>
          <w:p>
            <w:pPr>
              <w:jc w:val="right"/>
              <w:spacing w:after="0" w:line="132"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32" w:lineRule="exact"/>
              <w:rPr>
                <w:sz w:val="20"/>
                <w:szCs w:val="20"/>
                <w:color w:val="auto"/>
              </w:rPr>
            </w:pPr>
            <w:r>
              <w:rPr>
                <w:rFonts w:ascii="Arial" w:cs="Arial" w:eastAsia="Arial" w:hAnsi="Arial"/>
                <w:sz w:val="14"/>
                <w:szCs w:val="14"/>
                <w:color w:val="auto"/>
              </w:rPr>
              <w:t>33,023</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2" w:lineRule="exact"/>
              <w:rPr>
                <w:sz w:val="20"/>
                <w:szCs w:val="20"/>
                <w:color w:val="auto"/>
              </w:rPr>
            </w:pPr>
            <w:r>
              <w:rPr>
                <w:rFonts w:ascii="Arial" w:cs="Arial" w:eastAsia="Arial" w:hAnsi="Arial"/>
                <w:sz w:val="14"/>
                <w:szCs w:val="14"/>
                <w:color w:val="auto"/>
              </w:rPr>
              <w:t>34,675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w w:val="95"/>
              </w:rPr>
              <w:t>Less: net income attributable to noncontrolling interests</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41,008</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30,908</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25,997</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4"/>
                <w:szCs w:val="14"/>
                <w:color w:val="auto"/>
              </w:rPr>
              <w:t>27,447</w:t>
            </w:r>
          </w:p>
        </w:tc>
        <w:tc>
          <w:tcPr>
            <w:tcW w:w="0" w:type="dxa"/>
            <w:vAlign w:val="bottom"/>
          </w:tcPr>
          <w:p>
            <w:pPr>
              <w:spacing w:after="0"/>
              <w:rPr>
                <w:sz w:val="1"/>
                <w:szCs w:val="1"/>
                <w:color w:val="auto"/>
              </w:rPr>
            </w:pPr>
          </w:p>
        </w:tc>
      </w:tr>
      <w:tr>
        <w:trPr>
          <w:trHeight w:val="145"/>
        </w:trPr>
        <w:tc>
          <w:tcPr>
            <w:tcW w:w="3400" w:type="dxa"/>
            <w:vAlign w:val="bottom"/>
            <w:gridSpan w:val="2"/>
          </w:tcPr>
          <w:p>
            <w:pPr>
              <w:spacing w:after="0" w:line="139" w:lineRule="exact"/>
              <w:rPr>
                <w:sz w:val="20"/>
                <w:szCs w:val="20"/>
                <w:color w:val="auto"/>
              </w:rPr>
            </w:pPr>
            <w:r>
              <w:rPr>
                <w:rFonts w:ascii="Arial" w:cs="Arial" w:eastAsia="Arial" w:hAnsi="Arial"/>
                <w:sz w:val="14"/>
                <w:szCs w:val="14"/>
                <w:color w:val="auto"/>
              </w:rPr>
              <w:t>Net income attributable to Virtu Financial, Inc.</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9" w:lineRule="exact"/>
              <w:rPr>
                <w:sz w:val="20"/>
                <w:szCs w:val="20"/>
                <w:color w:val="auto"/>
              </w:rPr>
            </w:pPr>
            <w:r>
              <w:rPr>
                <w:rFonts w:ascii="Arial" w:cs="Arial" w:eastAsia="Arial" w:hAnsi="Arial"/>
                <w:sz w:val="14"/>
                <w:szCs w:val="14"/>
                <w:color w:val="auto"/>
              </w:rPr>
              <w:t>10,348</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8,378</w:t>
            </w:r>
          </w:p>
        </w:tc>
        <w:tc>
          <w:tcPr>
            <w:tcW w:w="60" w:type="dxa"/>
            <w:vAlign w:val="bottom"/>
          </w:tcPr>
          <w:p>
            <w:pPr>
              <w:spacing w:after="0"/>
              <w:rPr>
                <w:sz w:val="12"/>
                <w:szCs w:val="12"/>
                <w:color w:val="auto"/>
              </w:rPr>
            </w:pPr>
          </w:p>
        </w:tc>
        <w:tc>
          <w:tcPr>
            <w:tcW w:w="80" w:type="dxa"/>
            <w:vAlign w:val="bottom"/>
          </w:tcPr>
          <w:p>
            <w:pPr>
              <w:jc w:val="right"/>
              <w:spacing w:after="0" w:line="13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39" w:lineRule="exact"/>
              <w:rPr>
                <w:sz w:val="20"/>
                <w:szCs w:val="20"/>
                <w:color w:val="auto"/>
              </w:rPr>
            </w:pPr>
            <w:r>
              <w:rPr>
                <w:rFonts w:ascii="Arial" w:cs="Arial" w:eastAsia="Arial" w:hAnsi="Arial"/>
                <w:sz w:val="14"/>
                <w:szCs w:val="14"/>
                <w:color w:val="auto"/>
              </w:rPr>
              <w:t>7,026</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7,228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4"/>
                <w:szCs w:val="14"/>
                <w:color w:val="auto"/>
              </w:rPr>
              <w:t>Net income per share of common stock:</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80"/>
              <w:spacing w:after="0" w:line="145" w:lineRule="exact"/>
              <w:rPr>
                <w:sz w:val="20"/>
                <w:szCs w:val="20"/>
                <w:color w:val="auto"/>
              </w:rPr>
            </w:pPr>
            <w:r>
              <w:rPr>
                <w:rFonts w:ascii="Arial" w:cs="Arial" w:eastAsia="Arial" w:hAnsi="Arial"/>
                <w:sz w:val="14"/>
                <w:szCs w:val="14"/>
                <w:color w:val="auto"/>
              </w:rPr>
              <w:t>Basic</w:t>
            </w:r>
          </w:p>
        </w:tc>
        <w:tc>
          <w:tcPr>
            <w:tcW w:w="22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w w:val="95"/>
              </w:rPr>
              <w:t>0.27</w:t>
            </w:r>
          </w:p>
        </w:tc>
        <w:tc>
          <w:tcPr>
            <w:tcW w:w="1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0.21</w:t>
            </w:r>
          </w:p>
        </w:tc>
        <w:tc>
          <w:tcPr>
            <w:tcW w:w="1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5" w:lineRule="exact"/>
              <w:rPr>
                <w:sz w:val="20"/>
                <w:szCs w:val="20"/>
                <w:color w:val="auto"/>
              </w:rPr>
            </w:pPr>
            <w:r>
              <w:rPr>
                <w:rFonts w:ascii="Arial" w:cs="Arial" w:eastAsia="Arial" w:hAnsi="Arial"/>
                <w:sz w:val="14"/>
                <w:szCs w:val="14"/>
                <w:color w:val="auto"/>
              </w:rPr>
              <w:t>0.18</w:t>
            </w:r>
          </w:p>
        </w:tc>
        <w:tc>
          <w:tcPr>
            <w:tcW w:w="14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CCEEFF"/>
          </w:tcPr>
          <w:p>
            <w:pPr>
              <w:ind w:left="80"/>
              <w:spacing w:after="0" w:line="145" w:lineRule="exact"/>
              <w:rPr>
                <w:sz w:val="20"/>
                <w:szCs w:val="20"/>
                <w:color w:val="auto"/>
              </w:rPr>
            </w:pPr>
            <w:r>
              <w:rPr>
                <w:rFonts w:ascii="Arial" w:cs="Arial" w:eastAsia="Arial" w:hAnsi="Arial"/>
                <w:sz w:val="14"/>
                <w:szCs w:val="14"/>
                <w:color w:val="auto"/>
              </w:rPr>
              <w:t>Diluted</w:t>
            </w:r>
          </w:p>
        </w:tc>
        <w:tc>
          <w:tcPr>
            <w:tcW w:w="2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0.26</w:t>
            </w:r>
          </w:p>
        </w:tc>
        <w:tc>
          <w:tcPr>
            <w:tcW w:w="1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0.21</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0.18</w:t>
            </w:r>
          </w:p>
        </w:tc>
        <w:tc>
          <w:tcPr>
            <w:tcW w:w="14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2" w:lineRule="exact"/>
        <w:rPr>
          <w:sz w:val="20"/>
          <w:szCs w:val="20"/>
          <w:color w:val="auto"/>
        </w:rPr>
      </w:pPr>
    </w:p>
    <w:p>
      <w:pPr>
        <w:ind w:firstLine="635"/>
        <w:spacing w:after="0" w:line="304" w:lineRule="auto"/>
        <w:rPr>
          <w:sz w:val="20"/>
          <w:szCs w:val="20"/>
          <w:color w:val="auto"/>
        </w:rPr>
      </w:pPr>
      <w:r>
        <w:rPr>
          <w:rFonts w:ascii="Arial" w:cs="Arial" w:eastAsia="Arial" w:hAnsi="Arial"/>
          <w:sz w:val="15"/>
          <w:szCs w:val="15"/>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(the “Exchange Act”)) as of December 31, 2017. Based upon that evaluation, our Chief Executive Officer and Chief Financial Officer concluded that, as of December 31, 2017, our disclosure controls and procedures were effective to ensure information required to be disclosed by us in the reports we file or submit under the Exchange Act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57" w:lineRule="exact"/>
        <w:rPr>
          <w:sz w:val="20"/>
          <w:szCs w:val="20"/>
          <w:color w:val="auto"/>
        </w:rPr>
      </w:pPr>
    </w:p>
    <w:p>
      <w:pPr>
        <w:ind w:right="240" w:firstLine="635"/>
        <w:spacing w:after="0" w:line="303"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57" w:lineRule="exact"/>
        <w:rPr>
          <w:sz w:val="20"/>
          <w:szCs w:val="20"/>
          <w:color w:val="auto"/>
        </w:rPr>
      </w:pPr>
    </w:p>
    <w:p>
      <w:pPr>
        <w:ind w:right="60" w:firstLine="635"/>
        <w:spacing w:after="0" w:line="268"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2" w:lineRule="exact"/>
        <w:rPr>
          <w:sz w:val="20"/>
          <w:szCs w:val="20"/>
          <w:color w:val="auto"/>
        </w:rPr>
      </w:pPr>
    </w:p>
    <w:p>
      <w:pPr>
        <w:ind w:right="40" w:firstLine="635"/>
        <w:spacing w:after="0" w:line="268"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179" w:lineRule="exact"/>
        <w:rPr>
          <w:sz w:val="20"/>
          <w:szCs w:val="20"/>
          <w:color w:val="auto"/>
        </w:rPr>
      </w:pPr>
    </w:p>
    <w:p>
      <w:pPr>
        <w:ind w:left="640" w:right="560" w:hanging="322"/>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179" w:lineRule="exact"/>
        <w:rPr>
          <w:rFonts w:ascii="Arial" w:cs="Arial" w:eastAsia="Arial" w:hAnsi="Arial"/>
          <w:sz w:val="18"/>
          <w:szCs w:val="18"/>
          <w:color w:val="auto"/>
        </w:rPr>
      </w:pPr>
    </w:p>
    <w:p>
      <w:pPr>
        <w:ind w:left="640" w:right="160" w:hanging="322"/>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179" w:lineRule="exact"/>
        <w:rPr>
          <w:rFonts w:ascii="Arial" w:cs="Arial" w:eastAsia="Arial" w:hAnsi="Arial"/>
          <w:sz w:val="18"/>
          <w:szCs w:val="18"/>
          <w:color w:val="auto"/>
        </w:rPr>
      </w:pPr>
    </w:p>
    <w:p>
      <w:pPr>
        <w:ind w:left="640" w:right="120" w:hanging="322"/>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spacing w:after="0" w:line="179" w:lineRule="exact"/>
        <w:rPr>
          <w:rFonts w:ascii="Arial" w:cs="Arial" w:eastAsia="Arial" w:hAnsi="Arial"/>
          <w:sz w:val="18"/>
          <w:szCs w:val="18"/>
          <w:color w:val="auto"/>
        </w:rPr>
      </w:pPr>
    </w:p>
    <w:p>
      <w:pPr>
        <w:ind w:left="640" w:right="160" w:hanging="322"/>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80" w:lineRule="exact"/>
        <w:rPr>
          <w:sz w:val="20"/>
          <w:szCs w:val="20"/>
          <w:color w:val="auto"/>
        </w:rPr>
      </w:pPr>
    </w:p>
    <w:p>
      <w:pPr>
        <w:ind w:firstLine="635"/>
        <w:spacing w:after="0" w:line="329"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ind w:right="480" w:firstLine="635"/>
        <w:spacing w:after="0" w:line="317" w:lineRule="auto"/>
        <w:rPr>
          <w:sz w:val="20"/>
          <w:szCs w:val="20"/>
          <w:color w:val="auto"/>
        </w:rPr>
      </w:pPr>
      <w:r>
        <w:rPr>
          <w:rFonts w:ascii="Arial" w:cs="Arial" w:eastAsia="Arial" w:hAnsi="Arial"/>
          <w:sz w:val="15"/>
          <w:szCs w:val="15"/>
          <w:color w:val="auto"/>
        </w:rPr>
        <w:t>Management assessed the effectiveness of our internal control over financial reporting as of December 31, 2017. Management based this assessment on criteria described in Internal Control - Integrated Framework (2013) issued by the Committee of Sponsoring Organizations of the Treadway Commission (COSO). Based on this assessment, management determined that as of December 31, 2017, we maintained effective internal control over financial reporting.</w:t>
      </w:r>
    </w:p>
    <w:p>
      <w:pPr>
        <w:spacing w:after="0" w:line="147" w:lineRule="exact"/>
        <w:rPr>
          <w:sz w:val="20"/>
          <w:szCs w:val="20"/>
          <w:color w:val="auto"/>
        </w:rPr>
      </w:pPr>
    </w:p>
    <w:p>
      <w:pPr>
        <w:ind w:right="60" w:firstLine="635"/>
        <w:spacing w:after="0" w:line="268" w:lineRule="auto"/>
        <w:rPr>
          <w:sz w:val="20"/>
          <w:szCs w:val="20"/>
          <w:color w:val="auto"/>
        </w:rPr>
      </w:pPr>
      <w:r>
        <w:rPr>
          <w:rFonts w:ascii="Arial" w:cs="Arial" w:eastAsia="Arial" w:hAnsi="Arial"/>
          <w:sz w:val="17"/>
          <w:szCs w:val="17"/>
          <w:color w:val="auto"/>
        </w:rPr>
        <w:t>We acquired KCG Holdings, Inc. (“KCG”) on July 20, 2017, and have not yet included KCG in our assessment of the effectiveness of our internal control over financial reporting. SEC staff guidance permits a company to exclude an acquired business from management’s assessment of the effectiveness of internal control over financial reporting for the year in which the acquisition completed. As of December 31, 2017, KCG accounted for 3.5 billion of our total assets, and $379 million of our total revenue for the year end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on Internal Control over Financial Reporting</w:t>
      </w:r>
    </w:p>
    <w:p>
      <w:pPr>
        <w:spacing w:after="0" w:line="222" w:lineRule="exact"/>
        <w:rPr>
          <w:sz w:val="20"/>
          <w:szCs w:val="20"/>
          <w:color w:val="auto"/>
        </w:rPr>
      </w:pPr>
    </w:p>
    <w:p>
      <w:pPr>
        <w:jc w:val="both"/>
        <w:ind w:right="160" w:firstLine="635"/>
        <w:spacing w:after="0" w:line="254" w:lineRule="auto"/>
        <w:rPr>
          <w:sz w:val="20"/>
          <w:szCs w:val="20"/>
          <w:color w:val="auto"/>
        </w:rPr>
      </w:pPr>
      <w:r>
        <w:rPr>
          <w:rFonts w:ascii="Arial" w:cs="Arial" w:eastAsia="Arial" w:hAnsi="Arial"/>
          <w:sz w:val="18"/>
          <w:szCs w:val="18"/>
          <w:color w:val="auto"/>
        </w:rPr>
        <w:t>As an emerging growth company under Section 103 of the JOBS Act, we are not required to provide, and this report does not include, an attestation report of our independent registered public accounting firm regarding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222" w:lineRule="exact"/>
        <w:rPr>
          <w:sz w:val="20"/>
          <w:szCs w:val="20"/>
          <w:color w:val="auto"/>
        </w:rPr>
      </w:pPr>
    </w:p>
    <w:p>
      <w:pPr>
        <w:ind w:right="60" w:firstLine="635"/>
        <w:spacing w:after="0" w:line="254" w:lineRule="auto"/>
        <w:rPr>
          <w:sz w:val="20"/>
          <w:szCs w:val="20"/>
          <w:color w:val="auto"/>
        </w:rPr>
      </w:pPr>
      <w:r>
        <w:rPr>
          <w:rFonts w:ascii="Arial" w:cs="Arial" w:eastAsia="Arial" w:hAnsi="Arial"/>
          <w:sz w:val="18"/>
          <w:szCs w:val="18"/>
          <w:color w:val="auto"/>
        </w:rPr>
        <w:t>No change in our internal control over financial reporting (as defined in Rule 13a-15(f) under the Exchange Act) occurred during the year ended December 31, 2017 that has or is reasonably likely to materially affect,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2" w:lineRule="exact"/>
        <w:rPr>
          <w:sz w:val="20"/>
          <w:szCs w:val="20"/>
          <w:color w:val="auto"/>
        </w:rPr>
      </w:pPr>
    </w:p>
    <w:p>
      <w:pPr>
        <w:ind w:right="60" w:firstLine="635"/>
        <w:spacing w:after="0" w:line="250" w:lineRule="auto"/>
        <w:rPr>
          <w:sz w:val="20"/>
          <w:szCs w:val="20"/>
          <w:color w:val="auto"/>
        </w:rPr>
      </w:pPr>
      <w:r>
        <w:rPr>
          <w:rFonts w:ascii="Arial" w:cs="Arial" w:eastAsia="Arial" w:hAnsi="Arial"/>
          <w:sz w:val="18"/>
          <w:szCs w:val="18"/>
          <w:color w:val="auto"/>
        </w:rPr>
        <w:t>Information with respect to this Item will be set forth in our 2018 Proxy Statement, which will be filed with the Securities and Exchange Commission no later than 120 days after December 31, 2017. For the limited purpose of providing the information necessary to comply with this Item 10, the 2018 Proxy Statement is incorporated herein by this reference. All references to the Proxy Statement in this Part III are exclusive of the information set forth under the caption “Audit Committee Report.”</w:t>
      </w:r>
    </w:p>
    <w:p>
      <w:pPr>
        <w:spacing w:after="0" w:line="192" w:lineRule="exact"/>
        <w:rPr>
          <w:sz w:val="20"/>
          <w:szCs w:val="20"/>
          <w:color w:val="auto"/>
        </w:rPr>
      </w:pPr>
    </w:p>
    <w:p>
      <w:pPr>
        <w:ind w:right="380" w:firstLine="635"/>
        <w:spacing w:after="0" w:line="317" w:lineRule="auto"/>
        <w:rPr>
          <w:sz w:val="20"/>
          <w:szCs w:val="20"/>
          <w:color w:val="auto"/>
        </w:rPr>
      </w:pPr>
      <w:r>
        <w:rPr>
          <w:rFonts w:ascii="Arial" w:cs="Arial" w:eastAsia="Arial" w:hAnsi="Arial"/>
          <w:sz w:val="15"/>
          <w:szCs w:val="15"/>
          <w:color w:val="auto"/>
        </w:rPr>
        <w:t>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2" w:lineRule="exact"/>
        <w:rPr>
          <w:sz w:val="20"/>
          <w:szCs w:val="20"/>
          <w:color w:val="auto"/>
        </w:rPr>
      </w:pPr>
    </w:p>
    <w:p>
      <w:pPr>
        <w:ind w:right="60" w:firstLine="635"/>
        <w:spacing w:after="0" w:line="329" w:lineRule="auto"/>
        <w:rPr>
          <w:sz w:val="20"/>
          <w:szCs w:val="20"/>
          <w:color w:val="auto"/>
        </w:rPr>
      </w:pPr>
      <w:r>
        <w:rPr>
          <w:rFonts w:ascii="Arial" w:cs="Arial" w:eastAsia="Arial" w:hAnsi="Arial"/>
          <w:sz w:val="15"/>
          <w:szCs w:val="15"/>
          <w:color w:val="auto"/>
        </w:rPr>
        <w:t>Information with respect to this Item will be set forth in our 2018 Proxy Statement, which will be filed with the Securities and Exchange Commission no later than 120 days after December 31, 2017. For the limited purpose of providing the information necessary to comply with this Item 11, the 2018 Proxy Statement is incorporated herein by this reference.</w:t>
      </w:r>
    </w:p>
    <w:p>
      <w:pPr>
        <w:spacing w:after="0" w:line="343" w:lineRule="exact"/>
        <w:rPr>
          <w:sz w:val="20"/>
          <w:szCs w:val="20"/>
          <w:color w:val="auto"/>
        </w:rPr>
      </w:pPr>
    </w:p>
    <w:p>
      <w:pPr>
        <w:ind w:left="640" w:hanging="634"/>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4" w:lineRule="exact"/>
        <w:rPr>
          <w:sz w:val="20"/>
          <w:szCs w:val="20"/>
          <w:color w:val="auto"/>
        </w:rPr>
      </w:pPr>
    </w:p>
    <w:p>
      <w:pPr>
        <w:ind w:right="60" w:firstLine="635"/>
        <w:spacing w:after="0" w:line="329" w:lineRule="auto"/>
        <w:rPr>
          <w:sz w:val="20"/>
          <w:szCs w:val="20"/>
          <w:color w:val="auto"/>
        </w:rPr>
      </w:pPr>
      <w:r>
        <w:rPr>
          <w:rFonts w:ascii="Arial" w:cs="Arial" w:eastAsia="Arial" w:hAnsi="Arial"/>
          <w:sz w:val="15"/>
          <w:szCs w:val="15"/>
          <w:color w:val="auto"/>
        </w:rPr>
        <w:t>Information with respect to this Item will be set forth in our 2018 Proxy Statement, which will be filed with the Securities and Exchange Commission no later than 120 days after December 31, 2017. For the limited purpose of providing the information necessary to comply with this Item 12, the 2018 Proxy Statement is incorporated herein by this reference.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2" w:lineRule="exact"/>
        <w:rPr>
          <w:sz w:val="20"/>
          <w:szCs w:val="20"/>
          <w:color w:val="auto"/>
        </w:rPr>
      </w:pPr>
    </w:p>
    <w:p>
      <w:pPr>
        <w:ind w:right="60" w:firstLine="635"/>
        <w:spacing w:after="0" w:line="329" w:lineRule="auto"/>
        <w:rPr>
          <w:sz w:val="20"/>
          <w:szCs w:val="20"/>
          <w:color w:val="auto"/>
        </w:rPr>
      </w:pPr>
      <w:r>
        <w:rPr>
          <w:rFonts w:ascii="Arial" w:cs="Arial" w:eastAsia="Arial" w:hAnsi="Arial"/>
          <w:sz w:val="15"/>
          <w:szCs w:val="15"/>
          <w:color w:val="auto"/>
        </w:rPr>
        <w:t>Information with respect to this Item will be set forth in our 2018 Proxy Statement, which will be filed with the Securities and Exchange Commission no later than 120 days after December 31, 2017. For the limited purpose of providing the information necessary to comply with this Item 13, the 2018 Proxy Statement is incorporated herein by this reference.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2" w:lineRule="exact"/>
        <w:rPr>
          <w:sz w:val="20"/>
          <w:szCs w:val="20"/>
          <w:color w:val="auto"/>
        </w:rPr>
      </w:pPr>
    </w:p>
    <w:p>
      <w:pPr>
        <w:ind w:right="60" w:firstLine="635"/>
        <w:spacing w:after="0" w:line="329" w:lineRule="auto"/>
        <w:rPr>
          <w:sz w:val="20"/>
          <w:szCs w:val="20"/>
          <w:color w:val="auto"/>
        </w:rPr>
      </w:pPr>
      <w:r>
        <w:rPr>
          <w:rFonts w:ascii="Arial" w:cs="Arial" w:eastAsia="Arial" w:hAnsi="Arial"/>
          <w:sz w:val="15"/>
          <w:szCs w:val="15"/>
          <w:color w:val="auto"/>
        </w:rPr>
        <w:t>Information with respect to this Item will be set forth in our 2018 Proxy Statement, which will be filed with the Securities and Exchange Commission no later than 120 days after December 31, 2017. For the limited purpose of providing the information necessary to comply with this Item 14, the 2018 Proxy Statement is incorporated herein by this reference.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6" w:lineRule="exact"/>
        <w:rPr>
          <w:sz w:val="20"/>
          <w:szCs w:val="20"/>
          <w:color w:val="auto"/>
        </w:rPr>
      </w:pPr>
    </w:p>
    <w:p>
      <w:pPr>
        <w:ind w:left="640" w:hanging="32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Consolidated Financial statements</w:t>
      </w:r>
    </w:p>
    <w:p>
      <w:pPr>
        <w:spacing w:after="0" w:line="22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color w:val="auto"/>
        </w:rPr>
        <w:t>The consolidated financial statement required to be filed in the Form 10-K are listed in Part II, Item 8 hereof.</w:t>
      </w:r>
    </w:p>
    <w:p>
      <w:pPr>
        <w:spacing w:after="0" w:line="221" w:lineRule="exact"/>
        <w:rPr>
          <w:rFonts w:ascii="Arial" w:cs="Arial" w:eastAsia="Arial" w:hAnsi="Arial"/>
          <w:sz w:val="18"/>
          <w:szCs w:val="18"/>
          <w:color w:val="auto"/>
        </w:rPr>
      </w:pPr>
    </w:p>
    <w:p>
      <w:pPr>
        <w:ind w:left="640" w:hanging="32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Financial Statement Schedule</w:t>
      </w:r>
    </w:p>
    <w:p>
      <w:pPr>
        <w:spacing w:after="0" w:line="22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See “Index to Consolidated Financial Statements” in this Form 10-K listed in Part II, Item 8 hereof.</w:t>
      </w:r>
    </w:p>
    <w:p>
      <w:pPr>
        <w:spacing w:after="0" w:line="210" w:lineRule="exact"/>
        <w:rPr>
          <w:rFonts w:ascii="Arial" w:cs="Arial" w:eastAsia="Arial" w:hAnsi="Arial"/>
          <w:sz w:val="18"/>
          <w:szCs w:val="18"/>
          <w:color w:val="auto"/>
        </w:rPr>
      </w:pPr>
    </w:p>
    <w:p>
      <w:pPr>
        <w:ind w:left="640" w:hanging="32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40" w:type="dxa"/>
            <w:vAlign w:val="bottom"/>
            <w:gridSpan w:val="26"/>
          </w:tcPr>
          <w:p>
            <w:pPr>
              <w:ind w:left="1240"/>
              <w:spacing w:after="0"/>
              <w:rPr>
                <w:sz w:val="20"/>
                <w:szCs w:val="20"/>
                <w:color w:val="auto"/>
              </w:rPr>
            </w:pPr>
            <w:r>
              <w:rPr>
                <w:rFonts w:ascii="Arial" w:cs="Arial" w:eastAsia="Arial" w:hAnsi="Arial"/>
                <w:sz w:val="14"/>
                <w:szCs w:val="14"/>
                <w:b w:val="1"/>
                <w:bCs w:val="1"/>
                <w:color w:val="auto"/>
              </w:rPr>
              <w:t>Description</w:t>
            </w:r>
          </w:p>
        </w:tc>
      </w:tr>
      <w:tr>
        <w:trPr>
          <w:trHeight w:val="165"/>
        </w:trPr>
        <w:tc>
          <w:tcPr>
            <w:tcW w:w="20" w:type="dxa"/>
            <w:vAlign w:val="bottom"/>
          </w:tcPr>
          <w:p>
            <w:pPr>
              <w:spacing w:after="0"/>
              <w:rPr>
                <w:sz w:val="14"/>
                <w:szCs w:val="14"/>
                <w:color w:val="auto"/>
              </w:rPr>
            </w:pPr>
          </w:p>
        </w:tc>
        <w:tc>
          <w:tcPr>
            <w:tcW w:w="1060" w:type="dxa"/>
            <w:vAlign w:val="bottom"/>
            <w:tcBorders>
              <w:top w:val="single" w:sz="8" w:color="auto"/>
            </w:tcBorders>
          </w:tcPr>
          <w:p>
            <w:pPr>
              <w:spacing w:after="0" w:line="16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4"/>
                <w:szCs w:val="14"/>
                <w:color w:val="auto"/>
              </w:rPr>
            </w:pPr>
          </w:p>
        </w:tc>
        <w:tc>
          <w:tcPr>
            <w:tcW w:w="7680" w:type="dxa"/>
            <w:vAlign w:val="bottom"/>
            <w:tcBorders>
              <w:top w:val="single" w:sz="8" w:color="auto"/>
              <w:bottom w:val="single" w:sz="8" w:color="0000EE"/>
            </w:tcBorders>
            <w:gridSpan w:val="28"/>
          </w:tcPr>
          <w:p>
            <w:pPr>
              <w:spacing w:after="0" w:line="165"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Reorganization Agreement, dated April 15, 2015, by and among Virtu Financial, Inc., Virtu Financial Merger</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00" w:type="dxa"/>
            <w:vAlign w:val="bottom"/>
            <w:tcBorders>
              <w:bottom w:val="single" w:sz="8" w:color="0000EE"/>
            </w:tcBorders>
            <w:gridSpan w:val="21"/>
          </w:tcPr>
          <w:p>
            <w:pPr>
              <w:spacing w:after="0" w:line="192"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Sub LLC, Virtu Financial Intermediate Holdings LLC, Virtu Financial Merger Sub II LLC, Virtu Financial</w:t>
              </w:r>
            </w:hyperlink>
          </w:p>
        </w:tc>
        <w:tc>
          <w:tcPr>
            <w:tcW w:w="180" w:type="dxa"/>
            <w:vAlign w:val="bottom"/>
            <w:gridSpan w:val="7"/>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80" w:type="dxa"/>
            <w:vAlign w:val="bottom"/>
            <w:tcBorders>
              <w:bottom w:val="single" w:sz="8" w:color="0000EE"/>
            </w:tcBorders>
            <w:gridSpan w:val="20"/>
          </w:tcPr>
          <w:p>
            <w:pPr>
              <w:spacing w:after="0" w:line="192"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Intermediate Holdings II LLC, Virtu Financial LLC, VFH Parent LLC, SLP Virtu Investors, LLC, SLP III</w:t>
              </w:r>
            </w:hyperlink>
          </w:p>
        </w:tc>
        <w:tc>
          <w:tcPr>
            <w:tcW w:w="200" w:type="dxa"/>
            <w:vAlign w:val="bottom"/>
            <w:gridSpan w:val="8"/>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tcBorders>
              <w:bottom w:val="single" w:sz="8" w:color="0000EE"/>
            </w:tcBorders>
            <w:gridSpan w:val="13"/>
          </w:tcPr>
          <w:p>
            <w:pPr>
              <w:spacing w:after="0" w:line="192"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EW Feeder I, L.P., SLP III EW Feeder II, L.P., Silver Lake Technology Associates III, L.P., SLP III EW</w:t>
              </w:r>
            </w:hyperlink>
          </w:p>
        </w:tc>
        <w:tc>
          <w:tcPr>
            <w:tcW w:w="360" w:type="dxa"/>
            <w:vAlign w:val="bottom"/>
            <w:gridSpan w:val="1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60" w:type="dxa"/>
            <w:vAlign w:val="bottom"/>
            <w:tcBorders>
              <w:bottom w:val="single" w:sz="8" w:color="0000EE"/>
            </w:tcBorders>
            <w:gridSpan w:val="15"/>
          </w:tcPr>
          <w:p>
            <w:pPr>
              <w:spacing w:after="0" w:line="192"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Feeder LLC, Havelock Fund Investments Pte Ltd., Wilbur Investments LLC, VV Investment LLC, Virtu</w:t>
              </w:r>
            </w:hyperlink>
          </w:p>
        </w:tc>
        <w:tc>
          <w:tcPr>
            <w:tcW w:w="320" w:type="dxa"/>
            <w:vAlign w:val="bottom"/>
            <w:gridSpan w:val="1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rPr>
            </w:pPr>
            <w:hyperlink r:id="rId166">
              <w:r>
                <w:rPr>
                  <w:rFonts w:ascii="Arial" w:cs="Arial" w:eastAsia="Arial" w:hAnsi="Arial"/>
                  <w:sz w:val="18"/>
                  <w:szCs w:val="18"/>
                  <w:color w:val="0000EE"/>
                </w:rPr>
                <w:t>East MIP LLC, Virtu Employee Holdco LLC, TJMT Holdings LLC (f/k/a Virtu Holdings LLC), Virtu</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40" w:type="dxa"/>
            <w:vAlign w:val="bottom"/>
            <w:tcBorders>
              <w:bottom w:val="single" w:sz="8" w:color="0000EE"/>
            </w:tcBorders>
            <w:gridSpan w:val="26"/>
          </w:tcPr>
          <w:p>
            <w:pPr>
              <w:spacing w:after="0" w:line="192" w:lineRule="exact"/>
              <w:rPr>
                <w:rFonts w:ascii="Arial" w:cs="Arial" w:eastAsia="Arial" w:hAnsi="Arial"/>
                <w:sz w:val="18"/>
                <w:szCs w:val="18"/>
                <w:color w:val="0000EE"/>
                <w:w w:val="88"/>
              </w:rPr>
            </w:pPr>
            <w:hyperlink r:id="rId166">
              <w:r>
                <w:rPr>
                  <w:rFonts w:ascii="Arial" w:cs="Arial" w:eastAsia="Arial" w:hAnsi="Arial"/>
                  <w:sz w:val="18"/>
                  <w:szCs w:val="18"/>
                  <w:color w:val="0000EE"/>
                  <w:w w:val="88"/>
                </w:rPr>
                <w:t>Financial Holdings LLC and the Other Class A Members named therein (incorporated herein by reference to</w:t>
              </w:r>
            </w:hyperlink>
          </w:p>
        </w:tc>
        <w:tc>
          <w:tcPr>
            <w:tcW w:w="40" w:type="dxa"/>
            <w:vAlign w:val="bottom"/>
            <w:gridSpan w:val="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40" w:type="dxa"/>
            <w:vAlign w:val="bottom"/>
            <w:tcBorders>
              <w:bottom w:val="single" w:sz="8" w:color="0000EE"/>
            </w:tcBorders>
            <w:gridSpan w:val="18"/>
          </w:tcPr>
          <w:p>
            <w:pPr>
              <w:spacing w:after="0" w:line="192"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Exhibit 2.1 to the Company’s Quarterly Report on Form 10-Q, as amended (File No. 001-37352), filed on</w:t>
              </w:r>
            </w:hyperlink>
          </w:p>
        </w:tc>
        <w:tc>
          <w:tcPr>
            <w:tcW w:w="240" w:type="dxa"/>
            <w:vAlign w:val="bottom"/>
            <w:gridSpan w:val="1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bottom w:val="single" w:sz="8" w:color="0000EE"/>
            </w:tcBorders>
          </w:tcPr>
          <w:p>
            <w:pPr>
              <w:spacing w:after="0" w:line="192" w:lineRule="exact"/>
              <w:rPr>
                <w:rFonts w:ascii="Arial" w:cs="Arial" w:eastAsia="Arial" w:hAnsi="Arial"/>
                <w:sz w:val="18"/>
                <w:szCs w:val="18"/>
                <w:color w:val="0000EE"/>
                <w:w w:val="86"/>
              </w:rPr>
            </w:pPr>
            <w:hyperlink r:id="rId166">
              <w:r>
                <w:rPr>
                  <w:rFonts w:ascii="Arial" w:cs="Arial" w:eastAsia="Arial" w:hAnsi="Arial"/>
                  <w:sz w:val="18"/>
                  <w:szCs w:val="18"/>
                  <w:color w:val="0000EE"/>
                  <w:w w:val="86"/>
                </w:rPr>
                <w:t>May 29, 2015).</w:t>
              </w:r>
            </w:hyperlink>
          </w:p>
        </w:tc>
        <w:tc>
          <w:tcPr>
            <w:tcW w:w="6620" w:type="dxa"/>
            <w:vAlign w:val="bottom"/>
            <w:gridSpan w:val="27"/>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2.2</w:t>
            </w:r>
          </w:p>
        </w:tc>
        <w:tc>
          <w:tcPr>
            <w:tcW w:w="300" w:type="dxa"/>
            <w:vAlign w:val="bottom"/>
          </w:tcPr>
          <w:p>
            <w:pPr>
              <w:spacing w:after="0"/>
              <w:rPr>
                <w:sz w:val="16"/>
                <w:szCs w:val="16"/>
                <w:color w:val="auto"/>
              </w:rPr>
            </w:pPr>
          </w:p>
        </w:tc>
        <w:tc>
          <w:tcPr>
            <w:tcW w:w="7460" w:type="dxa"/>
            <w:vAlign w:val="bottom"/>
            <w:tcBorders>
              <w:bottom w:val="single" w:sz="8" w:color="0000EE"/>
            </w:tcBorders>
            <w:gridSpan w:val="19"/>
          </w:tcPr>
          <w:p>
            <w:pPr>
              <w:spacing w:after="0" w:line="192"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Merger Agreement, dated April 15, 2015, by and among Virtu Financial, Inc., Virtu Financial Merger Sub</w:t>
              </w:r>
            </w:hyperlink>
          </w:p>
        </w:tc>
        <w:tc>
          <w:tcPr>
            <w:tcW w:w="220" w:type="dxa"/>
            <w:vAlign w:val="bottom"/>
            <w:gridSpan w:val="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LLC, Virtu Financial Intermediate Holdings LLC, SLP III EW Feeder Corp., SLP III EW Feeder I, L.P. and</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60" w:type="dxa"/>
            <w:vAlign w:val="bottom"/>
            <w:tcBorders>
              <w:top w:val="single" w:sz="8" w:color="0000EE"/>
            </w:tcBorders>
            <w:gridSpan w:val="22"/>
          </w:tcPr>
          <w:p>
            <w:pPr>
              <w:spacing w:after="0" w:line="192" w:lineRule="exact"/>
              <w:rPr>
                <w:rFonts w:ascii="Arial" w:cs="Arial" w:eastAsia="Arial" w:hAnsi="Arial"/>
                <w:sz w:val="18"/>
                <w:szCs w:val="18"/>
                <w:color w:val="0000EE"/>
                <w:w w:val="93"/>
              </w:rPr>
            </w:pPr>
            <w:hyperlink r:id="rId167">
              <w:r>
                <w:rPr>
                  <w:rFonts w:ascii="Arial" w:cs="Arial" w:eastAsia="Arial" w:hAnsi="Arial"/>
                  <w:sz w:val="18"/>
                  <w:szCs w:val="18"/>
                  <w:color w:val="0000EE"/>
                  <w:w w:val="93"/>
                </w:rPr>
                <w:t>Havelock Fund Investments Pte Ltd (incorporated herein by reference to Exhibit 2.2 to the Company’s</w:t>
              </w:r>
            </w:hyperlink>
          </w:p>
        </w:tc>
        <w:tc>
          <w:tcPr>
            <w:tcW w:w="120" w:type="dxa"/>
            <w:vAlign w:val="bottom"/>
            <w:gridSpan w:val="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360" w:type="dxa"/>
            <w:vAlign w:val="bottom"/>
            <w:tcBorders>
              <w:top w:val="single" w:sz="8" w:color="0000EE"/>
              <w:bottom w:val="single" w:sz="8" w:color="0000EE"/>
            </w:tcBorders>
            <w:gridSpan w:val="6"/>
          </w:tcPr>
          <w:p>
            <w:pPr>
              <w:spacing w:after="0" w:line="192"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quarterly report on Form 10-Q, as amended (File No. 001-37352), filed on May 29, 2015).</w:t>
              </w:r>
            </w:hyperlink>
          </w:p>
        </w:tc>
        <w:tc>
          <w:tcPr>
            <w:tcW w:w="840" w:type="dxa"/>
            <w:vAlign w:val="bottom"/>
            <w:tcBorders>
              <w:top w:val="single" w:sz="8" w:color="0000EE"/>
            </w:tcBorders>
            <w:gridSpan w:val="5"/>
          </w:tcPr>
          <w:p>
            <w:pPr>
              <w:spacing w:after="0"/>
              <w:rPr>
                <w:sz w:val="16"/>
                <w:szCs w:val="16"/>
                <w:color w:val="auto"/>
              </w:rPr>
            </w:pPr>
          </w:p>
        </w:tc>
        <w:tc>
          <w:tcPr>
            <w:tcW w:w="480" w:type="dxa"/>
            <w:vAlign w:val="bottom"/>
            <w:gridSpan w:val="17"/>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Merger Agreement, dated April 15, 2015, by and among Virtu Financial, Inc., Virtu Financial Merger Sub II</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0" w:type="dxa"/>
            <w:vAlign w:val="bottom"/>
            <w:tcBorders>
              <w:top w:val="single" w:sz="8" w:color="0000EE"/>
            </w:tcBorders>
            <w:gridSpan w:val="24"/>
          </w:tcPr>
          <w:p>
            <w:pPr>
              <w:spacing w:after="0" w:line="192"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LLC, Virtu Financial Intermediate Holdings II LLC and Wilbur Investments LLC (incorporated herein by</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20" w:type="dxa"/>
            <w:vAlign w:val="bottom"/>
            <w:tcBorders>
              <w:top w:val="single" w:sz="8" w:color="0000EE"/>
            </w:tcBorders>
            <w:gridSpan w:val="17"/>
          </w:tcPr>
          <w:p>
            <w:pPr>
              <w:spacing w:after="0" w:line="192"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reference to Exhibit 2.3 to the Company’s Quarterly Report on Form 10-Q, as amended (File No. 001-</w:t>
              </w:r>
            </w:hyperlink>
          </w:p>
        </w:tc>
        <w:tc>
          <w:tcPr>
            <w:tcW w:w="260" w:type="dxa"/>
            <w:vAlign w:val="bottom"/>
            <w:gridSpan w:val="11"/>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37352)</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filed on May 29, 2015).</w:t>
              </w:r>
            </w:hyperlink>
          </w:p>
        </w:tc>
        <w:tc>
          <w:tcPr>
            <w:tcW w:w="4940" w:type="dxa"/>
            <w:vAlign w:val="bottom"/>
            <w:tcBorders>
              <w:top w:val="single" w:sz="8" w:color="0000EE"/>
            </w:tcBorders>
            <w:gridSpan w:val="8"/>
          </w:tcPr>
          <w:p>
            <w:pPr>
              <w:spacing w:after="0"/>
              <w:rPr>
                <w:sz w:val="16"/>
                <w:szCs w:val="16"/>
                <w:color w:val="auto"/>
              </w:rPr>
            </w:pPr>
          </w:p>
        </w:tc>
        <w:tc>
          <w:tcPr>
            <w:tcW w:w="500" w:type="dxa"/>
            <w:vAlign w:val="bottom"/>
            <w:gridSpan w:val="18"/>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2.4</w:t>
            </w: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Agreement and Plan of Merger, dated April 20, 2017, by and among Virtu Financial, Inc., Orchestra Merger</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60" w:type="dxa"/>
            <w:vAlign w:val="bottom"/>
            <w:tcBorders>
              <w:bottom w:val="single" w:sz="8" w:color="0000EE"/>
            </w:tcBorders>
            <w:gridSpan w:val="27"/>
          </w:tcPr>
          <w:p>
            <w:pPr>
              <w:spacing w:after="0" w:line="192"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Sub, Inc. and KCG Holdings, Inc. (incorporated herein by reference to Exhibit 2.1 to the Company’s Current</w:t>
              </w:r>
            </w:hyperlink>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740" w:type="dxa"/>
            <w:vAlign w:val="bottom"/>
            <w:tcBorders>
              <w:bottom w:val="single" w:sz="8" w:color="0000EE"/>
            </w:tcBorders>
            <w:gridSpan w:val="4"/>
          </w:tcPr>
          <w:p>
            <w:pPr>
              <w:spacing w:after="0" w:line="192"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Report on Form 8-K (File No. 001-37352) filed on April 21, 2017).</w:t>
              </w:r>
            </w:hyperlink>
          </w:p>
        </w:tc>
        <w:tc>
          <w:tcPr>
            <w:tcW w:w="2940" w:type="dxa"/>
            <w:vAlign w:val="bottom"/>
            <w:gridSpan w:val="24"/>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16"/>
                <w:szCs w:val="16"/>
                <w:color w:val="auto"/>
              </w:rPr>
            </w:pPr>
          </w:p>
        </w:tc>
        <w:tc>
          <w:tcPr>
            <w:tcW w:w="734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r:id="rId170">
              <w:r>
                <w:rPr>
                  <w:rFonts w:ascii="Arial" w:cs="Arial" w:eastAsia="Arial" w:hAnsi="Arial"/>
                  <w:sz w:val="18"/>
                  <w:szCs w:val="18"/>
                  <w:color w:val="0000EE"/>
                  <w:w w:val="88"/>
                </w:rPr>
                <w:t>Temasek Investment Agreement, dated April 20, 2017, by and between Virtu Financial, Inc. and Aranda</w:t>
              </w:r>
            </w:hyperlink>
          </w:p>
        </w:tc>
        <w:tc>
          <w:tcPr>
            <w:tcW w:w="340" w:type="dxa"/>
            <w:vAlign w:val="bottom"/>
            <w:gridSpan w:val="1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Investments Pte. Ltd. (incorporated herein by reference to Exhibit 2.2 to the Company’s Quarterly Report on</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20" w:type="dxa"/>
            <w:vAlign w:val="bottom"/>
            <w:tcBorders>
              <w:top w:val="single" w:sz="8" w:color="0000EE"/>
            </w:tcBorders>
            <w:gridSpan w:val="25"/>
          </w:tcPr>
          <w:p>
            <w:pPr>
              <w:spacing w:after="0" w:line="192" w:lineRule="exact"/>
              <w:rPr>
                <w:rFonts w:ascii="Arial" w:cs="Arial" w:eastAsia="Arial" w:hAnsi="Arial"/>
                <w:sz w:val="18"/>
                <w:szCs w:val="18"/>
                <w:color w:val="0000EE"/>
              </w:rPr>
            </w:pPr>
            <w:hyperlink r:id="rId170">
              <w:r>
                <w:rPr>
                  <w:rFonts w:ascii="Arial" w:cs="Arial" w:eastAsia="Arial" w:hAnsi="Arial"/>
                  <w:sz w:val="18"/>
                  <w:szCs w:val="18"/>
                  <w:color w:val="0000EE"/>
                </w:rPr>
                <w:t>Form 10-Q (File No. 001-37352) filed on May 10, 2017).</w:t>
              </w:r>
            </w:hyperlink>
          </w:p>
        </w:tc>
        <w:tc>
          <w:tcPr>
            <w:tcW w:w="60" w:type="dxa"/>
            <w:vAlign w:val="bottom"/>
            <w:gridSpan w:val="3"/>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3.1</w:t>
            </w: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Amended and Restated Certificate of Incorporation of the Registrant (incorporated herein by reference to</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86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40" w:type="dxa"/>
            <w:vAlign w:val="bottom"/>
            <w:tcBorders>
              <w:bottom w:val="single" w:sz="8" w:color="0000EE"/>
            </w:tcBorders>
            <w:gridSpan w:val="18"/>
          </w:tcPr>
          <w:p>
            <w:pPr>
              <w:spacing w:after="0" w:line="192"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Exhibit 3.1 to the Company’s Quarterly Report on Form 10-Q, as amended (File No. 001-37352), filed on</w:t>
              </w:r>
            </w:hyperlink>
          </w:p>
        </w:tc>
        <w:tc>
          <w:tcPr>
            <w:tcW w:w="240" w:type="dxa"/>
            <w:vAlign w:val="bottom"/>
            <w:gridSpan w:val="1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bottom w:val="single" w:sz="8" w:color="0000EE"/>
            </w:tcBorders>
          </w:tcPr>
          <w:p>
            <w:pPr>
              <w:spacing w:after="0" w:line="192" w:lineRule="exact"/>
              <w:rPr>
                <w:rFonts w:ascii="Arial" w:cs="Arial" w:eastAsia="Arial" w:hAnsi="Arial"/>
                <w:sz w:val="18"/>
                <w:szCs w:val="18"/>
                <w:color w:val="0000EE"/>
                <w:w w:val="86"/>
              </w:rPr>
            </w:pPr>
            <w:hyperlink r:id="rId171">
              <w:r>
                <w:rPr>
                  <w:rFonts w:ascii="Arial" w:cs="Arial" w:eastAsia="Arial" w:hAnsi="Arial"/>
                  <w:sz w:val="18"/>
                  <w:szCs w:val="18"/>
                  <w:color w:val="0000EE"/>
                  <w:w w:val="86"/>
                </w:rPr>
                <w:t>May 29, 2015).</w:t>
              </w:r>
            </w:hyperlink>
          </w:p>
        </w:tc>
        <w:tc>
          <w:tcPr>
            <w:tcW w:w="6620" w:type="dxa"/>
            <w:vAlign w:val="bottom"/>
            <w:gridSpan w:val="27"/>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6"/>
                <w:szCs w:val="16"/>
                <w:color w:val="auto"/>
              </w:rPr>
            </w:pPr>
          </w:p>
        </w:tc>
        <w:tc>
          <w:tcPr>
            <w:tcW w:w="7320" w:type="dxa"/>
            <w:vAlign w:val="bottom"/>
            <w:tcBorders>
              <w:bottom w:val="single" w:sz="8" w:color="0000EE"/>
            </w:tcBorders>
            <w:gridSpan w:val="13"/>
          </w:tcPr>
          <w:p>
            <w:pPr>
              <w:spacing w:after="0" w:line="192"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Amended and Restated By-laws of the Registrant (incorporated herein by reference to Exhibit 3.2 to the</w:t>
              </w:r>
            </w:hyperlink>
          </w:p>
        </w:tc>
        <w:tc>
          <w:tcPr>
            <w:tcW w:w="360" w:type="dxa"/>
            <w:vAlign w:val="bottom"/>
            <w:gridSpan w:val="1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00" w:type="dxa"/>
            <w:vAlign w:val="bottom"/>
            <w:tcBorders>
              <w:bottom w:val="single" w:sz="8" w:color="0000EE"/>
            </w:tcBorders>
            <w:gridSpan w:val="12"/>
          </w:tcPr>
          <w:p>
            <w:pPr>
              <w:spacing w:after="0" w:line="192"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Company’s Quarterly Report on Form 10-Q, as amended (File No. 001-37352), filed on May 29, 2015).</w:t>
              </w:r>
            </w:hyperlink>
          </w:p>
        </w:tc>
        <w:tc>
          <w:tcPr>
            <w:tcW w:w="380" w:type="dxa"/>
            <w:vAlign w:val="bottom"/>
            <w:gridSpan w:val="16"/>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Indenture, dated as of June 16, 2017, by and among Orchestra Borrower LLC, Orchestra Co-Issuer , Inc. and</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86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1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U.S. Bank National Association (incorporated herein by reference to Exhibit 4.1 to the Company’s Quarterly</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40" w:type="dxa"/>
            <w:vAlign w:val="bottom"/>
            <w:tcBorders>
              <w:top w:val="single" w:sz="8" w:color="0000EE"/>
            </w:tcBorders>
            <w:gridSpan w:val="26"/>
          </w:tcPr>
          <w:p>
            <w:pPr>
              <w:spacing w:after="0" w:line="192" w:lineRule="exact"/>
              <w:rPr>
                <w:rFonts w:ascii="Arial" w:cs="Arial" w:eastAsia="Arial" w:hAnsi="Arial"/>
                <w:sz w:val="18"/>
                <w:szCs w:val="18"/>
                <w:color w:val="0000EE"/>
              </w:rPr>
            </w:pPr>
            <w:hyperlink r:id="rId173">
              <w:r>
                <w:rPr>
                  <w:rFonts w:ascii="Arial" w:cs="Arial" w:eastAsia="Arial" w:hAnsi="Arial"/>
                  <w:sz w:val="18"/>
                  <w:szCs w:val="18"/>
                  <w:color w:val="0000EE"/>
                </w:rPr>
                <w:t>Report on Form 10-Q (File No. 001-37352) filed on August 9, 2017).</w:t>
              </w:r>
            </w:hyperlink>
          </w:p>
        </w:tc>
        <w:tc>
          <w:tcPr>
            <w:tcW w:w="40" w:type="dxa"/>
            <w:vAlign w:val="bottom"/>
            <w:gridSpan w:val="2"/>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860" w:type="dxa"/>
            <w:vAlign w:val="bottom"/>
            <w:gridSpan w:val="5"/>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0"/>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4.2</w:t>
            </w:r>
          </w:p>
        </w:tc>
        <w:tc>
          <w:tcPr>
            <w:tcW w:w="300" w:type="dxa"/>
            <w:vAlign w:val="bottom"/>
          </w:tcPr>
          <w:p>
            <w:pPr>
              <w:spacing w:after="0"/>
              <w:rPr>
                <w:sz w:val="16"/>
                <w:szCs w:val="16"/>
                <w:color w:val="auto"/>
              </w:rPr>
            </w:pPr>
          </w:p>
        </w:tc>
        <w:tc>
          <w:tcPr>
            <w:tcW w:w="700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r:id="rId174">
              <w:r>
                <w:rPr>
                  <w:rFonts w:ascii="Arial" w:cs="Arial" w:eastAsia="Arial" w:hAnsi="Arial"/>
                  <w:sz w:val="18"/>
                  <w:szCs w:val="18"/>
                  <w:color w:val="0000EE"/>
                  <w:w w:val="88"/>
                </w:rPr>
                <w:t>Escrow End Date Supplemental Indenture, dated as July 20, 2017, by and among VFH Parent LLC,</w:t>
              </w:r>
            </w:hyperlink>
          </w:p>
        </w:tc>
        <w:tc>
          <w:tcPr>
            <w:tcW w:w="680" w:type="dxa"/>
            <w:vAlign w:val="bottom"/>
            <w:gridSpan w:val="2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9"/>
              </w:rPr>
            </w:pPr>
            <w:hyperlink r:id="rId174">
              <w:r>
                <w:rPr>
                  <w:rFonts w:ascii="Arial" w:cs="Arial" w:eastAsia="Arial" w:hAnsi="Arial"/>
                  <w:sz w:val="18"/>
                  <w:szCs w:val="18"/>
                  <w:color w:val="0000EE"/>
                  <w:w w:val="99"/>
                </w:rPr>
                <w:t>Orchestra Borrower LLC, Orchestra Co-Issuer, Inc. Virtu Financial LLC, the other parties that are</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 w:lineRule="exact"/>
        <w:rPr>
          <w:sz w:val="20"/>
          <w:szCs w:val="20"/>
          <w:color w:val="auto"/>
        </w:rPr>
      </w:pPr>
    </w:p>
    <w:p>
      <w:pPr>
        <w:ind w:left="1360" w:right="220"/>
        <w:spacing w:after="0" w:line="254" w:lineRule="auto"/>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signatories thereto as Guarantors and U.S. Bank National Association (incorporated herein by reference to</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Exhibit 4.2 to the Company’s Quarterly Report on Form 10-Q (File No. 001-37352) filed on August 9,</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2017).</w:t>
        </w:r>
      </w:hyperlink>
    </w:p>
    <w:p>
      <w:pPr>
        <w:spacing w:after="0" w:line="295"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9" w:name="page140"/>
    <w:bookmarkEnd w:id="1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gridSpan w:val="22"/>
          </w:tcPr>
          <w:p>
            <w:pPr>
              <w:ind w:left="560"/>
              <w:spacing w:after="0"/>
              <w:rPr>
                <w:sz w:val="20"/>
                <w:szCs w:val="20"/>
                <w:color w:val="auto"/>
              </w:rPr>
            </w:pPr>
            <w:r>
              <w:rPr>
                <w:rFonts w:ascii="Arial" w:cs="Arial" w:eastAsia="Arial" w:hAnsi="Arial"/>
                <w:sz w:val="14"/>
                <w:szCs w:val="14"/>
                <w:b w:val="1"/>
                <w:bCs w:val="1"/>
                <w:color w:val="auto"/>
              </w:rPr>
              <w:t>Description</w:t>
            </w:r>
          </w:p>
        </w:tc>
      </w:tr>
      <w:tr>
        <w:trPr>
          <w:trHeight w:val="165"/>
        </w:trPr>
        <w:tc>
          <w:tcPr>
            <w:tcW w:w="20" w:type="dxa"/>
            <w:vAlign w:val="bottom"/>
          </w:tcPr>
          <w:p>
            <w:pPr>
              <w:spacing w:after="0"/>
              <w:rPr>
                <w:sz w:val="14"/>
                <w:szCs w:val="14"/>
                <w:color w:val="auto"/>
              </w:rPr>
            </w:pPr>
          </w:p>
        </w:tc>
        <w:tc>
          <w:tcPr>
            <w:tcW w:w="1060" w:type="dxa"/>
            <w:vAlign w:val="bottom"/>
            <w:tcBorders>
              <w:top w:val="single" w:sz="8" w:color="auto"/>
            </w:tcBorders>
          </w:tcPr>
          <w:p>
            <w:pPr>
              <w:spacing w:after="0" w:line="165"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60" w:type="dxa"/>
            <w:vAlign w:val="bottom"/>
            <w:tcBorders>
              <w:top w:val="single" w:sz="8" w:color="auto"/>
            </w:tcBorders>
            <w:gridSpan w:val="27"/>
          </w:tcPr>
          <w:p>
            <w:pPr>
              <w:spacing w:after="0" w:line="165" w:lineRule="exact"/>
              <w:rPr>
                <w:rFonts w:ascii="Arial" w:cs="Arial" w:eastAsia="Arial" w:hAnsi="Arial"/>
                <w:sz w:val="18"/>
                <w:szCs w:val="18"/>
                <w:color w:val="0000EE"/>
                <w:w w:val="93"/>
              </w:rPr>
            </w:pPr>
            <w:hyperlink r:id="rId176">
              <w:r>
                <w:rPr>
                  <w:rFonts w:ascii="Arial" w:cs="Arial" w:eastAsia="Arial" w:hAnsi="Arial"/>
                  <w:sz w:val="18"/>
                  <w:szCs w:val="18"/>
                  <w:color w:val="0000EE"/>
                  <w:w w:val="93"/>
                </w:rPr>
                <w:t>Form of Indemnification Agreement (incorporated herein by reference to Exhibit 10.2 to the Company’s</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2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Amendment No. 2 to Form S-1 Registration Statement (File No. 333-194473) filed on February 20, 2015).</w:t>
              </w:r>
            </w:hyperlink>
          </w:p>
        </w:tc>
        <w:tc>
          <w:tcPr>
            <w:tcW w:w="160" w:type="dxa"/>
            <w:vAlign w:val="bottom"/>
            <w:gridSpan w:val="6"/>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6"/>
                <w:szCs w:val="16"/>
                <w:color w:val="auto"/>
              </w:rPr>
            </w:pPr>
          </w:p>
        </w:tc>
        <w:tc>
          <w:tcPr>
            <w:tcW w:w="7480" w:type="dxa"/>
            <w:vAlign w:val="bottom"/>
            <w:tcBorders>
              <w:bottom w:val="single" w:sz="8" w:color="0000EE"/>
            </w:tcBorders>
            <w:gridSpan w:val="21"/>
          </w:tcPr>
          <w:p>
            <w:pPr>
              <w:spacing w:after="0" w:line="192" w:lineRule="exact"/>
              <w:rPr>
                <w:rFonts w:ascii="Arial" w:cs="Arial" w:eastAsia="Arial" w:hAnsi="Arial"/>
                <w:sz w:val="18"/>
                <w:szCs w:val="18"/>
                <w:color w:val="0000EE"/>
                <w:w w:val="88"/>
              </w:rPr>
            </w:pPr>
            <w:hyperlink r:id="rId177">
              <w:r>
                <w:rPr>
                  <w:rFonts w:ascii="Arial" w:cs="Arial" w:eastAsia="Arial" w:hAnsi="Arial"/>
                  <w:sz w:val="18"/>
                  <w:szCs w:val="18"/>
                  <w:color w:val="0000EE"/>
                  <w:w w:val="88"/>
                </w:rPr>
                <w:t>Employment Agreement, dated as of August 7, 2013, by and between Virtu Financial, Inc. and Mr. Joseph</w:t>
              </w:r>
            </w:hyperlink>
          </w:p>
        </w:tc>
        <w:tc>
          <w:tcPr>
            <w:tcW w:w="200" w:type="dxa"/>
            <w:vAlign w:val="bottom"/>
            <w:gridSpan w:val="7"/>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40" w:type="dxa"/>
            <w:vAlign w:val="bottom"/>
            <w:tcBorders>
              <w:bottom w:val="single" w:sz="8" w:color="0000EE"/>
            </w:tcBorders>
            <w:gridSpan w:val="26"/>
          </w:tcPr>
          <w:p>
            <w:pPr>
              <w:spacing w:after="0" w:line="192"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Molluso (incorporated herein by reference to Exhibit 10.23 to the Company’s Amendment No. 1 to Form S-</w:t>
              </w:r>
            </w:hyperlink>
          </w:p>
        </w:tc>
        <w:tc>
          <w:tcPr>
            <w:tcW w:w="40" w:type="dxa"/>
            <w:vAlign w:val="bottom"/>
            <w:gridSpan w:val="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rPr>
            </w:pPr>
            <w:hyperlink r:id="rId177">
              <w:r>
                <w:rPr>
                  <w:rFonts w:ascii="Arial" w:cs="Arial" w:eastAsia="Arial" w:hAnsi="Arial"/>
                  <w:sz w:val="18"/>
                  <w:szCs w:val="18"/>
                  <w:color w:val="0000EE"/>
                </w:rPr>
                <w:t>1 Registration Statement (File No. 333-194473) filed on March 26, 2014)</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10.3†</w:t>
            </w:r>
          </w:p>
        </w:tc>
        <w:tc>
          <w:tcPr>
            <w:tcW w:w="300" w:type="dxa"/>
            <w:vAlign w:val="bottom"/>
          </w:tcPr>
          <w:p>
            <w:pPr>
              <w:spacing w:after="0"/>
              <w:rPr>
                <w:sz w:val="16"/>
                <w:szCs w:val="16"/>
                <w:color w:val="auto"/>
              </w:rPr>
            </w:pPr>
          </w:p>
        </w:tc>
        <w:tc>
          <w:tcPr>
            <w:tcW w:w="752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Employment Agreement, dated as of April 15, 2015, by and between Virtu Financial, Inc. and Mr. Vincent</w:t>
              </w:r>
            </w:hyperlink>
          </w:p>
        </w:tc>
        <w:tc>
          <w:tcPr>
            <w:tcW w:w="160" w:type="dxa"/>
            <w:vAlign w:val="bottom"/>
            <w:gridSpan w:val="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Viola (incorporated herein by reference to Exhibit 10.14 to the Company’s Quarterly Report on Form 10-Q,</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20" w:type="dxa"/>
            <w:vAlign w:val="bottom"/>
            <w:tcBorders>
              <w:top w:val="single" w:sz="8" w:color="0000EE"/>
            </w:tcBorders>
            <w:gridSpan w:val="22"/>
          </w:tcPr>
          <w:p>
            <w:pPr>
              <w:spacing w:after="0" w:line="192" w:lineRule="exact"/>
              <w:rPr>
                <w:rFonts w:ascii="Arial" w:cs="Arial" w:eastAsia="Arial" w:hAnsi="Arial"/>
                <w:sz w:val="18"/>
                <w:szCs w:val="18"/>
                <w:color w:val="0000EE"/>
              </w:rPr>
            </w:pPr>
            <w:hyperlink r:id="rId178">
              <w:r>
                <w:rPr>
                  <w:rFonts w:ascii="Arial" w:cs="Arial" w:eastAsia="Arial" w:hAnsi="Arial"/>
                  <w:sz w:val="18"/>
                  <w:szCs w:val="18"/>
                  <w:color w:val="0000EE"/>
                </w:rPr>
                <w:t>as amended, (File No. 001-37352) filed on May 29, 2015).</w:t>
              </w:r>
            </w:hyperlink>
          </w:p>
        </w:tc>
        <w:tc>
          <w:tcPr>
            <w:tcW w:w="160" w:type="dxa"/>
            <w:vAlign w:val="bottom"/>
            <w:gridSpan w:val="6"/>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10.4†*</w:t>
            </w: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2"/>
              </w:rPr>
            </w:pPr>
            <w:hyperlink w:anchor="page356">
              <w:r>
                <w:rPr>
                  <w:rFonts w:ascii="Arial" w:cs="Arial" w:eastAsia="Arial" w:hAnsi="Arial"/>
                  <w:sz w:val="18"/>
                  <w:szCs w:val="18"/>
                  <w:color w:val="0000EE"/>
                  <w:w w:val="92"/>
                </w:rPr>
                <w:t>Amended and Restated Employment Agreement, dated as of November 15, 2017, by and between Virtu</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80" w:type="dxa"/>
            <w:vAlign w:val="bottom"/>
            <w:tcBorders>
              <w:top w:val="single" w:sz="8" w:color="0000EE"/>
            </w:tcBorders>
            <w:gridSpan w:val="15"/>
          </w:tcPr>
          <w:p>
            <w:pPr>
              <w:spacing w:after="0" w:line="192" w:lineRule="exact"/>
              <w:rPr>
                <w:rFonts w:ascii="Arial" w:cs="Arial" w:eastAsia="Arial" w:hAnsi="Arial"/>
                <w:sz w:val="18"/>
                <w:szCs w:val="18"/>
                <w:color w:val="0000EE"/>
              </w:rPr>
            </w:pPr>
            <w:hyperlink w:anchor="page356">
              <w:r>
                <w:rPr>
                  <w:rFonts w:ascii="Arial" w:cs="Arial" w:eastAsia="Arial" w:hAnsi="Arial"/>
                  <w:sz w:val="18"/>
                  <w:szCs w:val="18"/>
                  <w:color w:val="0000EE"/>
                </w:rPr>
                <w:t>Financial, Inc. and Mr. Douglas A. Cifu.</w:t>
              </w:r>
            </w:hyperlink>
          </w:p>
        </w:tc>
        <w:tc>
          <w:tcPr>
            <w:tcW w:w="400" w:type="dxa"/>
            <w:vAlign w:val="bottom"/>
            <w:gridSpan w:val="13"/>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6"/>
                <w:szCs w:val="16"/>
                <w:color w:val="auto"/>
              </w:rPr>
            </w:pPr>
          </w:p>
        </w:tc>
        <w:tc>
          <w:tcPr>
            <w:tcW w:w="7600" w:type="dxa"/>
            <w:vAlign w:val="bottom"/>
            <w:tcBorders>
              <w:bottom w:val="single" w:sz="8" w:color="0000EE"/>
            </w:tcBorders>
            <w:gridSpan w:val="24"/>
          </w:tcPr>
          <w:p>
            <w:pPr>
              <w:spacing w:after="0" w:line="192"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Virtu Financial, Inc. 2015 Management Incentive Plan Employee Restricted Stock Unit and Common Stock</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tcBorders>
              <w:bottom w:val="single" w:sz="8" w:color="0000EE"/>
            </w:tcBorders>
            <w:gridSpan w:val="28"/>
          </w:tcPr>
          <w:p>
            <w:pPr>
              <w:spacing w:after="0" w:line="192" w:lineRule="exact"/>
              <w:rPr>
                <w:rFonts w:ascii="Arial" w:cs="Arial" w:eastAsia="Arial" w:hAnsi="Arial"/>
                <w:sz w:val="18"/>
                <w:szCs w:val="18"/>
                <w:color w:val="0000EE"/>
                <w:w w:val="88"/>
              </w:rPr>
            </w:pPr>
            <w:hyperlink r:id="rId179">
              <w:r>
                <w:rPr>
                  <w:rFonts w:ascii="Arial" w:cs="Arial" w:eastAsia="Arial" w:hAnsi="Arial"/>
                  <w:sz w:val="18"/>
                  <w:szCs w:val="18"/>
                  <w:color w:val="0000EE"/>
                  <w:w w:val="88"/>
                </w:rPr>
                <w:t>Award Agreement, dated as of December 31, 2015, by and between Virtu Financial, Inc. and Joseph Molluso</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2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(incorporated herein by reference to Exhibit 10.12 to the Company’s Quarterly Report on Form 10-Q, (File</w:t>
              </w:r>
            </w:hyperlink>
          </w:p>
        </w:tc>
        <w:tc>
          <w:tcPr>
            <w:tcW w:w="160" w:type="dxa"/>
            <w:vAlign w:val="bottom"/>
            <w:gridSpan w:val="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tcBorders>
              <w:bottom w:val="single" w:sz="8" w:color="0000EE"/>
            </w:tcBorders>
            <w:gridSpan w:val="6"/>
          </w:tcPr>
          <w:p>
            <w:pPr>
              <w:spacing w:after="0" w:line="192"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No. 001-37352) filed on August 9, 2017).</w:t>
              </w:r>
            </w:hyperlink>
          </w:p>
        </w:tc>
        <w:tc>
          <w:tcPr>
            <w:tcW w:w="4760" w:type="dxa"/>
            <w:vAlign w:val="bottom"/>
            <w:gridSpan w:val="22"/>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10.6†</w:t>
            </w:r>
          </w:p>
        </w:tc>
        <w:tc>
          <w:tcPr>
            <w:tcW w:w="300" w:type="dxa"/>
            <w:vAlign w:val="bottom"/>
          </w:tcPr>
          <w:p>
            <w:pPr>
              <w:spacing w:after="0"/>
              <w:rPr>
                <w:sz w:val="16"/>
                <w:szCs w:val="16"/>
                <w:color w:val="auto"/>
              </w:rPr>
            </w:pPr>
          </w:p>
        </w:tc>
        <w:tc>
          <w:tcPr>
            <w:tcW w:w="7600" w:type="dxa"/>
            <w:vAlign w:val="bottom"/>
            <w:tcBorders>
              <w:bottom w:val="single" w:sz="8" w:color="0000EE"/>
            </w:tcBorders>
            <w:gridSpan w:val="24"/>
          </w:tcPr>
          <w:p>
            <w:pPr>
              <w:spacing w:after="0" w:line="192"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Virtu Financial, Inc. 2015 Management Incentive Plan Employee Restricted Stock Unit and Common Stock</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tcBorders>
              <w:bottom w:val="single" w:sz="8" w:color="0000EE"/>
            </w:tcBorders>
            <w:gridSpan w:val="28"/>
          </w:tcPr>
          <w:p>
            <w:pPr>
              <w:spacing w:after="0" w:line="192" w:lineRule="exact"/>
              <w:rPr>
                <w:rFonts w:ascii="Arial" w:cs="Arial" w:eastAsia="Arial" w:hAnsi="Arial"/>
                <w:sz w:val="18"/>
                <w:szCs w:val="18"/>
                <w:color w:val="0000EE"/>
                <w:w w:val="88"/>
              </w:rPr>
            </w:pPr>
            <w:hyperlink r:id="rId180">
              <w:r>
                <w:rPr>
                  <w:rFonts w:ascii="Arial" w:cs="Arial" w:eastAsia="Arial" w:hAnsi="Arial"/>
                  <w:sz w:val="18"/>
                  <w:szCs w:val="18"/>
                  <w:color w:val="0000EE"/>
                  <w:w w:val="88"/>
                </w:rPr>
                <w:t>Award Agreement, dated as of December 31, 2016, by and between Virtu Financial, Inc. and Joseph Molluso</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80" w:type="dxa"/>
            <w:vAlign w:val="bottom"/>
            <w:tcBorders>
              <w:bottom w:val="single" w:sz="8" w:color="0000EE"/>
            </w:tcBorders>
            <w:gridSpan w:val="21"/>
          </w:tcPr>
          <w:p>
            <w:pPr>
              <w:spacing w:after="0" w:line="192"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(incorporated herein by reference to Exhibit 10.13 to the Company’s Quarterly Report on Form 10-Q (File</w:t>
              </w:r>
            </w:hyperlink>
          </w:p>
        </w:tc>
        <w:tc>
          <w:tcPr>
            <w:tcW w:w="200" w:type="dxa"/>
            <w:vAlign w:val="bottom"/>
            <w:gridSpan w:val="7"/>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tcBorders>
              <w:bottom w:val="single" w:sz="8" w:color="0000EE"/>
            </w:tcBorders>
            <w:gridSpan w:val="6"/>
          </w:tcPr>
          <w:p>
            <w:pPr>
              <w:spacing w:after="0" w:line="192"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No. 001-37352) filed on August 9, 2017).</w:t>
              </w:r>
            </w:hyperlink>
          </w:p>
        </w:tc>
        <w:tc>
          <w:tcPr>
            <w:tcW w:w="4760" w:type="dxa"/>
            <w:vAlign w:val="bottom"/>
            <w:gridSpan w:val="22"/>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10.7†*</w:t>
            </w:r>
          </w:p>
        </w:tc>
        <w:tc>
          <w:tcPr>
            <w:tcW w:w="300" w:type="dxa"/>
            <w:vAlign w:val="bottom"/>
          </w:tcPr>
          <w:p>
            <w:pPr>
              <w:spacing w:after="0"/>
              <w:rPr>
                <w:sz w:val="16"/>
                <w:szCs w:val="16"/>
                <w:color w:val="auto"/>
              </w:rPr>
            </w:pPr>
          </w:p>
        </w:tc>
        <w:tc>
          <w:tcPr>
            <w:tcW w:w="7040" w:type="dxa"/>
            <w:vAlign w:val="bottom"/>
            <w:tcBorders>
              <w:bottom w:val="single" w:sz="8" w:color="0000EE"/>
            </w:tcBorders>
            <w:gridSpan w:val="13"/>
          </w:tcPr>
          <w:p>
            <w:pPr>
              <w:spacing w:after="0" w:line="192" w:lineRule="exact"/>
              <w:rPr>
                <w:rFonts w:ascii="Arial" w:cs="Arial" w:eastAsia="Arial" w:hAnsi="Arial"/>
                <w:sz w:val="18"/>
                <w:szCs w:val="18"/>
                <w:color w:val="0000EE"/>
                <w:w w:val="87"/>
              </w:rPr>
            </w:pPr>
            <w:hyperlink w:anchor="page382">
              <w:r>
                <w:rPr>
                  <w:rFonts w:ascii="Arial" w:cs="Arial" w:eastAsia="Arial" w:hAnsi="Arial"/>
                  <w:sz w:val="18"/>
                  <w:szCs w:val="18"/>
                  <w:color w:val="0000EE"/>
                  <w:w w:val="87"/>
                </w:rPr>
                <w:t>Confidential Separation Agreement, Interest Repurchase and General Release of Claims, dated as of</w:t>
              </w:r>
            </w:hyperlink>
          </w:p>
        </w:tc>
        <w:tc>
          <w:tcPr>
            <w:tcW w:w="640" w:type="dxa"/>
            <w:vAlign w:val="bottom"/>
            <w:gridSpan w:val="1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0" w:type="dxa"/>
            <w:vAlign w:val="bottom"/>
            <w:tcBorders>
              <w:bottom w:val="single" w:sz="8" w:color="0000EE"/>
            </w:tcBorders>
            <w:gridSpan w:val="11"/>
          </w:tcPr>
          <w:p>
            <w:pPr>
              <w:spacing w:after="0" w:line="192" w:lineRule="exact"/>
              <w:rPr>
                <w:rFonts w:ascii="Arial" w:cs="Arial" w:eastAsia="Arial" w:hAnsi="Arial"/>
                <w:sz w:val="18"/>
                <w:szCs w:val="18"/>
                <w:color w:val="0000EE"/>
                <w:w w:val="87"/>
              </w:rPr>
            </w:pPr>
            <w:hyperlink w:anchor="page382">
              <w:r>
                <w:rPr>
                  <w:rFonts w:ascii="Arial" w:cs="Arial" w:eastAsia="Arial" w:hAnsi="Arial"/>
                  <w:sz w:val="18"/>
                  <w:szCs w:val="18"/>
                  <w:color w:val="0000EE"/>
                  <w:w w:val="87"/>
                </w:rPr>
                <w:t>September 11, 2017, by and between Virtu Financial Inc. and Mr. Venu Palaparthi.</w:t>
              </w:r>
            </w:hyperlink>
          </w:p>
        </w:tc>
        <w:tc>
          <w:tcPr>
            <w:tcW w:w="1880" w:type="dxa"/>
            <w:vAlign w:val="bottom"/>
            <w:gridSpan w:val="17"/>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10.8†*</w:t>
            </w:r>
          </w:p>
        </w:tc>
        <w:tc>
          <w:tcPr>
            <w:tcW w:w="300" w:type="dxa"/>
            <w:vAlign w:val="bottom"/>
          </w:tcPr>
          <w:p>
            <w:pPr>
              <w:spacing w:after="0"/>
              <w:rPr>
                <w:sz w:val="16"/>
                <w:szCs w:val="16"/>
                <w:color w:val="auto"/>
              </w:rPr>
            </w:pPr>
          </w:p>
        </w:tc>
        <w:tc>
          <w:tcPr>
            <w:tcW w:w="7600" w:type="dxa"/>
            <w:vAlign w:val="bottom"/>
            <w:tcBorders>
              <w:bottom w:val="single" w:sz="8" w:color="0000EE"/>
            </w:tcBorders>
            <w:gridSpan w:val="24"/>
          </w:tcPr>
          <w:p>
            <w:pPr>
              <w:spacing w:after="0" w:line="192" w:lineRule="exact"/>
              <w:rPr>
                <w:rFonts w:ascii="Arial" w:cs="Arial" w:eastAsia="Arial" w:hAnsi="Arial"/>
                <w:sz w:val="18"/>
                <w:szCs w:val="18"/>
                <w:color w:val="0000EE"/>
                <w:w w:val="89"/>
              </w:rPr>
            </w:pPr>
            <w:hyperlink w:anchor="page396">
              <w:r>
                <w:rPr>
                  <w:rFonts w:ascii="Arial" w:cs="Arial" w:eastAsia="Arial" w:hAnsi="Arial"/>
                  <w:sz w:val="18"/>
                  <w:szCs w:val="18"/>
                  <w:color w:val="0000EE"/>
                  <w:w w:val="89"/>
                </w:rPr>
                <w:t>Virtu Financial, Inc. 2015 Management Incentive Plan Employee Restricted Stock Unit and Common Stock</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89"/>
              </w:rPr>
            </w:pPr>
            <w:hyperlink w:anchor="page396">
              <w:r>
                <w:rPr>
                  <w:rFonts w:ascii="Arial" w:cs="Arial" w:eastAsia="Arial" w:hAnsi="Arial"/>
                  <w:sz w:val="18"/>
                  <w:szCs w:val="18"/>
                  <w:color w:val="0000EE"/>
                  <w:w w:val="89"/>
                </w:rPr>
                <w:t>Award Agreement, dated as of January 23, 2018, by and between Virtu Financial, Inc. and Joseph Molluso.</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10.9†*</w:t>
            </w:r>
          </w:p>
        </w:tc>
        <w:tc>
          <w:tcPr>
            <w:tcW w:w="300" w:type="dxa"/>
            <w:vAlign w:val="bottom"/>
          </w:tcPr>
          <w:p>
            <w:pPr>
              <w:spacing w:after="0"/>
              <w:rPr>
                <w:sz w:val="16"/>
                <w:szCs w:val="16"/>
                <w:color w:val="auto"/>
              </w:rPr>
            </w:pPr>
          </w:p>
        </w:tc>
        <w:tc>
          <w:tcPr>
            <w:tcW w:w="7600" w:type="dxa"/>
            <w:vAlign w:val="bottom"/>
            <w:tcBorders>
              <w:bottom w:val="single" w:sz="8" w:color="0000EE"/>
            </w:tcBorders>
            <w:gridSpan w:val="24"/>
          </w:tcPr>
          <w:p>
            <w:pPr>
              <w:spacing w:after="0" w:line="192" w:lineRule="exact"/>
              <w:rPr>
                <w:rFonts w:ascii="Arial" w:cs="Arial" w:eastAsia="Arial" w:hAnsi="Arial"/>
                <w:sz w:val="18"/>
                <w:szCs w:val="18"/>
                <w:color w:val="0000EE"/>
                <w:w w:val="89"/>
              </w:rPr>
            </w:pPr>
            <w:hyperlink w:anchor="page403">
              <w:r>
                <w:rPr>
                  <w:rFonts w:ascii="Arial" w:cs="Arial" w:eastAsia="Arial" w:hAnsi="Arial"/>
                  <w:sz w:val="18"/>
                  <w:szCs w:val="18"/>
                  <w:color w:val="0000EE"/>
                  <w:w w:val="89"/>
                </w:rPr>
                <w:t>Virtu Financial, Inc. 2015 Management Incentive Plan Employee Restricted Stock Unit and Common Stock</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80" w:type="dxa"/>
            <w:vAlign w:val="bottom"/>
            <w:tcBorders>
              <w:bottom w:val="single" w:sz="8" w:color="0000EE"/>
            </w:tcBorders>
            <w:gridSpan w:val="23"/>
          </w:tcPr>
          <w:p>
            <w:pPr>
              <w:spacing w:after="0" w:line="192" w:lineRule="exact"/>
              <w:rPr>
                <w:rFonts w:ascii="Arial" w:cs="Arial" w:eastAsia="Arial" w:hAnsi="Arial"/>
                <w:sz w:val="18"/>
                <w:szCs w:val="18"/>
                <w:color w:val="0000EE"/>
                <w:w w:val="88"/>
              </w:rPr>
            </w:pPr>
            <w:hyperlink w:anchor="page403">
              <w:r>
                <w:rPr>
                  <w:rFonts w:ascii="Arial" w:cs="Arial" w:eastAsia="Arial" w:hAnsi="Arial"/>
                  <w:sz w:val="18"/>
                  <w:szCs w:val="18"/>
                  <w:color w:val="0000EE"/>
                  <w:w w:val="88"/>
                </w:rPr>
                <w:t>Award Agreement, dated as of January 23, 2018, by and between Virtu Financial, Inc. and Douglas A. Cifu.</w:t>
              </w:r>
            </w:hyperlink>
          </w:p>
        </w:tc>
        <w:tc>
          <w:tcPr>
            <w:tcW w:w="100" w:type="dxa"/>
            <w:vAlign w:val="bottom"/>
            <w:gridSpan w:val="5"/>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10.10†*</w:t>
            </w:r>
          </w:p>
        </w:tc>
        <w:tc>
          <w:tcPr>
            <w:tcW w:w="300" w:type="dxa"/>
            <w:vAlign w:val="bottom"/>
          </w:tcPr>
          <w:p>
            <w:pPr>
              <w:spacing w:after="0"/>
              <w:rPr>
                <w:sz w:val="16"/>
                <w:szCs w:val="16"/>
                <w:color w:val="auto"/>
              </w:rPr>
            </w:pPr>
          </w:p>
        </w:tc>
        <w:tc>
          <w:tcPr>
            <w:tcW w:w="7460" w:type="dxa"/>
            <w:vAlign w:val="bottom"/>
            <w:tcBorders>
              <w:bottom w:val="single" w:sz="8" w:color="0000EE"/>
            </w:tcBorders>
            <w:gridSpan w:val="20"/>
          </w:tcPr>
          <w:p>
            <w:pPr>
              <w:spacing w:after="0" w:line="192"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Virtu Financial, Inc. 2015 Amended and Restated Management Incentive Plan Employee Restricted Stock</w:t>
              </w:r>
            </w:hyperlink>
          </w:p>
        </w:tc>
        <w:tc>
          <w:tcPr>
            <w:tcW w:w="220" w:type="dxa"/>
            <w:vAlign w:val="bottom"/>
            <w:gridSpan w:val="8"/>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80" w:type="dxa"/>
            <w:vAlign w:val="bottom"/>
            <w:tcBorders>
              <w:bottom w:val="single" w:sz="8" w:color="0000EE"/>
            </w:tcBorders>
            <w:gridSpan w:val="23"/>
          </w:tcPr>
          <w:p>
            <w:pPr>
              <w:spacing w:after="0" w:line="192"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Award Agreement, dated as of February 2, 2018, by and between Virtu Financial, Inc. and Douglas A. Cifu.</w:t>
              </w:r>
            </w:hyperlink>
          </w:p>
        </w:tc>
        <w:tc>
          <w:tcPr>
            <w:tcW w:w="100" w:type="dxa"/>
            <w:vAlign w:val="bottom"/>
            <w:gridSpan w:val="5"/>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10.11</w:t>
            </w:r>
          </w:p>
        </w:tc>
        <w:tc>
          <w:tcPr>
            <w:tcW w:w="300" w:type="dxa"/>
            <w:vAlign w:val="bottom"/>
          </w:tcPr>
          <w:p>
            <w:pPr>
              <w:spacing w:after="0"/>
              <w:rPr>
                <w:sz w:val="16"/>
                <w:szCs w:val="16"/>
                <w:color w:val="auto"/>
              </w:rPr>
            </w:pPr>
          </w:p>
        </w:tc>
        <w:tc>
          <w:tcPr>
            <w:tcW w:w="7660" w:type="dxa"/>
            <w:vAlign w:val="bottom"/>
            <w:tcBorders>
              <w:bottom w:val="single" w:sz="8" w:color="0000EE"/>
            </w:tcBorders>
            <w:gridSpan w:val="27"/>
          </w:tcPr>
          <w:p>
            <w:pPr>
              <w:spacing w:after="0" w:line="192"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Fourth Amended and Restated Credit Agreement, dated June 30, 2017, by and between Virtu Financial LLC,</w:t>
              </w:r>
            </w:hyperlink>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80" w:type="dxa"/>
            <w:vAlign w:val="bottom"/>
            <w:tcBorders>
              <w:bottom w:val="single" w:sz="8" w:color="0000EE"/>
            </w:tcBorders>
            <w:gridSpan w:val="14"/>
          </w:tcPr>
          <w:p>
            <w:pPr>
              <w:spacing w:after="0" w:line="192"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VFH Parent LLC, the lenders party thereto and JPMorgan Chase Bank, N.A. (incorporated herein by</w:t>
              </w:r>
            </w:hyperlink>
          </w:p>
        </w:tc>
        <w:tc>
          <w:tcPr>
            <w:tcW w:w="600" w:type="dxa"/>
            <w:vAlign w:val="bottom"/>
            <w:gridSpan w:val="1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2"/>
              </w:rPr>
            </w:pPr>
            <w:hyperlink r:id="rId181">
              <w:r>
                <w:rPr>
                  <w:rFonts w:ascii="Arial" w:cs="Arial" w:eastAsia="Arial" w:hAnsi="Arial"/>
                  <w:sz w:val="18"/>
                  <w:szCs w:val="18"/>
                  <w:color w:val="0000EE"/>
                  <w:w w:val="92"/>
                </w:rPr>
                <w:t>reference to Exhibit 10.5 to the Company’s Quarterly Report on Form 10-Q (File No. 001-37352) filed on</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6"/>
              </w:rPr>
            </w:pPr>
            <w:hyperlink r:id="rId181">
              <w:r>
                <w:rPr>
                  <w:rFonts w:ascii="Arial" w:cs="Arial" w:eastAsia="Arial" w:hAnsi="Arial"/>
                  <w:sz w:val="18"/>
                  <w:szCs w:val="18"/>
                  <w:color w:val="0000EE"/>
                  <w:w w:val="86"/>
                </w:rPr>
                <w:t>August 9, 2017).</w:t>
              </w:r>
            </w:hyperlink>
          </w:p>
        </w:tc>
        <w:tc>
          <w:tcPr>
            <w:tcW w:w="6280" w:type="dxa"/>
            <w:vAlign w:val="bottom"/>
            <w:tcBorders>
              <w:top w:val="single" w:sz="8" w:color="0000EE"/>
            </w:tcBorders>
            <w:gridSpan w:val="16"/>
          </w:tcPr>
          <w:p>
            <w:pPr>
              <w:spacing w:after="0"/>
              <w:rPr>
                <w:sz w:val="16"/>
                <w:szCs w:val="16"/>
                <w:color w:val="auto"/>
              </w:rPr>
            </w:pPr>
          </w:p>
        </w:tc>
        <w:tc>
          <w:tcPr>
            <w:tcW w:w="240" w:type="dxa"/>
            <w:vAlign w:val="bottom"/>
            <w:gridSpan w:val="9"/>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10.12</w:t>
            </w: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Escrow Credit Agreement, dated as of June 30, 2017, by and between Orchestra Borrower LLC, the lenders</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0" w:type="dxa"/>
            <w:vAlign w:val="bottom"/>
            <w:tcBorders>
              <w:bottom w:val="single" w:sz="8" w:color="0000EE"/>
            </w:tcBorders>
            <w:gridSpan w:val="24"/>
          </w:tcPr>
          <w:p>
            <w:pPr>
              <w:spacing w:after="0" w:line="192" w:lineRule="exact"/>
              <w:rPr>
                <w:rFonts w:ascii="Arial" w:cs="Arial" w:eastAsia="Arial" w:hAnsi="Arial"/>
                <w:sz w:val="18"/>
                <w:szCs w:val="18"/>
                <w:color w:val="0000EE"/>
                <w:w w:val="88"/>
              </w:rPr>
            </w:pPr>
            <w:hyperlink r:id="rId182">
              <w:r>
                <w:rPr>
                  <w:rFonts w:ascii="Arial" w:cs="Arial" w:eastAsia="Arial" w:hAnsi="Arial"/>
                  <w:sz w:val="18"/>
                  <w:szCs w:val="18"/>
                  <w:color w:val="0000EE"/>
                  <w:w w:val="88"/>
                </w:rPr>
                <w:t>party thereto and JPMorgan Chase Bank, N.A. as Administrative Agent (incorporated herein by reference to</w:t>
              </w:r>
            </w:hyperlink>
          </w:p>
        </w:tc>
        <w:tc>
          <w:tcPr>
            <w:tcW w:w="8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00" w:type="dxa"/>
            <w:vAlign w:val="bottom"/>
            <w:tcBorders>
              <w:bottom w:val="single" w:sz="8" w:color="0000EE"/>
            </w:tcBorders>
            <w:gridSpan w:val="16"/>
          </w:tcPr>
          <w:p>
            <w:pPr>
              <w:spacing w:after="0" w:line="192"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Exhibit 10.9 to the Company’s Quarterly Report on Form 10-Q (File No. 001-37352) filed on August 9,</w:t>
              </w:r>
            </w:hyperlink>
          </w:p>
        </w:tc>
        <w:tc>
          <w:tcPr>
            <w:tcW w:w="380" w:type="dxa"/>
            <w:vAlign w:val="bottom"/>
            <w:gridSpan w:val="1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3"/>
          </w:tcPr>
          <w:p>
            <w:pPr>
              <w:ind w:left="280"/>
              <w:spacing w:after="0" w:line="192" w:lineRule="exact"/>
              <w:rPr>
                <w:rFonts w:ascii="Arial" w:cs="Arial" w:eastAsia="Arial" w:hAnsi="Arial"/>
                <w:sz w:val="18"/>
                <w:szCs w:val="18"/>
                <w:color w:val="0000EE"/>
                <w:w w:val="82"/>
              </w:rPr>
            </w:pPr>
            <w:hyperlink r:id="rId182">
              <w:r>
                <w:rPr>
                  <w:rFonts w:ascii="Arial" w:cs="Arial" w:eastAsia="Arial" w:hAnsi="Arial"/>
                  <w:sz w:val="18"/>
                  <w:szCs w:val="18"/>
                  <w:color w:val="0000EE"/>
                  <w:w w:val="82"/>
                </w:rPr>
                <w:t>2017).</w:t>
              </w:r>
            </w:hyperlink>
          </w:p>
        </w:tc>
        <w:tc>
          <w:tcPr>
            <w:tcW w:w="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10.13</w:t>
            </w:r>
          </w:p>
        </w:tc>
        <w:tc>
          <w:tcPr>
            <w:tcW w:w="300" w:type="dxa"/>
            <w:vAlign w:val="bottom"/>
          </w:tcPr>
          <w:p>
            <w:pPr>
              <w:spacing w:after="0"/>
              <w:rPr>
                <w:sz w:val="16"/>
                <w:szCs w:val="16"/>
                <w:color w:val="auto"/>
              </w:rPr>
            </w:pPr>
          </w:p>
        </w:tc>
        <w:tc>
          <w:tcPr>
            <w:tcW w:w="6760" w:type="dxa"/>
            <w:vAlign w:val="bottom"/>
            <w:tcBorders>
              <w:bottom w:val="single" w:sz="8" w:color="0000EE"/>
            </w:tcBorders>
            <w:gridSpan w:val="12"/>
          </w:tcPr>
          <w:p>
            <w:pPr>
              <w:spacing w:after="0" w:line="192"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Stockholders Agreement, dated as of April 15, 2015, by and among Virtu Financial, Inc. and the</w:t>
              </w:r>
            </w:hyperlink>
          </w:p>
        </w:tc>
        <w:tc>
          <w:tcPr>
            <w:tcW w:w="920" w:type="dxa"/>
            <w:vAlign w:val="bottom"/>
            <w:gridSpan w:val="1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2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stockholders named therein (incorporated herein by reference to Exhibit 10.2 to the Company’s Quarterly</w:t>
              </w:r>
            </w:hyperlink>
          </w:p>
        </w:tc>
        <w:tc>
          <w:tcPr>
            <w:tcW w:w="260" w:type="dxa"/>
            <w:vAlign w:val="bottom"/>
            <w:gridSpan w:val="1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rPr>
            </w:pPr>
            <w:hyperlink r:id="rId183">
              <w:r>
                <w:rPr>
                  <w:rFonts w:ascii="Arial" w:cs="Arial" w:eastAsia="Arial" w:hAnsi="Arial"/>
                  <w:sz w:val="18"/>
                  <w:szCs w:val="18"/>
                  <w:color w:val="0000EE"/>
                </w:rPr>
                <w:t>Report on Form 10-Q, as amended (File No. 001-37352) filed on May 29, 2015).</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10.14</w:t>
            </w:r>
          </w:p>
        </w:tc>
        <w:tc>
          <w:tcPr>
            <w:tcW w:w="300" w:type="dxa"/>
            <w:vAlign w:val="bottom"/>
          </w:tcPr>
          <w:p>
            <w:pPr>
              <w:spacing w:after="0"/>
              <w:rPr>
                <w:sz w:val="16"/>
                <w:szCs w:val="16"/>
                <w:color w:val="auto"/>
              </w:rPr>
            </w:pPr>
          </w:p>
        </w:tc>
        <w:tc>
          <w:tcPr>
            <w:tcW w:w="752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184">
              <w:r>
                <w:rPr>
                  <w:rFonts w:ascii="Arial" w:cs="Arial" w:eastAsia="Arial" w:hAnsi="Arial"/>
                  <w:sz w:val="18"/>
                  <w:szCs w:val="18"/>
                  <w:color w:val="0000EE"/>
                  <w:w w:val="89"/>
                </w:rPr>
                <w:t>Exchange Agreement, dated as of April 15, 2015, by and among Virtu Financial LLC, Virtu Financial, Inc.</w:t>
              </w:r>
            </w:hyperlink>
          </w:p>
        </w:tc>
        <w:tc>
          <w:tcPr>
            <w:tcW w:w="160" w:type="dxa"/>
            <w:vAlign w:val="bottom"/>
            <w:gridSpan w:val="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88"/>
              </w:rPr>
            </w:pPr>
            <w:hyperlink r:id="rId184">
              <w:r>
                <w:rPr>
                  <w:rFonts w:ascii="Arial" w:cs="Arial" w:eastAsia="Arial" w:hAnsi="Arial"/>
                  <w:sz w:val="18"/>
                  <w:szCs w:val="18"/>
                  <w:color w:val="0000EE"/>
                  <w:w w:val="88"/>
                </w:rPr>
                <w:t>and the holders of Common Units and shares of Class C Common Stock or Class D Common Stock (as each</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40" w:type="dxa"/>
            <w:vAlign w:val="bottom"/>
            <w:tcBorders>
              <w:top w:val="single" w:sz="8" w:color="0000EE"/>
              <w:bottom w:val="single" w:sz="8" w:color="0000EE"/>
            </w:tcBorders>
            <w:gridSpan w:val="17"/>
          </w:tcPr>
          <w:p>
            <w:pPr>
              <w:spacing w:after="0" w:line="192" w:lineRule="exact"/>
              <w:rPr>
                <w:rFonts w:ascii="Arial" w:cs="Arial" w:eastAsia="Arial" w:hAnsi="Arial"/>
                <w:sz w:val="18"/>
                <w:szCs w:val="18"/>
                <w:color w:val="0000EE"/>
                <w:w w:val="88"/>
              </w:rPr>
            </w:pPr>
            <w:hyperlink r:id="rId184">
              <w:r>
                <w:rPr>
                  <w:rFonts w:ascii="Arial" w:cs="Arial" w:eastAsia="Arial" w:hAnsi="Arial"/>
                  <w:sz w:val="18"/>
                  <w:szCs w:val="18"/>
                  <w:color w:val="0000EE"/>
                  <w:w w:val="88"/>
                </w:rPr>
                <w:t>defined therein) (incorporated herein by reference to Exhibit 10.3 to the Company’s Quarterly Report on</w:t>
              </w:r>
            </w:hyperlink>
          </w:p>
        </w:tc>
        <w:tc>
          <w:tcPr>
            <w:tcW w:w="280" w:type="dxa"/>
            <w:vAlign w:val="bottom"/>
            <w:tcBorders>
              <w:top w:val="single" w:sz="8" w:color="0000EE"/>
            </w:tcBorders>
            <w:gridSpan w:val="8"/>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rPr>
            </w:pPr>
            <w:hyperlink r:id="rId184">
              <w:r>
                <w:rPr>
                  <w:rFonts w:ascii="Arial" w:cs="Arial" w:eastAsia="Arial" w:hAnsi="Arial"/>
                  <w:sz w:val="18"/>
                  <w:szCs w:val="18"/>
                  <w:color w:val="0000EE"/>
                </w:rPr>
                <w:t>Form 10-Q, as amended (File No. 001-37352) filed on May 29, 2015).</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10.15</w:t>
            </w: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3"/>
              </w:rPr>
            </w:pPr>
            <w:hyperlink r:id="rId185">
              <w:r>
                <w:rPr>
                  <w:rFonts w:ascii="Arial" w:cs="Arial" w:eastAsia="Arial" w:hAnsi="Arial"/>
                  <w:sz w:val="18"/>
                  <w:szCs w:val="18"/>
                  <w:color w:val="0000EE"/>
                  <w:w w:val="93"/>
                </w:rPr>
                <w:t>Tax Receivable Agreement, dated as of April 15, 2015, by and among Virtu Financial, Inc., the Founder</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93"/>
              </w:rPr>
            </w:pPr>
            <w:hyperlink r:id="rId185">
              <w:r>
                <w:rPr>
                  <w:rFonts w:ascii="Arial" w:cs="Arial" w:eastAsia="Arial" w:hAnsi="Arial"/>
                  <w:sz w:val="18"/>
                  <w:szCs w:val="18"/>
                  <w:color w:val="0000EE"/>
                  <w:w w:val="93"/>
                </w:rPr>
                <w:t>Member, Virtu Employee Holdco, the Management Members and other pre-IPO investors (incorporated</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2140" w:type="dxa"/>
            <w:vAlign w:val="bottom"/>
            <w:gridSpan w:val="7"/>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herein by reference to Exhibit 10.5 to the Company’s Quarterly Report on Form 10-Q, as amended (File No.</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9"/>
              </w:rPr>
            </w:pPr>
            <w:hyperlink r:id="rId185">
              <w:r>
                <w:rPr>
                  <w:rFonts w:ascii="Arial" w:cs="Arial" w:eastAsia="Arial" w:hAnsi="Arial"/>
                  <w:sz w:val="18"/>
                  <w:szCs w:val="18"/>
                  <w:color w:val="0000EE"/>
                  <w:w w:val="89"/>
                </w:rPr>
                <w:t>001-37352) filed on May 29, 2015).</w:t>
              </w:r>
            </w:hyperlink>
          </w:p>
        </w:tc>
        <w:tc>
          <w:tcPr>
            <w:tcW w:w="5080" w:type="dxa"/>
            <w:vAlign w:val="bottom"/>
            <w:tcBorders>
              <w:top w:val="single" w:sz="8" w:color="0000EE"/>
            </w:tcBorders>
            <w:gridSpan w:val="20"/>
          </w:tcPr>
          <w:p>
            <w:pPr>
              <w:spacing w:after="0"/>
              <w:rPr>
                <w:sz w:val="16"/>
                <w:szCs w:val="16"/>
                <w:color w:val="auto"/>
              </w:rPr>
            </w:pPr>
          </w:p>
        </w:tc>
        <w:tc>
          <w:tcPr>
            <w:tcW w:w="80" w:type="dxa"/>
            <w:vAlign w:val="bottom"/>
            <w:gridSpan w:val="4"/>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10.16</w:t>
            </w:r>
          </w:p>
        </w:tc>
        <w:tc>
          <w:tcPr>
            <w:tcW w:w="300" w:type="dxa"/>
            <w:vAlign w:val="bottom"/>
          </w:tcPr>
          <w:p>
            <w:pPr>
              <w:spacing w:after="0"/>
              <w:rPr>
                <w:sz w:val="16"/>
                <w:szCs w:val="16"/>
                <w:color w:val="auto"/>
              </w:rPr>
            </w:pPr>
          </w:p>
        </w:tc>
        <w:tc>
          <w:tcPr>
            <w:tcW w:w="7680" w:type="dxa"/>
            <w:vAlign w:val="bottom"/>
            <w:tcBorders>
              <w:bottom w:val="single" w:sz="8" w:color="0000EE"/>
            </w:tcBorders>
            <w:gridSpan w:val="28"/>
          </w:tcPr>
          <w:p>
            <w:pPr>
              <w:spacing w:after="0" w:line="192" w:lineRule="exact"/>
              <w:rPr>
                <w:rFonts w:ascii="Arial" w:cs="Arial" w:eastAsia="Arial" w:hAnsi="Arial"/>
                <w:sz w:val="18"/>
                <w:szCs w:val="18"/>
                <w:color w:val="0000EE"/>
                <w:w w:val="88"/>
              </w:rPr>
            </w:pPr>
            <w:hyperlink r:id="rId186">
              <w:r>
                <w:rPr>
                  <w:rFonts w:ascii="Arial" w:cs="Arial" w:eastAsia="Arial" w:hAnsi="Arial"/>
                  <w:sz w:val="18"/>
                  <w:szCs w:val="18"/>
                  <w:color w:val="0000EE"/>
                  <w:w w:val="88"/>
                </w:rPr>
                <w:t>Tax Receivable Agreement, dated as of April 15, 2015, by and between Virtu Financial, Inc. and the Investor</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60" w:type="dxa"/>
            <w:vAlign w:val="bottom"/>
            <w:tcBorders>
              <w:bottom w:val="single" w:sz="8" w:color="0000EE"/>
            </w:tcBorders>
            <w:gridSpan w:val="27"/>
          </w:tcPr>
          <w:p>
            <w:pPr>
              <w:spacing w:after="0" w:line="192" w:lineRule="exact"/>
              <w:rPr>
                <w:rFonts w:ascii="Arial" w:cs="Arial" w:eastAsia="Arial" w:hAnsi="Arial"/>
                <w:sz w:val="18"/>
                <w:szCs w:val="18"/>
                <w:color w:val="0000EE"/>
                <w:w w:val="89"/>
              </w:rPr>
            </w:pPr>
            <w:hyperlink r:id="rId186">
              <w:r>
                <w:rPr>
                  <w:rFonts w:ascii="Arial" w:cs="Arial" w:eastAsia="Arial" w:hAnsi="Arial"/>
                  <w:sz w:val="18"/>
                  <w:szCs w:val="18"/>
                  <w:color w:val="0000EE"/>
                  <w:w w:val="89"/>
                </w:rPr>
                <w:t>Post-IPO Stockholders (incorporated herein by reference to Exhibit 10.6 to the Company’s Quarterly Report</w:t>
              </w:r>
            </w:hyperlink>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28"/>
          </w:tcPr>
          <w:p>
            <w:pPr>
              <w:spacing w:after="0" w:line="192" w:lineRule="exact"/>
              <w:rPr>
                <w:rFonts w:ascii="Arial" w:cs="Arial" w:eastAsia="Arial" w:hAnsi="Arial"/>
                <w:sz w:val="18"/>
                <w:szCs w:val="18"/>
                <w:color w:val="0000EE"/>
              </w:rPr>
            </w:pPr>
            <w:hyperlink r:id="rId186">
              <w:r>
                <w:rPr>
                  <w:rFonts w:ascii="Arial" w:cs="Arial" w:eastAsia="Arial" w:hAnsi="Arial"/>
                  <w:sz w:val="18"/>
                  <w:szCs w:val="18"/>
                  <w:color w:val="0000EE"/>
                </w:rPr>
                <w:t>on Form 10-Q, as amended (File No. 001-37352) filed on May 29, 2015).</w:t>
              </w:r>
            </w:hyperlink>
          </w:p>
        </w:tc>
      </w:tr>
      <w:tr>
        <w:trPr>
          <w:trHeight w:val="54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00" w:type="dxa"/>
            <w:vAlign w:val="bottom"/>
            <w:tcBorders>
              <w:top w:val="single" w:sz="8" w:color="0000EE"/>
            </w:tcBorders>
            <w:gridSpan w:val="7"/>
          </w:tcPr>
          <w:p>
            <w:pPr>
              <w:jc w:val="right"/>
              <w:ind w:right="749"/>
              <w:spacing w:after="0"/>
              <w:rPr>
                <w:sz w:val="20"/>
                <w:szCs w:val="20"/>
                <w:color w:val="auto"/>
              </w:rPr>
            </w:pPr>
            <w:r>
              <w:rPr>
                <w:rFonts w:ascii="Arial" w:cs="Arial" w:eastAsia="Arial" w:hAnsi="Arial"/>
                <w:sz w:val="18"/>
                <w:szCs w:val="18"/>
                <w:color w:val="auto"/>
              </w:rPr>
              <w:t>139</w:t>
            </w:r>
          </w:p>
        </w:tc>
        <w:tc>
          <w:tcPr>
            <w:tcW w:w="8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140" w:name="page141"/>
    <w:bookmarkEnd w:id="1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80" w:type="dxa"/>
            <w:vAlign w:val="bottom"/>
            <w:gridSpan w:val="32"/>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165"/>
        </w:trPr>
        <w:tc>
          <w:tcPr>
            <w:tcW w:w="20" w:type="dxa"/>
            <w:vAlign w:val="bottom"/>
          </w:tcPr>
          <w:p>
            <w:pPr>
              <w:spacing w:after="0"/>
              <w:rPr>
                <w:sz w:val="14"/>
                <w:szCs w:val="14"/>
                <w:color w:val="auto"/>
              </w:rPr>
            </w:pPr>
          </w:p>
        </w:tc>
        <w:tc>
          <w:tcPr>
            <w:tcW w:w="1060" w:type="dxa"/>
            <w:vAlign w:val="bottom"/>
            <w:tcBorders>
              <w:top w:val="single" w:sz="8" w:color="auto"/>
            </w:tcBorders>
          </w:tcPr>
          <w:p>
            <w:pPr>
              <w:spacing w:after="0" w:line="165" w:lineRule="exact"/>
              <w:rPr>
                <w:sz w:val="20"/>
                <w:szCs w:val="20"/>
                <w:color w:val="auto"/>
              </w:rPr>
            </w:pPr>
            <w:r>
              <w:rPr>
                <w:rFonts w:ascii="Arial" w:cs="Arial" w:eastAsia="Arial" w:hAnsi="Arial"/>
                <w:sz w:val="18"/>
                <w:szCs w:val="18"/>
                <w:color w:val="auto"/>
              </w:rPr>
              <w:t>10.17</w:t>
            </w:r>
          </w:p>
        </w:tc>
        <w:tc>
          <w:tcPr>
            <w:tcW w:w="3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400" w:type="dxa"/>
            <w:vAlign w:val="bottom"/>
            <w:tcBorders>
              <w:top w:val="single" w:sz="8" w:color="auto"/>
              <w:bottom w:val="single" w:sz="8" w:color="0000EE"/>
            </w:tcBorders>
            <w:gridSpan w:val="27"/>
          </w:tcPr>
          <w:p>
            <w:pPr>
              <w:spacing w:after="0" w:line="165" w:lineRule="exact"/>
              <w:rPr>
                <w:rFonts w:ascii="Arial" w:cs="Arial" w:eastAsia="Arial" w:hAnsi="Arial"/>
                <w:sz w:val="18"/>
                <w:szCs w:val="18"/>
                <w:color w:val="0000EE"/>
                <w:w w:val="88"/>
              </w:rPr>
            </w:pPr>
            <w:hyperlink r:id="rId187">
              <w:r>
                <w:rPr>
                  <w:rFonts w:ascii="Arial" w:cs="Arial" w:eastAsia="Arial" w:hAnsi="Arial"/>
                  <w:sz w:val="18"/>
                  <w:szCs w:val="18"/>
                  <w:color w:val="0000EE"/>
                  <w:w w:val="88"/>
                </w:rPr>
                <w:t>Tax Receivable Agreement, dated as of April 15, 2015, by and among Virtu Financial, Inc. and the Silver</w:t>
              </w:r>
            </w:hyperlink>
          </w:p>
        </w:tc>
        <w:tc>
          <w:tcPr>
            <w:tcW w:w="260" w:type="dxa"/>
            <w:vAlign w:val="bottom"/>
            <w:tcBorders>
              <w:top w:val="single" w:sz="8" w:color="auto"/>
            </w:tcBorders>
            <w:gridSpan w:val="10"/>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80" w:type="dxa"/>
            <w:vAlign w:val="bottom"/>
            <w:tcBorders>
              <w:bottom w:val="single" w:sz="8" w:color="0000EE"/>
            </w:tcBorders>
            <w:gridSpan w:val="21"/>
          </w:tcPr>
          <w:p>
            <w:pPr>
              <w:spacing w:after="0" w:line="192" w:lineRule="exact"/>
              <w:rPr>
                <w:rFonts w:ascii="Arial" w:cs="Arial" w:eastAsia="Arial" w:hAnsi="Arial"/>
                <w:sz w:val="18"/>
                <w:szCs w:val="18"/>
                <w:color w:val="0000EE"/>
                <w:w w:val="89"/>
              </w:rPr>
            </w:pPr>
            <w:hyperlink r:id="rId187">
              <w:r>
                <w:rPr>
                  <w:rFonts w:ascii="Arial" w:cs="Arial" w:eastAsia="Arial" w:hAnsi="Arial"/>
                  <w:sz w:val="18"/>
                  <w:szCs w:val="18"/>
                  <w:color w:val="0000EE"/>
                  <w:w w:val="89"/>
                </w:rPr>
                <w:t>Lake Post-IPO Members (incorporated herein by reference to Exhibit 10.7 to the Company’s Quarterly</w:t>
              </w:r>
            </w:hyperlink>
          </w:p>
        </w:tc>
        <w:tc>
          <w:tcPr>
            <w:tcW w:w="400" w:type="dxa"/>
            <w:vAlign w:val="bottom"/>
            <w:gridSpan w:val="17"/>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r:id="rId187">
              <w:r>
                <w:rPr>
                  <w:rFonts w:ascii="Arial" w:cs="Arial" w:eastAsia="Arial" w:hAnsi="Arial"/>
                  <w:sz w:val="18"/>
                  <w:szCs w:val="18"/>
                  <w:color w:val="0000EE"/>
                </w:rPr>
                <w:t>Report on Form 10-Q, as amended (File No. 001-37352) filed on May 29, 2015).</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10.18</w:t>
            </w:r>
          </w:p>
        </w:tc>
        <w:tc>
          <w:tcPr>
            <w:tcW w:w="300" w:type="dxa"/>
            <w:vAlign w:val="bottom"/>
          </w:tcPr>
          <w:p>
            <w:pPr>
              <w:spacing w:after="0"/>
              <w:rPr>
                <w:sz w:val="16"/>
                <w:szCs w:val="16"/>
                <w:color w:val="auto"/>
              </w:rPr>
            </w:pPr>
          </w:p>
        </w:tc>
        <w:tc>
          <w:tcPr>
            <w:tcW w:w="7400" w:type="dxa"/>
            <w:vAlign w:val="bottom"/>
            <w:tcBorders>
              <w:bottom w:val="single" w:sz="8" w:color="0000EE"/>
            </w:tcBorders>
            <w:gridSpan w:val="27"/>
          </w:tcPr>
          <w:p>
            <w:pPr>
              <w:spacing w:after="0" w:line="192"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Third Amended and Restated Limited Liability Company Agreement of Virtu Financial LLC, dated as of</w:t>
              </w:r>
            </w:hyperlink>
          </w:p>
        </w:tc>
        <w:tc>
          <w:tcPr>
            <w:tcW w:w="280" w:type="dxa"/>
            <w:vAlign w:val="bottom"/>
            <w:gridSpan w:val="11"/>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00" w:type="dxa"/>
            <w:vAlign w:val="bottom"/>
            <w:tcBorders>
              <w:bottom w:val="single" w:sz="8" w:color="0000EE"/>
            </w:tcBorders>
            <w:gridSpan w:val="22"/>
          </w:tcPr>
          <w:p>
            <w:pPr>
              <w:spacing w:after="0" w:line="192" w:lineRule="exact"/>
              <w:rPr>
                <w:rFonts w:ascii="Arial" w:cs="Arial" w:eastAsia="Arial" w:hAnsi="Arial"/>
                <w:sz w:val="18"/>
                <w:szCs w:val="18"/>
                <w:color w:val="0000EE"/>
                <w:w w:val="89"/>
              </w:rPr>
            </w:pPr>
            <w:hyperlink r:id="rId188">
              <w:r>
                <w:rPr>
                  <w:rFonts w:ascii="Arial" w:cs="Arial" w:eastAsia="Arial" w:hAnsi="Arial"/>
                  <w:sz w:val="18"/>
                  <w:szCs w:val="18"/>
                  <w:color w:val="0000EE"/>
                  <w:w w:val="89"/>
                </w:rPr>
                <w:t>April 15, 2015 (incorporated herein by reference to Exhibit 10.8 to the Company’s Quarterly Report on</w:t>
              </w:r>
            </w:hyperlink>
          </w:p>
        </w:tc>
        <w:tc>
          <w:tcPr>
            <w:tcW w:w="380" w:type="dxa"/>
            <w:vAlign w:val="bottom"/>
            <w:gridSpan w:val="1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r:id="rId188">
              <w:r>
                <w:rPr>
                  <w:rFonts w:ascii="Arial" w:cs="Arial" w:eastAsia="Arial" w:hAnsi="Arial"/>
                  <w:sz w:val="18"/>
                  <w:szCs w:val="18"/>
                  <w:color w:val="0000EE"/>
                </w:rPr>
                <w:t>Form 10-Q, as amended (File No. 001-37352) filed on May 29, 2015).</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10.19</w:t>
            </w:r>
          </w:p>
        </w:tc>
        <w:tc>
          <w:tcPr>
            <w:tcW w:w="300" w:type="dxa"/>
            <w:vAlign w:val="bottom"/>
          </w:tcPr>
          <w:p>
            <w:pPr>
              <w:spacing w:after="0"/>
              <w:rPr>
                <w:sz w:val="16"/>
                <w:szCs w:val="16"/>
                <w:color w:val="auto"/>
              </w:rPr>
            </w:pPr>
          </w:p>
        </w:tc>
        <w:tc>
          <w:tcPr>
            <w:tcW w:w="7580" w:type="dxa"/>
            <w:vAlign w:val="bottom"/>
            <w:tcBorders>
              <w:bottom w:val="single" w:sz="8" w:color="0000EE"/>
            </w:tcBorders>
            <w:gridSpan w:val="34"/>
          </w:tcPr>
          <w:p>
            <w:pPr>
              <w:spacing w:after="0" w:line="192"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Amended and Restated Limited Liability Company Agreement of Virtu Employee Holdco LLC, dated as of</w:t>
              </w:r>
            </w:hyperlink>
          </w:p>
        </w:tc>
        <w:tc>
          <w:tcPr>
            <w:tcW w:w="100" w:type="dxa"/>
            <w:vAlign w:val="bottom"/>
            <w:gridSpan w:val="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tcBorders>
              <w:bottom w:val="single" w:sz="8" w:color="0000EE"/>
            </w:tcBorders>
            <w:gridSpan w:val="38"/>
          </w:tcPr>
          <w:p>
            <w:pPr>
              <w:spacing w:after="0" w:line="192"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April 15, 2015 (incorporated herein by reference to Exhibit 10.9 to the Company’s Quarterly Report on Form</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520" w:type="dxa"/>
            <w:vAlign w:val="bottom"/>
            <w:tcBorders>
              <w:bottom w:val="single" w:sz="8" w:color="0000EE"/>
            </w:tcBorders>
            <w:gridSpan w:val="9"/>
          </w:tcPr>
          <w:p>
            <w:pPr>
              <w:spacing w:after="0" w:line="192" w:lineRule="exact"/>
              <w:rPr>
                <w:rFonts w:ascii="Arial" w:cs="Arial" w:eastAsia="Arial" w:hAnsi="Arial"/>
                <w:sz w:val="18"/>
                <w:szCs w:val="18"/>
                <w:color w:val="0000EE"/>
                <w:w w:val="88"/>
              </w:rPr>
            </w:pPr>
            <w:hyperlink r:id="rId189">
              <w:r>
                <w:rPr>
                  <w:rFonts w:ascii="Arial" w:cs="Arial" w:eastAsia="Arial" w:hAnsi="Arial"/>
                  <w:sz w:val="18"/>
                  <w:szCs w:val="18"/>
                  <w:color w:val="0000EE"/>
                  <w:w w:val="88"/>
                </w:rPr>
                <w:t>10-Q, as amended (File No. 001-37352), filed on May 29, 2015)</w:t>
              </w:r>
            </w:hyperlink>
          </w:p>
        </w:tc>
        <w:tc>
          <w:tcPr>
            <w:tcW w:w="3160" w:type="dxa"/>
            <w:vAlign w:val="bottom"/>
            <w:gridSpan w:val="29"/>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10.20</w:t>
            </w:r>
          </w:p>
        </w:tc>
        <w:tc>
          <w:tcPr>
            <w:tcW w:w="300" w:type="dxa"/>
            <w:vAlign w:val="bottom"/>
          </w:tcPr>
          <w:p>
            <w:pPr>
              <w:spacing w:after="0"/>
              <w:rPr>
                <w:sz w:val="16"/>
                <w:szCs w:val="16"/>
                <w:color w:val="auto"/>
              </w:rPr>
            </w:pPr>
          </w:p>
        </w:tc>
        <w:tc>
          <w:tcPr>
            <w:tcW w:w="710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Class C Common Stock Subscription Agreement, dated as of April 15, 2015 (incorporated herein by</w:t>
              </w:r>
            </w:hyperlink>
          </w:p>
        </w:tc>
        <w:tc>
          <w:tcPr>
            <w:tcW w:w="580" w:type="dxa"/>
            <w:vAlign w:val="bottom"/>
            <w:gridSpan w:val="2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80" w:type="dxa"/>
            <w:vAlign w:val="bottom"/>
            <w:tcBorders>
              <w:bottom w:val="single" w:sz="8" w:color="0000EE"/>
            </w:tcBorders>
            <w:gridSpan w:val="26"/>
          </w:tcPr>
          <w:p>
            <w:pPr>
              <w:spacing w:after="0" w:line="192"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reference to Exhibit 10.10 to the Company’s Quarterly Report on Form 10-Q, as amended (File No. 001-</w:t>
              </w:r>
            </w:hyperlink>
          </w:p>
        </w:tc>
        <w:tc>
          <w:tcPr>
            <w:tcW w:w="300" w:type="dxa"/>
            <w:vAlign w:val="bottom"/>
            <w:gridSpan w:val="1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r:id="rId190">
              <w:r>
                <w:rPr>
                  <w:rFonts w:ascii="Arial" w:cs="Arial" w:eastAsia="Arial" w:hAnsi="Arial"/>
                  <w:sz w:val="18"/>
                  <w:szCs w:val="18"/>
                  <w:color w:val="0000EE"/>
                </w:rPr>
                <w:t>37352) filed on May 29, 2015).</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10.21</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Class D Common Stock Subscription Agreement, dated as of April 15, 2015 (incorporated herein by</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60" w:type="dxa"/>
            <w:vAlign w:val="bottom"/>
            <w:tcBorders>
              <w:bottom w:val="single" w:sz="8" w:color="0000EE"/>
            </w:tcBorders>
            <w:gridSpan w:val="25"/>
          </w:tcPr>
          <w:p>
            <w:pPr>
              <w:spacing w:after="0" w:line="192" w:lineRule="exact"/>
              <w:rPr>
                <w:rFonts w:ascii="Arial" w:cs="Arial" w:eastAsia="Arial" w:hAnsi="Arial"/>
                <w:sz w:val="18"/>
                <w:szCs w:val="18"/>
                <w:color w:val="0000EE"/>
                <w:w w:val="88"/>
              </w:rPr>
            </w:pPr>
            <w:hyperlink r:id="rId191">
              <w:r>
                <w:rPr>
                  <w:rFonts w:ascii="Arial" w:cs="Arial" w:eastAsia="Arial" w:hAnsi="Arial"/>
                  <w:sz w:val="18"/>
                  <w:szCs w:val="18"/>
                  <w:color w:val="0000EE"/>
                  <w:w w:val="88"/>
                </w:rPr>
                <w:t>reference to Exhibit 10.11 to the Company’s Quarterly Report on Form 10-Q, as amended (File No. 001-</w:t>
              </w:r>
            </w:hyperlink>
          </w:p>
        </w:tc>
        <w:tc>
          <w:tcPr>
            <w:tcW w:w="320" w:type="dxa"/>
            <w:vAlign w:val="bottom"/>
            <w:gridSpan w:val="13"/>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r:id="rId191">
              <w:r>
                <w:rPr>
                  <w:rFonts w:ascii="Arial" w:cs="Arial" w:eastAsia="Arial" w:hAnsi="Arial"/>
                  <w:sz w:val="18"/>
                  <w:szCs w:val="18"/>
                  <w:color w:val="0000EE"/>
                </w:rPr>
                <w:t>37352) filed on May 29, 2015).</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10.22</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4"/>
              </w:rPr>
            </w:pPr>
            <w:hyperlink r:id="rId192">
              <w:r>
                <w:rPr>
                  <w:rFonts w:ascii="Arial" w:cs="Arial" w:eastAsia="Arial" w:hAnsi="Arial"/>
                  <w:sz w:val="18"/>
                  <w:szCs w:val="18"/>
                  <w:color w:val="0000EE"/>
                  <w:w w:val="94"/>
                </w:rPr>
                <w:t>Class A Common Stock Purchase Agreement, dated as of April 15, 2015, by and between SLP III EW</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60" w:type="dxa"/>
            <w:vAlign w:val="bottom"/>
            <w:tcBorders>
              <w:bottom w:val="single" w:sz="8" w:color="0000EE"/>
            </w:tcBorders>
            <w:gridSpan w:val="33"/>
          </w:tcPr>
          <w:p>
            <w:pPr>
              <w:spacing w:after="0" w:line="192" w:lineRule="exact"/>
              <w:rPr>
                <w:rFonts w:ascii="Arial" w:cs="Arial" w:eastAsia="Arial" w:hAnsi="Arial"/>
                <w:sz w:val="18"/>
                <w:szCs w:val="18"/>
                <w:color w:val="0000EE"/>
                <w:w w:val="88"/>
              </w:rPr>
            </w:pPr>
            <w:hyperlink r:id="rId192">
              <w:r>
                <w:rPr>
                  <w:rFonts w:ascii="Arial" w:cs="Arial" w:eastAsia="Arial" w:hAnsi="Arial"/>
                  <w:sz w:val="18"/>
                  <w:szCs w:val="18"/>
                  <w:color w:val="0000EE"/>
                  <w:w w:val="88"/>
                </w:rPr>
                <w:t>Feeder I, L.P. and Virtu Financial, Inc. (incorporated herein by reference to Exhibit 10.12 to the Company’s</w:t>
              </w:r>
            </w:hyperlink>
          </w:p>
        </w:tc>
        <w:tc>
          <w:tcPr>
            <w:tcW w:w="120" w:type="dxa"/>
            <w:vAlign w:val="bottom"/>
            <w:gridSpan w:val="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r:id="rId192">
              <w:r>
                <w:rPr>
                  <w:rFonts w:ascii="Arial" w:cs="Arial" w:eastAsia="Arial" w:hAnsi="Arial"/>
                  <w:sz w:val="18"/>
                  <w:szCs w:val="18"/>
                  <w:color w:val="0000EE"/>
                </w:rPr>
                <w:t>Quarterly Report on Form 10-Q, as amended (File No. 001-37352) filed on May 29, 2015)</w:t>
              </w:r>
              <w:r>
                <w:rPr>
                  <w:rFonts w:ascii="Arial" w:cs="Arial" w:eastAsia="Arial" w:hAnsi="Arial"/>
                  <w:sz w:val="18"/>
                  <w:szCs w:val="18"/>
                  <w:color w:val="000000"/>
                </w:rPr>
                <w:t>.</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10.23</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Unit Purchase Agreement, dated as of April 15, 2015, by and among Virtu Financial, Inc. and the sellers</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20" w:type="dxa"/>
            <w:vAlign w:val="bottom"/>
            <w:tcBorders>
              <w:top w:val="single" w:sz="8" w:color="0000EE"/>
            </w:tcBorders>
            <w:gridSpan w:val="23"/>
          </w:tcPr>
          <w:p>
            <w:pPr>
              <w:spacing w:after="0" w:line="192"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listed therein (incorporated herein by reference to Exhibit 10.13 to the Company’s Quarterly Report on</w:t>
              </w:r>
            </w:hyperlink>
          </w:p>
        </w:tc>
        <w:tc>
          <w:tcPr>
            <w:tcW w:w="360" w:type="dxa"/>
            <w:vAlign w:val="bottom"/>
            <w:gridSpan w:val="15"/>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60" w:type="dxa"/>
            <w:vAlign w:val="bottom"/>
            <w:tcBorders>
              <w:top w:val="single" w:sz="8" w:color="0000EE"/>
            </w:tcBorders>
            <w:gridSpan w:val="20"/>
          </w:tcPr>
          <w:p>
            <w:pPr>
              <w:spacing w:after="0" w:line="192" w:lineRule="exact"/>
              <w:rPr>
                <w:rFonts w:ascii="Arial" w:cs="Arial" w:eastAsia="Arial" w:hAnsi="Arial"/>
                <w:sz w:val="18"/>
                <w:szCs w:val="18"/>
                <w:color w:val="0000EE"/>
              </w:rPr>
            </w:pPr>
            <w:hyperlink r:id="rId193">
              <w:r>
                <w:rPr>
                  <w:rFonts w:ascii="Arial" w:cs="Arial" w:eastAsia="Arial" w:hAnsi="Arial"/>
                  <w:sz w:val="18"/>
                  <w:szCs w:val="18"/>
                  <w:color w:val="0000EE"/>
                </w:rPr>
                <w:t>Form 10-Q, as amended (File No. 001-37352) filed on May 29, 2015).</w:t>
              </w:r>
            </w:hyperlink>
          </w:p>
        </w:tc>
        <w:tc>
          <w:tcPr>
            <w:tcW w:w="420" w:type="dxa"/>
            <w:vAlign w:val="bottom"/>
            <w:gridSpan w:val="18"/>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10.24</w:t>
            </w:r>
          </w:p>
        </w:tc>
        <w:tc>
          <w:tcPr>
            <w:tcW w:w="300" w:type="dxa"/>
            <w:vAlign w:val="bottom"/>
          </w:tcPr>
          <w:p>
            <w:pPr>
              <w:spacing w:after="0"/>
              <w:rPr>
                <w:sz w:val="16"/>
                <w:szCs w:val="16"/>
                <w:color w:val="auto"/>
              </w:rPr>
            </w:pPr>
          </w:p>
        </w:tc>
        <w:tc>
          <w:tcPr>
            <w:tcW w:w="7680" w:type="dxa"/>
            <w:vAlign w:val="bottom"/>
            <w:tcBorders>
              <w:bottom w:val="single" w:sz="8" w:color="0000EE"/>
            </w:tcBorders>
            <w:gridSpan w:val="38"/>
          </w:tcPr>
          <w:p>
            <w:pPr>
              <w:spacing w:after="0" w:line="192"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Voting Agreement, dated April 20, 2017, by and among Virtu Financial, Inc., Orchestra Merger Sub, Inc. and</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Jefferies LLC (incorporated herein by reference to Exhibit 10.1 to the Company’s Current Report on Form</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20" w:type="dxa"/>
            <w:vAlign w:val="bottom"/>
            <w:tcBorders>
              <w:top w:val="single" w:sz="8" w:color="0000EE"/>
            </w:tcBorders>
            <w:gridSpan w:val="31"/>
          </w:tcPr>
          <w:p>
            <w:pPr>
              <w:spacing w:after="0" w:line="192" w:lineRule="exact"/>
              <w:rPr>
                <w:rFonts w:ascii="Arial" w:cs="Arial" w:eastAsia="Arial" w:hAnsi="Arial"/>
                <w:sz w:val="18"/>
                <w:szCs w:val="18"/>
                <w:color w:val="0000EE"/>
              </w:rPr>
            </w:pPr>
            <w:hyperlink r:id="rId194">
              <w:r>
                <w:rPr>
                  <w:rFonts w:ascii="Arial" w:cs="Arial" w:eastAsia="Arial" w:hAnsi="Arial"/>
                  <w:sz w:val="18"/>
                  <w:szCs w:val="18"/>
                  <w:color w:val="0000EE"/>
                </w:rPr>
                <w:t>8-K, (File No. 001-37352) filed on April 21, 2017).</w:t>
              </w:r>
            </w:hyperlink>
          </w:p>
        </w:tc>
        <w:tc>
          <w:tcPr>
            <w:tcW w:w="160" w:type="dxa"/>
            <w:vAlign w:val="bottom"/>
            <w:gridSpan w:val="7"/>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10.25</w:t>
            </w:r>
          </w:p>
        </w:tc>
        <w:tc>
          <w:tcPr>
            <w:tcW w:w="300" w:type="dxa"/>
            <w:vAlign w:val="bottom"/>
          </w:tcPr>
          <w:p>
            <w:pPr>
              <w:spacing w:after="0"/>
              <w:rPr>
                <w:sz w:val="16"/>
                <w:szCs w:val="16"/>
                <w:color w:val="auto"/>
              </w:rPr>
            </w:pPr>
          </w:p>
        </w:tc>
        <w:tc>
          <w:tcPr>
            <w:tcW w:w="7460" w:type="dxa"/>
            <w:vAlign w:val="bottom"/>
            <w:tcBorders>
              <w:bottom w:val="single" w:sz="8" w:color="0000EE"/>
            </w:tcBorders>
            <w:gridSpan w:val="29"/>
          </w:tcPr>
          <w:p>
            <w:pPr>
              <w:spacing w:after="0" w:line="192"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Stockholders Agreement, dated April 20, 2017, by and among Virtu Financial, Inc., TJMT Holdings LLC,</w:t>
              </w:r>
            </w:hyperlink>
          </w:p>
        </w:tc>
        <w:tc>
          <w:tcPr>
            <w:tcW w:w="220" w:type="dxa"/>
            <w:vAlign w:val="bottom"/>
            <w:gridSpan w:val="9"/>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r:id="rId195">
              <w:r>
                <w:rPr>
                  <w:rFonts w:ascii="Arial" w:cs="Arial" w:eastAsia="Arial" w:hAnsi="Arial"/>
                  <w:sz w:val="18"/>
                  <w:szCs w:val="18"/>
                  <w:color w:val="0000EE"/>
                </w:rPr>
                <w:t>Aranda Investments Pte. Ltd., Havelock Fund Investments Pte Ltd. and North Island Holdings I,</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40" w:type="dxa"/>
            <w:vAlign w:val="bottom"/>
            <w:tcBorders>
              <w:bottom w:val="single" w:sz="8" w:color="0000EE"/>
            </w:tcBorders>
            <w:gridSpan w:val="24"/>
          </w:tcPr>
          <w:p>
            <w:pPr>
              <w:spacing w:after="0" w:line="192" w:lineRule="exact"/>
              <w:rPr>
                <w:rFonts w:ascii="Arial" w:cs="Arial" w:eastAsia="Arial" w:hAnsi="Arial"/>
                <w:sz w:val="18"/>
                <w:szCs w:val="18"/>
                <w:color w:val="0000EE"/>
                <w:w w:val="89"/>
              </w:rPr>
            </w:pPr>
            <w:hyperlink r:id="rId195">
              <w:r>
                <w:rPr>
                  <w:rFonts w:ascii="Arial" w:cs="Arial" w:eastAsia="Arial" w:hAnsi="Arial"/>
                  <w:sz w:val="18"/>
                  <w:szCs w:val="18"/>
                  <w:color w:val="0000EE"/>
                  <w:w w:val="89"/>
                </w:rPr>
                <w:t>LP (incorporated herein by reference to Exhibit 10.2 to the Company’s Quarterly Report on Form 10-Q,</w:t>
              </w:r>
            </w:hyperlink>
          </w:p>
        </w:tc>
        <w:tc>
          <w:tcPr>
            <w:tcW w:w="340" w:type="dxa"/>
            <w:vAlign w:val="bottom"/>
            <w:gridSpan w:val="14"/>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tcBorders>
              <w:bottom w:val="single" w:sz="8" w:color="0000EE"/>
            </w:tcBorders>
            <w:gridSpan w:val="6"/>
          </w:tcPr>
          <w:p>
            <w:pPr>
              <w:spacing w:after="0" w:line="192" w:lineRule="exact"/>
              <w:rPr>
                <w:rFonts w:ascii="Arial" w:cs="Arial" w:eastAsia="Arial" w:hAnsi="Arial"/>
                <w:sz w:val="18"/>
                <w:szCs w:val="18"/>
                <w:color w:val="0000EE"/>
                <w:w w:val="90"/>
              </w:rPr>
            </w:pPr>
            <w:hyperlink r:id="rId195">
              <w:r>
                <w:rPr>
                  <w:rFonts w:ascii="Arial" w:cs="Arial" w:eastAsia="Arial" w:hAnsi="Arial"/>
                  <w:sz w:val="18"/>
                  <w:szCs w:val="18"/>
                  <w:color w:val="0000EE"/>
                  <w:w w:val="90"/>
                </w:rPr>
                <w:t>(File No. 001-37352) filed on May 10, 2017).</w:t>
              </w:r>
            </w:hyperlink>
          </w:p>
        </w:tc>
        <w:tc>
          <w:tcPr>
            <w:tcW w:w="4480" w:type="dxa"/>
            <w:vAlign w:val="bottom"/>
            <w:gridSpan w:val="32"/>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10.26</w:t>
            </w:r>
          </w:p>
        </w:tc>
        <w:tc>
          <w:tcPr>
            <w:tcW w:w="300" w:type="dxa"/>
            <w:vAlign w:val="bottom"/>
          </w:tcPr>
          <w:p>
            <w:pPr>
              <w:spacing w:after="0"/>
              <w:rPr>
                <w:sz w:val="16"/>
                <w:szCs w:val="16"/>
                <w:color w:val="auto"/>
              </w:rPr>
            </w:pPr>
          </w:p>
        </w:tc>
        <w:tc>
          <w:tcPr>
            <w:tcW w:w="7640" w:type="dxa"/>
            <w:vAlign w:val="bottom"/>
            <w:tcBorders>
              <w:bottom w:val="single" w:sz="8" w:color="0000EE"/>
            </w:tcBorders>
            <w:gridSpan w:val="36"/>
          </w:tcPr>
          <w:p>
            <w:pPr>
              <w:spacing w:after="0" w:line="192" w:lineRule="exact"/>
              <w:rPr>
                <w:rFonts w:ascii="Arial" w:cs="Arial" w:eastAsia="Arial" w:hAnsi="Arial"/>
                <w:sz w:val="18"/>
                <w:szCs w:val="18"/>
                <w:color w:val="0000EE"/>
                <w:w w:val="88"/>
              </w:rPr>
            </w:pPr>
            <w:hyperlink r:id="rId196">
              <w:r>
                <w:rPr>
                  <w:rFonts w:ascii="Arial" w:cs="Arial" w:eastAsia="Arial" w:hAnsi="Arial"/>
                  <w:sz w:val="18"/>
                  <w:szCs w:val="18"/>
                  <w:color w:val="0000EE"/>
                  <w:w w:val="88"/>
                </w:rPr>
                <w:t>Amended and Restated Registration Rights Agreement, dated April 20, 2017, by and among Virtu Financial,</w:t>
              </w:r>
            </w:hyperlink>
          </w:p>
        </w:tc>
        <w:tc>
          <w:tcPr>
            <w:tcW w:w="40" w:type="dxa"/>
            <w:vAlign w:val="bottom"/>
            <w:gridSpan w:val="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40" w:type="dxa"/>
            <w:vAlign w:val="bottom"/>
            <w:tcBorders>
              <w:bottom w:val="single" w:sz="8" w:color="0000EE"/>
            </w:tcBorders>
            <w:gridSpan w:val="36"/>
          </w:tcPr>
          <w:p>
            <w:pPr>
              <w:spacing w:after="0" w:line="192"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Inc., TJMT Holdings LLC, Aranda Investments Pte. Ltd., Havelock Fund Investments Pte Ltd., North Island</w:t>
              </w:r>
            </w:hyperlink>
          </w:p>
        </w:tc>
        <w:tc>
          <w:tcPr>
            <w:tcW w:w="40" w:type="dxa"/>
            <w:vAlign w:val="bottom"/>
            <w:gridSpan w:val="2"/>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60" w:type="dxa"/>
            <w:vAlign w:val="bottom"/>
            <w:tcBorders>
              <w:bottom w:val="single" w:sz="8" w:color="0000EE"/>
            </w:tcBorders>
            <w:gridSpan w:val="37"/>
          </w:tcPr>
          <w:p>
            <w:pPr>
              <w:spacing w:after="0" w:line="192"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Holdings I, LP and the additional holders named therein (incorporated herein by reference to Exhibit 10.3 to</w:t>
              </w:r>
            </w:hyperlink>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0" w:type="dxa"/>
            <w:vAlign w:val="bottom"/>
            <w:tcBorders>
              <w:bottom w:val="single" w:sz="8" w:color="0000EE"/>
            </w:tcBorders>
            <w:gridSpan w:val="15"/>
          </w:tcPr>
          <w:p>
            <w:pPr>
              <w:spacing w:after="0" w:line="192"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the Company’s Quarterly Report on Form 10-Q (File No. 001-37352) filed on May 10, 2017).</w:t>
              </w:r>
            </w:hyperlink>
          </w:p>
        </w:tc>
        <w:tc>
          <w:tcPr>
            <w:tcW w:w="1080" w:type="dxa"/>
            <w:vAlign w:val="bottom"/>
            <w:gridSpan w:val="23"/>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10.27</w:t>
            </w:r>
          </w:p>
        </w:tc>
        <w:tc>
          <w:tcPr>
            <w:tcW w:w="300" w:type="dxa"/>
            <w:vAlign w:val="bottom"/>
          </w:tcPr>
          <w:p>
            <w:pPr>
              <w:spacing w:after="0"/>
              <w:rPr>
                <w:sz w:val="16"/>
                <w:szCs w:val="16"/>
                <w:color w:val="auto"/>
              </w:rPr>
            </w:pPr>
          </w:p>
        </w:tc>
        <w:tc>
          <w:tcPr>
            <w:tcW w:w="7100" w:type="dxa"/>
            <w:vAlign w:val="bottom"/>
            <w:tcBorders>
              <w:bottom w:val="single" w:sz="8" w:color="0000EE"/>
            </w:tcBorders>
            <w:gridSpan w:val="18"/>
          </w:tcPr>
          <w:p>
            <w:pPr>
              <w:spacing w:after="0" w:line="192" w:lineRule="exact"/>
              <w:rPr>
                <w:rFonts w:ascii="Arial" w:cs="Arial" w:eastAsia="Arial" w:hAnsi="Arial"/>
                <w:sz w:val="18"/>
                <w:szCs w:val="18"/>
                <w:color w:val="0000EE"/>
                <w:w w:val="88"/>
              </w:rPr>
            </w:pPr>
            <w:hyperlink r:id="rId197">
              <w:r>
                <w:rPr>
                  <w:rFonts w:ascii="Arial" w:cs="Arial" w:eastAsia="Arial" w:hAnsi="Arial"/>
                  <w:sz w:val="18"/>
                  <w:szCs w:val="18"/>
                  <w:color w:val="0000EE"/>
                  <w:w w:val="88"/>
                </w:rPr>
                <w:t>Second Amendment, dated as of June 2, 2017, to the Third Amended and Restated Limited Liability</w:t>
              </w:r>
            </w:hyperlink>
          </w:p>
        </w:tc>
        <w:tc>
          <w:tcPr>
            <w:tcW w:w="580" w:type="dxa"/>
            <w:vAlign w:val="bottom"/>
            <w:gridSpan w:val="20"/>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40" w:type="dxa"/>
            <w:vAlign w:val="bottom"/>
            <w:tcBorders>
              <w:bottom w:val="single" w:sz="8" w:color="0000EE"/>
            </w:tcBorders>
            <w:gridSpan w:val="32"/>
          </w:tcPr>
          <w:p>
            <w:pPr>
              <w:spacing w:after="0" w:line="192"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Company Agreement of Virtu Financial LLC, by and among Virtu Financial LLC, Virtu Financial, Inc. and</w:t>
              </w:r>
            </w:hyperlink>
          </w:p>
        </w:tc>
        <w:tc>
          <w:tcPr>
            <w:tcW w:w="140" w:type="dxa"/>
            <w:vAlign w:val="bottom"/>
            <w:gridSpan w:val="6"/>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TJMT Holdings LLC (incorporated herein by reference to Exhibit 10.1 to the Company’s Current Report on</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580" w:type="dxa"/>
            <w:vAlign w:val="bottom"/>
            <w:tcBorders>
              <w:top w:val="single" w:sz="8" w:color="0000EE"/>
            </w:tcBorders>
            <w:gridSpan w:val="34"/>
          </w:tcPr>
          <w:p>
            <w:pPr>
              <w:spacing w:after="0" w:line="192" w:lineRule="exact"/>
              <w:rPr>
                <w:rFonts w:ascii="Arial" w:cs="Arial" w:eastAsia="Arial" w:hAnsi="Arial"/>
                <w:sz w:val="18"/>
                <w:szCs w:val="18"/>
                <w:color w:val="0000EE"/>
              </w:rPr>
            </w:pPr>
            <w:hyperlink r:id="rId197">
              <w:r>
                <w:rPr>
                  <w:rFonts w:ascii="Arial" w:cs="Arial" w:eastAsia="Arial" w:hAnsi="Arial"/>
                  <w:sz w:val="18"/>
                  <w:szCs w:val="18"/>
                  <w:color w:val="0000EE"/>
                </w:rPr>
                <w:t>Form 8-K (File No. 001-37352) filed on June 2, 2017).</w:t>
              </w:r>
            </w:hyperlink>
          </w:p>
        </w:tc>
        <w:tc>
          <w:tcPr>
            <w:tcW w:w="100" w:type="dxa"/>
            <w:vAlign w:val="bottom"/>
            <w:gridSpan w:val="4"/>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10.28</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Amended and Restated Investment Agreement, dated as of June 23, 2017, by and between Virtu Financial,</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340" w:type="dxa"/>
            <w:vAlign w:val="bottom"/>
            <w:tcBorders>
              <w:top w:val="single" w:sz="8" w:color="0000EE"/>
              <w:bottom w:val="single" w:sz="8" w:color="0000EE"/>
            </w:tcBorders>
            <w:gridSpan w:val="24"/>
          </w:tcPr>
          <w:p>
            <w:pPr>
              <w:spacing w:after="0" w:line="192"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Inc. and North Island Holdings I, LP (incorporated herein by reference to Exhibit 10.8 to the Company’s</w:t>
              </w:r>
            </w:hyperlink>
          </w:p>
        </w:tc>
        <w:tc>
          <w:tcPr>
            <w:tcW w:w="140" w:type="dxa"/>
            <w:vAlign w:val="bottom"/>
            <w:tcBorders>
              <w:top w:val="single" w:sz="8" w:color="0000EE"/>
            </w:tcBorders>
            <w:gridSpan w:val="6"/>
          </w:tcPr>
          <w:p>
            <w:pPr>
              <w:spacing w:after="0"/>
              <w:rPr>
                <w:sz w:val="16"/>
                <w:szCs w:val="16"/>
                <w:color w:val="auto"/>
              </w:rPr>
            </w:pPr>
          </w:p>
        </w:tc>
        <w:tc>
          <w:tcPr>
            <w:tcW w:w="200" w:type="dxa"/>
            <w:vAlign w:val="bottom"/>
            <w:gridSpan w:val="8"/>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r:id="rId198">
              <w:r>
                <w:rPr>
                  <w:rFonts w:ascii="Arial" w:cs="Arial" w:eastAsia="Arial" w:hAnsi="Arial"/>
                  <w:sz w:val="18"/>
                  <w:szCs w:val="18"/>
                  <w:color w:val="0000EE"/>
                </w:rPr>
                <w:t>Quarterly Report on Form 10-Q (File No. 001-37352) filed on August 9, 2017).</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60" w:type="dxa"/>
            <w:vAlign w:val="bottom"/>
            <w:gridSpan w:val="6"/>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10.29*</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Amendment No. 1, dated as of January 2, 2018, to the Fourth Amended and Restated Credit Agreement,</w:t>
              </w:r>
            </w:hyperlink>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60" w:type="dxa"/>
            <w:vAlign w:val="bottom"/>
            <w:gridSpan w:val="6"/>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dated June 30, 2017, by and between Virtu Financial LLC, VFH Parent LLC, the lenders party thereto and</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86"/>
              </w:rPr>
            </w:pPr>
            <w:hyperlink w:anchor="page152">
              <w:r>
                <w:rPr>
                  <w:rFonts w:ascii="Arial" w:cs="Arial" w:eastAsia="Arial" w:hAnsi="Arial"/>
                  <w:sz w:val="18"/>
                  <w:szCs w:val="18"/>
                  <w:color w:val="0000EE"/>
                  <w:w w:val="86"/>
                </w:rPr>
                <w:t>JPMorgan Chase Bank, N.A.</w:t>
              </w:r>
            </w:hyperlink>
          </w:p>
        </w:tc>
        <w:tc>
          <w:tcPr>
            <w:tcW w:w="5440" w:type="dxa"/>
            <w:vAlign w:val="bottom"/>
            <w:tcBorders>
              <w:top w:val="single" w:sz="8" w:color="0000EE"/>
            </w:tcBorders>
            <w:gridSpan w:val="27"/>
          </w:tcPr>
          <w:p>
            <w:pPr>
              <w:spacing w:after="0"/>
              <w:rPr>
                <w:sz w:val="16"/>
                <w:szCs w:val="16"/>
                <w:color w:val="auto"/>
              </w:rPr>
            </w:pPr>
          </w:p>
        </w:tc>
        <w:tc>
          <w:tcPr>
            <w:tcW w:w="220" w:type="dxa"/>
            <w:vAlign w:val="bottom"/>
            <w:gridSpan w:val="9"/>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10.30*</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5"/>
              </w:rPr>
            </w:pPr>
            <w:hyperlink w:anchor="page353">
              <w:r>
                <w:rPr>
                  <w:rFonts w:ascii="Arial" w:cs="Arial" w:eastAsia="Arial" w:hAnsi="Arial"/>
                  <w:sz w:val="18"/>
                  <w:szCs w:val="18"/>
                  <w:color w:val="0000EE"/>
                  <w:w w:val="95"/>
                </w:rPr>
                <w:t>Third Amendment, dated as of January 5, 2018, to the Third Amended and Restated Limited Liability</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40" w:type="dxa"/>
            <w:vAlign w:val="bottom"/>
            <w:tcBorders>
              <w:top w:val="single" w:sz="8" w:color="0000EE"/>
              <w:bottom w:val="single" w:sz="8" w:color="0000EE"/>
            </w:tcBorders>
            <w:gridSpan w:val="11"/>
          </w:tcPr>
          <w:p>
            <w:pPr>
              <w:spacing w:after="0" w:line="192" w:lineRule="exact"/>
              <w:rPr>
                <w:rFonts w:ascii="Arial" w:cs="Arial" w:eastAsia="Arial" w:hAnsi="Arial"/>
                <w:sz w:val="18"/>
                <w:szCs w:val="18"/>
                <w:color w:val="0000EE"/>
                <w:w w:val="90"/>
              </w:rPr>
            </w:pPr>
            <w:hyperlink w:anchor="page353">
              <w:r>
                <w:rPr>
                  <w:rFonts w:ascii="Arial" w:cs="Arial" w:eastAsia="Arial" w:hAnsi="Arial"/>
                  <w:sz w:val="18"/>
                  <w:szCs w:val="18"/>
                  <w:color w:val="0000EE"/>
                  <w:w w:val="90"/>
                </w:rPr>
                <w:t>Company Agreement of Virtu Financial LLC, dated as of April 15, 2015.</w:t>
              </w:r>
            </w:hyperlink>
          </w:p>
        </w:tc>
        <w:tc>
          <w:tcPr>
            <w:tcW w:w="2040" w:type="dxa"/>
            <w:vAlign w:val="bottom"/>
            <w:tcBorders>
              <w:top w:val="single" w:sz="8" w:color="0000EE"/>
            </w:tcBorders>
            <w:gridSpan w:val="8"/>
          </w:tcPr>
          <w:p>
            <w:pPr>
              <w:spacing w:after="0"/>
              <w:rPr>
                <w:sz w:val="16"/>
                <w:szCs w:val="16"/>
                <w:color w:val="auto"/>
              </w:rPr>
            </w:pPr>
          </w:p>
        </w:tc>
        <w:tc>
          <w:tcPr>
            <w:tcW w:w="500" w:type="dxa"/>
            <w:vAlign w:val="bottom"/>
            <w:gridSpan w:val="19"/>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21.1*</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rPr>
            </w:pPr>
            <w:hyperlink w:anchor="page410">
              <w:r>
                <w:rPr>
                  <w:rFonts w:ascii="Arial" w:cs="Arial" w:eastAsia="Arial" w:hAnsi="Arial"/>
                  <w:sz w:val="18"/>
                  <w:szCs w:val="18"/>
                  <w:color w:val="0000EE"/>
                </w:rPr>
                <w:t>Subsidiaries of Virtu Financial, Inc.</w:t>
              </w:r>
            </w:hyperlink>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23.1*</w:t>
            </w:r>
          </w:p>
        </w:tc>
        <w:tc>
          <w:tcPr>
            <w:tcW w:w="300" w:type="dxa"/>
            <w:vAlign w:val="bottom"/>
          </w:tcPr>
          <w:p>
            <w:pPr>
              <w:spacing w:after="0"/>
              <w:rPr>
                <w:sz w:val="16"/>
                <w:szCs w:val="16"/>
                <w:color w:val="auto"/>
              </w:rPr>
            </w:pPr>
          </w:p>
        </w:tc>
        <w:tc>
          <w:tcPr>
            <w:tcW w:w="2480" w:type="dxa"/>
            <w:vAlign w:val="bottom"/>
            <w:tcBorders>
              <w:top w:val="single" w:sz="8" w:color="0000EE"/>
            </w:tcBorders>
            <w:gridSpan w:val="5"/>
          </w:tcPr>
          <w:p>
            <w:pPr>
              <w:spacing w:after="0" w:line="192" w:lineRule="exact"/>
              <w:rPr>
                <w:rFonts w:ascii="Arial" w:cs="Arial" w:eastAsia="Arial" w:hAnsi="Arial"/>
                <w:sz w:val="18"/>
                <w:szCs w:val="18"/>
                <w:color w:val="0000EE"/>
                <w:w w:val="90"/>
              </w:rPr>
            </w:pPr>
            <w:hyperlink w:anchor="page411">
              <w:r>
                <w:rPr>
                  <w:rFonts w:ascii="Arial" w:cs="Arial" w:eastAsia="Arial" w:hAnsi="Arial"/>
                  <w:sz w:val="18"/>
                  <w:szCs w:val="18"/>
                  <w:color w:val="0000EE"/>
                  <w:w w:val="90"/>
                </w:rPr>
                <w:t>Consent of Deloite &amp; Touche LLP.</w:t>
              </w:r>
            </w:hyperlink>
          </w:p>
        </w:tc>
        <w:tc>
          <w:tcPr>
            <w:tcW w:w="5200" w:type="dxa"/>
            <w:vAlign w:val="bottom"/>
            <w:gridSpan w:val="33"/>
          </w:tcPr>
          <w:p>
            <w:pPr>
              <w:spacing w:after="0"/>
              <w:rPr>
                <w:sz w:val="16"/>
                <w:szCs w:val="16"/>
                <w:color w:val="auto"/>
              </w:rPr>
            </w:pPr>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4360" w:type="dxa"/>
            <w:vAlign w:val="bottom"/>
            <w:gridSpan w:val="13"/>
          </w:tcPr>
          <w:p>
            <w:pPr>
              <w:spacing w:after="0" w:line="20" w:lineRule="exact"/>
              <w:rPr>
                <w:sz w:val="1"/>
                <w:szCs w:val="1"/>
                <w:color w:val="auto"/>
              </w:rPr>
            </w:pPr>
          </w:p>
        </w:tc>
        <w:tc>
          <w:tcPr>
            <w:tcW w:w="8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6"/>
                <w:szCs w:val="16"/>
                <w:color w:val="auto"/>
              </w:rPr>
            </w:pPr>
          </w:p>
        </w:tc>
        <w:tc>
          <w:tcPr>
            <w:tcW w:w="7680" w:type="dxa"/>
            <w:vAlign w:val="bottom"/>
            <w:tcBorders>
              <w:bottom w:val="single" w:sz="8" w:color="0000EE"/>
            </w:tcBorders>
            <w:gridSpan w:val="38"/>
          </w:tcPr>
          <w:p>
            <w:pPr>
              <w:spacing w:after="0" w:line="192" w:lineRule="exact"/>
              <w:rPr>
                <w:rFonts w:ascii="Arial" w:cs="Arial" w:eastAsia="Arial" w:hAnsi="Arial"/>
                <w:sz w:val="18"/>
                <w:szCs w:val="18"/>
                <w:color w:val="0000EE"/>
                <w:w w:val="89"/>
              </w:rPr>
            </w:pPr>
            <w:hyperlink w:anchor="page412">
              <w:r>
                <w:rPr>
                  <w:rFonts w:ascii="Arial" w:cs="Arial" w:eastAsia="Arial" w:hAnsi="Arial"/>
                  <w:sz w:val="18"/>
                  <w:szCs w:val="18"/>
                  <w:color w:val="0000EE"/>
                  <w:w w:val="89"/>
                </w:rPr>
                <w:t>Certification of Chief Executive Officer required by Rule 13a-14(a)/15d-14(a) under the Securities Exchange</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8"/>
              </w:rPr>
            </w:pPr>
            <w:hyperlink w:anchor="page412">
              <w:r>
                <w:rPr>
                  <w:rFonts w:ascii="Arial" w:cs="Arial" w:eastAsia="Arial" w:hAnsi="Arial"/>
                  <w:sz w:val="18"/>
                  <w:szCs w:val="18"/>
                  <w:color w:val="0000EE"/>
                  <w:w w:val="98"/>
                </w:rPr>
                <w:t>Act of 1934, as amended, as adopted pursuant to Section 302 of the Sarbanes-Oxley Act of 2002</w:t>
              </w:r>
              <w:r>
                <w:rPr>
                  <w:rFonts w:ascii="Arial" w:cs="Arial" w:eastAsia="Arial" w:hAnsi="Arial"/>
                  <w:sz w:val="18"/>
                  <w:szCs w:val="18"/>
                  <w:color w:val="000000"/>
                  <w:w w:val="98"/>
                </w:rPr>
                <w:t>.</w:t>
              </w:r>
            </w:hyperlink>
          </w:p>
        </w:tc>
      </w:tr>
      <w:tr>
        <w:trPr>
          <w:trHeight w:val="20"/>
        </w:trPr>
        <w:tc>
          <w:tcPr>
            <w:tcW w:w="1080" w:type="dxa"/>
            <w:vAlign w:val="bottom"/>
            <w:gridSpan w:val="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780" w:type="dxa"/>
            <w:vAlign w:val="bottom"/>
            <w:gridSpan w:val="17"/>
            <w:shd w:val="clear" w:color="auto" w:fill="0000EE"/>
          </w:tcPr>
          <w:p>
            <w:pPr>
              <w:spacing w:after="0" w:line="20" w:lineRule="exact"/>
              <w:rPr>
                <w:sz w:val="1"/>
                <w:szCs w:val="1"/>
                <w:color w:val="auto"/>
              </w:rPr>
            </w:pPr>
          </w:p>
        </w:tc>
        <w:tc>
          <w:tcPr>
            <w:tcW w:w="8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31.2*</w:t>
            </w:r>
          </w:p>
        </w:tc>
        <w:tc>
          <w:tcPr>
            <w:tcW w:w="300" w:type="dxa"/>
            <w:vAlign w:val="bottom"/>
          </w:tcPr>
          <w:p>
            <w:pPr>
              <w:spacing w:after="0"/>
              <w:rPr>
                <w:sz w:val="16"/>
                <w:szCs w:val="16"/>
                <w:color w:val="auto"/>
              </w:rPr>
            </w:pPr>
          </w:p>
        </w:tc>
        <w:tc>
          <w:tcPr>
            <w:tcW w:w="7680" w:type="dxa"/>
            <w:vAlign w:val="bottom"/>
            <w:gridSpan w:val="38"/>
          </w:tcPr>
          <w:p>
            <w:pPr>
              <w:spacing w:after="0" w:line="192" w:lineRule="exact"/>
              <w:rPr>
                <w:rFonts w:ascii="Arial" w:cs="Arial" w:eastAsia="Arial" w:hAnsi="Arial"/>
                <w:sz w:val="18"/>
                <w:szCs w:val="18"/>
                <w:color w:val="0000EE"/>
                <w:w w:val="90"/>
              </w:rPr>
            </w:pPr>
            <w:hyperlink w:anchor="page413">
              <w:r>
                <w:rPr>
                  <w:rFonts w:ascii="Arial" w:cs="Arial" w:eastAsia="Arial" w:hAnsi="Arial"/>
                  <w:sz w:val="18"/>
                  <w:szCs w:val="18"/>
                  <w:color w:val="0000EE"/>
                  <w:w w:val="90"/>
                </w:rPr>
                <w:t>Certification of Chief Financial Officer required by Rule 13a-14(a)/15d-14(a) under the Securities Exchange</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20" w:type="dxa"/>
            <w:vAlign w:val="bottom"/>
            <w:tcBorders>
              <w:top w:val="single" w:sz="8" w:color="0000EE"/>
            </w:tcBorders>
            <w:gridSpan w:val="35"/>
          </w:tcPr>
          <w:p>
            <w:pPr>
              <w:spacing w:after="0" w:line="192" w:lineRule="exact"/>
              <w:rPr>
                <w:rFonts w:ascii="Arial" w:cs="Arial" w:eastAsia="Arial" w:hAnsi="Arial"/>
                <w:sz w:val="18"/>
                <w:szCs w:val="18"/>
                <w:color w:val="0000EE"/>
                <w:w w:val="97"/>
              </w:rPr>
            </w:pPr>
            <w:hyperlink w:anchor="page413">
              <w:r>
                <w:rPr>
                  <w:rFonts w:ascii="Arial" w:cs="Arial" w:eastAsia="Arial" w:hAnsi="Arial"/>
                  <w:sz w:val="18"/>
                  <w:szCs w:val="18"/>
                  <w:color w:val="0000EE"/>
                  <w:w w:val="97"/>
                </w:rPr>
                <w:t>Act of 1934, as amended, as adopted pursuant to Section 302 of the Sarbanes-Oxley Act of 2002</w:t>
              </w:r>
              <w:r>
                <w:rPr>
                  <w:rFonts w:ascii="Arial" w:cs="Arial" w:eastAsia="Arial" w:hAnsi="Arial"/>
                  <w:sz w:val="18"/>
                  <w:szCs w:val="18"/>
                  <w:color w:val="000000"/>
                  <w:w w:val="97"/>
                </w:rPr>
                <w:t>.</w:t>
              </w:r>
            </w:hyperlink>
          </w:p>
        </w:tc>
        <w:tc>
          <w:tcPr>
            <w:tcW w:w="60" w:type="dxa"/>
            <w:vAlign w:val="bottom"/>
            <w:gridSpan w:val="3"/>
          </w:tcPr>
          <w:p>
            <w:pPr>
              <w:spacing w:after="0"/>
              <w:rPr>
                <w:sz w:val="16"/>
                <w:szCs w:val="16"/>
                <w:color w:val="auto"/>
              </w:rPr>
            </w:pPr>
          </w:p>
        </w:tc>
      </w:tr>
      <w:tr>
        <w:trPr>
          <w:trHeight w:val="54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tcBorders>
              <w:top w:val="single" w:sz="8" w:color="0000EE"/>
            </w:tcBorders>
            <w:gridSpan w:val="7"/>
          </w:tcPr>
          <w:p>
            <w:pPr>
              <w:jc w:val="right"/>
              <w:ind w:right="249"/>
              <w:spacing w:after="0"/>
              <w:rPr>
                <w:sz w:val="20"/>
                <w:szCs w:val="20"/>
                <w:color w:val="auto"/>
              </w:rPr>
            </w:pPr>
            <w:r>
              <w:rPr>
                <w:rFonts w:ascii="Arial" w:cs="Arial" w:eastAsia="Arial" w:hAnsi="Arial"/>
                <w:sz w:val="18"/>
                <w:szCs w:val="18"/>
                <w:color w:val="auto"/>
              </w:rPr>
              <w:t>140</w:t>
            </w:r>
          </w:p>
        </w:tc>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141" w:name="page142"/>
    <w:bookmarkEnd w:id="1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80" w:type="dxa"/>
            <w:vAlign w:val="bottom"/>
            <w:gridSpan w:val="5"/>
          </w:tcPr>
          <w:p>
            <w:pPr>
              <w:ind w:left="3480"/>
              <w:spacing w:after="0"/>
              <w:rPr>
                <w:sz w:val="20"/>
                <w:szCs w:val="20"/>
                <w:color w:val="auto"/>
              </w:rPr>
            </w:pPr>
            <w:r>
              <w:rPr>
                <w:rFonts w:ascii="Arial" w:cs="Arial" w:eastAsia="Arial" w:hAnsi="Arial"/>
                <w:sz w:val="14"/>
                <w:szCs w:val="14"/>
                <w:b w:val="1"/>
                <w:bCs w:val="1"/>
                <w:color w:val="auto"/>
              </w:rPr>
              <w:t>Description</w:t>
            </w:r>
          </w:p>
        </w:tc>
      </w:tr>
      <w:tr>
        <w:trPr>
          <w:trHeight w:val="165"/>
        </w:trPr>
        <w:tc>
          <w:tcPr>
            <w:tcW w:w="20" w:type="dxa"/>
            <w:vAlign w:val="bottom"/>
          </w:tcPr>
          <w:p>
            <w:pPr>
              <w:spacing w:after="0"/>
              <w:rPr>
                <w:sz w:val="14"/>
                <w:szCs w:val="14"/>
                <w:color w:val="auto"/>
              </w:rPr>
            </w:pPr>
          </w:p>
        </w:tc>
        <w:tc>
          <w:tcPr>
            <w:tcW w:w="1060" w:type="dxa"/>
            <w:vAlign w:val="bottom"/>
            <w:tcBorders>
              <w:top w:val="single" w:sz="8" w:color="auto"/>
            </w:tcBorders>
          </w:tcPr>
          <w:p>
            <w:pPr>
              <w:spacing w:after="0" w:line="165" w:lineRule="exact"/>
              <w:rPr>
                <w:sz w:val="20"/>
                <w:szCs w:val="20"/>
                <w:color w:val="auto"/>
              </w:rPr>
            </w:pPr>
            <w:r>
              <w:rPr>
                <w:rFonts w:ascii="Arial" w:cs="Arial" w:eastAsia="Arial" w:hAnsi="Arial"/>
                <w:sz w:val="18"/>
                <w:szCs w:val="18"/>
                <w:color w:val="auto"/>
              </w:rPr>
              <w:t>32.1*</w:t>
            </w: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000" w:type="dxa"/>
            <w:vAlign w:val="bottom"/>
            <w:tcBorders>
              <w:top w:val="single" w:sz="8" w:color="auto"/>
              <w:bottom w:val="single" w:sz="8" w:color="0000EE"/>
            </w:tcBorders>
            <w:gridSpan w:val="4"/>
          </w:tcPr>
          <w:p>
            <w:pPr>
              <w:spacing w:after="0" w:line="165" w:lineRule="exact"/>
              <w:rPr>
                <w:rFonts w:ascii="Arial" w:cs="Arial" w:eastAsia="Arial" w:hAnsi="Arial"/>
                <w:sz w:val="18"/>
                <w:szCs w:val="18"/>
                <w:color w:val="0000EE"/>
                <w:w w:val="88"/>
              </w:rPr>
            </w:pPr>
            <w:hyperlink w:anchor="page414">
              <w:r>
                <w:rPr>
                  <w:rFonts w:ascii="Arial" w:cs="Arial" w:eastAsia="Arial" w:hAnsi="Arial"/>
                  <w:sz w:val="18"/>
                  <w:szCs w:val="18"/>
                  <w:color w:val="0000EE"/>
                  <w:w w:val="88"/>
                </w:rPr>
                <w:t>Certification of Chief Executive Officer pursuant to 18 U.S.C. Section 1350, as adopted pursuant to</w:t>
              </w:r>
            </w:hyperlink>
          </w:p>
        </w:tc>
        <w:tc>
          <w:tcPr>
            <w:tcW w:w="680" w:type="dxa"/>
            <w:vAlign w:val="bottom"/>
            <w:tcBorders>
              <w:top w:val="single" w:sz="8" w:color="auto"/>
            </w:tcBorders>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80" w:type="dxa"/>
            <w:vAlign w:val="bottom"/>
            <w:tcBorders>
              <w:bottom w:val="single" w:sz="8" w:color="0000EE"/>
            </w:tcBorders>
            <w:gridSpan w:val="3"/>
          </w:tcPr>
          <w:p>
            <w:pPr>
              <w:spacing w:after="0" w:line="192" w:lineRule="exact"/>
              <w:rPr>
                <w:rFonts w:ascii="Arial" w:cs="Arial" w:eastAsia="Arial" w:hAnsi="Arial"/>
                <w:sz w:val="18"/>
                <w:szCs w:val="18"/>
                <w:color w:val="0000EE"/>
                <w:w w:val="89"/>
              </w:rPr>
            </w:pPr>
            <w:hyperlink w:anchor="page414">
              <w:r>
                <w:rPr>
                  <w:rFonts w:ascii="Arial" w:cs="Arial" w:eastAsia="Arial" w:hAnsi="Arial"/>
                  <w:sz w:val="18"/>
                  <w:szCs w:val="18"/>
                  <w:color w:val="0000EE"/>
                  <w:w w:val="89"/>
                </w:rPr>
                <w:t>Section 906 of the Sarbanes-Oxley Act of 2002 (furnished herewith).</w:t>
              </w:r>
            </w:hyperlink>
          </w:p>
        </w:tc>
        <w:tc>
          <w:tcPr>
            <w:tcW w:w="2820" w:type="dxa"/>
            <w:vAlign w:val="bottom"/>
            <w:gridSpan w:val="3"/>
          </w:tcPr>
          <w:p>
            <w:pPr>
              <w:spacing w:after="0"/>
              <w:rPr>
                <w:sz w:val="16"/>
                <w:szCs w:val="16"/>
                <w:color w:val="auto"/>
              </w:rPr>
            </w:pPr>
          </w:p>
        </w:tc>
      </w:tr>
      <w:tr>
        <w:trPr>
          <w:trHeight w:val="192"/>
        </w:trPr>
        <w:tc>
          <w:tcPr>
            <w:tcW w:w="1080" w:type="dxa"/>
            <w:vAlign w:val="bottom"/>
            <w:gridSpan w:val="2"/>
          </w:tcPr>
          <w:p>
            <w:pPr>
              <w:spacing w:after="0" w:line="192" w:lineRule="exact"/>
              <w:rPr>
                <w:sz w:val="20"/>
                <w:szCs w:val="20"/>
                <w:color w:val="auto"/>
              </w:rPr>
            </w:pPr>
            <w:r>
              <w:rPr>
                <w:rFonts w:ascii="Arial" w:cs="Arial" w:eastAsia="Arial" w:hAnsi="Arial"/>
                <w:sz w:val="18"/>
                <w:szCs w:val="18"/>
                <w:color w:val="auto"/>
              </w:rPr>
              <w:t>32.2*</w:t>
            </w:r>
          </w:p>
        </w:tc>
        <w:tc>
          <w:tcPr>
            <w:tcW w:w="280" w:type="dxa"/>
            <w:vAlign w:val="bottom"/>
          </w:tcPr>
          <w:p>
            <w:pPr>
              <w:spacing w:after="0"/>
              <w:rPr>
                <w:sz w:val="16"/>
                <w:szCs w:val="16"/>
                <w:color w:val="auto"/>
              </w:rPr>
            </w:pPr>
          </w:p>
        </w:tc>
        <w:tc>
          <w:tcPr>
            <w:tcW w:w="7700" w:type="dxa"/>
            <w:vAlign w:val="bottom"/>
            <w:gridSpan w:val="6"/>
          </w:tcPr>
          <w:p>
            <w:pPr>
              <w:spacing w:after="0" w:line="192" w:lineRule="exact"/>
              <w:rPr>
                <w:rFonts w:ascii="Arial" w:cs="Arial" w:eastAsia="Arial" w:hAnsi="Arial"/>
                <w:sz w:val="18"/>
                <w:szCs w:val="18"/>
                <w:color w:val="0000EE"/>
                <w:w w:val="98"/>
              </w:rPr>
            </w:pPr>
            <w:hyperlink w:anchor="page415">
              <w:r>
                <w:rPr>
                  <w:rFonts w:ascii="Arial" w:cs="Arial" w:eastAsia="Arial" w:hAnsi="Arial"/>
                  <w:sz w:val="18"/>
                  <w:szCs w:val="18"/>
                  <w:color w:val="0000EE"/>
                  <w:w w:val="98"/>
                </w:rPr>
                <w:t>Certification of Chief Financial Officer pursuant to 18 U.S.C. Section 1350, as adopted pursuant to</w:t>
              </w:r>
            </w:hyperlink>
          </w:p>
        </w:tc>
      </w:tr>
      <w:tr>
        <w:trPr>
          <w:trHeight w:val="192"/>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60" w:type="dxa"/>
            <w:vAlign w:val="bottom"/>
            <w:tcBorders>
              <w:top w:val="single" w:sz="8" w:color="0000EE"/>
            </w:tcBorders>
            <w:gridSpan w:val="4"/>
          </w:tcPr>
          <w:p>
            <w:pPr>
              <w:spacing w:after="0" w:line="192" w:lineRule="exact"/>
              <w:rPr>
                <w:rFonts w:ascii="Arial" w:cs="Arial" w:eastAsia="Arial" w:hAnsi="Arial"/>
                <w:sz w:val="18"/>
                <w:szCs w:val="18"/>
                <w:color w:val="0000EE"/>
              </w:rPr>
            </w:pPr>
            <w:hyperlink w:anchor="page415">
              <w:r>
                <w:rPr>
                  <w:rFonts w:ascii="Arial" w:cs="Arial" w:eastAsia="Arial" w:hAnsi="Arial"/>
                  <w:sz w:val="18"/>
                  <w:szCs w:val="18"/>
                  <w:color w:val="0000EE"/>
                </w:rPr>
                <w:t>Section 906 of the Sarbanes-Oxley Act of 2002 (furnished herewith).</w:t>
              </w:r>
            </w:hyperlink>
          </w:p>
        </w:tc>
        <w:tc>
          <w:tcPr>
            <w:tcW w:w="740" w:type="dxa"/>
            <w:vAlign w:val="bottom"/>
            <w:gridSpan w:val="2"/>
          </w:tcPr>
          <w:p>
            <w:pPr>
              <w:spacing w:after="0"/>
              <w:rPr>
                <w:sz w:val="16"/>
                <w:szCs w:val="16"/>
                <w:color w:val="auto"/>
              </w:rPr>
            </w:pPr>
          </w:p>
        </w:tc>
      </w:tr>
      <w:tr>
        <w:trPr>
          <w:trHeight w:val="219"/>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19"/>
                <w:szCs w:val="19"/>
                <w:color w:val="auto"/>
              </w:rPr>
            </w:pPr>
          </w:p>
        </w:tc>
        <w:tc>
          <w:tcPr>
            <w:tcW w:w="48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2840" w:type="dxa"/>
            <w:vAlign w:val="bottom"/>
            <w:gridSpan w:val="4"/>
          </w:tcPr>
          <w:p>
            <w:pPr>
              <w:spacing w:after="0"/>
              <w:rPr>
                <w:sz w:val="19"/>
                <w:szCs w:val="19"/>
                <w:color w:val="auto"/>
              </w:rPr>
            </w:pPr>
          </w:p>
        </w:tc>
      </w:tr>
      <w:tr>
        <w:trPr>
          <w:trHeight w:val="212"/>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18"/>
                <w:szCs w:val="18"/>
                <w:color w:val="auto"/>
              </w:rPr>
            </w:pPr>
          </w:p>
        </w:tc>
        <w:tc>
          <w:tcPr>
            <w:tcW w:w="770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r>
      <w:tr>
        <w:trPr>
          <w:trHeight w:val="212"/>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18"/>
                <w:szCs w:val="18"/>
                <w:color w:val="auto"/>
              </w:rPr>
            </w:pPr>
          </w:p>
        </w:tc>
        <w:tc>
          <w:tcPr>
            <w:tcW w:w="77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2"/>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18"/>
                <w:szCs w:val="18"/>
                <w:color w:val="auto"/>
              </w:rPr>
            </w:pPr>
          </w:p>
        </w:tc>
        <w:tc>
          <w:tcPr>
            <w:tcW w:w="77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r>
      <w:tr>
        <w:trPr>
          <w:trHeight w:val="212"/>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18"/>
                <w:szCs w:val="18"/>
                <w:color w:val="auto"/>
              </w:rPr>
            </w:pPr>
          </w:p>
        </w:tc>
        <w:tc>
          <w:tcPr>
            <w:tcW w:w="77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23"/>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19"/>
                <w:szCs w:val="19"/>
                <w:color w:val="auto"/>
              </w:rPr>
            </w:pPr>
          </w:p>
        </w:tc>
        <w:tc>
          <w:tcPr>
            <w:tcW w:w="7700" w:type="dxa"/>
            <w:vAlign w:val="bottom"/>
            <w:gridSpan w:val="6"/>
          </w:tcPr>
          <w:p>
            <w:pPr>
              <w:spacing w:after="0"/>
              <w:rPr>
                <w:sz w:val="20"/>
                <w:szCs w:val="20"/>
                <w:color w:val="auto"/>
              </w:rPr>
            </w:pPr>
            <w:r>
              <w:rPr>
                <w:rFonts w:ascii="Arial" w:cs="Arial" w:eastAsia="Arial" w:hAnsi="Arial"/>
                <w:sz w:val="18"/>
                <w:szCs w:val="18"/>
                <w:color w:val="auto"/>
              </w:rPr>
              <w:t>XBRL Taxonomy Extension Definition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14363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75437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42" w:name="page143"/>
    <w:bookmarkEnd w:id="1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69" w:lineRule="exact"/>
        <w:rPr>
          <w:sz w:val="20"/>
          <w:szCs w:val="20"/>
          <w:color w:val="auto"/>
        </w:rPr>
      </w:pPr>
    </w:p>
    <w:p>
      <w:pPr>
        <w:ind w:right="179" w:firstLine="635"/>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Virtu Financial, Inc.</w:t>
      </w:r>
    </w:p>
    <w:p>
      <w:pPr>
        <w:spacing w:after="0" w:line="296" w:lineRule="exact"/>
        <w:rPr>
          <w:sz w:val="20"/>
          <w:szCs w:val="20"/>
          <w:color w:val="auto"/>
        </w:rPr>
      </w:pPr>
    </w:p>
    <w:p>
      <w:pPr>
        <w:ind w:left="960"/>
        <w:spacing w:after="0"/>
        <w:tabs>
          <w:tab w:leader="none" w:pos="1600" w:val="left"/>
          <w:tab w:leader="none" w:pos="4540" w:val="left"/>
        </w:tabs>
        <w:rPr>
          <w:sz w:val="20"/>
          <w:szCs w:val="20"/>
          <w:color w:val="auto"/>
        </w:rPr>
      </w:pPr>
      <w:r>
        <w:rPr>
          <w:rFonts w:ascii="Arial" w:cs="Arial" w:eastAsia="Arial" w:hAnsi="Arial"/>
          <w:sz w:val="18"/>
          <w:szCs w:val="18"/>
          <w:color w:val="auto"/>
        </w:rPr>
        <w:t>DATE:</w:t>
        <w:tab/>
        <w:t>March 13, 2018</w:t>
      </w:r>
      <w:r>
        <w:rPr>
          <w:sz w:val="20"/>
          <w:szCs w:val="20"/>
          <w:color w:val="auto"/>
        </w:rPr>
        <w:tab/>
      </w:r>
      <w:r>
        <w:rPr>
          <w:rFonts w:ascii="Arial" w:cs="Arial" w:eastAsia="Arial" w:hAnsi="Arial"/>
          <w:sz w:val="15"/>
          <w:szCs w:val="15"/>
          <w:color w:val="auto"/>
        </w:rPr>
        <w:t>By: /s/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2540</wp:posOffset>
            </wp:positionV>
            <wp:extent cx="26625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2662555" cy="8255"/>
                    </a:xfrm>
                    <a:prstGeom prst="rect">
                      <a:avLst/>
                    </a:prstGeom>
                    <a:noFill/>
                  </pic:spPr>
                </pic:pic>
              </a:graphicData>
            </a:graphic>
          </wp:anchor>
        </w:drawing>
      </w:r>
    </w:p>
    <w:p>
      <w:pPr>
        <w:ind w:left="4860"/>
        <w:spacing w:after="0" w:line="221" w:lineRule="auto"/>
        <w:rPr>
          <w:sz w:val="20"/>
          <w:szCs w:val="20"/>
          <w:color w:val="auto"/>
        </w:rPr>
      </w:pPr>
      <w:r>
        <w:rPr>
          <w:rFonts w:ascii="Arial" w:cs="Arial" w:eastAsia="Arial" w:hAnsi="Arial"/>
          <w:sz w:val="18"/>
          <w:szCs w:val="18"/>
          <w:color w:val="auto"/>
        </w:rPr>
        <w:t>Douglas A. Cifu</w:t>
      </w:r>
    </w:p>
    <w:p>
      <w:pPr>
        <w:ind w:left="4860"/>
        <w:spacing w:after="0"/>
        <w:rPr>
          <w:sz w:val="20"/>
          <w:szCs w:val="20"/>
          <w:color w:val="auto"/>
        </w:rPr>
      </w:pPr>
      <w:r>
        <w:rPr>
          <w:rFonts w:ascii="Arial" w:cs="Arial" w:eastAsia="Arial" w:hAnsi="Arial"/>
          <w:sz w:val="18"/>
          <w:szCs w:val="18"/>
          <w:color w:val="auto"/>
        </w:rPr>
        <w:t>Chief Executive Officer</w:t>
      </w:r>
    </w:p>
    <w:p>
      <w:pPr>
        <w:spacing w:after="0" w:line="282" w:lineRule="exact"/>
        <w:rPr>
          <w:sz w:val="20"/>
          <w:szCs w:val="20"/>
          <w:color w:val="auto"/>
        </w:rPr>
      </w:pPr>
    </w:p>
    <w:p>
      <w:pPr>
        <w:ind w:left="960"/>
        <w:spacing w:after="0"/>
        <w:tabs>
          <w:tab w:leader="none" w:pos="1600" w:val="left"/>
          <w:tab w:leader="none" w:pos="4540" w:val="left"/>
        </w:tabs>
        <w:rPr>
          <w:sz w:val="20"/>
          <w:szCs w:val="20"/>
          <w:color w:val="auto"/>
        </w:rPr>
      </w:pPr>
      <w:r>
        <w:rPr>
          <w:rFonts w:ascii="Arial" w:cs="Arial" w:eastAsia="Arial" w:hAnsi="Arial"/>
          <w:sz w:val="18"/>
          <w:szCs w:val="18"/>
          <w:color w:val="auto"/>
        </w:rPr>
        <w:t>DATE:</w:t>
        <w:tab/>
        <w:t>March 13, 2018</w:t>
      </w:r>
      <w:r>
        <w:rPr>
          <w:sz w:val="20"/>
          <w:szCs w:val="20"/>
          <w:color w:val="auto"/>
        </w:rPr>
        <w:tab/>
      </w:r>
      <w:r>
        <w:rPr>
          <w:rFonts w:ascii="Arial" w:cs="Arial" w:eastAsia="Arial" w:hAnsi="Arial"/>
          <w:sz w:val="15"/>
          <w:szCs w:val="15"/>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2540</wp:posOffset>
            </wp:positionV>
            <wp:extent cx="26625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2662555" cy="8255"/>
                    </a:xfrm>
                    <a:prstGeom prst="rect">
                      <a:avLst/>
                    </a:prstGeom>
                    <a:noFill/>
                  </pic:spPr>
                </pic:pic>
              </a:graphicData>
            </a:graphic>
          </wp:anchor>
        </w:drawing>
      </w:r>
    </w:p>
    <w:p>
      <w:pPr>
        <w:ind w:left="4860"/>
        <w:spacing w:after="0" w:line="221" w:lineRule="auto"/>
        <w:rPr>
          <w:sz w:val="20"/>
          <w:szCs w:val="20"/>
          <w:color w:val="auto"/>
        </w:rPr>
      </w:pPr>
      <w:r>
        <w:rPr>
          <w:rFonts w:ascii="Arial" w:cs="Arial" w:eastAsia="Arial" w:hAnsi="Arial"/>
          <w:sz w:val="18"/>
          <w:szCs w:val="18"/>
          <w:color w:val="auto"/>
        </w:rPr>
        <w:t>Joseph Molluso</w:t>
      </w:r>
    </w:p>
    <w:p>
      <w:pPr>
        <w:ind w:left="4860"/>
        <w:spacing w:after="0"/>
        <w:rPr>
          <w:sz w:val="20"/>
          <w:szCs w:val="20"/>
          <w:color w:val="auto"/>
        </w:rPr>
      </w:pPr>
      <w:r>
        <w:rPr>
          <w:rFonts w:ascii="Arial" w:cs="Arial" w:eastAsia="Arial" w:hAnsi="Arial"/>
          <w:sz w:val="18"/>
          <w:szCs w:val="18"/>
          <w:color w:val="auto"/>
        </w:rPr>
        <w:t>Chief Financial Officer</w:t>
      </w:r>
    </w:p>
    <w:p>
      <w:pPr>
        <w:spacing w:after="0" w:line="123" w:lineRule="exact"/>
        <w:rPr>
          <w:sz w:val="20"/>
          <w:szCs w:val="20"/>
          <w:color w:val="auto"/>
        </w:rPr>
      </w:pPr>
    </w:p>
    <w:p>
      <w:pPr>
        <w:ind w:right="39" w:firstLine="635"/>
        <w:spacing w:after="0" w:line="23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Douglas A. Cifu and Joseph Molluso,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spacing w:after="0" w:line="125" w:lineRule="exact"/>
        <w:rPr>
          <w:sz w:val="20"/>
          <w:szCs w:val="20"/>
          <w:color w:val="auto"/>
        </w:rPr>
      </w:pPr>
    </w:p>
    <w:p>
      <w:pPr>
        <w:ind w:right="379" w:firstLine="635"/>
        <w:spacing w:after="0" w:line="261" w:lineRule="auto"/>
        <w:rPr>
          <w:sz w:val="20"/>
          <w:szCs w:val="20"/>
          <w:color w:val="auto"/>
        </w:rPr>
      </w:pPr>
      <w:r>
        <w:rPr>
          <w:rFonts w:ascii="Arial" w:cs="Arial" w:eastAsia="Arial" w:hAnsi="Arial"/>
          <w:sz w:val="17"/>
          <w:szCs w:val="17"/>
          <w:color w:val="auto"/>
        </w:rPr>
        <w:t>Pursuant to the requirements of the Securities and Exchange Act of 1934, the report has been signed below by the following persons on behalf of the Registrant and in the capacities indicated on March 13, 2018.</w:t>
      </w:r>
    </w:p>
    <w:p>
      <w:pPr>
        <w:sectPr>
          <w:pgSz w:w="11900" w:h="16838" w:orient="portrait"/>
          <w:cols w:equalWidth="0" w:num="1">
            <w:col w:w="9039"/>
          </w:cols>
          <w:pgMar w:left="1420" w:top="127" w:right="1440" w:bottom="1440" w:gutter="0" w:footer="0" w:header="0"/>
        </w:sectPr>
      </w:pPr>
    </w:p>
    <w:p>
      <w:pPr>
        <w:spacing w:after="0" w:line="124"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22"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720"/>
        <w:spacing w:after="0"/>
        <w:rPr>
          <w:sz w:val="20"/>
          <w:szCs w:val="20"/>
          <w:color w:val="auto"/>
        </w:rPr>
      </w:pPr>
      <w:r>
        <w:rPr>
          <w:rFonts w:ascii="Arial" w:cs="Arial" w:eastAsia="Arial" w:hAnsi="Arial"/>
          <w:sz w:val="18"/>
          <w:szCs w:val="18"/>
          <w:color w:val="auto"/>
        </w:rPr>
        <w:t>Douglas A. Cifu</w:t>
      </w:r>
    </w:p>
    <w:p>
      <w:pPr>
        <w:spacing w:after="0" w:line="203"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720"/>
        <w:spacing w:after="0"/>
        <w:rPr>
          <w:sz w:val="20"/>
          <w:szCs w:val="20"/>
          <w:color w:val="auto"/>
        </w:rPr>
      </w:pPr>
      <w:r>
        <w:rPr>
          <w:rFonts w:ascii="Arial" w:cs="Arial" w:eastAsia="Arial" w:hAnsi="Arial"/>
          <w:sz w:val="18"/>
          <w:szCs w:val="18"/>
          <w:color w:val="auto"/>
        </w:rPr>
        <w:t>Joseph Molluso</w:t>
      </w:r>
    </w:p>
    <w:p>
      <w:pPr>
        <w:spacing w:after="0" w:line="2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720"/>
        <w:spacing w:after="0"/>
        <w:rPr>
          <w:sz w:val="20"/>
          <w:szCs w:val="20"/>
          <w:color w:val="auto"/>
        </w:rPr>
      </w:pPr>
      <w:r>
        <w:rPr>
          <w:rFonts w:ascii="Arial" w:cs="Arial" w:eastAsia="Arial" w:hAnsi="Arial"/>
          <w:sz w:val="18"/>
          <w:szCs w:val="18"/>
          <w:color w:val="auto"/>
        </w:rPr>
        <w:t>Robert Greifeld</w:t>
      </w:r>
    </w:p>
    <w:p>
      <w:pPr>
        <w:spacing w:after="0" w:line="216"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Vincent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720"/>
        <w:spacing w:after="0"/>
        <w:rPr>
          <w:sz w:val="20"/>
          <w:szCs w:val="20"/>
          <w:color w:val="auto"/>
        </w:rPr>
      </w:pPr>
      <w:r>
        <w:rPr>
          <w:rFonts w:ascii="Arial" w:cs="Arial" w:eastAsia="Arial" w:hAnsi="Arial"/>
          <w:sz w:val="18"/>
          <w:szCs w:val="18"/>
          <w:color w:val="auto"/>
        </w:rPr>
        <w:t>Vincent Viola</w:t>
      </w:r>
    </w:p>
    <w:p>
      <w:pPr>
        <w:spacing w:after="0" w:line="216" w:lineRule="exact"/>
        <w:rPr>
          <w:sz w:val="20"/>
          <w:szCs w:val="20"/>
          <w:color w:val="auto"/>
        </w:rPr>
      </w:pPr>
    </w:p>
    <w:p>
      <w:pPr>
        <w:jc w:val="center"/>
        <w:ind w:left="720"/>
        <w:spacing w:after="0"/>
        <w:rPr>
          <w:sz w:val="20"/>
          <w:szCs w:val="20"/>
          <w:color w:val="auto"/>
        </w:rPr>
      </w:pPr>
      <w:r>
        <w:rPr>
          <w:rFonts w:ascii="Arial" w:cs="Arial" w:eastAsia="Arial" w:hAnsi="Arial"/>
          <w:sz w:val="17"/>
          <w:szCs w:val="17"/>
          <w:color w:val="auto"/>
        </w:rPr>
        <w:t>/s/ John Philip Abizaid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29235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John Philip Abizaid</w:t>
      </w:r>
    </w:p>
    <w:p>
      <w:pPr>
        <w:spacing w:after="0" w:line="216"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/s/ William F. Cruger,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29235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32"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William F. Cruger, Jr.</w:t>
      </w:r>
    </w:p>
    <w:p>
      <w:pPr>
        <w:spacing w:after="0" w:line="200" w:lineRule="exact"/>
        <w:rPr>
          <w:sz w:val="20"/>
          <w:szCs w:val="20"/>
          <w:color w:val="auto"/>
        </w:rPr>
      </w:pPr>
    </w:p>
    <w:p>
      <w:pPr>
        <w:spacing w:after="0" w:line="22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/s/ 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720"/>
        <w:spacing w:after="0"/>
        <w:rPr>
          <w:sz w:val="20"/>
          <w:szCs w:val="20"/>
          <w:color w:val="auto"/>
        </w:rPr>
      </w:pPr>
      <w:r>
        <w:rPr>
          <w:rFonts w:ascii="Arial" w:cs="Arial" w:eastAsia="Arial" w:hAnsi="Arial"/>
          <w:sz w:val="18"/>
          <w:szCs w:val="18"/>
          <w:color w:val="auto"/>
        </w:rPr>
        <w:t>John D. Nixon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u w:val="single" w:color="auto"/>
          <w:color w:val="auto"/>
        </w:rPr>
        <w:t>Title</w:t>
      </w:r>
    </w:p>
    <w:p>
      <w:pPr>
        <w:spacing w:after="0" w:line="222" w:lineRule="exact"/>
        <w:rPr>
          <w:sz w:val="20"/>
          <w:szCs w:val="20"/>
          <w:color w:val="auto"/>
        </w:rPr>
      </w:pPr>
    </w:p>
    <w:p>
      <w:pPr>
        <w:ind w:right="339"/>
        <w:spacing w:after="0" w:line="264" w:lineRule="auto"/>
        <w:rPr>
          <w:sz w:val="20"/>
          <w:szCs w:val="20"/>
          <w:color w:val="auto"/>
        </w:rPr>
      </w:pPr>
      <w:r>
        <w:rPr>
          <w:rFonts w:ascii="Arial" w:cs="Arial" w:eastAsia="Arial" w:hAnsi="Arial"/>
          <w:sz w:val="18"/>
          <w:szCs w:val="18"/>
          <w:color w:val="auto"/>
        </w:rPr>
        <w:t>Chief Executive Officer (Principal Executive Officer) and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Chairman Emeritus and 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3" w:lineRule="exact"/>
        <w:rPr>
          <w:sz w:val="20"/>
          <w:szCs w:val="20"/>
          <w:color w:val="auto"/>
        </w:rPr>
      </w:pPr>
    </w:p>
    <w:p>
      <w:pPr>
        <w:sectPr>
          <w:pgSz w:w="11900" w:h="16838" w:orient="portrait"/>
          <w:cols w:equalWidth="0" w:num="2">
            <w:col w:w="3880" w:space="720"/>
            <w:col w:w="4439"/>
          </w:cols>
          <w:pgMar w:left="1420" w:top="127"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575437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type w:val="continuous"/>
        </w:sectPr>
      </w:pPr>
    </w:p>
    <w:bookmarkStart w:id="143" w:name="page144"/>
    <w:bookmarkEnd w:id="1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2" w:lineRule="exact"/>
        <w:rPr>
          <w:sz w:val="20"/>
          <w:szCs w:val="20"/>
          <w:color w:val="auto"/>
        </w:rPr>
      </w:pPr>
    </w:p>
    <w:p>
      <w:pPr>
        <w:jc w:val="center"/>
        <w:ind w:left="940"/>
        <w:spacing w:after="0"/>
        <w:rPr>
          <w:sz w:val="20"/>
          <w:szCs w:val="20"/>
          <w:color w:val="auto"/>
        </w:rPr>
      </w:pPr>
      <w:r>
        <w:rPr>
          <w:rFonts w:ascii="Arial" w:cs="Arial" w:eastAsia="Arial" w:hAnsi="Arial"/>
          <w:sz w:val="15"/>
          <w:szCs w:val="15"/>
          <w:color w:val="auto"/>
        </w:rPr>
        <w:t>/s/ Christopher Quick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29235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32"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Christopher Quick</w:t>
      </w:r>
    </w:p>
    <w:p>
      <w:pPr>
        <w:spacing w:after="0" w:line="21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John F. Sandner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940"/>
        <w:spacing w:after="0"/>
        <w:rPr>
          <w:sz w:val="20"/>
          <w:szCs w:val="20"/>
          <w:color w:val="auto"/>
        </w:rPr>
      </w:pPr>
      <w:r>
        <w:rPr>
          <w:rFonts w:ascii="Arial" w:cs="Arial" w:eastAsia="Arial" w:hAnsi="Arial"/>
          <w:sz w:val="18"/>
          <w:szCs w:val="18"/>
          <w:color w:val="auto"/>
        </w:rPr>
        <w:t>John F. Sandner</w:t>
      </w:r>
    </w:p>
    <w:p>
      <w:pPr>
        <w:spacing w:after="0" w:line="216" w:lineRule="exact"/>
        <w:rPr>
          <w:sz w:val="20"/>
          <w:szCs w:val="20"/>
          <w:color w:val="auto"/>
        </w:rPr>
      </w:pPr>
    </w:p>
    <w:p>
      <w:pPr>
        <w:jc w:val="center"/>
        <w:ind w:left="940"/>
        <w:spacing w:after="0"/>
        <w:rPr>
          <w:sz w:val="20"/>
          <w:szCs w:val="20"/>
          <w:color w:val="auto"/>
        </w:rPr>
      </w:pPr>
      <w:r>
        <w:rPr>
          <w:rFonts w:ascii="Arial" w:cs="Arial" w:eastAsia="Arial" w:hAnsi="Arial"/>
          <w:sz w:val="15"/>
          <w:szCs w:val="15"/>
          <w:color w:val="auto"/>
        </w:rPr>
        <w:t>/s/ 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33020</wp:posOffset>
            </wp:positionV>
            <wp:extent cx="29235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spacing w:after="0" w:line="32" w:lineRule="exact"/>
        <w:rPr>
          <w:sz w:val="20"/>
          <w:szCs w:val="20"/>
          <w:color w:val="auto"/>
        </w:rPr>
      </w:pPr>
    </w:p>
    <w:p>
      <w:pPr>
        <w:jc w:val="center"/>
        <w:ind w:left="940"/>
        <w:spacing w:after="0"/>
        <w:rPr>
          <w:sz w:val="20"/>
          <w:szCs w:val="20"/>
          <w:color w:val="auto"/>
        </w:rPr>
      </w:pPr>
      <w:r>
        <w:rPr>
          <w:rFonts w:ascii="Arial" w:cs="Arial" w:eastAsia="Arial" w:hAnsi="Arial"/>
          <w:sz w:val="17"/>
          <w:szCs w:val="17"/>
          <w:color w:val="auto"/>
        </w:rPr>
        <w:t>Joseph J. Grano, Jr.</w:t>
      </w:r>
    </w:p>
    <w:p>
      <w:pPr>
        <w:spacing w:after="0" w:line="228"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Glenn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940"/>
        <w:spacing w:after="0"/>
        <w:rPr>
          <w:sz w:val="20"/>
          <w:szCs w:val="20"/>
          <w:color w:val="auto"/>
        </w:rPr>
      </w:pPr>
      <w:r>
        <w:rPr>
          <w:rFonts w:ascii="Arial" w:cs="Arial" w:eastAsia="Arial" w:hAnsi="Arial"/>
          <w:sz w:val="18"/>
          <w:szCs w:val="18"/>
          <w:color w:val="auto"/>
        </w:rPr>
        <w:t>Glenn Hutchins</w:t>
      </w:r>
    </w:p>
    <w:p>
      <w:pPr>
        <w:spacing w:after="0" w:line="216"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2923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2923540" cy="8255"/>
                    </a:xfrm>
                    <a:prstGeom prst="rect">
                      <a:avLst/>
                    </a:prstGeom>
                    <a:noFill/>
                  </pic:spPr>
                </pic:pic>
              </a:graphicData>
            </a:graphic>
          </wp:anchor>
        </w:drawing>
      </w:r>
    </w:p>
    <w:p>
      <w:pPr>
        <w:jc w:val="center"/>
        <w:ind w:left="940"/>
        <w:spacing w:after="0"/>
        <w:rPr>
          <w:sz w:val="20"/>
          <w:szCs w:val="20"/>
          <w:color w:val="auto"/>
        </w:rPr>
      </w:pPr>
      <w:r>
        <w:rPr>
          <w:rFonts w:ascii="Arial" w:cs="Arial" w:eastAsia="Arial" w:hAnsi="Arial"/>
          <w:sz w:val="18"/>
          <w:szCs w:val="18"/>
          <w:color w:val="auto"/>
        </w:rPr>
        <w:t>Michael T. Viola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78105</wp:posOffset>
            </wp:positionV>
            <wp:extent cx="575437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2">
            <w:col w:w="3680" w:space="720"/>
            <w:col w:w="4639"/>
          </w:cols>
          <w:pgMar w:left="1420" w:top="127"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9"/>
          <w:szCs w:val="19"/>
          <w:b w:val="1"/>
          <w:bCs w:val="1"/>
          <w:color w:val="auto"/>
        </w:rPr>
        <w:t>Exhibit 10.10</w:t>
      </w:r>
    </w:p>
    <w:p>
      <w:pPr>
        <w:spacing w:after="0" w:line="230" w:lineRule="exact"/>
        <w:rPr>
          <w:sz w:val="20"/>
          <w:szCs w:val="20"/>
          <w:color w:val="auto"/>
        </w:rPr>
      </w:pPr>
    </w:p>
    <w:p>
      <w:pPr>
        <w:jc w:val="center"/>
        <w:ind w:right="78"/>
        <w:spacing w:after="0"/>
        <w:rPr>
          <w:sz w:val="20"/>
          <w:szCs w:val="20"/>
          <w:color w:val="auto"/>
        </w:rPr>
      </w:pPr>
      <w:r>
        <w:rPr>
          <w:rFonts w:ascii="Arial" w:cs="Arial" w:eastAsia="Arial" w:hAnsi="Arial"/>
          <w:sz w:val="19"/>
          <w:szCs w:val="19"/>
          <w:b w:val="1"/>
          <w:bCs w:val="1"/>
          <w:color w:val="auto"/>
        </w:rPr>
        <w:t>VIRTU FINANCIAL, INC.</w:t>
      </w:r>
    </w:p>
    <w:p>
      <w:pPr>
        <w:spacing w:after="0" w:line="28" w:lineRule="exact"/>
        <w:rPr>
          <w:sz w:val="20"/>
          <w:szCs w:val="20"/>
          <w:color w:val="auto"/>
        </w:rPr>
      </w:pPr>
    </w:p>
    <w:p>
      <w:pPr>
        <w:jc w:val="center"/>
        <w:ind w:right="138"/>
        <w:spacing w:after="0"/>
        <w:rPr>
          <w:sz w:val="20"/>
          <w:szCs w:val="20"/>
          <w:color w:val="auto"/>
        </w:rPr>
      </w:pPr>
      <w:r>
        <w:rPr>
          <w:rFonts w:ascii="Arial" w:cs="Arial" w:eastAsia="Arial" w:hAnsi="Arial"/>
          <w:sz w:val="19"/>
          <w:szCs w:val="19"/>
          <w:b w:val="1"/>
          <w:bCs w:val="1"/>
          <w:color w:val="auto"/>
        </w:rPr>
        <w:t>2015 AMENDED AND RESTATED MANAGEMENT INCENTIVE PLAN</w:t>
      </w:r>
    </w:p>
    <w:p>
      <w:pPr>
        <w:spacing w:after="0" w:line="6" w:lineRule="exact"/>
        <w:rPr>
          <w:sz w:val="20"/>
          <w:szCs w:val="20"/>
          <w:color w:val="auto"/>
        </w:rPr>
      </w:pPr>
    </w:p>
    <w:p>
      <w:pPr>
        <w:jc w:val="center"/>
        <w:ind w:right="78"/>
        <w:spacing w:after="0"/>
        <w:rPr>
          <w:sz w:val="20"/>
          <w:szCs w:val="20"/>
          <w:color w:val="auto"/>
        </w:rPr>
      </w:pPr>
      <w:r>
        <w:rPr>
          <w:rFonts w:ascii="Arial" w:cs="Arial" w:eastAsia="Arial" w:hAnsi="Arial"/>
          <w:sz w:val="19"/>
          <w:szCs w:val="19"/>
          <w:b w:val="1"/>
          <w:bCs w:val="1"/>
          <w:color w:val="auto"/>
        </w:rPr>
        <w:t>EMPLOYEE</w:t>
      </w:r>
    </w:p>
    <w:p>
      <w:pPr>
        <w:spacing w:after="0" w:line="6" w:lineRule="exact"/>
        <w:rPr>
          <w:sz w:val="20"/>
          <w:szCs w:val="20"/>
          <w:color w:val="auto"/>
        </w:rPr>
      </w:pPr>
    </w:p>
    <w:p>
      <w:pPr>
        <w:jc w:val="center"/>
        <w:ind w:right="78"/>
        <w:spacing w:after="0"/>
        <w:rPr>
          <w:sz w:val="20"/>
          <w:szCs w:val="20"/>
          <w:color w:val="auto"/>
        </w:rPr>
      </w:pPr>
      <w:r>
        <w:rPr>
          <w:rFonts w:ascii="Arial" w:cs="Arial" w:eastAsia="Arial" w:hAnsi="Arial"/>
          <w:sz w:val="19"/>
          <w:szCs w:val="19"/>
          <w:b w:val="1"/>
          <w:bCs w:val="1"/>
          <w:u w:val="single" w:color="auto"/>
          <w:color w:val="auto"/>
        </w:rPr>
        <w:t>RESTRICTED STOCK AWARD AGREEMENT</w:t>
      </w:r>
    </w:p>
    <w:p>
      <w:pPr>
        <w:spacing w:after="0" w:line="202" w:lineRule="exact"/>
        <w:rPr>
          <w:sz w:val="20"/>
          <w:szCs w:val="20"/>
          <w:color w:val="auto"/>
        </w:rPr>
      </w:pPr>
    </w:p>
    <w:p>
      <w:pPr>
        <w:jc w:val="both"/>
        <w:ind w:left="2" w:right="20" w:firstLine="635"/>
        <w:spacing w:after="0" w:line="306" w:lineRule="auto"/>
        <w:rPr>
          <w:sz w:val="20"/>
          <w:szCs w:val="20"/>
          <w:color w:val="auto"/>
        </w:rPr>
      </w:pPr>
      <w:r>
        <w:rPr>
          <w:rFonts w:ascii="Arial" w:cs="Arial" w:eastAsia="Arial" w:hAnsi="Arial"/>
          <w:sz w:val="18"/>
          <w:szCs w:val="18"/>
          <w:color w:val="auto"/>
        </w:rPr>
        <w:t>THIS RESTRICTED STOCK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February 2, 2018 (the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Grant</w:t>
      </w:r>
      <w:r>
        <w:rPr>
          <w:rFonts w:ascii="Arial" w:cs="Arial" w:eastAsia="Arial" w:hAnsi="Arial"/>
          <w:sz w:val="18"/>
          <w:szCs w:val="18"/>
          <w:color w:val="auto"/>
        </w:rPr>
        <w:t>”), by and between Virtu Financial,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Douglas A. Cifu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34" w:lineRule="exact"/>
        <w:rPr>
          <w:sz w:val="20"/>
          <w:szCs w:val="20"/>
          <w:color w:val="auto"/>
        </w:rPr>
      </w:pPr>
    </w:p>
    <w:p>
      <w:pPr>
        <w:ind w:left="2" w:right="240" w:firstLine="635"/>
        <w:spacing w:after="0" w:line="278" w:lineRule="auto"/>
        <w:rPr>
          <w:sz w:val="20"/>
          <w:szCs w:val="20"/>
          <w:color w:val="auto"/>
        </w:rPr>
      </w:pPr>
      <w:r>
        <w:rPr>
          <w:rFonts w:ascii="Arial" w:cs="Arial" w:eastAsia="Arial" w:hAnsi="Arial"/>
          <w:sz w:val="19"/>
          <w:szCs w:val="19"/>
          <w:color w:val="auto"/>
        </w:rPr>
        <w:t>WHEREAS, the Company has adopted the Virtu Financial, Inc. 2015 Amended and Restated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may be granted;</w:t>
      </w:r>
    </w:p>
    <w:p>
      <w:pPr>
        <w:spacing w:after="0" w:line="155" w:lineRule="exact"/>
        <w:rPr>
          <w:sz w:val="20"/>
          <w:szCs w:val="20"/>
          <w:color w:val="auto"/>
        </w:rPr>
      </w:pPr>
    </w:p>
    <w:p>
      <w:pPr>
        <w:jc w:val="both"/>
        <w:ind w:left="2" w:right="300" w:firstLine="635"/>
        <w:spacing w:after="0" w:line="307" w:lineRule="auto"/>
        <w:rPr>
          <w:sz w:val="20"/>
          <w:szCs w:val="20"/>
          <w:color w:val="auto"/>
        </w:rPr>
      </w:pPr>
      <w:r>
        <w:rPr>
          <w:rFonts w:ascii="Arial" w:cs="Arial" w:eastAsia="Arial" w:hAnsi="Arial"/>
          <w:sz w:val="17"/>
          <w:szCs w:val="17"/>
          <w:color w:val="auto"/>
        </w:rPr>
        <w:t>WHEREAS, the Company and the Participant entered into that certain Amended and Restated Employment Agreement, dated as of November 15, 2017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pursuant to which the Participant is eligible to receive an equity award at the beginning of each calendar year during the Term (as defined in the Employment Agreement); and</w:t>
      </w:r>
    </w:p>
    <w:p>
      <w:pPr>
        <w:spacing w:after="0" w:line="136" w:lineRule="exact"/>
        <w:rPr>
          <w:sz w:val="20"/>
          <w:szCs w:val="20"/>
          <w:color w:val="auto"/>
        </w:rPr>
      </w:pPr>
    </w:p>
    <w:p>
      <w:pPr>
        <w:ind w:left="2" w:right="300" w:firstLine="635"/>
        <w:spacing w:after="0" w:line="262" w:lineRule="auto"/>
        <w:rPr>
          <w:sz w:val="20"/>
          <w:szCs w:val="20"/>
          <w:color w:val="auto"/>
        </w:rPr>
      </w:pPr>
      <w:r>
        <w:rPr>
          <w:rFonts w:ascii="Arial" w:cs="Arial" w:eastAsia="Arial" w:hAnsi="Arial"/>
          <w:sz w:val="19"/>
          <w:szCs w:val="19"/>
          <w:color w:val="auto"/>
        </w:rPr>
        <w:t>WHEREAS, the Compensation Committee of the Board of Directors of the Company has determined that it is in the best interests of the Company and its stockholders to grant the Restricted Shares provided for herein to the Participant subject to the terms set forth herein.</w:t>
      </w:r>
    </w:p>
    <w:p>
      <w:pPr>
        <w:spacing w:after="0" w:line="171" w:lineRule="exact"/>
        <w:rPr>
          <w:sz w:val="20"/>
          <w:szCs w:val="20"/>
          <w:color w:val="auto"/>
        </w:rPr>
      </w:pPr>
    </w:p>
    <w:p>
      <w:pPr>
        <w:jc w:val="both"/>
        <w:ind w:left="2" w:right="60" w:firstLine="635"/>
        <w:spacing w:after="0" w:line="262"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5" w:lineRule="exact"/>
        <w:rPr>
          <w:sz w:val="20"/>
          <w:szCs w:val="20"/>
          <w:color w:val="auto"/>
        </w:rPr>
      </w:pPr>
    </w:p>
    <w:p>
      <w:pPr>
        <w:ind w:left="682" w:hanging="682"/>
        <w:spacing w:after="0"/>
        <w:tabs>
          <w:tab w:leader="none" w:pos="682"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Shares.</w:t>
      </w:r>
    </w:p>
    <w:p>
      <w:pPr>
        <w:spacing w:after="0" w:line="224" w:lineRule="exact"/>
        <w:rPr>
          <w:rFonts w:ascii="Arial" w:cs="Arial" w:eastAsia="Arial" w:hAnsi="Arial"/>
          <w:sz w:val="19"/>
          <w:szCs w:val="19"/>
          <w:b w:val="1"/>
          <w:bCs w:val="1"/>
          <w:color w:val="auto"/>
        </w:rPr>
      </w:pPr>
    </w:p>
    <w:p>
      <w:pPr>
        <w:ind w:left="2" w:right="540" w:firstLine="633"/>
        <w:spacing w:after="0" w:line="262" w:lineRule="auto"/>
        <w:tabs>
          <w:tab w:leader="none" w:pos="1288"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of 150,000 Restricted Shares, on the terms and conditions set forth in this Agreement and as otherwise provided in the Plan. The Restricted Shares shall be earned and vest in accordance with Section 2.</w:t>
      </w:r>
    </w:p>
    <w:p>
      <w:pPr>
        <w:spacing w:after="0" w:line="170" w:lineRule="exact"/>
        <w:rPr>
          <w:rFonts w:ascii="Arial" w:cs="Arial" w:eastAsia="Arial" w:hAnsi="Arial"/>
          <w:sz w:val="19"/>
          <w:szCs w:val="19"/>
          <w:color w:val="auto"/>
        </w:rPr>
      </w:pPr>
    </w:p>
    <w:p>
      <w:pPr>
        <w:ind w:left="2" w:right="60" w:firstLine="633"/>
        <w:spacing w:after="0" w:line="267" w:lineRule="auto"/>
        <w:tabs>
          <w:tab w:leader="none" w:pos="1299"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2" w:lineRule="exact"/>
        <w:rPr>
          <w:rFonts w:ascii="Arial" w:cs="Arial" w:eastAsia="Arial" w:hAnsi="Arial"/>
          <w:sz w:val="18"/>
          <w:szCs w:val="18"/>
          <w:color w:val="auto"/>
        </w:rPr>
      </w:pPr>
    </w:p>
    <w:p>
      <w:pPr>
        <w:ind w:left="682" w:hanging="682"/>
        <w:spacing w:after="0"/>
        <w:tabs>
          <w:tab w:leader="none" w:pos="682"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p>
    <w:p>
      <w:pPr>
        <w:spacing w:after="0" w:line="224" w:lineRule="exact"/>
        <w:rPr>
          <w:rFonts w:ascii="Arial" w:cs="Arial" w:eastAsia="Arial" w:hAnsi="Arial"/>
          <w:sz w:val="19"/>
          <w:szCs w:val="19"/>
          <w:b w:val="1"/>
          <w:bCs w:val="1"/>
          <w:color w:val="auto"/>
        </w:rPr>
      </w:pPr>
    </w:p>
    <w:p>
      <w:pPr>
        <w:ind w:left="2" w:firstLine="632"/>
        <w:spacing w:after="0" w:line="272" w:lineRule="auto"/>
        <w:tabs>
          <w:tab w:leader="none" w:pos="12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Subject to the Participant’s continued employment or service with the Company or an Affiliate, except as may otherwise be provided herein or in the Employment Agreement, the number of Restricted Shares earned pursuant to Section 2(b) hereof shall vest in two (2) equal installments on each of December 31, 2018 and December 31, 2019 (each such date, a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Upon each Vesting Date, such portion of the Restricted Shares that vest on such date shall no longer be subject to the transfer restrictions pursuant to Section 8(a) hereof or cancellation pursuant to Section 4 hereof. Any fractional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114300</wp:posOffset>
            </wp:positionV>
            <wp:extent cx="661098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22"/>
          </w:cols>
          <w:pgMar w:left="838" w:top="118" w:right="739" w:bottom="1440" w:gutter="0" w:footer="0" w:header="0"/>
        </w:sectPr>
      </w:pPr>
    </w:p>
    <w:bookmarkStart w:id="145" w:name="page146"/>
    <w:bookmarkEnd w:id="145"/>
    <w:p>
      <w:pPr>
        <w:ind w:left="100" w:right="80"/>
        <w:spacing w:after="0" w:line="279" w:lineRule="auto"/>
        <w:rPr>
          <w:sz w:val="20"/>
          <w:szCs w:val="20"/>
          <w:color w:val="auto"/>
        </w:rPr>
      </w:pPr>
      <w:r>
        <w:rPr>
          <w:rFonts w:ascii="Arial" w:cs="Arial" w:eastAsia="Arial" w:hAnsi="Arial"/>
          <w:sz w:val="19"/>
          <w:szCs w:val="19"/>
          <w:color w:val="auto"/>
        </w:rPr>
        <w:t>Restricted Shares resulting from the application of the vesting schedule shall be aggregated and the Restricted Shares resulting from such aggregation shall vest on the final Vesting Date.</w:t>
      </w:r>
    </w:p>
    <w:p>
      <w:pPr>
        <w:spacing w:after="0" w:line="155" w:lineRule="exact"/>
        <w:rPr>
          <w:sz w:val="20"/>
          <w:szCs w:val="20"/>
          <w:color w:val="auto"/>
        </w:rPr>
      </w:pPr>
    </w:p>
    <w:p>
      <w:pPr>
        <w:ind w:left="100" w:firstLine="633"/>
        <w:spacing w:after="0" w:line="257" w:lineRule="auto"/>
        <w:tabs>
          <w:tab w:leader="none" w:pos="139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number of Restricted Shares earned under this Agreement shall be determined based on the percentage of the Company’s Adjusted EBITDA target of $444,900,000 (“</w:t>
      </w:r>
      <w:r>
        <w:rPr>
          <w:rFonts w:ascii="Arial" w:cs="Arial" w:eastAsia="Arial" w:hAnsi="Arial"/>
          <w:sz w:val="19"/>
          <w:szCs w:val="19"/>
          <w:u w:val="single" w:color="auto"/>
          <w:color w:val="auto"/>
        </w:rPr>
        <w:t>Budgeted EBITDA</w:t>
      </w:r>
      <w:r>
        <w:rPr>
          <w:rFonts w:ascii="Arial" w:cs="Arial" w:eastAsia="Arial" w:hAnsi="Arial"/>
          <w:sz w:val="19"/>
          <w:szCs w:val="19"/>
          <w:color w:val="auto"/>
        </w:rPr>
        <w:t>”) achieved in calendar year 2018 in accordance with the table below. The Budgeted EBITDA shall be determined in a manner consistent with the methodology utilized by the Company in the ordinary course consistent with past practice.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200" w:type="dxa"/>
            <w:vAlign w:val="bottom"/>
            <w:tcBorders>
              <w:top w:val="single" w:sz="8" w:color="auto"/>
              <w:left w:val="single" w:sz="8" w:color="auto"/>
              <w:right w:val="single" w:sz="8" w:color="auto"/>
            </w:tcBorders>
          </w:tcPr>
          <w:p>
            <w:pPr>
              <w:ind w:left="1280"/>
              <w:spacing w:after="0" w:line="215" w:lineRule="exact"/>
              <w:rPr>
                <w:sz w:val="20"/>
                <w:szCs w:val="20"/>
                <w:color w:val="auto"/>
              </w:rPr>
            </w:pPr>
            <w:r>
              <w:rPr>
                <w:rFonts w:ascii="Arial" w:cs="Arial" w:eastAsia="Arial" w:hAnsi="Arial"/>
                <w:sz w:val="19"/>
                <w:szCs w:val="19"/>
                <w:b w:val="1"/>
                <w:bCs w:val="1"/>
                <w:color w:val="auto"/>
              </w:rPr>
              <w:t>Percentage of Budgeted</w:t>
            </w:r>
          </w:p>
        </w:tc>
        <w:tc>
          <w:tcPr>
            <w:tcW w:w="4140" w:type="dxa"/>
            <w:vAlign w:val="bottom"/>
            <w:tcBorders>
              <w:top w:val="single" w:sz="8" w:color="auto"/>
              <w:right w:val="single" w:sz="8" w:color="auto"/>
            </w:tcBorders>
          </w:tcPr>
          <w:p>
            <w:pPr>
              <w:ind w:left="980"/>
              <w:spacing w:after="0" w:line="215" w:lineRule="exact"/>
              <w:rPr>
                <w:sz w:val="20"/>
                <w:szCs w:val="20"/>
                <w:color w:val="auto"/>
              </w:rPr>
            </w:pPr>
            <w:r>
              <w:rPr>
                <w:rFonts w:ascii="Arial" w:cs="Arial" w:eastAsia="Arial" w:hAnsi="Arial"/>
                <w:sz w:val="19"/>
                <w:szCs w:val="19"/>
                <w:b w:val="1"/>
                <w:bCs w:val="1"/>
                <w:color w:val="auto"/>
              </w:rPr>
              <w:t>Number of Shares Earned</w:t>
            </w:r>
          </w:p>
        </w:tc>
      </w:tr>
      <w:tr>
        <w:trPr>
          <w:trHeight w:val="248"/>
        </w:trPr>
        <w:tc>
          <w:tcPr>
            <w:tcW w:w="4200" w:type="dxa"/>
            <w:vAlign w:val="bottom"/>
            <w:tcBorders>
              <w:left w:val="single" w:sz="8" w:color="auto"/>
              <w:bottom w:val="single" w:sz="8" w:color="auto"/>
              <w:right w:val="single" w:sz="8" w:color="auto"/>
            </w:tcBorders>
          </w:tcPr>
          <w:p>
            <w:pPr>
              <w:ind w:left="1600"/>
              <w:spacing w:after="0"/>
              <w:rPr>
                <w:sz w:val="20"/>
                <w:szCs w:val="20"/>
                <w:color w:val="auto"/>
              </w:rPr>
            </w:pPr>
            <w:r>
              <w:rPr>
                <w:rFonts w:ascii="Arial" w:cs="Arial" w:eastAsia="Arial" w:hAnsi="Arial"/>
                <w:sz w:val="19"/>
                <w:szCs w:val="19"/>
                <w:b w:val="1"/>
                <w:bCs w:val="1"/>
                <w:color w:val="auto"/>
              </w:rPr>
              <w:t>EBITDA Achieved</w:t>
            </w:r>
          </w:p>
        </w:tc>
        <w:tc>
          <w:tcPr>
            <w:tcW w:w="4140" w:type="dxa"/>
            <w:vAlign w:val="bottom"/>
            <w:tcBorders>
              <w:bottom w:val="single" w:sz="8" w:color="auto"/>
              <w:right w:val="single" w:sz="8" w:color="auto"/>
            </w:tcBorders>
          </w:tcPr>
          <w:p>
            <w:pPr>
              <w:spacing w:after="0"/>
              <w:rPr>
                <w:sz w:val="21"/>
                <w:szCs w:val="21"/>
                <w:color w:val="auto"/>
              </w:rPr>
            </w:pPr>
          </w:p>
        </w:tc>
      </w:tr>
      <w:tr>
        <w:trPr>
          <w:trHeight w:val="31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75% or more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150,000</w:t>
            </w:r>
          </w:p>
        </w:tc>
      </w:tr>
      <w:tr>
        <w:trPr>
          <w:trHeight w:val="31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74%</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135,000</w:t>
            </w:r>
          </w:p>
        </w:tc>
      </w:tr>
      <w:tr>
        <w:trPr>
          <w:trHeight w:val="31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73%</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120,000</w:t>
            </w:r>
          </w:p>
        </w:tc>
      </w:tr>
      <w:tr>
        <w:trPr>
          <w:trHeight w:val="31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72%</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105,000</w:t>
            </w:r>
          </w:p>
        </w:tc>
      </w:tr>
      <w:tr>
        <w:trPr>
          <w:trHeight w:val="31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71%</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90,000</w:t>
            </w:r>
          </w:p>
        </w:tc>
      </w:tr>
      <w:tr>
        <w:trPr>
          <w:trHeight w:val="31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70%</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75,000</w:t>
            </w:r>
          </w:p>
        </w:tc>
      </w:tr>
      <w:tr>
        <w:trPr>
          <w:trHeight w:val="311"/>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Less than 70%</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75"/>
              </w:rPr>
              <w:t>0</w:t>
            </w:r>
          </w:p>
        </w:tc>
      </w:tr>
    </w:tbl>
    <w:p>
      <w:pPr>
        <w:spacing w:after="0" w:line="195" w:lineRule="exact"/>
        <w:rPr>
          <w:sz w:val="20"/>
          <w:szCs w:val="20"/>
          <w:color w:val="auto"/>
        </w:rPr>
      </w:pPr>
    </w:p>
    <w:p>
      <w:pPr>
        <w:ind w:left="100" w:right="140" w:firstLine="635"/>
        <w:spacing w:after="0" w:line="278" w:lineRule="auto"/>
        <w:rPr>
          <w:sz w:val="20"/>
          <w:szCs w:val="20"/>
          <w:color w:val="auto"/>
        </w:rPr>
      </w:pPr>
      <w:r>
        <w:rPr>
          <w:rFonts w:ascii="Arial" w:cs="Arial" w:eastAsia="Arial" w:hAnsi="Arial"/>
          <w:sz w:val="19"/>
          <w:szCs w:val="19"/>
          <w:color w:val="auto"/>
        </w:rPr>
        <w:t>If the percentage of the Company’s Budgeted EBITDA achieved is greater than 70% but less than 75%, then the amount of earned shares in the table above will be determined based on linear interpolation.</w:t>
      </w:r>
    </w:p>
    <w:p>
      <w:pPr>
        <w:spacing w:after="0" w:line="149" w:lineRule="exact"/>
        <w:rPr>
          <w:sz w:val="20"/>
          <w:szCs w:val="20"/>
          <w:color w:val="auto"/>
        </w:rPr>
      </w:pPr>
    </w:p>
    <w:p>
      <w:pPr>
        <w:ind w:left="100" w:right="160" w:hanging="2"/>
        <w:spacing w:after="0" w:line="259" w:lineRule="auto"/>
        <w:tabs>
          <w:tab w:leader="none" w:pos="682"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be entitled to receive, with respect to each Restricted Share granted pursuant to this Agreement and outstanding as of the record date for such Dividend, payment of an amount equal to the Dividend at the same time as the Dividend is paid to holders of shares of Class A Common Stock generally.</w:t>
      </w:r>
    </w:p>
    <w:p>
      <w:pPr>
        <w:spacing w:after="0" w:line="168" w:lineRule="exact"/>
        <w:rPr>
          <w:rFonts w:ascii="Arial" w:cs="Arial" w:eastAsia="Arial" w:hAnsi="Arial"/>
          <w:sz w:val="19"/>
          <w:szCs w:val="19"/>
          <w:b w:val="1"/>
          <w:bCs w:val="1"/>
          <w:color w:val="auto"/>
        </w:rPr>
      </w:pPr>
    </w:p>
    <w:p>
      <w:pPr>
        <w:ind w:left="100" w:right="340" w:hanging="2"/>
        <w:spacing w:after="0" w:line="265" w:lineRule="auto"/>
        <w:tabs>
          <w:tab w:leader="none" w:pos="678"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terminates for any reason, any unearned and unvested Restricted Shares shall be accelerated, remain eligible to be earned or cancelled in accordance with the terms of the Employment Agreement.</w:t>
      </w:r>
    </w:p>
    <w:p>
      <w:pPr>
        <w:spacing w:after="0" w:line="162" w:lineRule="exact"/>
        <w:rPr>
          <w:rFonts w:ascii="Arial" w:cs="Arial" w:eastAsia="Arial" w:hAnsi="Arial"/>
          <w:sz w:val="19"/>
          <w:szCs w:val="19"/>
          <w:b w:val="1"/>
          <w:bCs w:val="1"/>
          <w:color w:val="auto"/>
        </w:rPr>
      </w:pPr>
    </w:p>
    <w:p>
      <w:pPr>
        <w:jc w:val="both"/>
        <w:ind w:left="100" w:hanging="3"/>
        <w:spacing w:after="0" w:line="267" w:lineRule="auto"/>
        <w:tabs>
          <w:tab w:leader="none" w:pos="89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Issuance</w:t>
      </w:r>
      <w:r>
        <w:rPr>
          <w:rFonts w:ascii="Arial" w:cs="Arial" w:eastAsia="Arial" w:hAnsi="Arial"/>
          <w:sz w:val="18"/>
          <w:szCs w:val="18"/>
          <w:color w:val="auto"/>
        </w:rPr>
        <w:t>. The Restricted Shares shall be issued by the Company and shall be registered in the Participant’s name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transfer books of the Company promptly after the date hereof in book-entry form, subject to the Company’s directions at all times prior to the date the Restricted Shares vest. As a condition of the award of Restricted Shares, Participant shall deliver to the Company a stock power, endorsed in blank, relating to such Restricted Shares. The Committee or the Company may cause a legend or legends to be put on the certificate to make appropriate reference to such restrictions as the Committee or the Company may deem advisable under the Plan or as may be required by the rules, regulations, and other requirements of the Securities and Exchange Commission, NASDAQ or any other securities exchange or inter-dealer quotation system on which the Class A Common Stock is listed or quoted, and any applicable federal, state or local laws. To the extent allowable by applicable law, neither the Committee, the Company, nor their respective designees, as applicable, shall be liable for any act it or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61098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146" w:name="page147"/>
    <w:bookmarkEnd w:id="146"/>
    <w:p>
      <w:pPr>
        <w:ind w:left="2" w:right="20"/>
        <w:spacing w:after="0" w:line="279" w:lineRule="auto"/>
        <w:rPr>
          <w:sz w:val="20"/>
          <w:szCs w:val="20"/>
          <w:color w:val="auto"/>
        </w:rPr>
      </w:pPr>
      <w:r>
        <w:rPr>
          <w:rFonts w:ascii="Arial" w:cs="Arial" w:eastAsia="Arial" w:hAnsi="Arial"/>
          <w:sz w:val="19"/>
          <w:szCs w:val="19"/>
          <w:color w:val="auto"/>
        </w:rPr>
        <w:t>they may do or omit to do with respect to holding the Restricted Shares in escrow and while acting in good faith in the exercise of its or their judgment.</w:t>
      </w:r>
    </w:p>
    <w:p>
      <w:pPr>
        <w:spacing w:after="0" w:line="148" w:lineRule="exact"/>
        <w:rPr>
          <w:sz w:val="20"/>
          <w:szCs w:val="20"/>
          <w:color w:val="auto"/>
        </w:rPr>
      </w:pPr>
    </w:p>
    <w:p>
      <w:pPr>
        <w:ind w:left="2" w:right="80" w:hanging="2"/>
        <w:spacing w:after="0" w:line="284" w:lineRule="auto"/>
        <w:tabs>
          <w:tab w:leader="none" w:pos="68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be, and shall have the rights or privileges of, a stockholder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without limitation, any voting rights, in respect of the Restricted Shares.</w:t>
      </w:r>
    </w:p>
    <w:p>
      <w:pPr>
        <w:spacing w:after="0" w:line="144" w:lineRule="exact"/>
        <w:rPr>
          <w:rFonts w:ascii="Arial" w:cs="Arial" w:eastAsia="Arial" w:hAnsi="Arial"/>
          <w:sz w:val="19"/>
          <w:szCs w:val="19"/>
          <w:b w:val="1"/>
          <w:bCs w:val="1"/>
          <w:color w:val="auto"/>
        </w:rPr>
      </w:pPr>
    </w:p>
    <w:p>
      <w:pPr>
        <w:ind w:left="682" w:hanging="682"/>
        <w:spacing w:after="0"/>
        <w:tabs>
          <w:tab w:leader="none" w:pos="68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4" w:lineRule="exact"/>
        <w:rPr>
          <w:rFonts w:ascii="Arial" w:cs="Arial" w:eastAsia="Arial" w:hAnsi="Arial"/>
          <w:sz w:val="19"/>
          <w:szCs w:val="19"/>
          <w:b w:val="1"/>
          <w:bCs w:val="1"/>
          <w:color w:val="auto"/>
        </w:rPr>
      </w:pPr>
    </w:p>
    <w:p>
      <w:pPr>
        <w:ind w:left="2" w:right="40" w:firstLine="633"/>
        <w:spacing w:after="0" w:line="291" w:lineRule="auto"/>
        <w:tabs>
          <w:tab w:leader="none" w:pos="1288"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and settlement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51" w:lineRule="exact"/>
        <w:rPr>
          <w:rFonts w:ascii="Arial" w:cs="Arial" w:eastAsia="Arial" w:hAnsi="Arial"/>
          <w:sz w:val="17"/>
          <w:szCs w:val="17"/>
          <w:color w:val="auto"/>
        </w:rPr>
      </w:pPr>
    </w:p>
    <w:p>
      <w:pPr>
        <w:ind w:left="2" w:right="120" w:firstLine="633"/>
        <w:spacing w:after="0" w:line="250" w:lineRule="auto"/>
        <w:tabs>
          <w:tab w:leader="none" w:pos="1299"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of the Restricted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vesting of the Restricted Shares with a Fair Market Value equal to such withholding liability.</w:t>
      </w:r>
    </w:p>
    <w:p>
      <w:pPr>
        <w:spacing w:after="0" w:line="178" w:lineRule="exact"/>
        <w:rPr>
          <w:rFonts w:ascii="Arial" w:cs="Arial" w:eastAsia="Arial" w:hAnsi="Arial"/>
          <w:sz w:val="19"/>
          <w:szCs w:val="19"/>
          <w:color w:val="auto"/>
        </w:rPr>
      </w:pPr>
    </w:p>
    <w:p>
      <w:pPr>
        <w:ind w:left="682" w:hanging="682"/>
        <w:spacing w:after="0"/>
        <w:tabs>
          <w:tab w:leader="none" w:pos="68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Restrictive Covenants.</w:t>
      </w:r>
    </w:p>
    <w:p>
      <w:pPr>
        <w:spacing w:after="0" w:line="224" w:lineRule="exact"/>
        <w:rPr>
          <w:rFonts w:ascii="Arial" w:cs="Arial" w:eastAsia="Arial" w:hAnsi="Arial"/>
          <w:sz w:val="19"/>
          <w:szCs w:val="19"/>
          <w:b w:val="1"/>
          <w:bCs w:val="1"/>
          <w:color w:val="auto"/>
        </w:rPr>
      </w:pPr>
    </w:p>
    <w:p>
      <w:pPr>
        <w:ind w:left="2" w:right="60" w:firstLine="633"/>
        <w:spacing w:after="0" w:line="283" w:lineRule="auto"/>
        <w:tabs>
          <w:tab w:leader="none" w:pos="12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Participant acknowledges and agrees that the Participant remains bound by the confidentiality and restrictive covenant provisions set forth in Sections 9.04 and 12.11 of the Third Amended and Restated Limited Liability Company Agreement of Virtu Financial, LLC, dated as of the Date of Grant (or any successor provisions) as a “Member” thereof.</w:t>
      </w:r>
    </w:p>
    <w:p>
      <w:pPr>
        <w:spacing w:after="0" w:line="154" w:lineRule="exact"/>
        <w:rPr>
          <w:rFonts w:ascii="Arial" w:cs="Arial" w:eastAsia="Arial" w:hAnsi="Arial"/>
          <w:sz w:val="18"/>
          <w:szCs w:val="18"/>
          <w:color w:val="auto"/>
        </w:rPr>
      </w:pPr>
    </w:p>
    <w:p>
      <w:pPr>
        <w:ind w:left="2" w:firstLine="633"/>
        <w:spacing w:after="0" w:line="253" w:lineRule="auto"/>
        <w:tabs>
          <w:tab w:leader="none" w:pos="1299"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restrictive covenants referred to in this Section 8, in addition to any other remedy which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3" w:lineRule="exact"/>
        <w:rPr>
          <w:rFonts w:ascii="Arial" w:cs="Arial" w:eastAsia="Arial" w:hAnsi="Arial"/>
          <w:sz w:val="19"/>
          <w:szCs w:val="19"/>
          <w:color w:val="auto"/>
        </w:rPr>
      </w:pPr>
    </w:p>
    <w:p>
      <w:pPr>
        <w:ind w:left="682" w:hanging="682"/>
        <w:spacing w:after="0"/>
        <w:tabs>
          <w:tab w:leader="none" w:pos="68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4" w:lineRule="exact"/>
        <w:rPr>
          <w:rFonts w:ascii="Arial" w:cs="Arial" w:eastAsia="Arial" w:hAnsi="Arial"/>
          <w:sz w:val="19"/>
          <w:szCs w:val="19"/>
          <w:b w:val="1"/>
          <w:bCs w:val="1"/>
          <w:color w:val="auto"/>
        </w:rPr>
      </w:pPr>
    </w:p>
    <w:p>
      <w:pPr>
        <w:ind w:left="2" w:right="80" w:firstLine="633"/>
        <w:spacing w:after="0" w:line="257" w:lineRule="auto"/>
        <w:tabs>
          <w:tab w:leader="none" w:pos="1288"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Restricted Shares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Restricted Shares contrary to the</w:t>
      </w:r>
    </w:p>
    <w:p>
      <w:pPr>
        <w:spacing w:after="0" w:line="391"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78105</wp:posOffset>
            </wp:positionV>
            <wp:extent cx="661098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22"/>
          </w:cols>
          <w:pgMar w:left="838" w:top="121" w:right="739" w:bottom="1440" w:gutter="0" w:footer="0" w:header="0"/>
        </w:sectPr>
      </w:pPr>
    </w:p>
    <w:bookmarkStart w:id="147" w:name="page148"/>
    <w:bookmarkEnd w:id="147"/>
    <w:p>
      <w:pPr>
        <w:ind w:right="320"/>
        <w:spacing w:after="0" w:line="279" w:lineRule="auto"/>
        <w:rPr>
          <w:sz w:val="20"/>
          <w:szCs w:val="20"/>
          <w:color w:val="auto"/>
        </w:rPr>
      </w:pPr>
      <w:r>
        <w:rPr>
          <w:rFonts w:ascii="Arial" w:cs="Arial" w:eastAsia="Arial" w:hAnsi="Arial"/>
          <w:sz w:val="19"/>
          <w:szCs w:val="19"/>
          <w:color w:val="auto"/>
        </w:rPr>
        <w:t>provisions hereof, and the levy of any execution, attachment or similar process upon the Restricted Shares, shall be null and void and without effect.</w:t>
      </w:r>
    </w:p>
    <w:p>
      <w:pPr>
        <w:spacing w:after="0" w:line="154" w:lineRule="exact"/>
        <w:rPr>
          <w:sz w:val="20"/>
          <w:szCs w:val="20"/>
          <w:color w:val="auto"/>
        </w:rPr>
      </w:pPr>
    </w:p>
    <w:p>
      <w:pPr>
        <w:ind w:right="120" w:firstLine="633"/>
        <w:spacing w:after="0" w:line="297" w:lineRule="auto"/>
        <w:tabs>
          <w:tab w:leader="none" w:pos="1297"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43" w:lineRule="exact"/>
        <w:rPr>
          <w:rFonts w:ascii="Arial" w:cs="Arial" w:eastAsia="Arial" w:hAnsi="Arial"/>
          <w:sz w:val="17"/>
          <w:szCs w:val="17"/>
          <w:color w:val="auto"/>
        </w:rPr>
      </w:pPr>
    </w:p>
    <w:p>
      <w:pPr>
        <w:ind w:right="20" w:firstLine="633"/>
        <w:spacing w:after="0" w:line="266" w:lineRule="auto"/>
        <w:tabs>
          <w:tab w:leader="none" w:pos="128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Restricted Shares will not be subject to interest and penalties under Section 409A.</w:t>
      </w:r>
    </w:p>
    <w:p>
      <w:pPr>
        <w:spacing w:after="0" w:line="170" w:lineRule="exact"/>
        <w:rPr>
          <w:rFonts w:ascii="Arial" w:cs="Arial" w:eastAsia="Arial" w:hAnsi="Arial"/>
          <w:sz w:val="18"/>
          <w:szCs w:val="18"/>
          <w:color w:val="auto"/>
        </w:rPr>
      </w:pPr>
    </w:p>
    <w:p>
      <w:pPr>
        <w:ind w:right="60" w:firstLine="633"/>
        <w:spacing w:after="0" w:line="254" w:lineRule="auto"/>
        <w:tabs>
          <w:tab w:leader="none" w:pos="1297"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9" w:lineRule="exact"/>
        <w:rPr>
          <w:rFonts w:ascii="Arial" w:cs="Arial" w:eastAsia="Arial" w:hAnsi="Arial"/>
          <w:sz w:val="19"/>
          <w:szCs w:val="19"/>
          <w:color w:val="auto"/>
        </w:rPr>
      </w:pPr>
    </w:p>
    <w:p>
      <w:pPr>
        <w:ind w:right="280" w:firstLine="633"/>
        <w:spacing w:after="0" w:line="262" w:lineRule="auto"/>
        <w:tabs>
          <w:tab w:leader="none" w:pos="128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0" w:lineRule="exact"/>
        <w:rPr>
          <w:rFonts w:ascii="Arial" w:cs="Arial" w:eastAsia="Arial" w:hAnsi="Arial"/>
          <w:sz w:val="19"/>
          <w:szCs w:val="19"/>
          <w:color w:val="auto"/>
        </w:rPr>
      </w:pPr>
    </w:p>
    <w:p>
      <w:pPr>
        <w:ind w:right="200" w:firstLine="633"/>
        <w:spacing w:after="0" w:line="257" w:lineRule="auto"/>
        <w:tabs>
          <w:tab w:leader="none" w:pos="1313"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5" w:lineRule="exact"/>
        <w:rPr>
          <w:rFonts w:ascii="Arial" w:cs="Arial" w:eastAsia="Arial" w:hAnsi="Arial"/>
          <w:sz w:val="19"/>
          <w:szCs w:val="19"/>
          <w:color w:val="auto"/>
        </w:rPr>
      </w:pPr>
    </w:p>
    <w:p>
      <w:pPr>
        <w:ind w:firstLine="633"/>
        <w:spacing w:after="0" w:line="262" w:lineRule="auto"/>
        <w:tabs>
          <w:tab w:leader="none" w:pos="1297"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Restricted Shares pursuant to Section 12 of the Plan or otherwise, the Company shall be entitled to pay to the Participant an amount in cash equal to the Fair Market Value of such fractional share.</w:t>
      </w:r>
    </w:p>
    <w:p>
      <w:pPr>
        <w:spacing w:after="0" w:line="170" w:lineRule="exact"/>
        <w:rPr>
          <w:rFonts w:ascii="Arial" w:cs="Arial" w:eastAsia="Arial" w:hAnsi="Arial"/>
          <w:sz w:val="19"/>
          <w:szCs w:val="19"/>
          <w:color w:val="auto"/>
        </w:rPr>
      </w:pPr>
    </w:p>
    <w:p>
      <w:pPr>
        <w:ind w:right="340" w:firstLine="633"/>
        <w:spacing w:after="0" w:line="278" w:lineRule="auto"/>
        <w:tabs>
          <w:tab w:leader="none" w:pos="1297"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5" w:lineRule="exact"/>
        <w:rPr>
          <w:rFonts w:ascii="Arial" w:cs="Arial" w:eastAsia="Arial" w:hAnsi="Arial"/>
          <w:sz w:val="19"/>
          <w:szCs w:val="19"/>
          <w:color w:val="auto"/>
        </w:rPr>
      </w:pPr>
    </w:p>
    <w:p>
      <w:pPr>
        <w:ind w:firstLine="682"/>
        <w:spacing w:after="0" w:line="339" w:lineRule="auto"/>
        <w:tabs>
          <w:tab w:leader="none" w:pos="1351"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3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20"/>
          </w:cols>
          <w:pgMar w:left="840" w:top="121" w:right="739" w:bottom="1440" w:gutter="0" w:footer="0" w:header="0"/>
        </w:sectPr>
      </w:pPr>
    </w:p>
    <w:bookmarkStart w:id="148" w:name="page149"/>
    <w:bookmarkEnd w:id="148"/>
    <w:p>
      <w:pPr>
        <w:ind w:firstLine="633"/>
        <w:spacing w:after="0" w:line="297" w:lineRule="auto"/>
        <w:tabs>
          <w:tab w:leader="none" w:pos="130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44" w:lineRule="exact"/>
        <w:rPr>
          <w:rFonts w:ascii="Arial" w:cs="Arial" w:eastAsia="Arial" w:hAnsi="Arial"/>
          <w:sz w:val="17"/>
          <w:szCs w:val="17"/>
          <w:color w:val="auto"/>
        </w:rPr>
      </w:pPr>
    </w:p>
    <w:p>
      <w:pPr>
        <w:ind w:firstLine="633"/>
        <w:spacing w:after="0" w:line="262" w:lineRule="auto"/>
        <w:tabs>
          <w:tab w:leader="none" w:pos="1297"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0" w:lineRule="exact"/>
        <w:rPr>
          <w:rFonts w:ascii="Arial" w:cs="Arial" w:eastAsia="Arial" w:hAnsi="Arial"/>
          <w:sz w:val="19"/>
          <w:szCs w:val="19"/>
          <w:color w:val="auto"/>
        </w:rPr>
      </w:pPr>
    </w:p>
    <w:p>
      <w:pPr>
        <w:ind w:left="640" w:firstLine="628"/>
        <w:spacing w:after="0" w:line="265" w:lineRule="auto"/>
        <w:tabs>
          <w:tab w:leader="none" w:pos="1943"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5" w:lineRule="exact"/>
        <w:rPr>
          <w:rFonts w:ascii="Arial" w:cs="Arial" w:eastAsia="Arial" w:hAnsi="Arial"/>
          <w:sz w:val="18"/>
          <w:szCs w:val="18"/>
          <w:color w:val="auto"/>
        </w:rPr>
      </w:pPr>
    </w:p>
    <w:p>
      <w:pPr>
        <w:ind w:left="640" w:firstLine="628"/>
        <w:spacing w:after="0" w:line="288" w:lineRule="auto"/>
        <w:tabs>
          <w:tab w:leader="none" w:pos="1948"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3" w:lineRule="exact"/>
        <w:rPr>
          <w:rFonts w:ascii="Arial" w:cs="Arial" w:eastAsia="Arial" w:hAnsi="Arial"/>
          <w:sz w:val="17"/>
          <w:szCs w:val="17"/>
          <w:color w:val="auto"/>
        </w:rPr>
      </w:pPr>
    </w:p>
    <w:p>
      <w:pPr>
        <w:ind w:right="100" w:firstLine="633"/>
        <w:spacing w:after="0" w:line="262" w:lineRule="auto"/>
        <w:tabs>
          <w:tab w:leader="none" w:pos="130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0" w:lineRule="exact"/>
        <w:rPr>
          <w:rFonts w:ascii="Arial" w:cs="Arial" w:eastAsia="Arial" w:hAnsi="Arial"/>
          <w:sz w:val="19"/>
          <w:szCs w:val="19"/>
          <w:color w:val="auto"/>
        </w:rPr>
      </w:pPr>
    </w:p>
    <w:p>
      <w:pPr>
        <w:ind w:right="80" w:firstLine="633"/>
        <w:spacing w:after="0" w:line="257" w:lineRule="auto"/>
        <w:tabs>
          <w:tab w:leader="none" w:pos="130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5" w:lineRule="exact"/>
        <w:rPr>
          <w:rFonts w:ascii="Arial" w:cs="Arial" w:eastAsia="Arial" w:hAnsi="Arial"/>
          <w:sz w:val="19"/>
          <w:szCs w:val="19"/>
          <w:color w:val="auto"/>
        </w:rPr>
      </w:pPr>
    </w:p>
    <w:p>
      <w:pPr>
        <w:ind w:right="240" w:firstLine="633"/>
        <w:spacing w:after="0" w:line="272" w:lineRule="auto"/>
        <w:tabs>
          <w:tab w:leader="none" w:pos="129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00"/>
          </w:cols>
          <w:pgMar w:left="840" w:top="121" w:right="759" w:bottom="1440" w:gutter="0" w:footer="0" w:header="0"/>
        </w:sectPr>
      </w:pPr>
    </w:p>
    <w:bookmarkStart w:id="149" w:name="page150"/>
    <w:bookmarkEnd w:id="149"/>
    <w:p>
      <w:pPr>
        <w:ind w:left="-100" w:firstLine="633"/>
        <w:spacing w:after="0" w:line="257" w:lineRule="auto"/>
        <w:tabs>
          <w:tab w:leader="none" w:pos="1197"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78105</wp:posOffset>
            </wp:positionV>
            <wp:extent cx="661098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020"/>
          </w:cols>
          <w:pgMar w:left="940" w:top="121" w:right="939" w:bottom="1440" w:gutter="0" w:footer="0" w:header="0"/>
        </w:sectPr>
      </w:pPr>
    </w:p>
    <w:bookmarkStart w:id="150" w:name="page151"/>
    <w:bookmarkEnd w:id="150"/>
    <w:p>
      <w:pPr>
        <w:ind w:firstLine="863"/>
        <w:spacing w:after="0" w:line="279" w:lineRule="auto"/>
        <w:rPr>
          <w:sz w:val="20"/>
          <w:szCs w:val="20"/>
          <w:color w:val="auto"/>
        </w:rPr>
      </w:pPr>
      <w:r>
        <w:rPr>
          <w:rFonts w:ascii="Arial" w:cs="Arial" w:eastAsia="Arial" w:hAnsi="Arial"/>
          <w:sz w:val="19"/>
          <w:szCs w:val="19"/>
          <w:color w:val="auto"/>
        </w:rPr>
        <w:t>IN WITNESS WHEREOF, this Agreement has been executed by the Company and the Participant as of the day first written above.</w:t>
      </w:r>
    </w:p>
    <w:p>
      <w:pPr>
        <w:spacing w:after="0" w:line="155"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24"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By:/s/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18415</wp:posOffset>
            </wp:positionV>
            <wp:extent cx="30746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14"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Name: Robert Greifeld</w:t>
      </w:r>
    </w:p>
    <w:p>
      <w:pPr>
        <w:spacing w:after="0" w:line="14"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Title: Chairman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14605</wp:posOffset>
            </wp:positionV>
            <wp:extent cx="32505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8"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Douglas A. Cifu</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Restricted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900"/>
          </w:cols>
          <w:pgMar w:left="840" w:top="121" w:right="1159" w:bottom="1440" w:gutter="0" w:footer="0" w:header="0"/>
        </w:sectPr>
      </w:pPr>
    </w:p>
    <w:bookmarkStart w:id="151" w:name="page152"/>
    <w:bookmarkEnd w:id="151"/>
    <w:p>
      <w:pPr>
        <w:jc w:val="right"/>
        <w:spacing w:after="0"/>
        <w:rPr>
          <w:sz w:val="20"/>
          <w:szCs w:val="20"/>
          <w:color w:val="auto"/>
        </w:rPr>
      </w:pPr>
      <w:r>
        <w:rPr>
          <w:rFonts w:ascii="Arial" w:cs="Arial" w:eastAsia="Arial" w:hAnsi="Arial"/>
          <w:sz w:val="21"/>
          <w:szCs w:val="21"/>
          <w:b w:val="1"/>
          <w:bCs w:val="1"/>
          <w:color w:val="auto"/>
        </w:rPr>
        <w:t>Exhibit 10.29</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1"/>
          <w:szCs w:val="21"/>
          <w:b w:val="1"/>
          <w:bCs w:val="1"/>
          <w:i w:val="1"/>
          <w:iCs w:val="1"/>
          <w:color w:val="auto"/>
        </w:rPr>
        <w:t>Execution Version</w:t>
      </w:r>
    </w:p>
    <w:p>
      <w:pPr>
        <w:spacing w:after="0" w:line="182" w:lineRule="exact"/>
        <w:rPr>
          <w:sz w:val="20"/>
          <w:szCs w:val="20"/>
          <w:color w:val="auto"/>
        </w:rPr>
      </w:pPr>
    </w:p>
    <w:p>
      <w:pPr>
        <w:ind w:right="200" w:firstLine="1270"/>
        <w:spacing w:after="0" w:line="255" w:lineRule="auto"/>
        <w:rPr>
          <w:sz w:val="20"/>
          <w:szCs w:val="20"/>
          <w:color w:val="auto"/>
        </w:rPr>
      </w:pPr>
      <w:r>
        <w:rPr>
          <w:rFonts w:ascii="Arial" w:cs="Arial" w:eastAsia="Arial" w:hAnsi="Arial"/>
          <w:sz w:val="20"/>
          <w:szCs w:val="20"/>
          <w:color w:val="auto"/>
        </w:rPr>
        <w:t xml:space="preserve">AMENDMENT NO. 1, dated as of January 2, 2018 (this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to the Fourth Amended and Restated Credit Agreement, dated as of June 30, 2017 (as amended, restated, modified or otherwise supplemented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xml:space="preserve"> by and among VIRTU FINANCIAL LLC, a Delaware limited liability company </w:t>
      </w:r>
      <w:r>
        <w:rPr>
          <w:rFonts w:ascii="Arial" w:cs="Arial" w:eastAsia="Arial" w:hAnsi="Arial"/>
          <w:sz w:val="20"/>
          <w:szCs w:val="20"/>
          <w:u w:val="single" w:color="auto"/>
          <w:color w:val="auto"/>
        </w:rPr>
        <w:t>(“Holdings”),</w:t>
      </w:r>
      <w:r>
        <w:rPr>
          <w:rFonts w:ascii="Arial" w:cs="Arial" w:eastAsia="Arial" w:hAnsi="Arial"/>
          <w:sz w:val="20"/>
          <w:szCs w:val="20"/>
          <w:color w:val="auto"/>
        </w:rPr>
        <w:t xml:space="preserve"> VFH PARENT LLC, a Delaware limited liability company (the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the LENDERS party thereto from time to time and JPMORGAN CHASE BANK,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and as collateral agent (the </w:t>
      </w:r>
      <w:r>
        <w:rPr>
          <w:rFonts w:ascii="Arial" w:cs="Arial" w:eastAsia="Arial" w:hAnsi="Arial"/>
          <w:sz w:val="20"/>
          <w:szCs w:val="20"/>
          <w:u w:val="single" w:color="auto"/>
          <w:color w:val="auto"/>
        </w:rPr>
        <w:t>“Collateral Agent”).</w:t>
      </w:r>
      <w:r>
        <w:rPr>
          <w:rFonts w:ascii="Arial" w:cs="Arial" w:eastAsia="Arial" w:hAnsi="Arial"/>
          <w:sz w:val="20"/>
          <w:szCs w:val="20"/>
          <w:color w:val="auto"/>
        </w:rPr>
        <w:t xml:space="preserve"> Capitalized terms used but not defined herein shall have the meanings assigned to such terms in the Credit Agreement as amended by this Amendment.</w:t>
      </w:r>
    </w:p>
    <w:p>
      <w:pPr>
        <w:spacing w:after="0" w:line="128" w:lineRule="exact"/>
        <w:rPr>
          <w:sz w:val="20"/>
          <w:szCs w:val="20"/>
          <w:color w:val="auto"/>
        </w:rPr>
      </w:pPr>
    </w:p>
    <w:p>
      <w:pPr>
        <w:ind w:right="20" w:firstLine="1270"/>
        <w:spacing w:after="0" w:line="263" w:lineRule="auto"/>
        <w:rPr>
          <w:sz w:val="20"/>
          <w:szCs w:val="20"/>
          <w:color w:val="auto"/>
        </w:rPr>
      </w:pPr>
      <w:r>
        <w:rPr>
          <w:rFonts w:ascii="Arial" w:cs="Arial" w:eastAsia="Arial" w:hAnsi="Arial"/>
          <w:sz w:val="21"/>
          <w:szCs w:val="21"/>
          <w:color w:val="auto"/>
        </w:rPr>
        <w:t>WHEREAS, the Borrower wishes to replace all New Term Loans with Term B-1 Loans and to make certain other amendments to the Credit Agreement;</w:t>
      </w:r>
    </w:p>
    <w:p>
      <w:pPr>
        <w:spacing w:after="0" w:line="119" w:lineRule="exact"/>
        <w:rPr>
          <w:sz w:val="20"/>
          <w:szCs w:val="20"/>
          <w:color w:val="auto"/>
        </w:rPr>
      </w:pPr>
    </w:p>
    <w:p>
      <w:pPr>
        <w:ind w:right="580" w:firstLine="1270"/>
        <w:spacing w:after="0" w:line="263" w:lineRule="auto"/>
        <w:rPr>
          <w:sz w:val="20"/>
          <w:szCs w:val="20"/>
          <w:color w:val="auto"/>
        </w:rPr>
      </w:pPr>
      <w:r>
        <w:rPr>
          <w:rFonts w:ascii="Arial" w:cs="Arial" w:eastAsia="Arial" w:hAnsi="Arial"/>
          <w:sz w:val="21"/>
          <w:szCs w:val="21"/>
          <w:color w:val="auto"/>
        </w:rPr>
        <w:t xml:space="preserve">WHEREAS, the Required Lenders and each Lender with a Converted New Term Loan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have agreed to the amendments contemplated above;</w:t>
      </w:r>
    </w:p>
    <w:p>
      <w:pPr>
        <w:spacing w:after="0" w:line="132" w:lineRule="exact"/>
        <w:rPr>
          <w:sz w:val="20"/>
          <w:szCs w:val="20"/>
          <w:color w:val="auto"/>
        </w:rPr>
      </w:pPr>
    </w:p>
    <w:p>
      <w:pPr>
        <w:ind w:right="80" w:firstLine="1270"/>
        <w:spacing w:after="0" w:line="263" w:lineRule="auto"/>
        <w:rPr>
          <w:sz w:val="20"/>
          <w:szCs w:val="20"/>
          <w:color w:val="auto"/>
        </w:rPr>
      </w:pPr>
      <w:r>
        <w:rPr>
          <w:rFonts w:ascii="Arial" w:cs="Arial" w:eastAsia="Arial" w:hAnsi="Arial"/>
          <w:sz w:val="21"/>
          <w:szCs w:val="21"/>
          <w:color w:val="auto"/>
        </w:rPr>
        <w:t xml:space="preserve">WHEREAS, JPMorgan Chase Bank, N.A. (in such capacity, the </w:t>
      </w:r>
      <w:r>
        <w:rPr>
          <w:rFonts w:ascii="Arial" w:cs="Arial" w:eastAsia="Arial" w:hAnsi="Arial"/>
          <w:sz w:val="21"/>
          <w:szCs w:val="21"/>
          <w:u w:val="single" w:color="auto"/>
          <w:color w:val="auto"/>
        </w:rPr>
        <w:t>“Term B-1 Lender”)</w:t>
      </w:r>
      <w:r>
        <w:rPr>
          <w:rFonts w:ascii="Arial" w:cs="Arial" w:eastAsia="Arial" w:hAnsi="Arial"/>
          <w:sz w:val="21"/>
          <w:szCs w:val="21"/>
          <w:color w:val="auto"/>
        </w:rPr>
        <w:t xml:space="preserve"> has agreed to provide the Term B-1 Commitment (as defined in </w:t>
      </w:r>
      <w:r>
        <w:rPr>
          <w:rFonts w:ascii="Arial" w:cs="Arial" w:eastAsia="Arial" w:hAnsi="Arial"/>
          <w:sz w:val="21"/>
          <w:szCs w:val="21"/>
          <w:u w:val="single" w:color="auto"/>
          <w:color w:val="auto"/>
        </w:rPr>
        <w:t>Exhibit A</w:t>
      </w:r>
      <w:r>
        <w:rPr>
          <w:rFonts w:ascii="Arial" w:cs="Arial" w:eastAsia="Arial" w:hAnsi="Arial"/>
          <w:sz w:val="21"/>
          <w:szCs w:val="21"/>
          <w:color w:val="auto"/>
        </w:rPr>
        <w:t>); and</w:t>
      </w:r>
    </w:p>
    <w:p>
      <w:pPr>
        <w:spacing w:after="0" w:line="119" w:lineRule="exact"/>
        <w:rPr>
          <w:sz w:val="20"/>
          <w:szCs w:val="20"/>
          <w:color w:val="auto"/>
        </w:rPr>
      </w:pPr>
    </w:p>
    <w:p>
      <w:pPr>
        <w:ind w:right="20" w:firstLine="1270"/>
        <w:spacing w:after="0" w:line="245" w:lineRule="auto"/>
        <w:rPr>
          <w:sz w:val="20"/>
          <w:szCs w:val="20"/>
          <w:color w:val="auto"/>
        </w:rPr>
      </w:pPr>
      <w:r>
        <w:rPr>
          <w:rFonts w:ascii="Arial" w:cs="Arial" w:eastAsia="Arial" w:hAnsi="Arial"/>
          <w:sz w:val="21"/>
          <w:szCs w:val="21"/>
          <w:color w:val="auto"/>
        </w:rPr>
        <w:t>WHEREAS, each Lender with outstanding New Term Loans that has executed a signature page to this Amendment has, to the extent set forth on such signature page, agreed to convert all of such New Term Loans to Term B-1 Loans (or such lesser amount as may be notified to such Lender by the Administrative Agent prior to the Amendment No. 1 Effective Date).</w:t>
      </w:r>
    </w:p>
    <w:p>
      <w:pPr>
        <w:spacing w:after="0" w:line="138" w:lineRule="exact"/>
        <w:rPr>
          <w:sz w:val="20"/>
          <w:szCs w:val="20"/>
          <w:color w:val="auto"/>
        </w:rPr>
      </w:pPr>
    </w:p>
    <w:p>
      <w:pPr>
        <w:jc w:val="both"/>
        <w:ind w:right="300" w:firstLine="1270"/>
        <w:spacing w:after="0" w:line="250" w:lineRule="auto"/>
        <w:rPr>
          <w:sz w:val="20"/>
          <w:szCs w:val="20"/>
          <w:color w:val="auto"/>
        </w:rPr>
      </w:pPr>
      <w:r>
        <w:rPr>
          <w:rFonts w:ascii="Arial" w:cs="Arial" w:eastAsia="Arial" w:hAnsi="Arial"/>
          <w:sz w:val="21"/>
          <w:szCs w:val="21"/>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45" w:lineRule="exact"/>
        <w:rPr>
          <w:sz w:val="20"/>
          <w:szCs w:val="20"/>
          <w:color w:val="auto"/>
        </w:rPr>
      </w:pPr>
    </w:p>
    <w:p>
      <w:pPr>
        <w:ind w:right="40" w:firstLine="1270"/>
        <w:spacing w:after="0" w:line="279"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Amendment of the Credit Agreement.</w:t>
      </w:r>
      <w:r>
        <w:rPr>
          <w:rFonts w:ascii="Arial" w:cs="Arial" w:eastAsia="Arial" w:hAnsi="Arial"/>
          <w:sz w:val="19"/>
          <w:szCs w:val="19"/>
          <w:color w:val="auto"/>
        </w:rPr>
        <w:t xml:space="preserve"> The Credit Agreement is, effective as of the Amendment No. 1 Effective Date, hereby amended to delete the stricken text (indicated textually in the same manner as the following example: </w:t>
      </w:r>
      <w:r>
        <w:rPr>
          <w:rFonts w:ascii="Arial" w:cs="Arial" w:eastAsia="Arial" w:hAnsi="Arial"/>
          <w:sz w:val="19"/>
          <w:szCs w:val="19"/>
          <w:color w:val="FF0000"/>
          <w:strike w:val="1"/>
        </w:rPr>
        <w:t>stricken text</w:t>
      </w:r>
      <w:r>
        <w:rPr>
          <w:rFonts w:ascii="Arial" w:cs="Arial" w:eastAsia="Arial" w:hAnsi="Arial"/>
          <w:sz w:val="19"/>
          <w:szCs w:val="19"/>
          <w:color w:val="auto"/>
        </w:rPr>
        <w:t xml:space="preserve">) and to add the double-underlined text (indicated textually in the same manner as the following example: </w:t>
      </w:r>
      <w:r>
        <w:rPr>
          <w:rFonts w:ascii="Arial" w:cs="Arial" w:eastAsia="Arial" w:hAnsi="Arial"/>
          <w:sz w:val="19"/>
          <w:szCs w:val="19"/>
          <w:u w:val="single" w:color="auto"/>
          <w:color w:val="0000FF"/>
        </w:rPr>
        <w:t>double-underlined text</w:t>
      </w:r>
      <w:r>
        <w:rPr>
          <w:rFonts w:ascii="Arial" w:cs="Arial" w:eastAsia="Arial" w:hAnsi="Arial"/>
          <w:sz w:val="19"/>
          <w:szCs w:val="19"/>
          <w:color w:val="0000FF"/>
        </w:rPr>
        <w:t>)</w:t>
      </w:r>
      <w:r>
        <w:rPr>
          <w:rFonts w:ascii="Arial" w:cs="Arial" w:eastAsia="Arial" w:hAnsi="Arial"/>
          <w:sz w:val="19"/>
          <w:szCs w:val="19"/>
          <w:color w:val="auto"/>
        </w:rPr>
        <w:t xml:space="preserve"> as set forth in the pages of the Credit Agreement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108" w:lineRule="exact"/>
        <w:rPr>
          <w:sz w:val="20"/>
          <w:szCs w:val="20"/>
          <w:color w:val="auto"/>
        </w:rPr>
      </w:pPr>
    </w:p>
    <w:p>
      <w:pPr>
        <w:jc w:val="both"/>
        <w:ind w:right="400" w:firstLine="1270"/>
        <w:spacing w:after="0" w:line="250"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u w:val="single" w:color="auto"/>
          <w:color w:val="auto"/>
        </w:rPr>
        <w:t>Effectiveness.</w:t>
      </w:r>
      <w:r>
        <w:rPr>
          <w:rFonts w:ascii="Arial" w:cs="Arial" w:eastAsia="Arial" w:hAnsi="Arial"/>
          <w:sz w:val="21"/>
          <w:szCs w:val="21"/>
          <w:color w:val="auto"/>
        </w:rPr>
        <w:t xml:space="preserve"> This Amendment shall become effective on the date (such date and time of effectiveness, the </w:t>
      </w:r>
      <w:r>
        <w:rPr>
          <w:rFonts w:ascii="Arial" w:cs="Arial" w:eastAsia="Arial" w:hAnsi="Arial"/>
          <w:sz w:val="21"/>
          <w:szCs w:val="21"/>
          <w:u w:val="single" w:color="auto"/>
          <w:color w:val="auto"/>
        </w:rPr>
        <w:t>“Amendment No. 1 Effective Date”)</w:t>
      </w:r>
      <w:r>
        <w:rPr>
          <w:rFonts w:ascii="Arial" w:cs="Arial" w:eastAsia="Arial" w:hAnsi="Arial"/>
          <w:sz w:val="21"/>
          <w:szCs w:val="21"/>
          <w:color w:val="auto"/>
        </w:rPr>
        <w:t xml:space="preserve"> that each of the conditions precedent set forth below shall have been satisfied:</w:t>
      </w:r>
    </w:p>
    <w:p>
      <w:pPr>
        <w:spacing w:after="0" w:line="132" w:lineRule="exact"/>
        <w:rPr>
          <w:sz w:val="20"/>
          <w:szCs w:val="20"/>
          <w:color w:val="auto"/>
        </w:rPr>
      </w:pPr>
    </w:p>
    <w:p>
      <w:pPr>
        <w:ind w:right="520" w:firstLine="1279"/>
        <w:spacing w:after="0" w:line="263" w:lineRule="auto"/>
        <w:tabs>
          <w:tab w:leader="none" w:pos="1554"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Administrative Agent shall have received executed counterparts hereof from each of the Loan Parties, Lenders constituting the Required Lenders and the Term B-1 Lender;</w:t>
      </w:r>
    </w:p>
    <w:p>
      <w:pPr>
        <w:spacing w:after="0" w:line="132" w:lineRule="exact"/>
        <w:rPr>
          <w:rFonts w:ascii="Arial" w:cs="Arial" w:eastAsia="Arial" w:hAnsi="Arial"/>
          <w:sz w:val="21"/>
          <w:szCs w:val="21"/>
          <w:color w:val="auto"/>
        </w:rPr>
      </w:pPr>
    </w:p>
    <w:p>
      <w:pPr>
        <w:jc w:val="both"/>
        <w:ind w:right="40" w:firstLine="1279"/>
        <w:spacing w:after="0" w:line="245" w:lineRule="auto"/>
        <w:tabs>
          <w:tab w:leader="none" w:pos="1566"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Administrative Agent shall have received written opinions (addressed to the Administrative Agent and the Lenders and dated the Amendment No. 1 Effective Date) of Paul, Weiss, Rifkind, Wharton &amp; Garrison LLP, New York counsel for the Loan Parties, and regulatory counsel for the Loan Parties reasonably acceptable to the Administrative Agent,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661098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152" w:name="page153"/>
    <w:bookmarkEnd w:id="152"/>
    <w:p>
      <w:pPr>
        <w:ind w:right="40"/>
        <w:spacing w:after="0" w:line="316" w:lineRule="auto"/>
        <w:rPr>
          <w:sz w:val="20"/>
          <w:szCs w:val="20"/>
          <w:color w:val="auto"/>
        </w:rPr>
      </w:pPr>
      <w:r>
        <w:rPr>
          <w:rFonts w:ascii="Arial" w:cs="Arial" w:eastAsia="Arial" w:hAnsi="Arial"/>
          <w:sz w:val="19"/>
          <w:szCs w:val="19"/>
          <w:color w:val="auto"/>
        </w:rPr>
        <w:t>such matters as the Administrative Agent may reasonably request and in form and substance reasonably satisfactory to the Administrative Agent. Each of Holdings and the Borrower hereby requests such counsels to deliver such opinions;</w:t>
      </w:r>
    </w:p>
    <w:p>
      <w:pPr>
        <w:spacing w:after="0" w:line="86" w:lineRule="exact"/>
        <w:rPr>
          <w:sz w:val="20"/>
          <w:szCs w:val="20"/>
          <w:color w:val="auto"/>
        </w:rPr>
      </w:pPr>
    </w:p>
    <w:p>
      <w:pPr>
        <w:ind w:right="360" w:firstLine="1279"/>
        <w:spacing w:after="0" w:line="316" w:lineRule="auto"/>
        <w:tabs>
          <w:tab w:leader="none" w:pos="1554"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Borrowing Request requesting the borrowing of the Term B-1 Loans and a notice of prepayment of the Non- Converted New Term Loans (as defined in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A);</w:t>
      </w:r>
    </w:p>
    <w:p>
      <w:pPr>
        <w:spacing w:after="0" w:line="72" w:lineRule="exact"/>
        <w:rPr>
          <w:rFonts w:ascii="Arial" w:cs="Arial" w:eastAsia="Arial" w:hAnsi="Arial"/>
          <w:sz w:val="19"/>
          <w:szCs w:val="19"/>
          <w:color w:val="auto"/>
        </w:rPr>
      </w:pPr>
    </w:p>
    <w:p>
      <w:pPr>
        <w:ind w:right="80" w:firstLine="1279"/>
        <w:spacing w:after="0" w:line="243" w:lineRule="auto"/>
        <w:tabs>
          <w:tab w:leader="none" w:pos="1566"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from the chief financial officer or chief operating officer of the Borrower (x) in the form of Exhibit Q to the Credit Agreement certifying as to the solvency of the Borrower and its Subsidiaries on a consolidated basis after giving effect to the transactions to be consummated on the Amendment No. 1 Effective Date and (y) as to the satisfaction of the conditions set forth in Section 4.02 of the Credit Agreement;</w:t>
      </w:r>
    </w:p>
    <w:p>
      <w:pPr>
        <w:spacing w:after="0" w:line="140" w:lineRule="exact"/>
        <w:rPr>
          <w:rFonts w:ascii="Arial" w:cs="Arial" w:eastAsia="Arial" w:hAnsi="Arial"/>
          <w:sz w:val="21"/>
          <w:szCs w:val="21"/>
          <w:color w:val="auto"/>
        </w:rPr>
      </w:pPr>
    </w:p>
    <w:p>
      <w:pPr>
        <w:ind w:right="80" w:firstLine="1279"/>
        <w:spacing w:after="0" w:line="250" w:lineRule="auto"/>
        <w:tabs>
          <w:tab w:leader="none" w:pos="1554"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Administrative Agent shall have received copies of lien searches in such jurisdictions as the Lead Arranger may reasonably request (it being understood that lien searches in the jurisdiction of organization or formation of each Loan Party shall be sufficient);</w:t>
      </w:r>
    </w:p>
    <w:p>
      <w:pPr>
        <w:spacing w:after="0" w:line="144" w:lineRule="exact"/>
        <w:rPr>
          <w:rFonts w:ascii="Arial" w:cs="Arial" w:eastAsia="Arial" w:hAnsi="Arial"/>
          <w:sz w:val="21"/>
          <w:szCs w:val="21"/>
          <w:color w:val="auto"/>
        </w:rPr>
      </w:pPr>
    </w:p>
    <w:p>
      <w:pPr>
        <w:ind w:right="80" w:firstLine="1279"/>
        <w:spacing w:after="0" w:line="245" w:lineRule="auto"/>
        <w:tabs>
          <w:tab w:leader="none" w:pos="153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each Loan Party, dated the Amendment No. 1 Effective Date, substantially in the form of Exhibit G to the Credit Agreement with appropriate insertions, executed by any Responsible Officer of such Loan Party, and including or attaching the documents referred to in paragraph (g) of this Section;</w:t>
      </w:r>
    </w:p>
    <w:p>
      <w:pPr>
        <w:spacing w:after="0" w:line="138" w:lineRule="exact"/>
        <w:rPr>
          <w:rFonts w:ascii="Arial" w:cs="Arial" w:eastAsia="Arial" w:hAnsi="Arial"/>
          <w:sz w:val="21"/>
          <w:szCs w:val="21"/>
          <w:color w:val="auto"/>
        </w:rPr>
      </w:pPr>
    </w:p>
    <w:p>
      <w:pPr>
        <w:ind w:firstLine="1279"/>
        <w:spacing w:after="0" w:line="252" w:lineRule="auto"/>
        <w:tabs>
          <w:tab w:leader="none" w:pos="1566"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(i) each Organizational Document of each Loan Party certified, to the extent applicable, as of a recent date by the applicable Governmental Authority, or a certification from such Loan Party that its Organizational Documents in the form delivered to the Administrative Agent on the Restatement Effective Date or the Escrow Assumption Date, as applicable, have not been amended or modified since the date of such delivery and are in full force and effect,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Amendment No. 1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 and</w:t>
      </w:r>
    </w:p>
    <w:p>
      <w:pPr>
        <w:spacing w:after="0" w:line="135" w:lineRule="exact"/>
        <w:rPr>
          <w:rFonts w:ascii="Arial" w:cs="Arial" w:eastAsia="Arial" w:hAnsi="Arial"/>
          <w:sz w:val="20"/>
          <w:szCs w:val="20"/>
          <w:color w:val="auto"/>
        </w:rPr>
      </w:pPr>
    </w:p>
    <w:p>
      <w:pPr>
        <w:ind w:right="140" w:firstLine="1279"/>
        <w:spacing w:after="0" w:line="243" w:lineRule="auto"/>
        <w:tabs>
          <w:tab w:leader="none" w:pos="1566"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Borrower shall have paid, or concurrently herewith shall pay to JPMorgan Chase Bank, N.A. such fees as have separately been agreed by JPMorgan Chase Bank, N.A. and the Borrower and, to the extent invoiced, the reasonable and documented out-of- pocket expenses of the Administrative Agent and the Lead Arranger in connection with this Amendment (including the reasonable fees and expenses of Cahill Gordon &amp; Reindel LLP, counsel to the Lead Arranger and the Administrative Agent).</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xml:space="preserve"> In order to induce the Lenders and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00"/>
          </w:cols>
          <w:pgMar w:left="740" w:top="528" w:right="759" w:bottom="1440" w:gutter="0" w:footer="0" w:header="0"/>
        </w:sectPr>
      </w:pPr>
    </w:p>
    <w:bookmarkStart w:id="153" w:name="page154"/>
    <w:bookmarkEnd w:id="153"/>
    <w:p>
      <w:pPr>
        <w:ind w:right="60"/>
        <w:spacing w:after="0" w:line="250" w:lineRule="auto"/>
        <w:rPr>
          <w:sz w:val="20"/>
          <w:szCs w:val="20"/>
          <w:color w:val="auto"/>
        </w:rPr>
      </w:pPr>
      <w:r>
        <w:rPr>
          <w:rFonts w:ascii="Arial" w:cs="Arial" w:eastAsia="Arial" w:hAnsi="Arial"/>
          <w:sz w:val="21"/>
          <w:szCs w:val="21"/>
          <w:color w:val="auto"/>
        </w:rPr>
        <w:t>the Administrative Agent to enter into this Amendment, each of the Loan Parties represents and warrants to each of the Lenders and the Administrative Agent that, as of the Amendment No. 1 Effective Date, both before and after giving effect to the transactions contemplated by this Amendment:</w:t>
      </w:r>
    </w:p>
    <w:p>
      <w:pPr>
        <w:spacing w:after="0" w:line="145" w:lineRule="exact"/>
        <w:rPr>
          <w:sz w:val="20"/>
          <w:szCs w:val="20"/>
          <w:color w:val="auto"/>
        </w:rPr>
      </w:pPr>
    </w:p>
    <w:p>
      <w:pPr>
        <w:ind w:left="1560" w:hanging="281"/>
        <w:spacing w:after="0"/>
        <w:tabs>
          <w:tab w:leader="none" w:pos="15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no Default or Event of Default exists; and</w:t>
      </w:r>
    </w:p>
    <w:p>
      <w:pPr>
        <w:spacing w:after="0" w:line="168" w:lineRule="exact"/>
        <w:rPr>
          <w:rFonts w:ascii="Arial" w:cs="Arial" w:eastAsia="Arial" w:hAnsi="Arial"/>
          <w:sz w:val="21"/>
          <w:szCs w:val="21"/>
          <w:color w:val="auto"/>
        </w:rPr>
      </w:pPr>
    </w:p>
    <w:p>
      <w:pPr>
        <w:ind w:left="640" w:right="40" w:firstLine="639"/>
        <w:spacing w:after="0" w:line="275" w:lineRule="auto"/>
        <w:tabs>
          <w:tab w:leader="none" w:pos="157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representations and warranties of each Loan Party contained in Article III of the Credit Agreement or any other Loan Document are true and correct in all material respects on and as of such date (except, to the extent that such representations and warranties specifically refer to an earlier date, they are true and correct as of such earlier date); provided, that, to the extent that such representations and warranties are qualified by materiality, material adverse effect or similar language, they are true and correct in all respects.</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Reference to and Effect on the Loan Documents; Reaffirmation.</w:t>
      </w:r>
    </w:p>
    <w:p>
      <w:pPr>
        <w:spacing w:after="0" w:line="182" w:lineRule="exact"/>
        <w:rPr>
          <w:sz w:val="20"/>
          <w:szCs w:val="20"/>
          <w:color w:val="auto"/>
        </w:rPr>
      </w:pPr>
    </w:p>
    <w:p>
      <w:pPr>
        <w:ind w:right="80" w:firstLine="1279"/>
        <w:spacing w:after="0" w:line="254" w:lineRule="auto"/>
        <w:tabs>
          <w:tab w:leader="none" w:pos="1558" w:val="left"/>
        </w:tabs>
        <w:numPr>
          <w:ilvl w:val="0"/>
          <w:numId w:val="57"/>
        </w:numPr>
        <w:rPr>
          <w:rFonts w:ascii="Arial" w:cs="Arial" w:eastAsia="Arial" w:hAnsi="Arial"/>
          <w:sz w:val="20"/>
          <w:szCs w:val="20"/>
          <w:color w:val="auto"/>
        </w:rPr>
      </w:pPr>
      <w:r>
        <w:rPr>
          <w:rFonts w:ascii="Arial" w:cs="Arial" w:eastAsia="Arial" w:hAnsi="Arial"/>
          <w:sz w:val="20"/>
          <w:szCs w:val="20"/>
          <w:color w:val="auto"/>
        </w:rPr>
        <w:t>On and after the Amendment No. 1 Effective Date, each reference in the Credit Agreement to “this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(or otherwise affect) any right, power or remedy of any Lender or any Agent under any of the Loan Documents, nor constitute a waiver of any provision of any of the Loan Documents. This Amendment shall not constitute a novation of the Credit Agreement or any other Loan Document.</w:t>
      </w:r>
    </w:p>
    <w:p>
      <w:pPr>
        <w:spacing w:after="0" w:line="129" w:lineRule="exact"/>
        <w:rPr>
          <w:rFonts w:ascii="Arial" w:cs="Arial" w:eastAsia="Arial" w:hAnsi="Arial"/>
          <w:sz w:val="20"/>
          <w:szCs w:val="20"/>
          <w:color w:val="auto"/>
        </w:rPr>
      </w:pPr>
    </w:p>
    <w:p>
      <w:pPr>
        <w:ind w:firstLine="1279"/>
        <w:spacing w:after="0" w:line="265" w:lineRule="auto"/>
        <w:tabs>
          <w:tab w:leader="none" w:pos="157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of the Loan Parties, (i) hereby consents to the Amendment, (ii) without limiting its obligations under, or the provisions of, the Guarantee Agreement, hereby confirms its respective guarantees, as applicable, under the Guarantee Agreement, (iii) without limiting its obligations under, or the provisions of, the Collateral Agreement, hereby confirms its respective assignments, pledges and grants of security interests, as applicable, under the Collateral Agreement and each of the other Loan Documents to which it is party, (iv) without limiting its obligations under, or the provisions of, any Loan Document, hereby confirms that the obligations of the Borrower under the Credit Agreement are entitled to the benefits of the guarantees and the security interests set forth or created in the Guarantee Agreement, the Collateral Agreement and the other Loan Documents and constitute “Obligations,” “Loan Document Obligations,” “Secured Obligations” or other similar term for purposes thereof, (v) hereby agrees that, after giving effect to this Amendment, such guarantees, and pledges and grants of security interests, as applicable, shall continue to be in full force and effect and shall continue to inure to the benefit of the Lenders and the other Secured Parties, (vi) hereby ratifies, confirms and agrees that all Liens granted, conveyed, or assigned to the Administrative Agent by such Person pursuant to any Loan Document to which it is a party remain in full force and effect, are not released or reduced, and after giving effect to the Credit Agreement and the Transactions continue to secure full payment and performance of the obligations under the Credit Agreement and such Liens continue unimpaired with the same priority to secure repayment of such</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00"/>
          </w:cols>
          <w:pgMar w:left="740" w:top="528" w:right="759" w:bottom="1440" w:gutter="0" w:footer="0" w:header="0"/>
        </w:sectPr>
      </w:pPr>
    </w:p>
    <w:bookmarkStart w:id="154" w:name="page155"/>
    <w:bookmarkEnd w:id="154"/>
    <w:p>
      <w:pPr>
        <w:jc w:val="both"/>
        <w:spacing w:after="0" w:line="279" w:lineRule="auto"/>
        <w:rPr>
          <w:sz w:val="20"/>
          <w:szCs w:val="20"/>
          <w:color w:val="auto"/>
        </w:rPr>
      </w:pPr>
      <w:r>
        <w:rPr>
          <w:rFonts w:ascii="Arial" w:cs="Arial" w:eastAsia="Arial" w:hAnsi="Arial"/>
          <w:sz w:val="19"/>
          <w:szCs w:val="19"/>
          <w:color w:val="auto"/>
        </w:rPr>
        <w:t>obligations whether heretofore or hereafter incurred and no new filings are required to be made and no other action is required to be taken to perfect or to maintain the perfection of such Liens and (vii) the Obligations of Borrower and the other Loan Parties under the Credit Agreement that remain unpaid and outstanding as of the Amendment No. 1 Effective Date shall continue to exist under and be evidenced by the Credit Agreement and the other Loan Documents.</w:t>
      </w:r>
    </w:p>
    <w:p>
      <w:pPr>
        <w:spacing w:after="0" w:line="122" w:lineRule="exact"/>
        <w:rPr>
          <w:sz w:val="20"/>
          <w:szCs w:val="20"/>
          <w:color w:val="auto"/>
        </w:rPr>
      </w:pPr>
    </w:p>
    <w:p>
      <w:pPr>
        <w:ind w:right="120" w:firstLine="1279"/>
        <w:spacing w:after="0" w:line="245" w:lineRule="auto"/>
        <w:tabs>
          <w:tab w:leader="none" w:pos="1558" w:val="left"/>
        </w:tabs>
        <w:numPr>
          <w:ilvl w:val="0"/>
          <w:numId w:val="58"/>
        </w:numPr>
        <w:rPr>
          <w:rFonts w:ascii="Arial" w:cs="Arial" w:eastAsia="Arial" w:hAnsi="Arial"/>
          <w:sz w:val="21"/>
          <w:szCs w:val="21"/>
          <w:color w:val="auto"/>
        </w:rPr>
      </w:pPr>
      <w:r>
        <w:rPr>
          <w:rFonts w:ascii="Arial" w:cs="Arial" w:eastAsia="Arial" w:hAnsi="Arial"/>
          <w:sz w:val="21"/>
          <w:szCs w:val="21"/>
          <w:color w:val="auto"/>
        </w:rPr>
        <w:t>Each of the Loan Parties further agrees to take any action that may be required or that is requested by the Administrative Agent to ensure compliance by Holdings or the Borrower with the provisions of Section 5.12 of the Credit Agreement and hereby reaffirms its obligations under each similar provision of each Loan Document to which it is a party.</w:t>
      </w:r>
    </w:p>
    <w:p>
      <w:pPr>
        <w:spacing w:after="0" w:line="138"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Applicable Law; Waiver of Jury Trial.</w:t>
      </w:r>
    </w:p>
    <w:p>
      <w:pPr>
        <w:spacing w:after="0" w:line="163" w:lineRule="exact"/>
        <w:rPr>
          <w:sz w:val="20"/>
          <w:szCs w:val="20"/>
          <w:color w:val="auto"/>
        </w:rPr>
      </w:pPr>
    </w:p>
    <w:p>
      <w:pPr>
        <w:ind w:right="280" w:firstLine="1279"/>
        <w:spacing w:after="0" w:line="247" w:lineRule="auto"/>
        <w:tabs>
          <w:tab w:leader="none" w:pos="1613"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color w:val="auto"/>
        </w:rPr>
        <w:t>THIS AMENDMENT SHALL BE GOVERNED BY, AND CONSTRUED IN ACCORDANCE WITH, THE LAW OF THE STATE OF NEW YORK WITHOUT GIVING EFFECT TO ANY CONFLICTS PROVISIONS THAT WOULD RESULT IN THE APPLICATION OF THE LAWS OF ANOTHER JURISDICTION.</w:t>
      </w:r>
    </w:p>
    <w:p>
      <w:pPr>
        <w:spacing w:after="0" w:line="143" w:lineRule="exact"/>
        <w:rPr>
          <w:rFonts w:ascii="Arial" w:cs="Arial" w:eastAsia="Arial" w:hAnsi="Arial"/>
          <w:sz w:val="21"/>
          <w:szCs w:val="21"/>
          <w:b w:val="1"/>
          <w:bCs w:val="1"/>
          <w:color w:val="auto"/>
        </w:rPr>
      </w:pPr>
    </w:p>
    <w:p>
      <w:pPr>
        <w:jc w:val="both"/>
        <w:ind w:right="180" w:firstLine="1279"/>
        <w:spacing w:after="0" w:line="247" w:lineRule="auto"/>
        <w:tabs>
          <w:tab w:leader="none" w:pos="1605"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color w:val="auto"/>
        </w:rPr>
        <w:t>EACH PARTY HERETO HEREBY IRREVOCABLY WAIVES, TO THE FULLEST EXTENT PERMITTED BY APPLICABLE LAW, ANY RIGHT IT MAY HAVE TO A TRIAL BY JURY IN ANY LEGAL ACTION OR PROCEEDING DIRECTLY OR INDIRECTLY ARISING OUT OF OR RELATING TO THIS AMENDMENT (WHETHER BASED ON CONTRACT, TORT OR ANY OTHER THEORY).</w:t>
      </w:r>
    </w:p>
    <w:p>
      <w:pPr>
        <w:spacing w:after="0" w:line="136" w:lineRule="exact"/>
        <w:rPr>
          <w:sz w:val="20"/>
          <w:szCs w:val="20"/>
          <w:color w:val="auto"/>
        </w:rPr>
      </w:pPr>
    </w:p>
    <w:p>
      <w:pPr>
        <w:ind w:right="340" w:firstLine="1270"/>
        <w:spacing w:after="0" w:line="250"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Headings.</w:t>
      </w:r>
      <w:r>
        <w:rPr>
          <w:rFonts w:ascii="Arial" w:cs="Arial" w:eastAsia="Arial" w:hAnsi="Arial"/>
          <w:sz w:val="21"/>
          <w:szCs w:val="21"/>
          <w:color w:val="auto"/>
        </w:rPr>
        <w:t xml:space="preserve"> The Section headings used herein are for convenience of reference only, are not part of this Amendment and are not to affect the construction of, or to be taken into consideration in interpreting, this Amendment.</w:t>
      </w:r>
    </w:p>
    <w:p>
      <w:pPr>
        <w:spacing w:after="0" w:line="132" w:lineRule="exact"/>
        <w:rPr>
          <w:sz w:val="20"/>
          <w:szCs w:val="20"/>
          <w:color w:val="auto"/>
        </w:rPr>
      </w:pPr>
    </w:p>
    <w:p>
      <w:pPr>
        <w:ind w:right="20" w:firstLine="1270"/>
        <w:spacing w:after="0" w:line="243"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any other electronic transmission shall be effective as delivery of an original executed counterpart hereof.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155" w:name="page156"/>
    <w:bookmarkEnd w:id="155"/>
    <w:p>
      <w:pPr>
        <w:ind w:right="180" w:firstLine="1270"/>
        <w:spacing w:after="0" w:line="263" w:lineRule="auto"/>
        <w:rPr>
          <w:sz w:val="20"/>
          <w:szCs w:val="20"/>
          <w:color w:val="auto"/>
        </w:rPr>
      </w:pPr>
      <w:r>
        <w:rPr>
          <w:rFonts w:ascii="Arial" w:cs="Arial" w:eastAsia="Arial" w:hAnsi="Arial"/>
          <w:sz w:val="21"/>
          <w:szCs w:val="21"/>
          <w:color w:val="auto"/>
        </w:rPr>
        <w:t>IN WITNESS WHEREOF, the parties hereto have caused this Amendment to be duly executed by their respective authorized officers as of the day and year first written above.</w:t>
      </w:r>
    </w:p>
    <w:p>
      <w:pPr>
        <w:spacing w:after="0" w:line="139"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VFH PARENT LLC</w:t>
      </w:r>
      <w:r>
        <w:rPr>
          <w:rFonts w:ascii="Arial" w:cs="Arial" w:eastAsia="Arial" w:hAnsi="Arial"/>
          <w:sz w:val="21"/>
          <w:szCs w:val="21"/>
          <w:color w:val="auto"/>
        </w:rPr>
        <w:t>, as Borrower</w:t>
      </w:r>
    </w:p>
    <w:p>
      <w:pPr>
        <w:spacing w:after="0" w:line="241"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29654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Joseph Molluso</w:t>
      </w:r>
    </w:p>
    <w:p>
      <w:pPr>
        <w:ind w:left="57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VIRTU FINANCIAL LLC</w:t>
      </w:r>
      <w:r>
        <w:rPr>
          <w:rFonts w:ascii="Arial" w:cs="Arial" w:eastAsia="Arial" w:hAnsi="Arial"/>
          <w:sz w:val="21"/>
          <w:szCs w:val="21"/>
          <w:color w:val="auto"/>
        </w:rPr>
        <w:t>, as Holdings</w:t>
      </w:r>
    </w:p>
    <w:p>
      <w:pPr>
        <w:spacing w:after="0" w:line="241"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29654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Joseph Molluso</w:t>
      </w:r>
    </w:p>
    <w:p>
      <w:pPr>
        <w:ind w:left="57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ARATIKA LLC</w:t>
      </w:r>
      <w:r>
        <w:rPr>
          <w:rFonts w:ascii="Arial" w:cs="Arial" w:eastAsia="Arial" w:hAnsi="Arial"/>
          <w:sz w:val="21"/>
          <w:szCs w:val="21"/>
          <w:color w:val="auto"/>
        </w:rPr>
        <w:t>, as a</w:t>
      </w:r>
      <w:r>
        <w:rPr>
          <w:rFonts w:ascii="Arial" w:cs="Arial" w:eastAsia="Arial" w:hAnsi="Arial"/>
          <w:sz w:val="21"/>
          <w:szCs w:val="21"/>
          <w:b w:val="1"/>
          <w:bCs w:val="1"/>
          <w:color w:val="auto"/>
        </w:rPr>
        <w:t xml:space="preserve"> </w:t>
      </w:r>
      <w:r>
        <w:rPr>
          <w:rFonts w:ascii="Arial" w:cs="Arial" w:eastAsia="Arial" w:hAnsi="Arial"/>
          <w:sz w:val="21"/>
          <w:szCs w:val="21"/>
          <w:color w:val="0D0A30"/>
        </w:rPr>
        <w:t>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Loan Party</w:t>
      </w:r>
    </w:p>
    <w:p>
      <w:pPr>
        <w:spacing w:after="0" w:line="241"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29654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Joseph Molluso</w:t>
      </w:r>
    </w:p>
    <w:p>
      <w:pPr>
        <w:ind w:left="57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GLOBAL COLOCATION SERVICES LLC</w:t>
      </w:r>
      <w:r>
        <w:rPr>
          <w:rFonts w:ascii="Arial" w:cs="Arial" w:eastAsia="Arial" w:hAnsi="Arial"/>
          <w:sz w:val="21"/>
          <w:szCs w:val="21"/>
          <w:color w:val="auto"/>
        </w:rPr>
        <w:t>, as a</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Subsidiary Loan Party</w:t>
      </w:r>
    </w:p>
    <w:p>
      <w:pPr>
        <w:spacing w:after="0" w:line="217"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2965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Joseph Molluso</w:t>
      </w:r>
    </w:p>
    <w:p>
      <w:pPr>
        <w:jc w:val="center"/>
        <w:ind w:left="47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VIRTU KCG HOLDINGS LLC</w:t>
      </w:r>
      <w:r>
        <w:rPr>
          <w:rFonts w:ascii="Arial" w:cs="Arial" w:eastAsia="Arial" w:hAnsi="Arial"/>
          <w:sz w:val="21"/>
          <w:szCs w:val="21"/>
          <w:color w:val="auto"/>
        </w:rPr>
        <w:t>, as a Subsidiary Loan</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Party</w:t>
      </w:r>
    </w:p>
    <w:p>
      <w:pPr>
        <w:spacing w:after="0" w:line="217"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29654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Joseph Molluso</w:t>
      </w:r>
    </w:p>
    <w:p>
      <w:pPr>
        <w:ind w:left="57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NATIONAL TOWER COMPANY LLC</w:t>
      </w:r>
      <w:r>
        <w:rPr>
          <w:rFonts w:ascii="Arial" w:cs="Arial" w:eastAsia="Arial" w:hAnsi="Arial"/>
          <w:sz w:val="20"/>
          <w:szCs w:val="20"/>
          <w:color w:val="auto"/>
        </w:rPr>
        <w:t>, as a Subsidiary</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Loan Party</w:t>
      </w:r>
    </w:p>
    <w:p>
      <w:pPr>
        <w:spacing w:after="0" w:line="217" w:lineRule="exact"/>
        <w:rPr>
          <w:sz w:val="20"/>
          <w:szCs w:val="20"/>
          <w:color w:val="auto"/>
        </w:rPr>
      </w:pPr>
    </w:p>
    <w:p>
      <w:pPr>
        <w:ind w:left="5220"/>
        <w:spacing w:after="0"/>
        <w:tabs>
          <w:tab w:leader="none" w:pos="57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11430</wp:posOffset>
            </wp:positionV>
            <wp:extent cx="29654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Name: Joseph Molluso</w:t>
      </w:r>
    </w:p>
    <w:p>
      <w:pPr>
        <w:ind w:left="5740"/>
        <w:spacing w:after="0"/>
        <w:rPr>
          <w:sz w:val="20"/>
          <w:szCs w:val="20"/>
          <w:color w:val="auto"/>
        </w:rPr>
      </w:pPr>
      <w:r>
        <w:rPr>
          <w:rFonts w:ascii="Arial" w:cs="Arial" w:eastAsia="Arial" w:hAnsi="Arial"/>
          <w:sz w:val="21"/>
          <w:szCs w:val="21"/>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Amendment No. 1 to Credit Agreement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220"/>
          </w:cols>
          <w:pgMar w:left="740" w:top="528" w:right="939" w:bottom="1440" w:gutter="0" w:footer="0" w:header="0"/>
        </w:sectPr>
      </w:pPr>
    </w:p>
    <w:bookmarkStart w:id="156" w:name="page157"/>
    <w:bookmarkEnd w:id="156"/>
    <w:p>
      <w:pPr>
        <w:ind w:left="4520"/>
        <w:spacing w:after="0" w:line="269" w:lineRule="auto"/>
        <w:rPr>
          <w:sz w:val="20"/>
          <w:szCs w:val="20"/>
          <w:color w:val="auto"/>
        </w:rPr>
      </w:pPr>
      <w:r>
        <w:rPr>
          <w:rFonts w:ascii="Arial" w:cs="Arial" w:eastAsia="Arial" w:hAnsi="Arial"/>
          <w:sz w:val="21"/>
          <w:szCs w:val="21"/>
          <w:b w:val="1"/>
          <w:bCs w:val="1"/>
          <w:color w:val="auto"/>
        </w:rPr>
        <w:t>ORCHESTRA BORROWER LLC</w:t>
      </w:r>
      <w:r>
        <w:rPr>
          <w:rFonts w:ascii="Arial" w:cs="Arial" w:eastAsia="Arial" w:hAnsi="Arial"/>
          <w:sz w:val="21"/>
          <w:szCs w:val="21"/>
          <w:color w:val="auto"/>
        </w:rPr>
        <w:t>, as a Subsidiary Loan</w:t>
      </w:r>
      <w:r>
        <w:rPr>
          <w:rFonts w:ascii="Arial" w:cs="Arial" w:eastAsia="Arial" w:hAnsi="Arial"/>
          <w:sz w:val="21"/>
          <w:szCs w:val="21"/>
          <w:b w:val="1"/>
          <w:bCs w:val="1"/>
          <w:color w:val="auto"/>
        </w:rPr>
        <w:t xml:space="preserve"> </w:t>
      </w:r>
      <w:r>
        <w:rPr>
          <w:rFonts w:ascii="Arial" w:cs="Arial" w:eastAsia="Arial" w:hAnsi="Arial"/>
          <w:sz w:val="21"/>
          <w:szCs w:val="21"/>
          <w:color w:val="auto"/>
        </w:rPr>
        <w:t>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right="140"/>
        <w:spacing w:after="0" w:line="269" w:lineRule="auto"/>
        <w:rPr>
          <w:sz w:val="20"/>
          <w:szCs w:val="20"/>
          <w:color w:val="auto"/>
        </w:rPr>
      </w:pPr>
      <w:r>
        <w:rPr>
          <w:rFonts w:ascii="Arial" w:cs="Arial" w:eastAsia="Arial" w:hAnsi="Arial"/>
          <w:sz w:val="21"/>
          <w:szCs w:val="21"/>
          <w:b w:val="1"/>
          <w:bCs w:val="1"/>
          <w:color w:val="auto"/>
        </w:rPr>
        <w:t>ORCHESTRA CO-ISSUER, INC</w:t>
      </w:r>
      <w:r>
        <w:rPr>
          <w:rFonts w:ascii="Arial" w:cs="Arial" w:eastAsia="Arial" w:hAnsi="Arial"/>
          <w:sz w:val="21"/>
          <w:szCs w:val="21"/>
          <w:color w:val="auto"/>
        </w:rPr>
        <w:t>., as a Subsidiary Loan</w:t>
      </w:r>
      <w:r>
        <w:rPr>
          <w:rFonts w:ascii="Arial" w:cs="Arial" w:eastAsia="Arial" w:hAnsi="Arial"/>
          <w:sz w:val="21"/>
          <w:szCs w:val="21"/>
          <w:b w:val="1"/>
          <w:bCs w:val="1"/>
          <w:color w:val="auto"/>
        </w:rPr>
        <w:t xml:space="preserve"> </w:t>
      </w:r>
      <w:r>
        <w:rPr>
          <w:rFonts w:ascii="Arial" w:cs="Arial" w:eastAsia="Arial" w:hAnsi="Arial"/>
          <w:sz w:val="21"/>
          <w:szCs w:val="21"/>
          <w:color w:val="auto"/>
        </w:rPr>
        <w:t>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right="220"/>
        <w:spacing w:after="0" w:line="269" w:lineRule="auto"/>
        <w:rPr>
          <w:sz w:val="20"/>
          <w:szCs w:val="20"/>
          <w:color w:val="auto"/>
        </w:rPr>
      </w:pPr>
      <w:r>
        <w:rPr>
          <w:rFonts w:ascii="Arial" w:cs="Arial" w:eastAsia="Arial" w:hAnsi="Arial"/>
          <w:sz w:val="21"/>
          <w:szCs w:val="21"/>
          <w:b w:val="1"/>
          <w:bCs w:val="1"/>
          <w:color w:val="auto"/>
        </w:rPr>
        <w:t>SERVICES DEVELOPMENT COMPANY LLC</w:t>
      </w:r>
      <w:r>
        <w:rPr>
          <w:rFonts w:ascii="Arial" w:cs="Arial" w:eastAsia="Arial" w:hAnsi="Arial"/>
          <w:sz w:val="21"/>
          <w:szCs w:val="21"/>
          <w:color w:val="auto"/>
        </w:rPr>
        <w:t>, as a</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Subsidiary Loan 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spacing w:after="0" w:line="269" w:lineRule="auto"/>
        <w:rPr>
          <w:sz w:val="20"/>
          <w:szCs w:val="20"/>
          <w:color w:val="auto"/>
        </w:rPr>
      </w:pPr>
      <w:r>
        <w:rPr>
          <w:rFonts w:ascii="Arial" w:cs="Arial" w:eastAsia="Arial" w:hAnsi="Arial"/>
          <w:sz w:val="21"/>
          <w:szCs w:val="21"/>
          <w:b w:val="1"/>
          <w:bCs w:val="1"/>
          <w:color w:val="auto"/>
        </w:rPr>
        <w:t>VIRTU FINANCIAL ENERGY AND COMMODITIES, LLC</w:t>
      </w:r>
      <w:r>
        <w:rPr>
          <w:rFonts w:ascii="Arial" w:cs="Arial" w:eastAsia="Arial" w:hAnsi="Arial"/>
          <w:sz w:val="21"/>
          <w:szCs w:val="21"/>
          <w:color w:val="auto"/>
        </w:rPr>
        <w:t>, as a Subsidiary Loan 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jc w:val="center"/>
        <w:ind w:left="47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VIRTU FINANCIAL F/X LLC</w:t>
      </w:r>
      <w:r>
        <w:rPr>
          <w:rFonts w:ascii="Arial" w:cs="Arial" w:eastAsia="Arial" w:hAnsi="Arial"/>
          <w:sz w:val="21"/>
          <w:szCs w:val="21"/>
          <w:color w:val="auto"/>
        </w:rPr>
        <w:t>, as a Subsidiary Loan</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Party</w:t>
      </w:r>
    </w:p>
    <w:p>
      <w:pPr>
        <w:spacing w:after="0" w:line="217"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jc w:val="center"/>
        <w:ind w:left="47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VIRTU GETCO HOLDING COMPANY LLC</w:t>
      </w:r>
      <w:r>
        <w:rPr>
          <w:rFonts w:ascii="Arial" w:cs="Arial" w:eastAsia="Arial" w:hAnsi="Arial"/>
          <w:sz w:val="21"/>
          <w:szCs w:val="21"/>
          <w:color w:val="auto"/>
        </w:rPr>
        <w:t>, as a</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Subsidiary Loan Party</w:t>
      </w:r>
    </w:p>
    <w:p>
      <w:pPr>
        <w:spacing w:after="0" w:line="217"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Amendment No. 1 to Credit Agreement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620"/>
          </w:cols>
          <w:pgMar w:left="1440" w:top="152" w:right="839" w:bottom="1440" w:gutter="0" w:footer="0" w:header="0"/>
        </w:sectPr>
      </w:pPr>
    </w:p>
    <w:bookmarkStart w:id="157" w:name="page158"/>
    <w:bookmarkEnd w:id="157"/>
    <w:p>
      <w:pPr>
        <w:ind w:left="4520" w:right="220"/>
        <w:spacing w:after="0" w:line="269" w:lineRule="auto"/>
        <w:rPr>
          <w:sz w:val="20"/>
          <w:szCs w:val="20"/>
          <w:color w:val="auto"/>
        </w:rPr>
      </w:pPr>
      <w:r>
        <w:rPr>
          <w:rFonts w:ascii="Arial" w:cs="Arial" w:eastAsia="Arial" w:hAnsi="Arial"/>
          <w:sz w:val="21"/>
          <w:szCs w:val="21"/>
          <w:b w:val="1"/>
          <w:bCs w:val="1"/>
          <w:color w:val="auto"/>
        </w:rPr>
        <w:t>VIRTU FINANCIAL GLOBAL SERVICES LLC</w:t>
      </w:r>
      <w:r>
        <w:rPr>
          <w:rFonts w:ascii="Arial" w:cs="Arial" w:eastAsia="Arial" w:hAnsi="Arial"/>
          <w:sz w:val="21"/>
          <w:szCs w:val="21"/>
          <w:color w:val="auto"/>
        </w:rPr>
        <w:t>, as a</w:t>
      </w:r>
      <w:r>
        <w:rPr>
          <w:rFonts w:ascii="Arial" w:cs="Arial" w:eastAsia="Arial" w:hAnsi="Arial"/>
          <w:sz w:val="21"/>
          <w:szCs w:val="21"/>
          <w:b w:val="1"/>
          <w:bCs w:val="1"/>
          <w:color w:val="auto"/>
        </w:rPr>
        <w:t xml:space="preserve"> </w:t>
      </w:r>
      <w:r>
        <w:rPr>
          <w:rFonts w:ascii="Arial" w:cs="Arial" w:eastAsia="Arial" w:hAnsi="Arial"/>
          <w:sz w:val="21"/>
          <w:szCs w:val="21"/>
          <w:color w:val="auto"/>
        </w:rPr>
        <w:t>Subsidiary Loan 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spacing w:after="0" w:line="269" w:lineRule="auto"/>
        <w:rPr>
          <w:sz w:val="20"/>
          <w:szCs w:val="20"/>
          <w:color w:val="auto"/>
        </w:rPr>
      </w:pPr>
      <w:r>
        <w:rPr>
          <w:rFonts w:ascii="Arial" w:cs="Arial" w:eastAsia="Arial" w:hAnsi="Arial"/>
          <w:sz w:val="21"/>
          <w:szCs w:val="21"/>
          <w:b w:val="1"/>
          <w:bCs w:val="1"/>
          <w:color w:val="auto"/>
        </w:rPr>
        <w:t>VIRTU FINANCIAL OPERATING LLC</w:t>
      </w:r>
      <w:r>
        <w:rPr>
          <w:rFonts w:ascii="Arial" w:cs="Arial" w:eastAsia="Arial" w:hAnsi="Arial"/>
          <w:sz w:val="21"/>
          <w:szCs w:val="21"/>
          <w:color w:val="auto"/>
        </w:rPr>
        <w:t>, as a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Loan 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right="280"/>
        <w:spacing w:after="0" w:line="269" w:lineRule="auto"/>
        <w:rPr>
          <w:sz w:val="20"/>
          <w:szCs w:val="20"/>
          <w:color w:val="auto"/>
        </w:rPr>
      </w:pPr>
      <w:r>
        <w:rPr>
          <w:rFonts w:ascii="Arial" w:cs="Arial" w:eastAsia="Arial" w:hAnsi="Arial"/>
          <w:sz w:val="21"/>
          <w:szCs w:val="21"/>
          <w:b w:val="1"/>
          <w:bCs w:val="1"/>
          <w:color w:val="auto"/>
        </w:rPr>
        <w:t>VIRTU FINANCIAL SERVICES LLC</w:t>
      </w:r>
      <w:r>
        <w:rPr>
          <w:rFonts w:ascii="Arial" w:cs="Arial" w:eastAsia="Arial" w:hAnsi="Arial"/>
          <w:sz w:val="21"/>
          <w:szCs w:val="21"/>
          <w:color w:val="auto"/>
        </w:rPr>
        <w:t>, as a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Loan 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VIRTU KNIGHT CAPITAL GROUP LLC</w:t>
      </w:r>
      <w:r>
        <w:rPr>
          <w:rFonts w:ascii="Arial" w:cs="Arial" w:eastAsia="Arial" w:hAnsi="Arial"/>
          <w:sz w:val="21"/>
          <w:szCs w:val="21"/>
          <w:color w:val="auto"/>
        </w:rPr>
        <w:t>, as a</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Subsidiary Loan Party</w:t>
      </w:r>
    </w:p>
    <w:p>
      <w:pPr>
        <w:spacing w:after="0" w:line="217"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right="160"/>
        <w:spacing w:after="0" w:line="269" w:lineRule="auto"/>
        <w:rPr>
          <w:sz w:val="20"/>
          <w:szCs w:val="20"/>
          <w:color w:val="auto"/>
        </w:rPr>
      </w:pPr>
      <w:r>
        <w:rPr>
          <w:rFonts w:ascii="Arial" w:cs="Arial" w:eastAsia="Arial" w:hAnsi="Arial"/>
          <w:sz w:val="21"/>
          <w:szCs w:val="21"/>
          <w:b w:val="1"/>
          <w:bCs w:val="1"/>
          <w:color w:val="auto"/>
        </w:rPr>
        <w:t>VIRTU STRATEGIC HOLDINGS LLC</w:t>
      </w:r>
      <w:r>
        <w:rPr>
          <w:rFonts w:ascii="Arial" w:cs="Arial" w:eastAsia="Arial" w:hAnsi="Arial"/>
          <w:sz w:val="21"/>
          <w:szCs w:val="21"/>
          <w:color w:val="auto"/>
        </w:rPr>
        <w:t>, as a 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Loan 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11" w:lineRule="exact"/>
        <w:rPr>
          <w:sz w:val="20"/>
          <w:szCs w:val="20"/>
          <w:color w:val="auto"/>
        </w:rPr>
      </w:pPr>
    </w:p>
    <w:p>
      <w:pPr>
        <w:ind w:left="4520" w:right="300"/>
        <w:spacing w:after="0" w:line="269" w:lineRule="auto"/>
        <w:rPr>
          <w:sz w:val="20"/>
          <w:szCs w:val="20"/>
          <w:color w:val="auto"/>
        </w:rPr>
      </w:pPr>
      <w:r>
        <w:rPr>
          <w:rFonts w:ascii="Arial" w:cs="Arial" w:eastAsia="Arial" w:hAnsi="Arial"/>
          <w:sz w:val="21"/>
          <w:szCs w:val="21"/>
          <w:b w:val="1"/>
          <w:bCs w:val="1"/>
          <w:color w:val="auto"/>
        </w:rPr>
        <w:t>VIRTU TECHNOLOGIES LLC</w:t>
      </w:r>
      <w:r>
        <w:rPr>
          <w:rFonts w:ascii="Arial" w:cs="Arial" w:eastAsia="Arial" w:hAnsi="Arial"/>
          <w:sz w:val="21"/>
          <w:szCs w:val="21"/>
          <w:color w:val="auto"/>
        </w:rPr>
        <w:t>, as a Subsidiary Loan</w:t>
      </w:r>
      <w:r>
        <w:rPr>
          <w:rFonts w:ascii="Arial" w:cs="Arial" w:eastAsia="Arial" w:hAnsi="Arial"/>
          <w:sz w:val="21"/>
          <w:szCs w:val="21"/>
          <w:b w:val="1"/>
          <w:bCs w:val="1"/>
          <w:color w:val="auto"/>
        </w:rPr>
        <w:t xml:space="preserve"> </w:t>
      </w:r>
      <w:r>
        <w:rPr>
          <w:rFonts w:ascii="Arial" w:cs="Arial" w:eastAsia="Arial" w:hAnsi="Arial"/>
          <w:sz w:val="21"/>
          <w:szCs w:val="21"/>
          <w:color w:val="auto"/>
        </w:rPr>
        <w:t>Party</w:t>
      </w:r>
    </w:p>
    <w:p>
      <w:pPr>
        <w:spacing w:after="0" w:line="179"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Joseph Molluso</w:t>
      </w:r>
    </w:p>
    <w:p>
      <w:pPr>
        <w:ind w:left="5040"/>
        <w:spacing w:after="0"/>
        <w:rPr>
          <w:sz w:val="20"/>
          <w:szCs w:val="20"/>
          <w:color w:val="auto"/>
        </w:rPr>
      </w:pPr>
      <w:r>
        <w:rPr>
          <w:rFonts w:ascii="Arial" w:cs="Arial" w:eastAsia="Arial" w:hAnsi="Arial"/>
          <w:sz w:val="21"/>
          <w:szCs w:val="21"/>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Amendment No. 1 to Credit Agreement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00"/>
          </w:cols>
          <w:pgMar w:left="1440" w:top="152" w:right="759" w:bottom="1440" w:gutter="0" w:footer="0" w:header="0"/>
        </w:sectPr>
      </w:pPr>
    </w:p>
    <w:bookmarkStart w:id="158" w:name="page159"/>
    <w:bookmarkEnd w:id="158"/>
    <w:p>
      <w:pPr>
        <w:ind w:left="4520"/>
        <w:spacing w:after="0" w:line="263" w:lineRule="auto"/>
        <w:rPr>
          <w:sz w:val="20"/>
          <w:szCs w:val="20"/>
          <w:color w:val="auto"/>
        </w:rPr>
      </w:pPr>
      <w:r>
        <w:rPr>
          <w:rFonts w:ascii="Arial" w:cs="Arial" w:eastAsia="Arial" w:hAnsi="Arial"/>
          <w:sz w:val="21"/>
          <w:szCs w:val="21"/>
          <w:color w:val="auto"/>
        </w:rPr>
        <w:t>JPMORGAN CHASE BANK, N.A., as Administrative Agent</w:t>
      </w:r>
    </w:p>
    <w:p>
      <w:pPr>
        <w:spacing w:after="0" w:line="185"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Victoria Teterceva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Victoria Teterceva</w:t>
      </w:r>
    </w:p>
    <w:p>
      <w:pPr>
        <w:ind w:left="5040"/>
        <w:spacing w:after="0" w:line="236" w:lineRule="auto"/>
        <w:rPr>
          <w:sz w:val="20"/>
          <w:szCs w:val="20"/>
          <w:color w:val="auto"/>
        </w:rPr>
      </w:pPr>
      <w:r>
        <w:rPr>
          <w:rFonts w:ascii="Arial" w:cs="Arial" w:eastAsia="Arial" w:hAnsi="Arial"/>
          <w:sz w:val="21"/>
          <w:szCs w:val="21"/>
          <w:color w:val="auto"/>
        </w:rPr>
        <w:t>Title: Vice President</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J. P. Morgan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93345</wp:posOffset>
            </wp:positionV>
            <wp:extent cx="661098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180"/>
          </w:cols>
          <w:pgMar w:left="1440" w:top="370" w:right="1279" w:bottom="1440" w:gutter="0" w:footer="0" w:header="0"/>
        </w:sectPr>
      </w:pPr>
    </w:p>
    <w:bookmarkStart w:id="159" w:name="page160"/>
    <w:bookmarkEnd w:id="159"/>
    <w:p>
      <w:pPr>
        <w:ind w:left="4520"/>
        <w:spacing w:after="0"/>
        <w:rPr>
          <w:sz w:val="20"/>
          <w:szCs w:val="20"/>
          <w:color w:val="auto"/>
        </w:rPr>
      </w:pPr>
      <w:r>
        <w:rPr>
          <w:rFonts w:ascii="Arial" w:cs="Arial" w:eastAsia="Arial" w:hAnsi="Arial"/>
          <w:sz w:val="19"/>
          <w:szCs w:val="19"/>
          <w:color w:val="auto"/>
        </w:rPr>
        <w:t>JPMORGAN CHASE BANK, N.A., as Term B-1 Lender</w:t>
      </w:r>
    </w:p>
    <w:p>
      <w:pPr>
        <w:spacing w:after="0" w:line="258"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Victoria Teterceva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11430</wp:posOffset>
            </wp:positionV>
            <wp:extent cx="29654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2965450" cy="8255"/>
                    </a:xfrm>
                    <a:prstGeom prst="rect">
                      <a:avLst/>
                    </a:prstGeom>
                    <a:noFill/>
                  </pic:spPr>
                </pic:pic>
              </a:graphicData>
            </a:graphic>
          </wp:anchor>
        </w:drawing>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Name: Victoria Teterceva</w:t>
      </w:r>
    </w:p>
    <w:p>
      <w:pPr>
        <w:ind w:left="5040"/>
        <w:spacing w:after="0" w:line="236" w:lineRule="auto"/>
        <w:rPr>
          <w:sz w:val="20"/>
          <w:szCs w:val="20"/>
          <w:color w:val="auto"/>
        </w:rPr>
      </w:pPr>
      <w:r>
        <w:rPr>
          <w:rFonts w:ascii="Arial" w:cs="Arial" w:eastAsia="Arial" w:hAnsi="Arial"/>
          <w:sz w:val="21"/>
          <w:szCs w:val="21"/>
          <w:color w:val="auto"/>
        </w:rPr>
        <w:t>Title: Vice President</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J. P. Morgan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60"/>
        <w:spacing w:after="0"/>
        <w:rPr>
          <w:sz w:val="20"/>
          <w:szCs w:val="20"/>
          <w:color w:val="auto"/>
        </w:rPr>
      </w:pPr>
      <w:r>
        <w:rPr>
          <w:rFonts w:ascii="Arial" w:cs="Arial" w:eastAsia="Arial" w:hAnsi="Arial"/>
          <w:sz w:val="21"/>
          <w:szCs w:val="21"/>
          <w:color w:val="auto"/>
        </w:rPr>
        <w:t>[Amendment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380"/>
          </w:cols>
          <w:pgMar w:left="1440" w:top="158" w:right="107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9"/>
          <w:szCs w:val="19"/>
          <w:b w:val="1"/>
          <w:bCs w:val="1"/>
          <w:color w:val="auto"/>
        </w:rPr>
        <w:t>Term Lender Signature Page to Amendment No. 1</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hereby irrevocably and unconditionally approves Amendment No. 1 and consents as follows (check ONE option):</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Cashless Settlement Option</w:t>
      </w:r>
    </w:p>
    <w:p>
      <w:pPr>
        <w:spacing w:after="0" w:line="34" w:lineRule="exact"/>
        <w:rPr>
          <w:sz w:val="20"/>
          <w:szCs w:val="20"/>
          <w:color w:val="auto"/>
        </w:rPr>
      </w:pPr>
    </w:p>
    <w:p>
      <w:pPr>
        <w:ind w:left="320" w:right="260" w:hanging="311"/>
        <w:spacing w:after="0" w:line="257" w:lineRule="auto"/>
        <w:tabs>
          <w:tab w:leader="none" w:pos="320" w:val="left"/>
        </w:tabs>
        <w:numPr>
          <w:ilvl w:val="0"/>
          <w:numId w:val="60"/>
        </w:numPr>
        <w:rPr>
          <w:rFonts w:ascii="MS PGothic" w:cs="MS PGothic" w:eastAsia="MS PGothic" w:hAnsi="MS PGothic"/>
          <w:sz w:val="19"/>
          <w:szCs w:val="19"/>
          <w:color w:val="auto"/>
        </w:rPr>
      </w:pPr>
      <w:r>
        <w:rPr>
          <w:rFonts w:ascii="Arial" w:cs="Arial" w:eastAsia="Arial" w:hAnsi="Arial"/>
          <w:sz w:val="19"/>
          <w:szCs w:val="19"/>
          <w:color w:val="auto"/>
        </w:rPr>
        <w:t>to exchange 100% of the outstanding principal amount of the New Term Loans held by such Lender for Term B-1 Loans in an equal principal amount (or such lesser amount as may be notified to such Lender by JPMorgan Chase Bank, N.A. prior to the Amendment No. 1 Effective Date).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Post-Closing Settlement Option</w:t>
      </w:r>
    </w:p>
    <w:p>
      <w:pPr>
        <w:spacing w:after="0" w:line="34" w:lineRule="exact"/>
        <w:rPr>
          <w:sz w:val="20"/>
          <w:szCs w:val="20"/>
          <w:color w:val="auto"/>
        </w:rPr>
      </w:pPr>
    </w:p>
    <w:p>
      <w:pPr>
        <w:jc w:val="both"/>
        <w:ind w:left="320" w:hanging="311"/>
        <w:spacing w:after="0" w:line="328" w:lineRule="auto"/>
        <w:tabs>
          <w:tab w:leader="none" w:pos="320" w:val="left"/>
        </w:tabs>
        <w:numPr>
          <w:ilvl w:val="0"/>
          <w:numId w:val="61"/>
        </w:numPr>
        <w:rPr>
          <w:rFonts w:ascii="MS PGothic" w:cs="MS PGothic" w:eastAsia="MS PGothic" w:hAnsi="MS PGothic"/>
          <w:sz w:val="17"/>
          <w:szCs w:val="17"/>
          <w:color w:val="auto"/>
        </w:rPr>
      </w:pPr>
      <w:r>
        <w:rPr>
          <w:rFonts w:ascii="Arial" w:cs="Arial" w:eastAsia="Arial" w:hAnsi="Arial"/>
          <w:sz w:val="17"/>
          <w:szCs w:val="17"/>
          <w:color w:val="auto"/>
        </w:rPr>
        <w:t>to have 100% of the outstanding principal amount of the New Term Loans held by such Lender prepaid on the Amendment No. 1 Effective Date and purchase by assignment the principal amount of Term B-1 Loans committed to separately by the undersigned.</w:t>
      </w:r>
    </w:p>
    <w:p>
      <w:pPr>
        <w:spacing w:after="0" w:line="14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OF INSTITUTION]</w:t>
      </w: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-130175</wp:posOffset>
            </wp:positionV>
            <wp:extent cx="30073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3007360" cy="825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If a second signature is necessary:</w:t>
      </w:r>
    </w:p>
    <w:p>
      <w:pPr>
        <w:spacing w:after="0" w:line="200" w:lineRule="exact"/>
        <w:rPr>
          <w:sz w:val="20"/>
          <w:szCs w:val="20"/>
          <w:color w:val="auto"/>
        </w:rPr>
      </w:pPr>
    </w:p>
    <w:p>
      <w:pPr>
        <w:spacing w:after="0" w:line="22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-130175</wp:posOffset>
            </wp:positionV>
            <wp:extent cx="30073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3007360" cy="8255"/>
                    </a:xfrm>
                    <a:prstGeom prst="rect">
                      <a:avLst/>
                    </a:prstGeom>
                    <a:noFill/>
                  </pic:spPr>
                </pic:pic>
              </a:graphicData>
            </a:graphic>
          </wp:anchor>
        </w:drawing>
      </w:r>
    </w:p>
    <w:p>
      <w:pPr>
        <w:jc w:val="center"/>
        <w:ind w:right="-45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[Amendment No. 1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60"/>
          </w:cols>
          <w:pgMar w:left="740" w:top="118" w:right="799" w:bottom="1440" w:gutter="0" w:footer="0" w:header="0"/>
        </w:sectPr>
      </w:pPr>
    </w:p>
    <w:bookmarkStart w:id="161" w:name="page162"/>
    <w:bookmarkEnd w:id="161"/>
    <w:p>
      <w:pPr>
        <w:jc w:val="center"/>
        <w:ind w:right="-20"/>
        <w:spacing w:after="0"/>
        <w:rPr>
          <w:sz w:val="20"/>
          <w:szCs w:val="20"/>
          <w:color w:val="auto"/>
        </w:rPr>
      </w:pPr>
      <w:r>
        <w:rPr>
          <w:rFonts w:ascii="Arial" w:cs="Arial" w:eastAsia="Arial" w:hAnsi="Arial"/>
          <w:sz w:val="21"/>
          <w:szCs w:val="21"/>
          <w:b w:val="1"/>
          <w:bCs w:val="1"/>
          <w:color w:val="auto"/>
        </w:rPr>
        <w:t>Exhibit A</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369570</wp:posOffset>
            </wp:positionV>
            <wp:extent cx="661098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019"/>
          </w:cols>
          <w:pgMar w:left="1440" w:top="350" w:right="1440" w:bottom="1440" w:gutter="0" w:footer="0" w:header="0"/>
        </w:sectPr>
      </w:pPr>
    </w:p>
    <w:bookmarkStart w:id="162" w:name="page163"/>
    <w:bookmarkEnd w:id="162"/>
    <w:p>
      <w:pPr>
        <w:ind w:left="6300"/>
        <w:spacing w:after="0"/>
        <w:rPr>
          <w:sz w:val="20"/>
          <w:szCs w:val="20"/>
          <w:color w:val="auto"/>
        </w:rPr>
      </w:pPr>
      <w:r>
        <w:rPr>
          <w:rFonts w:ascii="Arial" w:cs="Arial" w:eastAsia="Arial" w:hAnsi="Arial"/>
          <w:sz w:val="21"/>
          <w:szCs w:val="21"/>
          <w:b w:val="1"/>
          <w:bCs w:val="1"/>
          <w:color w:val="FF0000"/>
          <w:strike w:val="1"/>
        </w:rPr>
        <w:t>EXECUTION VERSION</w:t>
      </w:r>
      <w:r>
        <w:rPr>
          <w:rFonts w:ascii="Arial" w:cs="Arial" w:eastAsia="Arial" w:hAnsi="Arial"/>
          <w:sz w:val="21"/>
          <w:szCs w:val="21"/>
          <w:b w:val="1"/>
          <w:bCs w:val="1"/>
          <w:u w:val="single" w:color="auto"/>
          <w:color w:val="0000FF"/>
          <w:strike w:val="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132715</wp:posOffset>
            </wp:positionV>
            <wp:extent cx="661098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pacing w:after="0" w:line="194" w:lineRule="exact"/>
        <w:rPr>
          <w:sz w:val="20"/>
          <w:szCs w:val="20"/>
          <w:color w:val="auto"/>
        </w:rPr>
      </w:pPr>
    </w:p>
    <w:p>
      <w:pPr>
        <w:jc w:val="center"/>
        <w:ind w:right="680"/>
        <w:spacing w:after="0"/>
        <w:rPr>
          <w:sz w:val="20"/>
          <w:szCs w:val="20"/>
          <w:color w:val="auto"/>
        </w:rPr>
      </w:pPr>
      <w:r>
        <w:rPr>
          <w:rFonts w:ascii="Arial" w:cs="Arial" w:eastAsia="Arial" w:hAnsi="Arial"/>
          <w:sz w:val="20"/>
          <w:szCs w:val="20"/>
          <w:color w:val="auto"/>
        </w:rPr>
        <w:t>FOURTH AMENDED AND RESTATED CREDIT AGREEMENT</w:t>
      </w:r>
    </w:p>
    <w:p>
      <w:pPr>
        <w:spacing w:after="0" w:line="193" w:lineRule="exact"/>
        <w:rPr>
          <w:sz w:val="20"/>
          <w:szCs w:val="20"/>
          <w:color w:val="auto"/>
        </w:rPr>
      </w:pPr>
    </w:p>
    <w:p>
      <w:pPr>
        <w:jc w:val="center"/>
        <w:ind w:right="680"/>
        <w:spacing w:after="0"/>
        <w:rPr>
          <w:sz w:val="20"/>
          <w:szCs w:val="20"/>
          <w:color w:val="auto"/>
        </w:rPr>
      </w:pPr>
      <w:r>
        <w:rPr>
          <w:rFonts w:ascii="Arial" w:cs="Arial" w:eastAsia="Arial" w:hAnsi="Arial"/>
          <w:sz w:val="21"/>
          <w:szCs w:val="21"/>
          <w:color w:val="auto"/>
        </w:rPr>
        <w:t>dated as of June 30, 2017,</w:t>
      </w:r>
    </w:p>
    <w:p>
      <w:pPr>
        <w:spacing w:after="0" w:line="169" w:lineRule="exact"/>
        <w:rPr>
          <w:sz w:val="20"/>
          <w:szCs w:val="20"/>
          <w:color w:val="auto"/>
        </w:rPr>
      </w:pPr>
    </w:p>
    <w:p>
      <w:pPr>
        <w:jc w:val="center"/>
        <w:ind w:right="680"/>
        <w:spacing w:after="0"/>
        <w:rPr>
          <w:sz w:val="20"/>
          <w:szCs w:val="20"/>
          <w:color w:val="auto"/>
        </w:rPr>
      </w:pPr>
      <w:r>
        <w:rPr>
          <w:rFonts w:ascii="Arial" w:cs="Arial" w:eastAsia="Arial" w:hAnsi="Arial"/>
          <w:sz w:val="20"/>
          <w:szCs w:val="20"/>
          <w:u w:val="single" w:color="auto"/>
          <w:color w:val="0000FF"/>
        </w:rPr>
        <w:t>as amended by Amendment No. 1 dated as of January 2, 2018</w:t>
      </w:r>
    </w:p>
    <w:p>
      <w:pPr>
        <w:spacing w:after="0" w:line="180"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among</w:t>
      </w:r>
    </w:p>
    <w:p>
      <w:pPr>
        <w:spacing w:after="0" w:line="182"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VIRTU FINANCIAL LLC,</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as Holdings,</w:t>
      </w:r>
    </w:p>
    <w:p>
      <w:pPr>
        <w:spacing w:after="0" w:line="151" w:lineRule="exact"/>
        <w:rPr>
          <w:sz w:val="20"/>
          <w:szCs w:val="20"/>
          <w:color w:val="auto"/>
        </w:rPr>
      </w:pPr>
    </w:p>
    <w:p>
      <w:pPr>
        <w:ind w:left="3620"/>
        <w:spacing w:after="0"/>
        <w:rPr>
          <w:sz w:val="20"/>
          <w:szCs w:val="20"/>
          <w:color w:val="auto"/>
        </w:rPr>
      </w:pPr>
      <w:r>
        <w:rPr>
          <w:rFonts w:ascii="Arial" w:cs="Arial" w:eastAsia="Arial" w:hAnsi="Arial"/>
          <w:sz w:val="21"/>
          <w:szCs w:val="21"/>
          <w:color w:val="auto"/>
        </w:rPr>
        <w:t>VFH PARENT LLC,</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21"/>
          <w:szCs w:val="21"/>
          <w:color w:val="auto"/>
        </w:rPr>
        <w:t>as Borrower,</w:t>
      </w:r>
    </w:p>
    <w:p>
      <w:pPr>
        <w:spacing w:after="0" w:line="151" w:lineRule="exact"/>
        <w:rPr>
          <w:sz w:val="20"/>
          <w:szCs w:val="20"/>
          <w:color w:val="auto"/>
        </w:rPr>
      </w:pPr>
    </w:p>
    <w:p>
      <w:pPr>
        <w:ind w:left="3400"/>
        <w:spacing w:after="0"/>
        <w:rPr>
          <w:sz w:val="20"/>
          <w:szCs w:val="20"/>
          <w:color w:val="auto"/>
        </w:rPr>
      </w:pPr>
      <w:r>
        <w:rPr>
          <w:rFonts w:ascii="Arial" w:cs="Arial" w:eastAsia="Arial" w:hAnsi="Arial"/>
          <w:sz w:val="21"/>
          <w:szCs w:val="21"/>
          <w:color w:val="auto"/>
        </w:rPr>
        <w:t>The Lenders Party Hereto,</w:t>
      </w:r>
    </w:p>
    <w:p>
      <w:pPr>
        <w:spacing w:after="0" w:line="182"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and</w:t>
      </w:r>
    </w:p>
    <w:p>
      <w:pPr>
        <w:spacing w:after="0" w:line="169"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JPMORGAN CHASE BANK, N.A.,</w:t>
      </w:r>
    </w:p>
    <w:p>
      <w:pPr>
        <w:spacing w:after="0" w:line="15" w:lineRule="exact"/>
        <w:rPr>
          <w:sz w:val="20"/>
          <w:szCs w:val="20"/>
          <w:color w:val="auto"/>
        </w:rPr>
      </w:pPr>
    </w:p>
    <w:p>
      <w:pPr>
        <w:jc w:val="center"/>
        <w:ind w:right="680"/>
        <w:spacing w:after="0"/>
        <w:rPr>
          <w:sz w:val="20"/>
          <w:szCs w:val="20"/>
          <w:color w:val="auto"/>
        </w:rPr>
      </w:pPr>
      <w:r>
        <w:rPr>
          <w:rFonts w:ascii="Arial" w:cs="Arial" w:eastAsia="Arial" w:hAnsi="Arial"/>
          <w:sz w:val="21"/>
          <w:szCs w:val="2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109220</wp:posOffset>
            </wp:positionV>
            <wp:extent cx="661098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pacing w:after="0" w:line="157" w:lineRule="exact"/>
        <w:rPr>
          <w:sz w:val="20"/>
          <w:szCs w:val="20"/>
          <w:color w:val="auto"/>
        </w:rPr>
      </w:pPr>
    </w:p>
    <w:p>
      <w:pPr>
        <w:jc w:val="center"/>
        <w:ind w:right="680"/>
        <w:spacing w:after="0"/>
        <w:rPr>
          <w:sz w:val="20"/>
          <w:szCs w:val="20"/>
          <w:color w:val="auto"/>
        </w:rPr>
      </w:pPr>
      <w:r>
        <w:rPr>
          <w:rFonts w:ascii="Arial" w:cs="Arial" w:eastAsia="Arial" w:hAnsi="Arial"/>
          <w:sz w:val="21"/>
          <w:szCs w:val="21"/>
          <w:color w:val="auto"/>
        </w:rPr>
        <w:t>JPMORGAN CHASE BANK, N.A.,</w:t>
      </w:r>
    </w:p>
    <w:p>
      <w:pPr>
        <w:spacing w:after="0" w:line="15" w:lineRule="exact"/>
        <w:rPr>
          <w:sz w:val="20"/>
          <w:szCs w:val="20"/>
          <w:color w:val="auto"/>
        </w:rPr>
      </w:pPr>
    </w:p>
    <w:p>
      <w:pPr>
        <w:jc w:val="center"/>
        <w:ind w:right="680"/>
        <w:spacing w:after="0"/>
        <w:rPr>
          <w:sz w:val="20"/>
          <w:szCs w:val="20"/>
          <w:color w:val="auto"/>
        </w:rPr>
      </w:pPr>
      <w:r>
        <w:rPr>
          <w:rFonts w:ascii="Arial" w:cs="Arial" w:eastAsia="Arial" w:hAnsi="Arial"/>
          <w:sz w:val="21"/>
          <w:szCs w:val="21"/>
          <w:color w:val="auto"/>
        </w:rPr>
        <w:t>as Sole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151130</wp:posOffset>
            </wp:positionV>
            <wp:extent cx="661098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610985" cy="25400"/>
                    </a:xfrm>
                    <a:prstGeom prst="rect">
                      <a:avLst/>
                    </a:prstGeom>
                    <a:noFill/>
                  </pic:spPr>
                </pic:pic>
              </a:graphicData>
            </a:graphic>
          </wp:anchor>
        </w:drawing>
        <w:drawing>
          <wp:anchor simplePos="0" relativeHeight="251657728" behindDoc="1" locked="0" layoutInCell="0" allowOverlap="1">
            <wp:simplePos x="0" y="0"/>
            <wp:positionH relativeFrom="column">
              <wp:posOffset>-438150</wp:posOffset>
            </wp:positionH>
            <wp:positionV relativeFrom="paragraph">
              <wp:posOffset>1024890</wp:posOffset>
            </wp:positionV>
            <wp:extent cx="661098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9720"/>
          </w:cols>
          <w:pgMar w:left="1440" w:top="522" w:right="7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41"/>
        </w:trPr>
        <w:tc>
          <w:tcPr>
            <w:tcW w:w="1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900" w:type="dxa"/>
            <w:vAlign w:val="bottom"/>
            <w:gridSpan w:val="4"/>
          </w:tcPr>
          <w:p>
            <w:pPr>
              <w:ind w:left="160"/>
              <w:spacing w:after="0"/>
              <w:rPr>
                <w:sz w:val="20"/>
                <w:szCs w:val="20"/>
                <w:color w:val="auto"/>
              </w:rPr>
            </w:pPr>
            <w:r>
              <w:rPr>
                <w:rFonts w:ascii="Arial" w:cs="Arial" w:eastAsia="Arial" w:hAnsi="Arial"/>
                <w:sz w:val="21"/>
                <w:szCs w:val="21"/>
                <w:b w:val="1"/>
                <w:bCs w:val="1"/>
                <w:color w:val="auto"/>
              </w:rPr>
              <w:t>TABLE OF CONTENTS</w:t>
            </w:r>
          </w:p>
        </w:tc>
        <w:tc>
          <w:tcPr>
            <w:tcW w:w="0" w:type="dxa"/>
            <w:vAlign w:val="bottom"/>
          </w:tcPr>
          <w:p>
            <w:pPr>
              <w:spacing w:after="0"/>
              <w:rPr>
                <w:sz w:val="1"/>
                <w:szCs w:val="1"/>
                <w:color w:val="auto"/>
              </w:rPr>
            </w:pPr>
          </w:p>
        </w:tc>
      </w:tr>
      <w:tr>
        <w:trPr>
          <w:trHeight w:val="126"/>
        </w:trPr>
        <w:tc>
          <w:tcPr>
            <w:tcW w:w="12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60" w:type="dxa"/>
            <w:vAlign w:val="bottom"/>
            <w:tcBorders>
              <w:top w:val="single" w:sz="8" w:color="auto"/>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8"/>
        </w:trPr>
        <w:tc>
          <w:tcPr>
            <w:tcW w:w="1280" w:type="dxa"/>
            <w:vAlign w:val="bottom"/>
            <w:vMerge w:val="restart"/>
          </w:tcPr>
          <w:p>
            <w:pPr>
              <w:spacing w:after="0"/>
              <w:rPr>
                <w:sz w:val="20"/>
                <w:szCs w:val="20"/>
                <w:color w:val="auto"/>
              </w:rPr>
            </w:pPr>
            <w:r>
              <w:rPr>
                <w:rFonts w:ascii="Arial" w:cs="Arial" w:eastAsia="Arial" w:hAnsi="Arial"/>
                <w:sz w:val="21"/>
                <w:szCs w:val="21"/>
                <w:color w:val="auto"/>
              </w:rPr>
              <w:t>Section 1.01.</w:t>
            </w:r>
          </w:p>
        </w:tc>
        <w:tc>
          <w:tcPr>
            <w:tcW w:w="1440" w:type="dxa"/>
            <w:vAlign w:val="bottom"/>
            <w:vMerge w:val="restart"/>
          </w:tcPr>
          <w:p>
            <w:pPr>
              <w:ind w:left="180"/>
              <w:spacing w:after="0"/>
              <w:rPr>
                <w:sz w:val="20"/>
                <w:szCs w:val="20"/>
                <w:color w:val="auto"/>
              </w:rPr>
            </w:pPr>
            <w:r>
              <w:rPr>
                <w:rFonts w:ascii="Arial" w:cs="Arial" w:eastAsia="Arial" w:hAnsi="Arial"/>
                <w:sz w:val="21"/>
                <w:szCs w:val="21"/>
                <w:i w:val="1"/>
                <w:iCs w:val="1"/>
                <w:color w:val="auto"/>
                <w:w w:val="90"/>
              </w:rPr>
              <w:t>Defined Terms</w:t>
            </w:r>
          </w:p>
        </w:tc>
        <w:tc>
          <w:tcPr>
            <w:tcW w:w="6100" w:type="dxa"/>
            <w:vAlign w:val="bottom"/>
            <w:gridSpan w:val="5"/>
          </w:tcPr>
          <w:p>
            <w:pPr>
              <w:jc w:val="center"/>
              <w:ind w:right="1720"/>
              <w:spacing w:after="0"/>
              <w:rPr>
                <w:sz w:val="20"/>
                <w:szCs w:val="20"/>
                <w:color w:val="auto"/>
              </w:rPr>
            </w:pPr>
            <w:r>
              <w:rPr>
                <w:rFonts w:ascii="Arial" w:cs="Arial" w:eastAsia="Arial" w:hAnsi="Arial"/>
                <w:sz w:val="21"/>
                <w:szCs w:val="21"/>
                <w:color w:val="auto"/>
                <w:w w:val="98"/>
              </w:rPr>
              <w:t>ARTICLE 1 DEFINITIONS</w:t>
            </w:r>
          </w:p>
        </w:tc>
        <w:tc>
          <w:tcPr>
            <w:tcW w:w="0" w:type="dxa"/>
            <w:vAlign w:val="bottom"/>
          </w:tcPr>
          <w:p>
            <w:pPr>
              <w:spacing w:after="0"/>
              <w:rPr>
                <w:sz w:val="1"/>
                <w:szCs w:val="1"/>
                <w:color w:val="auto"/>
              </w:rPr>
            </w:pPr>
          </w:p>
        </w:tc>
      </w:tr>
      <w:tr>
        <w:trPr>
          <w:trHeight w:val="221"/>
        </w:trPr>
        <w:tc>
          <w:tcPr>
            <w:tcW w:w="128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1.02.</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Classification of Loans and Borrowings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1.03.</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Terms Generally</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1.04.</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Accounting Terms</w:t>
            </w:r>
            <w:r>
              <w:rPr>
                <w:rFonts w:ascii="Arial" w:cs="Arial" w:eastAsia="Arial" w:hAnsi="Arial"/>
                <w:sz w:val="21"/>
                <w:szCs w:val="21"/>
                <w:color w:val="auto"/>
              </w:rPr>
              <w:t>;</w:t>
            </w:r>
            <w:r>
              <w:rPr>
                <w:rFonts w:ascii="Arial" w:cs="Arial" w:eastAsia="Arial" w:hAnsi="Arial"/>
                <w:sz w:val="21"/>
                <w:szCs w:val="21"/>
                <w:i w:val="1"/>
                <w:iCs w:val="1"/>
                <w:color w:val="auto"/>
              </w:rPr>
              <w:t xml:space="preserve"> GAAP</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1.05.</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Effectuation of Transactions</w:t>
            </w:r>
          </w:p>
        </w:tc>
        <w:tc>
          <w:tcPr>
            <w:tcW w:w="0" w:type="dxa"/>
            <w:vAlign w:val="bottom"/>
          </w:tcPr>
          <w:p>
            <w:pPr>
              <w:spacing w:after="0"/>
              <w:rPr>
                <w:sz w:val="1"/>
                <w:szCs w:val="1"/>
                <w:color w:val="auto"/>
              </w:rPr>
            </w:pPr>
          </w:p>
        </w:tc>
      </w:tr>
      <w:tr>
        <w:trPr>
          <w:trHeight w:val="238"/>
        </w:trPr>
        <w:tc>
          <w:tcPr>
            <w:tcW w:w="1280" w:type="dxa"/>
            <w:vAlign w:val="bottom"/>
          </w:tcPr>
          <w:p>
            <w:pPr>
              <w:spacing w:after="0" w:line="238" w:lineRule="exact"/>
              <w:rPr>
                <w:sz w:val="20"/>
                <w:szCs w:val="20"/>
                <w:color w:val="auto"/>
              </w:rPr>
            </w:pPr>
            <w:r>
              <w:rPr>
                <w:rFonts w:ascii="Arial" w:cs="Arial" w:eastAsia="Arial" w:hAnsi="Arial"/>
                <w:sz w:val="21"/>
                <w:szCs w:val="21"/>
                <w:color w:val="auto"/>
              </w:rPr>
              <w:t>Section 1.06.</w:t>
            </w:r>
          </w:p>
        </w:tc>
        <w:tc>
          <w:tcPr>
            <w:tcW w:w="7540" w:type="dxa"/>
            <w:vAlign w:val="bottom"/>
            <w:gridSpan w:val="6"/>
          </w:tcPr>
          <w:p>
            <w:pPr>
              <w:ind w:left="180"/>
              <w:spacing w:after="0" w:line="238" w:lineRule="exact"/>
              <w:rPr>
                <w:sz w:val="20"/>
                <w:szCs w:val="20"/>
                <w:color w:val="auto"/>
              </w:rPr>
            </w:pPr>
            <w:r>
              <w:rPr>
                <w:rFonts w:ascii="Arial" w:cs="Arial" w:eastAsia="Arial" w:hAnsi="Arial"/>
                <w:sz w:val="21"/>
                <w:szCs w:val="21"/>
                <w:i w:val="1"/>
                <w:iCs w:val="1"/>
                <w:color w:val="auto"/>
              </w:rPr>
              <w:t>Currency Translation</w:t>
            </w:r>
          </w:p>
        </w:tc>
        <w:tc>
          <w:tcPr>
            <w:tcW w:w="0" w:type="dxa"/>
            <w:vAlign w:val="bottom"/>
          </w:tcPr>
          <w:p>
            <w:pPr>
              <w:spacing w:after="0"/>
              <w:rPr>
                <w:sz w:val="1"/>
                <w:szCs w:val="1"/>
                <w:color w:val="auto"/>
              </w:rPr>
            </w:pPr>
          </w:p>
        </w:tc>
      </w:tr>
      <w:tr>
        <w:trPr>
          <w:trHeight w:val="238"/>
        </w:trPr>
        <w:tc>
          <w:tcPr>
            <w:tcW w:w="1280" w:type="dxa"/>
            <w:vAlign w:val="bottom"/>
          </w:tcPr>
          <w:p>
            <w:pPr>
              <w:spacing w:after="0" w:line="238" w:lineRule="exact"/>
              <w:rPr>
                <w:sz w:val="20"/>
                <w:szCs w:val="20"/>
                <w:color w:val="auto"/>
              </w:rPr>
            </w:pPr>
            <w:r>
              <w:rPr>
                <w:rFonts w:ascii="Arial" w:cs="Arial" w:eastAsia="Arial" w:hAnsi="Arial"/>
                <w:sz w:val="21"/>
                <w:szCs w:val="21"/>
                <w:color w:val="auto"/>
              </w:rPr>
              <w:t>Section 1.07.</w:t>
            </w:r>
          </w:p>
        </w:tc>
        <w:tc>
          <w:tcPr>
            <w:tcW w:w="7540" w:type="dxa"/>
            <w:vAlign w:val="bottom"/>
            <w:gridSpan w:val="6"/>
          </w:tcPr>
          <w:p>
            <w:pPr>
              <w:ind w:left="180"/>
              <w:spacing w:after="0" w:line="238" w:lineRule="exact"/>
              <w:rPr>
                <w:sz w:val="20"/>
                <w:szCs w:val="20"/>
                <w:color w:val="auto"/>
              </w:rPr>
            </w:pPr>
            <w:r>
              <w:rPr>
                <w:rFonts w:ascii="Arial" w:cs="Arial" w:eastAsia="Arial" w:hAnsi="Arial"/>
                <w:sz w:val="21"/>
                <w:szCs w:val="21"/>
                <w:i w:val="1"/>
                <w:iCs w:val="1"/>
                <w:color w:val="auto"/>
                <w:w w:val="91"/>
              </w:rPr>
              <w:t>Effect of this Agreement on the Existing Credit Agreement and the Other Existing Loan</w:t>
            </w:r>
          </w:p>
        </w:tc>
        <w:tc>
          <w:tcPr>
            <w:tcW w:w="0" w:type="dxa"/>
            <w:vAlign w:val="bottom"/>
          </w:tcPr>
          <w:p>
            <w:pPr>
              <w:spacing w:after="0"/>
              <w:rPr>
                <w:sz w:val="1"/>
                <w:szCs w:val="1"/>
                <w:color w:val="auto"/>
              </w:rPr>
            </w:pPr>
          </w:p>
        </w:tc>
      </w:tr>
      <w:tr>
        <w:trPr>
          <w:trHeight w:val="269"/>
        </w:trPr>
        <w:tc>
          <w:tcPr>
            <w:tcW w:w="1280" w:type="dxa"/>
            <w:vAlign w:val="bottom"/>
          </w:tcPr>
          <w:p>
            <w:pPr>
              <w:spacing w:after="0"/>
              <w:rPr>
                <w:sz w:val="23"/>
                <w:szCs w:val="23"/>
                <w:color w:val="auto"/>
              </w:rPr>
            </w:pP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rPr>
              <w:t>Documents</w:t>
            </w:r>
          </w:p>
        </w:tc>
        <w:tc>
          <w:tcPr>
            <w:tcW w:w="6100" w:type="dxa"/>
            <w:vAlign w:val="bottom"/>
            <w:gridSpan w:val="5"/>
            <w:vMerge w:val="restart"/>
          </w:tcPr>
          <w:p>
            <w:pPr>
              <w:jc w:val="center"/>
              <w:ind w:right="1700"/>
              <w:spacing w:after="0"/>
              <w:rPr>
                <w:sz w:val="20"/>
                <w:szCs w:val="20"/>
                <w:color w:val="auto"/>
              </w:rPr>
            </w:pPr>
            <w:r>
              <w:rPr>
                <w:rFonts w:ascii="Arial" w:cs="Arial" w:eastAsia="Arial" w:hAnsi="Arial"/>
                <w:sz w:val="21"/>
                <w:szCs w:val="21"/>
                <w:color w:val="auto"/>
                <w:w w:val="96"/>
              </w:rPr>
              <w:t>ARTICLE 2 THE CREDITS</w:t>
            </w:r>
          </w:p>
        </w:tc>
        <w:tc>
          <w:tcPr>
            <w:tcW w:w="0" w:type="dxa"/>
            <w:vAlign w:val="bottom"/>
          </w:tcPr>
          <w:p>
            <w:pPr>
              <w:spacing w:after="0"/>
              <w:rPr>
                <w:sz w:val="1"/>
                <w:szCs w:val="1"/>
                <w:color w:val="auto"/>
              </w:rPr>
            </w:pPr>
          </w:p>
        </w:tc>
      </w:tr>
      <w:tr>
        <w:trPr>
          <w:trHeight w:val="238"/>
        </w:trPr>
        <w:tc>
          <w:tcPr>
            <w:tcW w:w="1280" w:type="dxa"/>
            <w:vAlign w:val="bottom"/>
            <w:vMerge w:val="restart"/>
          </w:tcPr>
          <w:p>
            <w:pPr>
              <w:spacing w:after="0"/>
              <w:rPr>
                <w:sz w:val="20"/>
                <w:szCs w:val="20"/>
                <w:color w:val="auto"/>
              </w:rPr>
            </w:pPr>
            <w:r>
              <w:rPr>
                <w:rFonts w:ascii="Arial" w:cs="Arial" w:eastAsia="Arial" w:hAnsi="Arial"/>
                <w:sz w:val="21"/>
                <w:szCs w:val="21"/>
                <w:color w:val="auto"/>
              </w:rPr>
              <w:t>Section 2.01.</w:t>
            </w:r>
          </w:p>
        </w:tc>
        <w:tc>
          <w:tcPr>
            <w:tcW w:w="1440" w:type="dxa"/>
            <w:vAlign w:val="bottom"/>
            <w:vMerge w:val="restart"/>
          </w:tcPr>
          <w:p>
            <w:pPr>
              <w:ind w:left="180"/>
              <w:spacing w:after="0"/>
              <w:rPr>
                <w:sz w:val="20"/>
                <w:szCs w:val="20"/>
                <w:color w:val="auto"/>
              </w:rPr>
            </w:pPr>
            <w:r>
              <w:rPr>
                <w:rFonts w:ascii="Arial" w:cs="Arial" w:eastAsia="Arial" w:hAnsi="Arial"/>
                <w:sz w:val="21"/>
                <w:szCs w:val="21"/>
                <w:i w:val="1"/>
                <w:iCs w:val="1"/>
                <w:color w:val="auto"/>
                <w:w w:val="95"/>
              </w:rPr>
              <w:t>Commitments</w:t>
            </w:r>
          </w:p>
        </w:tc>
        <w:tc>
          <w:tcPr>
            <w:tcW w:w="61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8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2.02.</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Loans and Borrowings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2.03.</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Requests for Borrowings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2.04.</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Funding of Borrowings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2.05.</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Interest Elections</w:t>
            </w:r>
          </w:p>
        </w:tc>
        <w:tc>
          <w:tcPr>
            <w:tcW w:w="0" w:type="dxa"/>
            <w:vAlign w:val="bottom"/>
          </w:tcPr>
          <w:p>
            <w:pPr>
              <w:spacing w:after="0"/>
              <w:rPr>
                <w:sz w:val="1"/>
                <w:szCs w:val="1"/>
                <w:color w:val="auto"/>
              </w:rPr>
            </w:pPr>
          </w:p>
        </w:tc>
      </w:tr>
      <w:tr>
        <w:trPr>
          <w:trHeight w:val="238"/>
        </w:trPr>
        <w:tc>
          <w:tcPr>
            <w:tcW w:w="1280" w:type="dxa"/>
            <w:vAlign w:val="bottom"/>
          </w:tcPr>
          <w:p>
            <w:pPr>
              <w:spacing w:after="0" w:line="238" w:lineRule="exact"/>
              <w:rPr>
                <w:sz w:val="20"/>
                <w:szCs w:val="20"/>
                <w:color w:val="auto"/>
              </w:rPr>
            </w:pPr>
            <w:r>
              <w:rPr>
                <w:rFonts w:ascii="Arial" w:cs="Arial" w:eastAsia="Arial" w:hAnsi="Arial"/>
                <w:sz w:val="21"/>
                <w:szCs w:val="21"/>
                <w:color w:val="auto"/>
              </w:rPr>
              <w:t>Section 2.06.</w:t>
            </w:r>
          </w:p>
        </w:tc>
        <w:tc>
          <w:tcPr>
            <w:tcW w:w="7540" w:type="dxa"/>
            <w:vAlign w:val="bottom"/>
            <w:gridSpan w:val="6"/>
          </w:tcPr>
          <w:p>
            <w:pPr>
              <w:ind w:left="180"/>
              <w:spacing w:after="0" w:line="238" w:lineRule="exact"/>
              <w:rPr>
                <w:sz w:val="20"/>
                <w:szCs w:val="20"/>
                <w:color w:val="auto"/>
              </w:rPr>
            </w:pPr>
            <w:r>
              <w:rPr>
                <w:rFonts w:ascii="Arial" w:cs="Arial" w:eastAsia="Arial" w:hAnsi="Arial"/>
                <w:sz w:val="21"/>
                <w:szCs w:val="21"/>
                <w:i w:val="1"/>
                <w:iCs w:val="1"/>
                <w:color w:val="auto"/>
              </w:rPr>
              <w:t>Termination and Reduction of Commitments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2.07.</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Repayment of Loans; Evidence of Debt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2.08.</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Amortization of Term Loans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2.09.</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Prepayment of Loans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2.10.</w:t>
            </w: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rPr>
              <w:t>Fees</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2.11.</w:t>
            </w: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rPr>
              <w:t>Interest</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2.12.</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Alternate Rate of Interest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2.13.</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Increased Costs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2.14.</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Break Funding Payments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2.15.</w:t>
            </w: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rPr>
              <w:t>Taxes</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2.16.</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Payments Generally; Pro Rata Treatment; Sharing of Setoffs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2.17.</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Mitigation Obligations; Replacement of Lenders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2.18.</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Incremental Credit Extensions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2.19.</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Refinancing Amendments; Maturity Extension</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2.20.</w:t>
            </w: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rPr>
              <w:t>Illegality</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2.21.</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Defaulting Lenders</w:t>
            </w:r>
          </w:p>
        </w:tc>
        <w:tc>
          <w:tcPr>
            <w:tcW w:w="0" w:type="dxa"/>
            <w:vAlign w:val="bottom"/>
          </w:tcPr>
          <w:p>
            <w:pPr>
              <w:spacing w:after="0"/>
              <w:rPr>
                <w:sz w:val="1"/>
                <w:szCs w:val="1"/>
                <w:color w:val="auto"/>
              </w:rPr>
            </w:pPr>
          </w:p>
        </w:tc>
      </w:tr>
      <w:tr>
        <w:trPr>
          <w:trHeight w:val="238"/>
        </w:trPr>
        <w:tc>
          <w:tcPr>
            <w:tcW w:w="1280" w:type="dxa"/>
            <w:vAlign w:val="bottom"/>
          </w:tcPr>
          <w:p>
            <w:pPr>
              <w:spacing w:after="0" w:line="238" w:lineRule="exact"/>
              <w:rPr>
                <w:sz w:val="20"/>
                <w:szCs w:val="20"/>
                <w:color w:val="auto"/>
              </w:rPr>
            </w:pPr>
            <w:r>
              <w:rPr>
                <w:rFonts w:ascii="Arial" w:cs="Arial" w:eastAsia="Arial" w:hAnsi="Arial"/>
                <w:sz w:val="21"/>
                <w:szCs w:val="21"/>
                <w:i w:val="1"/>
                <w:iCs w:val="1"/>
                <w:color w:val="auto"/>
              </w:rPr>
              <w:t>Section 2.22</w:t>
            </w:r>
            <w:r>
              <w:rPr>
                <w:rFonts w:ascii="Arial" w:cs="Arial" w:eastAsia="Arial" w:hAnsi="Arial"/>
                <w:sz w:val="21"/>
                <w:szCs w:val="21"/>
                <w:color w:val="auto"/>
              </w:rPr>
              <w:t>.</w:t>
            </w:r>
          </w:p>
        </w:tc>
        <w:tc>
          <w:tcPr>
            <w:tcW w:w="7540" w:type="dxa"/>
            <w:vAlign w:val="bottom"/>
            <w:gridSpan w:val="6"/>
          </w:tcPr>
          <w:p>
            <w:pPr>
              <w:ind w:left="180"/>
              <w:spacing w:after="0" w:line="238" w:lineRule="exact"/>
              <w:rPr>
                <w:sz w:val="20"/>
                <w:szCs w:val="20"/>
                <w:color w:val="auto"/>
              </w:rPr>
            </w:pPr>
            <w:r>
              <w:rPr>
                <w:rFonts w:ascii="Arial" w:cs="Arial" w:eastAsia="Arial" w:hAnsi="Arial"/>
                <w:sz w:val="21"/>
                <w:szCs w:val="21"/>
                <w:i w:val="1"/>
                <w:iCs w:val="1"/>
                <w:color w:val="auto"/>
              </w:rPr>
              <w:t>Letters of Credit</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1"/>
                <w:szCs w:val="21"/>
                <w:color w:val="auto"/>
              </w:rPr>
            </w:pPr>
          </w:p>
        </w:tc>
        <w:tc>
          <w:tcPr>
            <w:tcW w:w="7540" w:type="dxa"/>
            <w:vAlign w:val="bottom"/>
            <w:gridSpan w:val="6"/>
          </w:tcPr>
          <w:p>
            <w:pPr>
              <w:jc w:val="center"/>
              <w:ind w:right="280"/>
              <w:spacing w:after="0"/>
              <w:rPr>
                <w:sz w:val="20"/>
                <w:szCs w:val="20"/>
                <w:color w:val="auto"/>
              </w:rPr>
            </w:pPr>
            <w:r>
              <w:rPr>
                <w:rFonts w:ascii="Arial" w:cs="Arial" w:eastAsia="Arial" w:hAnsi="Arial"/>
                <w:sz w:val="21"/>
                <w:szCs w:val="21"/>
                <w:color w:val="auto"/>
                <w:w w:val="95"/>
              </w:rPr>
              <w:t>ARTICLE 3 REPRESENTATIONS AND WARRANTIES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3.01.</w:t>
            </w: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w w:val="99"/>
              </w:rPr>
              <w:t>Organization</w:t>
            </w:r>
            <w:r>
              <w:rPr>
                <w:rFonts w:ascii="Arial" w:cs="Arial" w:eastAsia="Arial" w:hAnsi="Arial"/>
                <w:sz w:val="21"/>
                <w:szCs w:val="21"/>
                <w:color w:val="auto"/>
                <w:w w:val="99"/>
              </w:rPr>
              <w:t>;</w:t>
            </w:r>
          </w:p>
        </w:tc>
        <w:tc>
          <w:tcPr>
            <w:tcW w:w="6100" w:type="dxa"/>
            <w:vAlign w:val="bottom"/>
            <w:gridSpan w:val="5"/>
          </w:tcPr>
          <w:p>
            <w:pPr>
              <w:ind w:left="20"/>
              <w:spacing w:after="0"/>
              <w:rPr>
                <w:sz w:val="20"/>
                <w:szCs w:val="20"/>
                <w:color w:val="auto"/>
              </w:rPr>
            </w:pPr>
            <w:r>
              <w:rPr>
                <w:rFonts w:ascii="Arial" w:cs="Arial" w:eastAsia="Arial" w:hAnsi="Arial"/>
                <w:sz w:val="21"/>
                <w:szCs w:val="21"/>
                <w:i w:val="1"/>
                <w:iCs w:val="1"/>
                <w:color w:val="auto"/>
              </w:rPr>
              <w:t>Powers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3.02.</w:t>
            </w: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w w:val="96"/>
              </w:rPr>
              <w:t>Authorization</w:t>
            </w:r>
            <w:r>
              <w:rPr>
                <w:rFonts w:ascii="Arial" w:cs="Arial" w:eastAsia="Arial" w:hAnsi="Arial"/>
                <w:sz w:val="21"/>
                <w:szCs w:val="21"/>
                <w:color w:val="auto"/>
                <w:w w:val="96"/>
              </w:rPr>
              <w:t>;</w:t>
            </w:r>
          </w:p>
        </w:tc>
        <w:tc>
          <w:tcPr>
            <w:tcW w:w="6100" w:type="dxa"/>
            <w:vAlign w:val="bottom"/>
            <w:gridSpan w:val="5"/>
          </w:tcPr>
          <w:p>
            <w:pPr>
              <w:ind w:left="60"/>
              <w:spacing w:after="0"/>
              <w:rPr>
                <w:sz w:val="20"/>
                <w:szCs w:val="20"/>
                <w:color w:val="auto"/>
              </w:rPr>
            </w:pPr>
            <w:r>
              <w:rPr>
                <w:rFonts w:ascii="Arial" w:cs="Arial" w:eastAsia="Arial" w:hAnsi="Arial"/>
                <w:sz w:val="21"/>
                <w:szCs w:val="21"/>
                <w:i w:val="1"/>
                <w:iCs w:val="1"/>
                <w:color w:val="auto"/>
              </w:rPr>
              <w:t>Enforceability</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3.03.</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Governmental Approvals</w:t>
            </w:r>
            <w:r>
              <w:rPr>
                <w:rFonts w:ascii="Arial" w:cs="Arial" w:eastAsia="Arial" w:hAnsi="Arial"/>
                <w:sz w:val="21"/>
                <w:szCs w:val="21"/>
                <w:color w:val="auto"/>
              </w:rPr>
              <w:t>;</w:t>
            </w:r>
            <w:r>
              <w:rPr>
                <w:rFonts w:ascii="Arial" w:cs="Arial" w:eastAsia="Arial" w:hAnsi="Arial"/>
                <w:sz w:val="21"/>
                <w:szCs w:val="21"/>
                <w:i w:val="1"/>
                <w:iCs w:val="1"/>
                <w:color w:val="auto"/>
              </w:rPr>
              <w:t xml:space="preserve"> No Conflicts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3.04.</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Financial Condition; No Material Adverse Effect</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3.05.</w:t>
            </w:r>
          </w:p>
        </w:tc>
        <w:tc>
          <w:tcPr>
            <w:tcW w:w="1440" w:type="dxa"/>
            <w:vAlign w:val="bottom"/>
          </w:tcPr>
          <w:p>
            <w:pPr>
              <w:ind w:left="180"/>
              <w:spacing w:after="0"/>
              <w:rPr>
                <w:sz w:val="20"/>
                <w:szCs w:val="20"/>
                <w:color w:val="auto"/>
              </w:rPr>
            </w:pPr>
            <w:r>
              <w:rPr>
                <w:rFonts w:ascii="Arial" w:cs="Arial" w:eastAsia="Arial" w:hAnsi="Arial"/>
                <w:sz w:val="21"/>
                <w:szCs w:val="21"/>
                <w:i w:val="1"/>
                <w:iCs w:val="1"/>
                <w:color w:val="auto"/>
              </w:rPr>
              <w:t>Properties</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3.06.</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Litigation and Environmental Matters</w:t>
            </w:r>
          </w:p>
        </w:tc>
        <w:tc>
          <w:tcPr>
            <w:tcW w:w="0" w:type="dxa"/>
            <w:vAlign w:val="bottom"/>
          </w:tcPr>
          <w:p>
            <w:pPr>
              <w:spacing w:after="0"/>
              <w:rPr>
                <w:sz w:val="1"/>
                <w:szCs w:val="1"/>
                <w:color w:val="auto"/>
              </w:rPr>
            </w:pPr>
          </w:p>
        </w:tc>
      </w:tr>
      <w:tr>
        <w:trPr>
          <w:trHeight w:val="251"/>
        </w:trPr>
        <w:tc>
          <w:tcPr>
            <w:tcW w:w="1280" w:type="dxa"/>
            <w:vAlign w:val="bottom"/>
          </w:tcPr>
          <w:p>
            <w:pPr>
              <w:spacing w:after="0"/>
              <w:rPr>
                <w:sz w:val="20"/>
                <w:szCs w:val="20"/>
                <w:color w:val="auto"/>
              </w:rPr>
            </w:pPr>
            <w:r>
              <w:rPr>
                <w:rFonts w:ascii="Arial" w:cs="Arial" w:eastAsia="Arial" w:hAnsi="Arial"/>
                <w:sz w:val="21"/>
                <w:szCs w:val="21"/>
                <w:color w:val="auto"/>
              </w:rPr>
              <w:t>Section 3.07.</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Compliance with Laws and Agreements</w:t>
            </w:r>
          </w:p>
        </w:tc>
        <w:tc>
          <w:tcPr>
            <w:tcW w:w="0" w:type="dxa"/>
            <w:vAlign w:val="bottom"/>
          </w:tcPr>
          <w:p>
            <w:pPr>
              <w:spacing w:after="0"/>
              <w:rPr>
                <w:sz w:val="1"/>
                <w:szCs w:val="1"/>
                <w:color w:val="auto"/>
              </w:rPr>
            </w:pPr>
          </w:p>
        </w:tc>
      </w:tr>
      <w:tr>
        <w:trPr>
          <w:trHeight w:val="269"/>
        </w:trPr>
        <w:tc>
          <w:tcPr>
            <w:tcW w:w="1280" w:type="dxa"/>
            <w:vAlign w:val="bottom"/>
          </w:tcPr>
          <w:p>
            <w:pPr>
              <w:spacing w:after="0"/>
              <w:rPr>
                <w:sz w:val="20"/>
                <w:szCs w:val="20"/>
                <w:color w:val="auto"/>
              </w:rPr>
            </w:pPr>
            <w:r>
              <w:rPr>
                <w:rFonts w:ascii="Arial" w:cs="Arial" w:eastAsia="Arial" w:hAnsi="Arial"/>
                <w:sz w:val="21"/>
                <w:szCs w:val="21"/>
                <w:color w:val="auto"/>
              </w:rPr>
              <w:t>Section 3.08.</w:t>
            </w:r>
          </w:p>
        </w:tc>
        <w:tc>
          <w:tcPr>
            <w:tcW w:w="7540" w:type="dxa"/>
            <w:vAlign w:val="bottom"/>
            <w:gridSpan w:val="6"/>
          </w:tcPr>
          <w:p>
            <w:pPr>
              <w:ind w:left="180"/>
              <w:spacing w:after="0"/>
              <w:rPr>
                <w:sz w:val="20"/>
                <w:szCs w:val="20"/>
                <w:color w:val="auto"/>
              </w:rPr>
            </w:pPr>
            <w:r>
              <w:rPr>
                <w:rFonts w:ascii="Arial" w:cs="Arial" w:eastAsia="Arial" w:hAnsi="Arial"/>
                <w:sz w:val="21"/>
                <w:szCs w:val="21"/>
                <w:i w:val="1"/>
                <w:iCs w:val="1"/>
                <w:color w:val="auto"/>
              </w:rPr>
              <w:t>Investment Company Status</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PAGE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FF"/>
        </w:rPr>
        <w:t>1</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w:t>
      </w:r>
    </w:p>
    <w:p>
      <w:pPr>
        <w:spacing w:after="0" w:line="43" w:lineRule="exact"/>
        <w:rPr>
          <w:sz w:val="20"/>
          <w:szCs w:val="20"/>
          <w:color w:val="auto"/>
        </w:rPr>
      </w:pPr>
    </w:p>
    <w:p>
      <w:pPr>
        <w:jc w:val="right"/>
        <w:spacing w:after="0"/>
        <w:rPr>
          <w:sz w:val="20"/>
          <w:szCs w:val="20"/>
          <w:color w:val="auto"/>
        </w:rPr>
      </w:pPr>
      <w:r>
        <w:rPr>
          <w:rFonts w:ascii="Arial" w:cs="Arial" w:eastAsia="Arial" w:hAnsi="Arial"/>
          <w:sz w:val="21"/>
          <w:szCs w:val="21"/>
          <w:color w:val="FF0000"/>
          <w:strike w:val="1"/>
        </w:rPr>
        <w:t>59</w:t>
      </w:r>
      <w:r>
        <w:rPr>
          <w:rFonts w:ascii="Arial" w:cs="Arial" w:eastAsia="Arial" w:hAnsi="Arial"/>
          <w:sz w:val="21"/>
          <w:szCs w:val="21"/>
          <w:u w:val="single" w:color="auto"/>
          <w:color w:val="0000FF"/>
          <w:strike w:val="1"/>
        </w:rPr>
        <w:t>60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FF0000"/>
          <w:strike w:val="1"/>
        </w:rPr>
        <w:t>59</w:t>
      </w:r>
      <w:r>
        <w:rPr>
          <w:rFonts w:ascii="Arial" w:cs="Arial" w:eastAsia="Arial" w:hAnsi="Arial"/>
          <w:sz w:val="21"/>
          <w:szCs w:val="21"/>
          <w:u w:val="single" w:color="auto"/>
          <w:color w:val="0000FF"/>
          <w:strike w:val="1"/>
        </w:rPr>
        <w:t>60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0</w:t>
      </w:r>
      <w:r>
        <w:rPr>
          <w:rFonts w:ascii="Arial" w:cs="Arial" w:eastAsia="Arial" w:hAnsi="Arial"/>
          <w:sz w:val="21"/>
          <w:szCs w:val="21"/>
          <w:u w:val="single" w:color="auto"/>
          <w:color w:val="0000FF"/>
        </w:rPr>
        <w:t>1</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0</w:t>
      </w:r>
      <w:r>
        <w:rPr>
          <w:rFonts w:ascii="Arial" w:cs="Arial" w:eastAsia="Arial" w:hAnsi="Arial"/>
          <w:sz w:val="21"/>
          <w:szCs w:val="21"/>
          <w:u w:val="single" w:color="auto"/>
          <w:color w:val="0000FF"/>
        </w:rPr>
        <w:t>1</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0</w:t>
      </w:r>
      <w:r>
        <w:rPr>
          <w:rFonts w:ascii="Arial" w:cs="Arial" w:eastAsia="Arial" w:hAnsi="Arial"/>
          <w:sz w:val="21"/>
          <w:szCs w:val="21"/>
          <w:u w:val="single" w:color="auto"/>
          <w:color w:val="0000FF"/>
        </w:rPr>
        <w:t>1</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62</w:t>
      </w: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3</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4</w:t>
      </w:r>
      <w:r>
        <w:rPr>
          <w:rFonts w:ascii="Arial" w:cs="Arial" w:eastAsia="Arial" w:hAnsi="Arial"/>
          <w:sz w:val="21"/>
          <w:szCs w:val="21"/>
          <w:u w:val="single" w:color="auto"/>
          <w:color w:val="0000FF"/>
        </w:rPr>
        <w:t>5</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5</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6</w:t>
      </w:r>
      <w:r>
        <w:rPr>
          <w:rFonts w:ascii="Arial" w:cs="Arial" w:eastAsia="Arial" w:hAnsi="Arial"/>
          <w:sz w:val="21"/>
          <w:szCs w:val="21"/>
          <w:u w:val="single" w:color="auto"/>
          <w:color w:val="0000FF"/>
        </w:rPr>
        <w:t>7</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67</w:t>
      </w: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7</w:t>
      </w:r>
      <w:r>
        <w:rPr>
          <w:rFonts w:ascii="Arial" w:cs="Arial" w:eastAsia="Arial" w:hAnsi="Arial"/>
          <w:sz w:val="21"/>
          <w:szCs w:val="21"/>
          <w:u w:val="single" w:color="auto"/>
          <w:color w:val="0000FF"/>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6</w:t>
      </w:r>
      <w:r>
        <w:rPr>
          <w:rFonts w:ascii="Arial" w:cs="Arial" w:eastAsia="Arial" w:hAnsi="Arial"/>
          <w:sz w:val="21"/>
          <w:szCs w:val="21"/>
          <w:color w:val="FF0000"/>
          <w:strike w:val="1"/>
        </w:rPr>
        <w:t>8</w:t>
      </w:r>
      <w:r>
        <w:rPr>
          <w:rFonts w:ascii="Arial" w:cs="Arial" w:eastAsia="Arial" w:hAnsi="Arial"/>
          <w:sz w:val="21"/>
          <w:szCs w:val="21"/>
          <w:u w:val="single" w:color="auto"/>
          <w:color w:val="0000FF"/>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r>
        <w:rPr>
          <w:rFonts w:ascii="Arial" w:cs="Arial" w:eastAsia="Arial" w:hAnsi="Arial"/>
          <w:sz w:val="21"/>
          <w:szCs w:val="21"/>
          <w:color w:val="FF0000"/>
          <w:strike w:val="1"/>
        </w:rPr>
        <w:t>0</w:t>
      </w:r>
      <w:r>
        <w:rPr>
          <w:rFonts w:ascii="Arial" w:cs="Arial" w:eastAsia="Arial" w:hAnsi="Arial"/>
          <w:sz w:val="21"/>
          <w:szCs w:val="21"/>
          <w:u w:val="single" w:color="auto"/>
          <w:color w:val="0000FF"/>
        </w:rPr>
        <w:t>1</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r>
        <w:rPr>
          <w:rFonts w:ascii="Arial" w:cs="Arial" w:eastAsia="Arial" w:hAnsi="Arial"/>
          <w:sz w:val="21"/>
          <w:szCs w:val="21"/>
          <w:color w:val="FF0000"/>
          <w:strike w:val="1"/>
        </w:rPr>
        <w:t>1</w:t>
      </w:r>
      <w:r>
        <w:rPr>
          <w:rFonts w:ascii="Arial" w:cs="Arial" w:eastAsia="Arial" w:hAnsi="Arial"/>
          <w:sz w:val="21"/>
          <w:szCs w:val="21"/>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r>
        <w:rPr>
          <w:rFonts w:ascii="Arial" w:cs="Arial" w:eastAsia="Arial" w:hAnsi="Arial"/>
          <w:sz w:val="21"/>
          <w:szCs w:val="21"/>
          <w:color w:val="FF0000"/>
          <w:strike w:val="1"/>
        </w:rPr>
        <w:t>2</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r>
        <w:rPr>
          <w:rFonts w:ascii="Arial" w:cs="Arial" w:eastAsia="Arial" w:hAnsi="Arial"/>
          <w:sz w:val="21"/>
          <w:szCs w:val="21"/>
          <w:color w:val="FF0000"/>
          <w:strike w:val="1"/>
        </w:rPr>
        <w:t>3</w:t>
      </w:r>
      <w:r>
        <w:rPr>
          <w:rFonts w:ascii="Arial" w:cs="Arial" w:eastAsia="Arial" w:hAnsi="Arial"/>
          <w:sz w:val="21"/>
          <w:szCs w:val="21"/>
          <w:u w:val="single" w:color="auto"/>
          <w:color w:val="0000FF"/>
        </w:rPr>
        <w:t>5</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8</w:t>
      </w:r>
      <w:r>
        <w:rPr>
          <w:rFonts w:ascii="Arial" w:cs="Arial" w:eastAsia="Arial" w:hAnsi="Arial"/>
          <w:sz w:val="21"/>
          <w:szCs w:val="21"/>
          <w:color w:val="FF0000"/>
          <w:strike w:val="1"/>
        </w:rPr>
        <w:t>7</w:t>
      </w:r>
      <w:r>
        <w:rPr>
          <w:rFonts w:ascii="Arial" w:cs="Arial" w:eastAsia="Arial" w:hAnsi="Arial"/>
          <w:sz w:val="21"/>
          <w:szCs w:val="21"/>
          <w:u w:val="single" w:color="auto"/>
          <w:color w:val="0000FF"/>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FF0000"/>
          <w:strike w:val="1"/>
        </w:rPr>
        <w:t>8</w:t>
      </w:r>
      <w:r>
        <w:rPr>
          <w:rFonts w:ascii="Arial" w:cs="Arial" w:eastAsia="Arial" w:hAnsi="Arial"/>
          <w:sz w:val="21"/>
          <w:szCs w:val="21"/>
          <w:color w:val="000000"/>
        </w:rPr>
        <w:t>9</w:t>
      </w:r>
      <w:r>
        <w:rPr>
          <w:rFonts w:ascii="Arial" w:cs="Arial" w:eastAsia="Arial" w:hAnsi="Arial"/>
          <w:sz w:val="21"/>
          <w:szCs w:val="21"/>
          <w:u w:val="single" w:color="auto"/>
          <w:color w:val="0000FF"/>
        </w:rPr>
        <w:t>1</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9</w:t>
      </w:r>
      <w:r>
        <w:rPr>
          <w:rFonts w:ascii="Arial" w:cs="Arial" w:eastAsia="Arial" w:hAnsi="Arial"/>
          <w:sz w:val="21"/>
          <w:szCs w:val="21"/>
          <w:color w:val="FF0000"/>
          <w:strike w:val="1"/>
        </w:rPr>
        <w:t>0</w:t>
      </w:r>
      <w:r>
        <w:rPr>
          <w:rFonts w:ascii="Arial" w:cs="Arial" w:eastAsia="Arial" w:hAnsi="Arial"/>
          <w:sz w:val="21"/>
          <w:szCs w:val="21"/>
          <w:u w:val="single" w:color="auto"/>
          <w:color w:val="0000FF"/>
        </w:rPr>
        <w:t>2</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9</w:t>
      </w:r>
      <w:r>
        <w:rPr>
          <w:rFonts w:ascii="Arial" w:cs="Arial" w:eastAsia="Arial" w:hAnsi="Arial"/>
          <w:sz w:val="21"/>
          <w:szCs w:val="21"/>
          <w:color w:val="FF0000"/>
          <w:strike w:val="1"/>
        </w:rPr>
        <w:t>5</w:t>
      </w:r>
      <w:r>
        <w:rPr>
          <w:rFonts w:ascii="Arial" w:cs="Arial" w:eastAsia="Arial" w:hAnsi="Arial"/>
          <w:sz w:val="21"/>
          <w:szCs w:val="21"/>
          <w:u w:val="single" w:color="auto"/>
          <w:color w:val="0000FF"/>
        </w:rPr>
        <w:t>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9</w:t>
      </w:r>
      <w:r>
        <w:rPr>
          <w:rFonts w:ascii="Arial" w:cs="Arial" w:eastAsia="Arial" w:hAnsi="Arial"/>
          <w:sz w:val="21"/>
          <w:szCs w:val="21"/>
          <w:color w:val="FF0000"/>
          <w:strike w:val="1"/>
        </w:rPr>
        <w:t>6</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9</w:t>
      </w:r>
      <w:r>
        <w:rPr>
          <w:rFonts w:ascii="Arial" w:cs="Arial" w:eastAsia="Arial" w:hAnsi="Arial"/>
          <w:sz w:val="21"/>
          <w:szCs w:val="21"/>
          <w:color w:val="FF0000"/>
          <w:strike w:val="1"/>
        </w:rPr>
        <w:t>7</w:t>
      </w:r>
      <w:r>
        <w:rPr>
          <w:rFonts w:ascii="Arial" w:cs="Arial" w:eastAsia="Arial" w:hAnsi="Arial"/>
          <w:sz w:val="21"/>
          <w:szCs w:val="21"/>
          <w:u w:val="single" w:color="auto"/>
          <w:color w:val="0000FF"/>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0"/>
          <w:szCs w:val="20"/>
          <w:color w:val="FF0000"/>
          <w:strike w:val="1"/>
        </w:rPr>
        <w:t>99</w:t>
      </w:r>
      <w:r>
        <w:rPr>
          <w:rFonts w:ascii="Arial" w:cs="Arial" w:eastAsia="Arial" w:hAnsi="Arial"/>
          <w:sz w:val="20"/>
          <w:szCs w:val="20"/>
          <w:u w:val="single" w:color="auto"/>
          <w:color w:val="0000FF"/>
          <w:strike w:val="1"/>
        </w:rPr>
        <w:t>101</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106</w:t>
      </w: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5</w:t>
      </w:r>
      <w:r>
        <w:rPr>
          <w:rFonts w:ascii="Arial" w:cs="Arial" w:eastAsia="Arial" w:hAnsi="Arial"/>
          <w:sz w:val="21"/>
          <w:szCs w:val="21"/>
          <w:u w:val="single" w:color="auto"/>
          <w:color w:val="0000FF"/>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5</w:t>
      </w:r>
      <w:r>
        <w:rPr>
          <w:rFonts w:ascii="Arial" w:cs="Arial" w:eastAsia="Arial" w:hAnsi="Arial"/>
          <w:sz w:val="21"/>
          <w:szCs w:val="21"/>
          <w:u w:val="single" w:color="auto"/>
          <w:color w:val="0000FF"/>
        </w:rPr>
        <w:t>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5</w:t>
      </w:r>
      <w:r>
        <w:rPr>
          <w:rFonts w:ascii="Arial" w:cs="Arial" w:eastAsia="Arial" w:hAnsi="Arial"/>
          <w:sz w:val="21"/>
          <w:szCs w:val="21"/>
          <w:color w:val="0000FF"/>
        </w:rPr>
        <w:t>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6</w:t>
      </w:r>
      <w:r>
        <w:rPr>
          <w:rFonts w:ascii="Arial" w:cs="Arial" w:eastAsia="Arial" w:hAnsi="Arial"/>
          <w:sz w:val="21"/>
          <w:szCs w:val="21"/>
          <w:u w:val="single" w:color="auto"/>
          <w:color w:val="0000FF"/>
        </w:rPr>
        <w:t>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6</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7</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7</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7</w:t>
      </w:r>
      <w:r>
        <w:rPr>
          <w:rFonts w:ascii="Arial" w:cs="Arial" w:eastAsia="Arial" w:hAnsi="Arial"/>
          <w:sz w:val="21"/>
          <w:szCs w:val="21"/>
          <w:u w:val="single" w:color="auto"/>
          <w:color w:val="0000FF"/>
        </w:rPr>
        <w:t>9</w:t>
      </w:r>
    </w:p>
    <w:p>
      <w:pPr>
        <w:sectPr>
          <w:pgSz w:w="11900" w:h="16838" w:orient="portrait"/>
          <w:cols w:equalWidth="0" w:num="2">
            <w:col w:w="9120" w:space="720"/>
            <w:col w:w="560"/>
          </w:cols>
          <w:pgMar w:left="740" w:top="96" w:right="759" w:bottom="1440" w:gutter="0" w:footer="0" w:header="0"/>
        </w:sectPr>
      </w:pPr>
    </w:p>
    <w:bookmarkStart w:id="164" w:name="page165"/>
    <w:bookmarkEnd w:id="16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3.09.</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Taxes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3.10.</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ERISA</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3.11.</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Disclosure</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3.12.</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Subsidiaries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3.13.</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Intellectual Property</w:t>
            </w:r>
            <w:r>
              <w:rPr>
                <w:rFonts w:ascii="Arial" w:cs="Arial" w:eastAsia="Arial" w:hAnsi="Arial"/>
                <w:sz w:val="21"/>
                <w:szCs w:val="21"/>
                <w:color w:val="auto"/>
              </w:rPr>
              <w:t>;</w:t>
            </w:r>
            <w:r>
              <w:rPr>
                <w:rFonts w:ascii="Arial" w:cs="Arial" w:eastAsia="Arial" w:hAnsi="Arial"/>
                <w:sz w:val="21"/>
                <w:szCs w:val="21"/>
                <w:i w:val="1"/>
                <w:iCs w:val="1"/>
                <w:color w:val="auto"/>
              </w:rPr>
              <w:t xml:space="preserve"> Licenses, Etc</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3.14.</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Solvency</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3.15.</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Senior Indebtedness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3.16.</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Federal Reserve Regulations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3.17.</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Use of Proceeds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3.18.</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Regulatory Status and Memberships Held</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3.19.</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PATRIOT Act, OFAC and FCPA</w:t>
            </w:r>
          </w:p>
        </w:tc>
      </w:tr>
      <w:tr>
        <w:trPr>
          <w:trHeight w:val="238"/>
        </w:trPr>
        <w:tc>
          <w:tcPr>
            <w:tcW w:w="1460" w:type="dxa"/>
            <w:vAlign w:val="bottom"/>
            <w:gridSpan w:val="2"/>
          </w:tcPr>
          <w:p>
            <w:pPr>
              <w:spacing w:after="0" w:line="238" w:lineRule="exact"/>
              <w:rPr>
                <w:sz w:val="20"/>
                <w:szCs w:val="20"/>
                <w:color w:val="auto"/>
              </w:rPr>
            </w:pPr>
            <w:r>
              <w:rPr>
                <w:rFonts w:ascii="Arial" w:cs="Arial" w:eastAsia="Arial" w:hAnsi="Arial"/>
                <w:sz w:val="21"/>
                <w:szCs w:val="21"/>
                <w:color w:val="auto"/>
              </w:rPr>
              <w:t>Section 3.20.</w:t>
            </w:r>
          </w:p>
        </w:tc>
        <w:tc>
          <w:tcPr>
            <w:tcW w:w="6480" w:type="dxa"/>
            <w:vAlign w:val="bottom"/>
            <w:gridSpan w:val="2"/>
          </w:tcPr>
          <w:p>
            <w:pPr>
              <w:spacing w:after="0" w:line="238" w:lineRule="exact"/>
              <w:rPr>
                <w:sz w:val="20"/>
                <w:szCs w:val="20"/>
                <w:color w:val="auto"/>
              </w:rPr>
            </w:pPr>
            <w:r>
              <w:rPr>
                <w:rFonts w:ascii="Arial" w:cs="Arial" w:eastAsia="Arial" w:hAnsi="Arial"/>
                <w:sz w:val="21"/>
                <w:szCs w:val="21"/>
                <w:i w:val="1"/>
                <w:iCs w:val="1"/>
                <w:color w:val="auto"/>
              </w:rPr>
              <w:t>EEA Financial Institutions</w:t>
            </w:r>
          </w:p>
        </w:tc>
      </w:tr>
      <w:tr>
        <w:trPr>
          <w:trHeight w:val="251"/>
        </w:trPr>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340" w:type="dxa"/>
            <w:vAlign w:val="bottom"/>
          </w:tcPr>
          <w:p>
            <w:pPr>
              <w:jc w:val="center"/>
              <w:ind w:right="1594"/>
              <w:spacing w:after="0"/>
              <w:rPr>
                <w:sz w:val="20"/>
                <w:szCs w:val="20"/>
                <w:color w:val="auto"/>
              </w:rPr>
            </w:pPr>
            <w:r>
              <w:rPr>
                <w:rFonts w:ascii="Arial" w:cs="Arial" w:eastAsia="Arial" w:hAnsi="Arial"/>
                <w:sz w:val="21"/>
                <w:szCs w:val="21"/>
                <w:color w:val="auto"/>
                <w:w w:val="98"/>
              </w:rPr>
              <w:t>ARTICLE 4 CONDITIONS</w:t>
            </w:r>
          </w:p>
        </w:tc>
      </w:tr>
      <w:tr>
        <w:trPr>
          <w:trHeight w:val="238"/>
        </w:trPr>
        <w:tc>
          <w:tcPr>
            <w:tcW w:w="1460" w:type="dxa"/>
            <w:vAlign w:val="bottom"/>
            <w:gridSpan w:val="2"/>
          </w:tcPr>
          <w:p>
            <w:pPr>
              <w:spacing w:after="0" w:line="238" w:lineRule="exact"/>
              <w:rPr>
                <w:sz w:val="20"/>
                <w:szCs w:val="20"/>
                <w:color w:val="auto"/>
              </w:rPr>
            </w:pPr>
            <w:r>
              <w:rPr>
                <w:rFonts w:ascii="Arial" w:cs="Arial" w:eastAsia="Arial" w:hAnsi="Arial"/>
                <w:sz w:val="21"/>
                <w:szCs w:val="21"/>
                <w:color w:val="auto"/>
              </w:rPr>
              <w:t>Section 4.01.</w:t>
            </w:r>
          </w:p>
        </w:tc>
        <w:tc>
          <w:tcPr>
            <w:tcW w:w="6480" w:type="dxa"/>
            <w:vAlign w:val="bottom"/>
            <w:gridSpan w:val="2"/>
          </w:tcPr>
          <w:p>
            <w:pPr>
              <w:spacing w:after="0" w:line="238" w:lineRule="exact"/>
              <w:rPr>
                <w:sz w:val="20"/>
                <w:szCs w:val="20"/>
                <w:color w:val="auto"/>
              </w:rPr>
            </w:pPr>
            <w:r>
              <w:rPr>
                <w:rFonts w:ascii="Arial" w:cs="Arial" w:eastAsia="Arial" w:hAnsi="Arial"/>
                <w:sz w:val="21"/>
                <w:szCs w:val="21"/>
                <w:i w:val="1"/>
                <w:iCs w:val="1"/>
                <w:color w:val="auto"/>
              </w:rPr>
              <w:t>Restatement Effective Date</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4.02.</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Each Credit Event</w:t>
            </w:r>
          </w:p>
        </w:tc>
      </w:tr>
      <w:tr>
        <w:trPr>
          <w:trHeight w:val="246"/>
        </w:trPr>
        <w:tc>
          <w:tcPr>
            <w:tcW w:w="1460" w:type="dxa"/>
            <w:vAlign w:val="bottom"/>
            <w:gridSpan w:val="2"/>
          </w:tcPr>
          <w:p>
            <w:pPr>
              <w:spacing w:after="0"/>
              <w:rPr>
                <w:sz w:val="20"/>
                <w:szCs w:val="20"/>
                <w:color w:val="auto"/>
              </w:rPr>
            </w:pPr>
            <w:r>
              <w:rPr>
                <w:rFonts w:ascii="Arial" w:cs="Arial" w:eastAsia="Arial" w:hAnsi="Arial"/>
                <w:sz w:val="21"/>
                <w:szCs w:val="21"/>
                <w:color w:val="0000FF"/>
              </w:rPr>
              <w:t>Section 4.03.</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0000FF"/>
              </w:rPr>
              <w:t>Escrow Assumption Date</w:t>
            </w:r>
          </w:p>
        </w:tc>
      </w:tr>
      <w:tr>
        <w:trPr>
          <w:trHeight w:val="40"/>
        </w:trPr>
        <w:tc>
          <w:tcPr>
            <w:tcW w:w="1120" w:type="dxa"/>
            <w:vAlign w:val="bottom"/>
            <w:shd w:val="clear" w:color="auto" w:fill="0000FF"/>
          </w:tcPr>
          <w:p>
            <w:pPr>
              <w:spacing w:after="0"/>
              <w:rPr>
                <w:sz w:val="3"/>
                <w:szCs w:val="3"/>
                <w:color w:val="auto"/>
              </w:rPr>
            </w:pPr>
          </w:p>
        </w:tc>
        <w:tc>
          <w:tcPr>
            <w:tcW w:w="340" w:type="dxa"/>
            <w:vAlign w:val="bottom"/>
          </w:tcPr>
          <w:p>
            <w:pPr>
              <w:spacing w:after="0"/>
              <w:rPr>
                <w:sz w:val="3"/>
                <w:szCs w:val="3"/>
                <w:color w:val="auto"/>
              </w:rPr>
            </w:pPr>
          </w:p>
        </w:tc>
        <w:tc>
          <w:tcPr>
            <w:tcW w:w="2140" w:type="dxa"/>
            <w:vAlign w:val="bottom"/>
            <w:shd w:val="clear" w:color="auto" w:fill="0000FF"/>
          </w:tcPr>
          <w:p>
            <w:pPr>
              <w:spacing w:after="0"/>
              <w:rPr>
                <w:sz w:val="3"/>
                <w:szCs w:val="3"/>
                <w:color w:val="auto"/>
              </w:rPr>
            </w:pPr>
          </w:p>
        </w:tc>
        <w:tc>
          <w:tcPr>
            <w:tcW w:w="4340" w:type="dxa"/>
            <w:vAlign w:val="bottom"/>
          </w:tcPr>
          <w:p>
            <w:pPr>
              <w:spacing w:after="0"/>
              <w:rPr>
                <w:sz w:val="3"/>
                <w:szCs w:val="3"/>
                <w:color w:val="auto"/>
              </w:rPr>
            </w:pPr>
          </w:p>
        </w:tc>
      </w:tr>
      <w:tr>
        <w:trPr>
          <w:trHeight w:val="203"/>
        </w:trPr>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80" w:type="dxa"/>
            <w:vAlign w:val="bottom"/>
            <w:gridSpan w:val="2"/>
          </w:tcPr>
          <w:p>
            <w:pPr>
              <w:jc w:val="center"/>
              <w:ind w:left="334"/>
              <w:spacing w:after="0" w:line="204" w:lineRule="exact"/>
              <w:rPr>
                <w:sz w:val="20"/>
                <w:szCs w:val="20"/>
                <w:color w:val="auto"/>
              </w:rPr>
            </w:pPr>
            <w:r>
              <w:rPr>
                <w:rFonts w:ascii="Arial" w:cs="Arial" w:eastAsia="Arial" w:hAnsi="Arial"/>
                <w:sz w:val="21"/>
                <w:szCs w:val="21"/>
                <w:color w:val="auto"/>
                <w:w w:val="99"/>
              </w:rPr>
              <w:t>ARTICLE 5 AFFIRMATIVE COVENANTS</w:t>
            </w:r>
          </w:p>
        </w:tc>
      </w:tr>
      <w:tr>
        <w:trPr>
          <w:trHeight w:val="238"/>
        </w:trPr>
        <w:tc>
          <w:tcPr>
            <w:tcW w:w="1460" w:type="dxa"/>
            <w:vAlign w:val="bottom"/>
            <w:gridSpan w:val="2"/>
          </w:tcPr>
          <w:p>
            <w:pPr>
              <w:spacing w:after="0" w:line="238" w:lineRule="exact"/>
              <w:rPr>
                <w:sz w:val="20"/>
                <w:szCs w:val="20"/>
                <w:color w:val="auto"/>
              </w:rPr>
            </w:pPr>
            <w:r>
              <w:rPr>
                <w:rFonts w:ascii="Arial" w:cs="Arial" w:eastAsia="Arial" w:hAnsi="Arial"/>
                <w:sz w:val="21"/>
                <w:szCs w:val="21"/>
                <w:color w:val="auto"/>
              </w:rPr>
              <w:t>Section 5.01.</w:t>
            </w:r>
          </w:p>
        </w:tc>
        <w:tc>
          <w:tcPr>
            <w:tcW w:w="6480" w:type="dxa"/>
            <w:vAlign w:val="bottom"/>
            <w:gridSpan w:val="2"/>
          </w:tcPr>
          <w:p>
            <w:pPr>
              <w:spacing w:after="0" w:line="238" w:lineRule="exact"/>
              <w:rPr>
                <w:sz w:val="20"/>
                <w:szCs w:val="20"/>
                <w:color w:val="auto"/>
              </w:rPr>
            </w:pPr>
            <w:r>
              <w:rPr>
                <w:rFonts w:ascii="Arial" w:cs="Arial" w:eastAsia="Arial" w:hAnsi="Arial"/>
                <w:sz w:val="21"/>
                <w:szCs w:val="21"/>
                <w:i w:val="1"/>
                <w:iCs w:val="1"/>
                <w:color w:val="auto"/>
              </w:rPr>
              <w:t>Financial Statements and Other Information</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5.02.</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Notices of Material Events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5.03.</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Information Regarding Collateral</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5.04.</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Existence; Conduct of Business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5.05.</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Payment of Taxes, Etc</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5.06.</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Maintenance of Properties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5.07.</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Insurance</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5.08.</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w w:val="91"/>
              </w:rPr>
              <w:t>Books and Records; Inspection and Audit Rights; Quarterly Teleconferences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5.09.</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Compliance with Laws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5.10.</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Use of Proceeds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5.11.</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Additional Subsidiaries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5.12.</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Further Assurances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5.13.</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Designation of Subsidiaries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5.14.</w:t>
            </w:r>
          </w:p>
        </w:tc>
        <w:tc>
          <w:tcPr>
            <w:tcW w:w="6480" w:type="dxa"/>
            <w:vAlign w:val="bottom"/>
            <w:gridSpan w:val="2"/>
          </w:tcPr>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Reserved</w:t>
            </w:r>
            <w:r>
              <w:rPr>
                <w:rFonts w:ascii="Arial" w:cs="Arial" w:eastAsia="Arial" w:hAnsi="Arial"/>
                <w:sz w:val="21"/>
                <w:szCs w:val="21"/>
                <w:color w:val="auto"/>
              </w:rPr>
              <w:t>.]</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5.15.</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Maintenance of Ratings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5.16.</w:t>
            </w:r>
          </w:p>
        </w:tc>
        <w:tc>
          <w:tcPr>
            <w:tcW w:w="6480" w:type="dxa"/>
            <w:vAlign w:val="bottom"/>
            <w:gridSpan w:val="2"/>
          </w:tcPr>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Reserved</w:t>
            </w:r>
            <w:r>
              <w:rPr>
                <w:rFonts w:ascii="Arial" w:cs="Arial" w:eastAsia="Arial" w:hAnsi="Arial"/>
                <w:sz w:val="21"/>
                <w:szCs w:val="21"/>
                <w:color w:val="auto"/>
              </w:rPr>
              <w:t>.]</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5.17.</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Regulatory Matters</w:t>
            </w:r>
          </w:p>
        </w:tc>
      </w:tr>
      <w:tr>
        <w:trPr>
          <w:trHeight w:val="251"/>
        </w:trPr>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80" w:type="dxa"/>
            <w:vAlign w:val="bottom"/>
            <w:gridSpan w:val="2"/>
          </w:tcPr>
          <w:p>
            <w:pPr>
              <w:jc w:val="center"/>
              <w:ind w:left="334"/>
              <w:spacing w:after="0"/>
              <w:rPr>
                <w:sz w:val="20"/>
                <w:szCs w:val="20"/>
                <w:color w:val="auto"/>
              </w:rPr>
            </w:pPr>
            <w:r>
              <w:rPr>
                <w:rFonts w:ascii="Arial" w:cs="Arial" w:eastAsia="Arial" w:hAnsi="Arial"/>
                <w:sz w:val="21"/>
                <w:szCs w:val="21"/>
                <w:color w:val="auto"/>
                <w:w w:val="98"/>
              </w:rPr>
              <w:t>ARTICLE 6 NEGATIVE COVENANTS</w:t>
            </w:r>
          </w:p>
        </w:tc>
      </w:tr>
      <w:tr>
        <w:trPr>
          <w:trHeight w:val="238"/>
        </w:trPr>
        <w:tc>
          <w:tcPr>
            <w:tcW w:w="1460" w:type="dxa"/>
            <w:vAlign w:val="bottom"/>
            <w:gridSpan w:val="2"/>
          </w:tcPr>
          <w:p>
            <w:pPr>
              <w:spacing w:after="0" w:line="238" w:lineRule="exact"/>
              <w:rPr>
                <w:sz w:val="20"/>
                <w:szCs w:val="20"/>
                <w:color w:val="auto"/>
              </w:rPr>
            </w:pPr>
            <w:r>
              <w:rPr>
                <w:rFonts w:ascii="Arial" w:cs="Arial" w:eastAsia="Arial" w:hAnsi="Arial"/>
                <w:sz w:val="21"/>
                <w:szCs w:val="21"/>
                <w:color w:val="auto"/>
              </w:rPr>
              <w:t>Section 6.01.</w:t>
            </w:r>
          </w:p>
        </w:tc>
        <w:tc>
          <w:tcPr>
            <w:tcW w:w="6480" w:type="dxa"/>
            <w:vAlign w:val="bottom"/>
            <w:gridSpan w:val="2"/>
          </w:tcPr>
          <w:p>
            <w:pPr>
              <w:spacing w:after="0" w:line="238" w:lineRule="exact"/>
              <w:rPr>
                <w:sz w:val="20"/>
                <w:szCs w:val="20"/>
                <w:color w:val="auto"/>
              </w:rPr>
            </w:pPr>
            <w:r>
              <w:rPr>
                <w:rFonts w:ascii="Arial" w:cs="Arial" w:eastAsia="Arial" w:hAnsi="Arial"/>
                <w:sz w:val="21"/>
                <w:szCs w:val="21"/>
                <w:i w:val="1"/>
                <w:iCs w:val="1"/>
                <w:color w:val="auto"/>
              </w:rPr>
              <w:t>Indebtedness; Certain Equity Securities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6.02.</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Liens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6.03.</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Fundamental Changes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6.04.</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Investments, Loans, Advances, Guarantees and Acquisitions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6.05.</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Asset Sales</w:t>
            </w:r>
          </w:p>
        </w:tc>
      </w:tr>
      <w:tr>
        <w:trPr>
          <w:trHeight w:val="251"/>
        </w:trPr>
        <w:tc>
          <w:tcPr>
            <w:tcW w:w="1460" w:type="dxa"/>
            <w:vAlign w:val="bottom"/>
            <w:gridSpan w:val="2"/>
          </w:tcPr>
          <w:p>
            <w:pPr>
              <w:spacing w:after="0"/>
              <w:rPr>
                <w:sz w:val="20"/>
                <w:szCs w:val="20"/>
                <w:color w:val="auto"/>
              </w:rPr>
            </w:pPr>
            <w:r>
              <w:rPr>
                <w:rFonts w:ascii="Arial" w:cs="Arial" w:eastAsia="Arial" w:hAnsi="Arial"/>
                <w:sz w:val="21"/>
                <w:szCs w:val="21"/>
                <w:color w:val="auto"/>
              </w:rPr>
              <w:t>Section 6.06.</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Sale and Leaseback Transactions</w:t>
            </w:r>
          </w:p>
        </w:tc>
      </w:tr>
      <w:tr>
        <w:trPr>
          <w:trHeight w:val="282"/>
        </w:trPr>
        <w:tc>
          <w:tcPr>
            <w:tcW w:w="1460" w:type="dxa"/>
            <w:vAlign w:val="bottom"/>
            <w:gridSpan w:val="2"/>
          </w:tcPr>
          <w:p>
            <w:pPr>
              <w:spacing w:after="0"/>
              <w:rPr>
                <w:sz w:val="20"/>
                <w:szCs w:val="20"/>
                <w:color w:val="auto"/>
              </w:rPr>
            </w:pPr>
            <w:r>
              <w:rPr>
                <w:rFonts w:ascii="Arial" w:cs="Arial" w:eastAsia="Arial" w:hAnsi="Arial"/>
                <w:sz w:val="21"/>
                <w:szCs w:val="21"/>
                <w:color w:val="auto"/>
              </w:rPr>
              <w:t>Section 6.07.</w:t>
            </w:r>
          </w:p>
        </w:tc>
        <w:tc>
          <w:tcPr>
            <w:tcW w:w="6480" w:type="dxa"/>
            <w:vAlign w:val="bottom"/>
            <w:gridSpan w:val="2"/>
          </w:tcPr>
          <w:p>
            <w:pPr>
              <w:spacing w:after="0"/>
              <w:rPr>
                <w:sz w:val="20"/>
                <w:szCs w:val="20"/>
                <w:color w:val="auto"/>
              </w:rPr>
            </w:pPr>
            <w:r>
              <w:rPr>
                <w:rFonts w:ascii="Arial" w:cs="Arial" w:eastAsia="Arial" w:hAnsi="Arial"/>
                <w:sz w:val="21"/>
                <w:szCs w:val="21"/>
                <w:i w:val="1"/>
                <w:iCs w:val="1"/>
                <w:color w:val="auto"/>
              </w:rPr>
              <w:t>Swap Agreements</w:t>
            </w:r>
          </w:p>
        </w:tc>
      </w:tr>
      <w:tr>
        <w:trPr>
          <w:trHeight w:val="661"/>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ind w:left="1560"/>
              <w:spacing w:after="0"/>
              <w:rPr>
                <w:sz w:val="20"/>
                <w:szCs w:val="20"/>
                <w:color w:val="auto"/>
              </w:rPr>
            </w:pPr>
            <w:r>
              <w:rPr>
                <w:rFonts w:ascii="Arial" w:cs="Arial" w:eastAsia="Arial" w:hAnsi="Arial"/>
                <w:sz w:val="21"/>
                <w:szCs w:val="21"/>
                <w:color w:val="auto"/>
              </w:rPr>
              <w:t>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61595</wp:posOffset>
            </wp:positionV>
            <wp:extent cx="661098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7</w:t>
      </w:r>
      <w:r>
        <w:rPr>
          <w:rFonts w:ascii="Arial" w:cs="Arial" w:eastAsia="Arial" w:hAnsi="Arial"/>
          <w:sz w:val="21"/>
          <w:szCs w:val="21"/>
          <w:u w:val="single" w:color="auto"/>
          <w:color w:val="0000FF"/>
        </w:rPr>
        <w:t>9</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8</w:t>
      </w:r>
      <w:r>
        <w:rPr>
          <w:rFonts w:ascii="Arial" w:cs="Arial" w:eastAsia="Arial" w:hAnsi="Arial"/>
          <w:sz w:val="21"/>
          <w:szCs w:val="21"/>
          <w:u w:val="single" w:color="auto"/>
          <w:color w:val="0000FF"/>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10</w:t>
      </w:r>
      <w:r>
        <w:rPr>
          <w:rFonts w:ascii="Arial" w:cs="Arial" w:eastAsia="Arial" w:hAnsi="Arial"/>
          <w:sz w:val="21"/>
          <w:szCs w:val="21"/>
          <w:color w:val="FF0000"/>
          <w:strike w:val="1"/>
        </w:rPr>
        <w:t>8</w:t>
      </w:r>
      <w:r>
        <w:rPr>
          <w:rFonts w:ascii="Arial" w:cs="Arial" w:eastAsia="Arial" w:hAnsi="Arial"/>
          <w:sz w:val="21"/>
          <w:szCs w:val="21"/>
          <w:u w:val="single" w:color="auto"/>
          <w:color w:val="0000FF"/>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0000FF"/>
        </w:rPr>
        <w:t>1</w:t>
      </w:r>
      <w:r>
        <w:rPr>
          <w:rFonts w:ascii="Arial" w:cs="Arial" w:eastAsia="Arial" w:hAnsi="Arial"/>
          <w:sz w:val="21"/>
          <w:szCs w:val="21"/>
          <w:color w:val="auto"/>
        </w:rPr>
        <w:t>0</w:t>
      </w:r>
      <w:r>
        <w:rPr>
          <w:rFonts w:ascii="Arial" w:cs="Arial" w:eastAsia="Arial" w:hAnsi="Arial"/>
          <w:sz w:val="21"/>
          <w:szCs w:val="21"/>
          <w:color w:val="FF0000"/>
          <w:strike w:val="1"/>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0000FF"/>
        </w:rPr>
        <w:t>1</w:t>
      </w:r>
      <w:r>
        <w:rPr>
          <w:rFonts w:ascii="Arial" w:cs="Arial" w:eastAsia="Arial" w:hAnsi="Arial"/>
          <w:sz w:val="21"/>
          <w:szCs w:val="21"/>
          <w:color w:val="auto"/>
        </w:rPr>
        <w:t>0</w:t>
      </w:r>
      <w:r>
        <w:rPr>
          <w:rFonts w:ascii="Arial" w:cs="Arial" w:eastAsia="Arial" w:hAnsi="Arial"/>
          <w:sz w:val="21"/>
          <w:szCs w:val="21"/>
          <w:color w:val="FF0000"/>
          <w:strike w:val="1"/>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0000FF"/>
        </w:rPr>
        <w:t>1</w:t>
      </w:r>
      <w:r>
        <w:rPr>
          <w:rFonts w:ascii="Arial" w:cs="Arial" w:eastAsia="Arial" w:hAnsi="Arial"/>
          <w:sz w:val="21"/>
          <w:szCs w:val="21"/>
          <w:color w:val="auto"/>
        </w:rPr>
        <w:t>0</w:t>
      </w:r>
      <w:r>
        <w:rPr>
          <w:rFonts w:ascii="Arial" w:cs="Arial" w:eastAsia="Arial" w:hAnsi="Arial"/>
          <w:sz w:val="21"/>
          <w:szCs w:val="21"/>
          <w:color w:val="FF0000"/>
          <w:strike w:val="1"/>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0000FF"/>
        </w:rPr>
        <w:t>1</w:t>
      </w:r>
      <w:r>
        <w:rPr>
          <w:rFonts w:ascii="Arial" w:cs="Arial" w:eastAsia="Arial" w:hAnsi="Arial"/>
          <w:sz w:val="21"/>
          <w:szCs w:val="21"/>
          <w:color w:val="auto"/>
        </w:rPr>
        <w:t>0</w:t>
      </w:r>
      <w:r>
        <w:rPr>
          <w:rFonts w:ascii="Arial" w:cs="Arial" w:eastAsia="Arial" w:hAnsi="Arial"/>
          <w:sz w:val="21"/>
          <w:szCs w:val="21"/>
          <w:color w:val="FF0000"/>
          <w:strike w:val="1"/>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0000FF"/>
        </w:rPr>
        <w:t>1</w:t>
      </w:r>
      <w:r>
        <w:rPr>
          <w:rFonts w:ascii="Arial" w:cs="Arial" w:eastAsia="Arial" w:hAnsi="Arial"/>
          <w:sz w:val="21"/>
          <w:szCs w:val="21"/>
          <w:color w:val="auto"/>
        </w:rPr>
        <w:t>0</w:t>
      </w:r>
      <w:r>
        <w:rPr>
          <w:rFonts w:ascii="Arial" w:cs="Arial" w:eastAsia="Arial" w:hAnsi="Arial"/>
          <w:sz w:val="21"/>
          <w:szCs w:val="21"/>
          <w:color w:val="FF0000"/>
          <w:strike w:val="1"/>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u w:val="single" w:color="auto"/>
          <w:color w:val="0000FF"/>
        </w:rPr>
        <w:t>1</w:t>
      </w:r>
      <w:r>
        <w:rPr>
          <w:rFonts w:ascii="Arial" w:cs="Arial" w:eastAsia="Arial" w:hAnsi="Arial"/>
          <w:sz w:val="21"/>
          <w:szCs w:val="21"/>
          <w:color w:val="auto"/>
        </w:rPr>
        <w:t>0</w:t>
      </w:r>
      <w:r>
        <w:rPr>
          <w:rFonts w:ascii="Arial" w:cs="Arial" w:eastAsia="Arial" w:hAnsi="Arial"/>
          <w:sz w:val="21"/>
          <w:szCs w:val="21"/>
          <w:color w:val="FF0000"/>
          <w:strike w:val="1"/>
        </w:rPr>
        <w:t>9</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09</w:t>
      </w:r>
      <w:r>
        <w:rPr>
          <w:rFonts w:ascii="Arial" w:cs="Arial" w:eastAsia="Arial" w:hAnsi="Arial"/>
          <w:sz w:val="18"/>
          <w:szCs w:val="18"/>
          <w:color w:val="0000FF"/>
          <w:strike w:val="1"/>
        </w:rPr>
        <w:t>11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09</w:t>
      </w:r>
      <w:r>
        <w:rPr>
          <w:rFonts w:ascii="Arial" w:cs="Arial" w:eastAsia="Arial" w:hAnsi="Arial"/>
          <w:sz w:val="18"/>
          <w:szCs w:val="18"/>
          <w:u w:val="single" w:color="auto"/>
          <w:color w:val="0000FF"/>
        </w:rPr>
        <w:t>11</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11</w:t>
      </w:r>
      <w:r>
        <w:rPr>
          <w:rFonts w:ascii="Arial" w:cs="Arial" w:eastAsia="Arial" w:hAnsi="Arial"/>
          <w:sz w:val="21"/>
          <w:szCs w:val="21"/>
          <w:color w:val="FF0000"/>
          <w:strike w:val="1"/>
        </w:rPr>
        <w:t>0</w:t>
      </w:r>
      <w:r>
        <w:rPr>
          <w:rFonts w:ascii="Arial" w:cs="Arial" w:eastAsia="Arial" w:hAnsi="Arial"/>
          <w:sz w:val="21"/>
          <w:szCs w:val="21"/>
          <w:u w:val="single" w:color="auto"/>
          <w:color w:val="0000FF"/>
        </w:rPr>
        <w:t>2</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112</w:t>
      </w:r>
    </w:p>
    <w:p>
      <w:pPr>
        <w:jc w:val="right"/>
        <w:spacing w:after="0"/>
        <w:rPr>
          <w:sz w:val="20"/>
          <w:szCs w:val="20"/>
          <w:color w:val="auto"/>
        </w:rPr>
      </w:pPr>
      <w:r>
        <w:rPr>
          <w:rFonts w:ascii="Arial" w:cs="Arial" w:eastAsia="Arial" w:hAnsi="Arial"/>
          <w:sz w:val="21"/>
          <w:szCs w:val="21"/>
          <w:color w:val="auto"/>
        </w:rPr>
        <w:t>11</w:t>
      </w:r>
      <w:r>
        <w:rPr>
          <w:rFonts w:ascii="Arial" w:cs="Arial" w:eastAsia="Arial" w:hAnsi="Arial"/>
          <w:sz w:val="21"/>
          <w:szCs w:val="21"/>
          <w:color w:val="FF0000"/>
          <w:strike w:val="1"/>
        </w:rPr>
        <w:t>0</w:t>
      </w:r>
      <w:r>
        <w:rPr>
          <w:rFonts w:ascii="Arial" w:cs="Arial" w:eastAsia="Arial" w:hAnsi="Arial"/>
          <w:sz w:val="21"/>
          <w:szCs w:val="21"/>
          <w:u w:val="single" w:color="auto"/>
          <w:color w:val="0000FF"/>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11</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114</w:t>
      </w:r>
    </w:p>
    <w:p>
      <w:pPr>
        <w:jc w:val="right"/>
        <w:spacing w:after="0" w:line="236" w:lineRule="auto"/>
        <w:rPr>
          <w:sz w:val="20"/>
          <w:szCs w:val="20"/>
          <w:color w:val="auto"/>
        </w:rPr>
      </w:pPr>
      <w:r>
        <w:rPr>
          <w:rFonts w:ascii="Arial" w:cs="Arial" w:eastAsia="Arial" w:hAnsi="Arial"/>
          <w:sz w:val="21"/>
          <w:szCs w:val="21"/>
          <w:u w:val="single" w:color="auto"/>
          <w:color w:val="0000FF"/>
        </w:rPr>
        <w:t>117</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11</w:t>
      </w:r>
      <w:r>
        <w:rPr>
          <w:rFonts w:ascii="Arial" w:cs="Arial" w:eastAsia="Arial" w:hAnsi="Arial"/>
          <w:sz w:val="21"/>
          <w:szCs w:val="21"/>
          <w:color w:val="FF0000"/>
          <w:strike w:val="1"/>
        </w:rPr>
        <w:t>5</w:t>
      </w:r>
      <w:r>
        <w:rPr>
          <w:rFonts w:ascii="Arial" w:cs="Arial" w:eastAsia="Arial" w:hAnsi="Arial"/>
          <w:sz w:val="21"/>
          <w:szCs w:val="21"/>
          <w:u w:val="single" w:color="auto"/>
          <w:color w:val="0000FF"/>
        </w:rPr>
        <w:t>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0</w:t>
      </w:r>
      <w:r>
        <w:rPr>
          <w:rFonts w:ascii="Arial" w:cs="Arial" w:eastAsia="Arial" w:hAnsi="Arial"/>
          <w:sz w:val="21"/>
          <w:szCs w:val="21"/>
          <w:u w:val="single" w:color="auto"/>
          <w:color w:val="0000FF"/>
        </w:rPr>
        <w:t>1</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0</w:t>
      </w:r>
      <w:r>
        <w:rPr>
          <w:rFonts w:ascii="Arial" w:cs="Arial" w:eastAsia="Arial" w:hAnsi="Arial"/>
          <w:sz w:val="21"/>
          <w:szCs w:val="21"/>
          <w:u w:val="single" w:color="auto"/>
          <w:color w:val="0000FF"/>
        </w:rPr>
        <w:t>2</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1</w:t>
      </w:r>
      <w:r>
        <w:rPr>
          <w:rFonts w:ascii="Arial" w:cs="Arial" w:eastAsia="Arial" w:hAnsi="Arial"/>
          <w:sz w:val="21"/>
          <w:szCs w:val="21"/>
          <w:u w:val="single" w:color="auto"/>
          <w:color w:val="0000FF"/>
        </w:rPr>
        <w:t>2</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1</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1</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1</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2</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2</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2</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3</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3</w:t>
      </w:r>
      <w:r>
        <w:rPr>
          <w:rFonts w:ascii="Arial" w:cs="Arial" w:eastAsia="Arial" w:hAnsi="Arial"/>
          <w:sz w:val="21"/>
          <w:szCs w:val="21"/>
          <w:u w:val="single" w:color="auto"/>
          <w:color w:val="0000FF"/>
        </w:rPr>
        <w:t>5</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126</w:t>
      </w:r>
    </w:p>
    <w:p>
      <w:pPr>
        <w:jc w:val="right"/>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color w:val="FF0000"/>
          <w:strike w:val="1"/>
        </w:rPr>
        <w:t>5</w:t>
      </w:r>
      <w:r>
        <w:rPr>
          <w:rFonts w:ascii="Arial" w:cs="Arial" w:eastAsia="Arial" w:hAnsi="Arial"/>
          <w:sz w:val="21"/>
          <w:szCs w:val="21"/>
          <w:u w:val="single" w:color="auto"/>
          <w:color w:val="0000FF"/>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13</w:t>
      </w:r>
      <w:r>
        <w:rPr>
          <w:rFonts w:ascii="Arial" w:cs="Arial" w:eastAsia="Arial" w:hAnsi="Arial"/>
          <w:sz w:val="21"/>
          <w:szCs w:val="21"/>
          <w:color w:val="FF0000"/>
          <w:strike w:val="1"/>
        </w:rPr>
        <w:t>0</w:t>
      </w:r>
      <w:r>
        <w:rPr>
          <w:rFonts w:ascii="Arial" w:cs="Arial" w:eastAsia="Arial" w:hAnsi="Arial"/>
          <w:sz w:val="21"/>
          <w:szCs w:val="21"/>
          <w:u w:val="single" w:color="auto"/>
          <w:color w:val="0000FF"/>
        </w:rPr>
        <w:t>1</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13</w:t>
      </w:r>
      <w:r>
        <w:rPr>
          <w:rFonts w:ascii="Arial" w:cs="Arial" w:eastAsia="Arial" w:hAnsi="Arial"/>
          <w:sz w:val="21"/>
          <w:szCs w:val="21"/>
          <w:color w:val="FF0000"/>
          <w:strike w:val="1"/>
        </w:rPr>
        <w:t>3</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13</w:t>
      </w:r>
      <w:r>
        <w:rPr>
          <w:rFonts w:ascii="Arial" w:cs="Arial" w:eastAsia="Arial" w:hAnsi="Arial"/>
          <w:sz w:val="21"/>
          <w:szCs w:val="21"/>
          <w:color w:val="FF0000"/>
          <w:strike w:val="1"/>
        </w:rPr>
        <w:t>6</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39</w:t>
      </w:r>
      <w:r>
        <w:rPr>
          <w:rFonts w:ascii="Arial" w:cs="Arial" w:eastAsia="Arial" w:hAnsi="Arial"/>
          <w:sz w:val="18"/>
          <w:szCs w:val="18"/>
          <w:u w:val="single" w:color="auto"/>
          <w:color w:val="0000FF"/>
        </w:rPr>
        <w:t>41</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14</w:t>
      </w:r>
      <w:r>
        <w:rPr>
          <w:rFonts w:ascii="Arial" w:cs="Arial" w:eastAsia="Arial" w:hAnsi="Arial"/>
          <w:sz w:val="21"/>
          <w:szCs w:val="21"/>
          <w:color w:val="FF0000"/>
          <w:strike w:val="1"/>
        </w:rPr>
        <w:t>1</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14</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p>
    <w:p>
      <w:pPr>
        <w:sectPr>
          <w:pgSz w:w="11900" w:h="16838" w:orient="portrait"/>
          <w:cols w:equalWidth="0" w:num="2">
            <w:col w:w="9160" w:space="720"/>
            <w:col w:w="520"/>
          </w:cols>
          <w:pgMar w:left="740" w:top="211" w:right="759" w:bottom="1440" w:gutter="0" w:footer="0" w:header="0"/>
        </w:sectPr>
      </w:pPr>
    </w:p>
    <w:bookmarkStart w:id="165" w:name="page166"/>
    <w:bookmarkEnd w:id="165"/>
    <w:p>
      <w:pPr>
        <w:spacing w:after="0"/>
        <w:rPr>
          <w:sz w:val="20"/>
          <w:szCs w:val="20"/>
          <w:color w:val="auto"/>
        </w:rPr>
      </w:pPr>
      <w:r>
        <w:rPr>
          <w:rFonts w:ascii="Arial" w:cs="Arial" w:eastAsia="Arial" w:hAnsi="Arial"/>
          <w:sz w:val="19"/>
          <w:szCs w:val="19"/>
          <w:color w:val="auto"/>
        </w:rPr>
        <w:t>Section 6.08.</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Section 6.09.</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6.10.</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6.11.</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6.12.</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6.13.</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6.14.</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6.15.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Section 7.01.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Section 7.02.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Section 9.01.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Section 9.02.</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Section 9.03.</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9.04.</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9.05.</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9.06.</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9.07.</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9.08.</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9.09.</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9.10.</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9.11.</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9.12.</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9.13.</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9.14.</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9.15.</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9.16.</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9.17.</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9.18.</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9.19.</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Section 9.20.</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Section 9.21.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i w:val="1"/>
          <w:iCs w:val="1"/>
          <w:color w:val="auto"/>
        </w:rPr>
        <w:t>Restricted Payments; Certain Payments of Indebtedness</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Transactions with Affiliates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Restrictive Agreements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Amendment of Junior Financing</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Interest Coverage Ratio</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FF0000"/>
          <w:strike w:val="1"/>
        </w:rPr>
        <w:t>Total Net</w:t>
      </w:r>
      <w:r>
        <w:rPr>
          <w:rFonts w:ascii="Arial" w:cs="Arial" w:eastAsia="Arial" w:hAnsi="Arial"/>
          <w:sz w:val="21"/>
          <w:szCs w:val="21"/>
          <w:i w:val="1"/>
          <w:iCs w:val="1"/>
          <w:color w:val="FF0000"/>
        </w:rPr>
        <w:t xml:space="preserve"> </w:t>
      </w:r>
      <w:r>
        <w:rPr>
          <w:rFonts w:ascii="Arial" w:cs="Arial" w:eastAsia="Arial" w:hAnsi="Arial"/>
          <w:sz w:val="21"/>
          <w:szCs w:val="21"/>
          <w:i w:val="1"/>
          <w:iCs w:val="1"/>
          <w:color w:val="000000"/>
        </w:rPr>
        <w:t>Leverage Ratio</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Equity Interests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Changes in Fiscal Periods</w:t>
      </w:r>
    </w:p>
    <w:p>
      <w:pPr>
        <w:spacing w:after="0" w:line="72" w:lineRule="exact"/>
        <w:rPr>
          <w:sz w:val="20"/>
          <w:szCs w:val="20"/>
          <w:color w:val="auto"/>
        </w:rPr>
      </w:pPr>
    </w:p>
    <w:p>
      <w:pPr>
        <w:ind w:left="1840"/>
        <w:spacing w:after="0"/>
        <w:rPr>
          <w:sz w:val="20"/>
          <w:szCs w:val="20"/>
          <w:color w:val="auto"/>
        </w:rPr>
      </w:pPr>
      <w:r>
        <w:rPr>
          <w:rFonts w:ascii="Arial" w:cs="Arial" w:eastAsia="Arial" w:hAnsi="Arial"/>
          <w:sz w:val="21"/>
          <w:szCs w:val="21"/>
          <w:color w:val="auto"/>
        </w:rPr>
        <w:t>ARTICLE 7 EVENTS OF DEFAULT</w:t>
      </w:r>
    </w:p>
    <w:p>
      <w:pPr>
        <w:spacing w:after="0" w:line="8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Events of Default</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Right to Cure</w:t>
      </w:r>
    </w:p>
    <w:p>
      <w:pPr>
        <w:spacing w:after="0" w:line="72"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auto"/>
        </w:rPr>
        <w:t>ARTICLE 8 ADMINISTRATIVE AGENT AND COLLATERAL AGENT</w:t>
      </w:r>
    </w:p>
    <w:p>
      <w:pPr>
        <w:spacing w:after="0" w:line="101" w:lineRule="exact"/>
        <w:rPr>
          <w:sz w:val="20"/>
          <w:szCs w:val="20"/>
          <w:color w:val="auto"/>
        </w:rPr>
      </w:pPr>
    </w:p>
    <w:p>
      <w:pPr>
        <w:jc w:val="center"/>
        <w:ind w:right="820"/>
        <w:spacing w:after="0"/>
        <w:rPr>
          <w:sz w:val="20"/>
          <w:szCs w:val="20"/>
          <w:color w:val="auto"/>
        </w:rPr>
      </w:pPr>
      <w:r>
        <w:rPr>
          <w:rFonts w:ascii="Arial" w:cs="Arial" w:eastAsia="Arial" w:hAnsi="Arial"/>
          <w:sz w:val="21"/>
          <w:szCs w:val="21"/>
          <w:color w:val="auto"/>
        </w:rPr>
        <w:t>ARTICLE 9 MISCELLANEOUS</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Notices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Waivers; Amendments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Expenses; Indemnity; Damage Waiver</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Successors and Assigns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Survival</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Counterparts; Integration; Effectiveness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Severability</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Right of Setoff</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Governing Law; Jurisdiction; Consent to Service of Process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Waiver of Jury Trial</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Headings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Confidentiality</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USA Patriot Act</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Release of Liens and Guarantees</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No Advisory or Fiduciary Responsibility</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Interest Rate Limitation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Lender Action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Marshalling; Payments Set Aside</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Margin Stock; Collateral</w:t>
      </w:r>
    </w:p>
    <w:p>
      <w:pPr>
        <w:spacing w:after="0" w:line="10" w:lineRule="exact"/>
        <w:rPr>
          <w:sz w:val="20"/>
          <w:szCs w:val="20"/>
          <w:color w:val="auto"/>
        </w:rPr>
      </w:pPr>
    </w:p>
    <w:p>
      <w:pPr>
        <w:ind w:right="1660"/>
        <w:spacing w:after="0" w:line="246" w:lineRule="auto"/>
        <w:rPr>
          <w:sz w:val="20"/>
          <w:szCs w:val="20"/>
          <w:color w:val="auto"/>
        </w:rPr>
      </w:pPr>
      <w:r>
        <w:rPr>
          <w:rFonts w:ascii="Arial" w:cs="Arial" w:eastAsia="Arial" w:hAnsi="Arial"/>
          <w:sz w:val="21"/>
          <w:szCs w:val="21"/>
          <w:i w:val="1"/>
          <w:iCs w:val="1"/>
          <w:color w:val="auto"/>
        </w:rPr>
        <w:t>Acknowledgement and Consent to Bail</w:t>
      </w:r>
      <w:r>
        <w:rPr>
          <w:rFonts w:ascii="Arial" w:cs="Arial" w:eastAsia="Arial" w:hAnsi="Arial"/>
          <w:sz w:val="21"/>
          <w:szCs w:val="21"/>
          <w:color w:val="auto"/>
        </w:rPr>
        <w:t>-</w:t>
      </w:r>
      <w:r>
        <w:rPr>
          <w:rFonts w:ascii="Arial" w:cs="Arial" w:eastAsia="Arial" w:hAnsi="Arial"/>
          <w:sz w:val="21"/>
          <w:szCs w:val="21"/>
          <w:i w:val="1"/>
          <w:iCs w:val="1"/>
          <w:color w:val="auto"/>
        </w:rPr>
        <w:t xml:space="preserve">in of EEA Financial Institutions </w:t>
      </w:r>
      <w:r>
        <w:rPr>
          <w:rFonts w:ascii="Arial" w:cs="Arial" w:eastAsia="Arial" w:hAnsi="Arial"/>
          <w:sz w:val="21"/>
          <w:szCs w:val="21"/>
          <w:i w:val="1"/>
          <w:iCs w:val="1"/>
          <w:u w:val="single" w:color="auto"/>
          <w:color w:val="0000FF"/>
        </w:rPr>
        <w:t>Certain ERISA Matters</w:t>
      </w:r>
    </w:p>
    <w:p>
      <w:pPr>
        <w:spacing w:after="0" w:line="200" w:lineRule="exact"/>
        <w:rPr>
          <w:sz w:val="20"/>
          <w:szCs w:val="20"/>
          <w:color w:val="auto"/>
        </w:rPr>
      </w:pPr>
    </w:p>
    <w:p>
      <w:pPr>
        <w:spacing w:after="0" w:line="399" w:lineRule="exact"/>
        <w:rPr>
          <w:sz w:val="20"/>
          <w:szCs w:val="20"/>
          <w:color w:val="auto"/>
        </w:rPr>
      </w:pPr>
    </w:p>
    <w:p>
      <w:pPr>
        <w:ind w:left="3680"/>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78740</wp:posOffset>
            </wp:positionV>
            <wp:extent cx="661098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1"/>
          <w:szCs w:val="21"/>
          <w:color w:val="auto"/>
        </w:rPr>
        <w:t>14</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14</w:t>
      </w:r>
      <w:r>
        <w:rPr>
          <w:rFonts w:ascii="Arial" w:cs="Arial" w:eastAsia="Arial" w:hAnsi="Arial"/>
          <w:sz w:val="21"/>
          <w:szCs w:val="21"/>
          <w:color w:val="FF0000"/>
          <w:strike w:val="1"/>
        </w:rPr>
        <w:t>7</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14</w:t>
      </w:r>
      <w:r>
        <w:rPr>
          <w:rFonts w:ascii="Arial" w:cs="Arial" w:eastAsia="Arial" w:hAnsi="Arial"/>
          <w:sz w:val="21"/>
          <w:szCs w:val="21"/>
          <w:color w:val="FF0000"/>
          <w:strike w:val="1"/>
        </w:rPr>
        <w:t>7</w:t>
      </w:r>
      <w:r>
        <w:rPr>
          <w:rFonts w:ascii="Arial" w:cs="Arial" w:eastAsia="Arial" w:hAnsi="Arial"/>
          <w:sz w:val="21"/>
          <w:szCs w:val="21"/>
          <w:u w:val="single" w:color="auto"/>
          <w:color w:val="0000FF"/>
        </w:rPr>
        <w:t>9</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48</w:t>
      </w:r>
      <w:r>
        <w:rPr>
          <w:rFonts w:ascii="Arial" w:cs="Arial" w:eastAsia="Arial" w:hAnsi="Arial"/>
          <w:sz w:val="18"/>
          <w:szCs w:val="18"/>
          <w:u w:val="single" w:color="auto"/>
          <w:color w:val="0000FF"/>
        </w:rPr>
        <w:t>50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49</w:t>
      </w:r>
      <w:r>
        <w:rPr>
          <w:rFonts w:ascii="Arial" w:cs="Arial" w:eastAsia="Arial" w:hAnsi="Arial"/>
          <w:sz w:val="18"/>
          <w:szCs w:val="18"/>
          <w:u w:val="single" w:color="auto"/>
          <w:color w:val="0000FF"/>
        </w:rPr>
        <w:t>50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49</w:t>
      </w:r>
      <w:r>
        <w:rPr>
          <w:rFonts w:ascii="Arial" w:cs="Arial" w:eastAsia="Arial" w:hAnsi="Arial"/>
          <w:sz w:val="18"/>
          <w:szCs w:val="18"/>
          <w:u w:val="single" w:color="auto"/>
          <w:color w:val="0000FF"/>
        </w:rPr>
        <w:t>50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49</w:t>
      </w:r>
      <w:r>
        <w:rPr>
          <w:rFonts w:ascii="Arial" w:cs="Arial" w:eastAsia="Arial" w:hAnsi="Arial"/>
          <w:sz w:val="18"/>
          <w:szCs w:val="18"/>
          <w:u w:val="single" w:color="auto"/>
          <w:color w:val="0000FF"/>
        </w:rPr>
        <w:t>50</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15</w:t>
      </w:r>
      <w:r>
        <w:rPr>
          <w:rFonts w:ascii="Arial" w:cs="Arial" w:eastAsia="Arial" w:hAnsi="Arial"/>
          <w:sz w:val="21"/>
          <w:szCs w:val="21"/>
          <w:color w:val="FF0000"/>
          <w:strike w:val="1"/>
        </w:rPr>
        <w:t>0</w:t>
      </w:r>
      <w:r>
        <w:rPr>
          <w:rFonts w:ascii="Arial" w:cs="Arial" w:eastAsia="Arial" w:hAnsi="Arial"/>
          <w:sz w:val="21"/>
          <w:szCs w:val="21"/>
          <w:u w:val="single" w:color="auto"/>
          <w:color w:val="0000FF"/>
        </w:rPr>
        <w:t>1</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152</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15</w:t>
      </w:r>
      <w:r>
        <w:rPr>
          <w:rFonts w:ascii="Arial" w:cs="Arial" w:eastAsia="Arial" w:hAnsi="Arial"/>
          <w:sz w:val="21"/>
          <w:szCs w:val="21"/>
          <w:color w:val="FF0000"/>
          <w:strike w:val="1"/>
        </w:rPr>
        <w:t>0</w:t>
      </w:r>
      <w:r>
        <w:rPr>
          <w:rFonts w:ascii="Arial" w:cs="Arial" w:eastAsia="Arial" w:hAnsi="Arial"/>
          <w:sz w:val="21"/>
          <w:szCs w:val="21"/>
          <w:u w:val="single" w:color="auto"/>
          <w:color w:val="0000FF"/>
        </w:rPr>
        <w:t>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15</w:t>
      </w:r>
      <w:r>
        <w:rPr>
          <w:rFonts w:ascii="Arial" w:cs="Arial" w:eastAsia="Arial" w:hAnsi="Arial"/>
          <w:sz w:val="21"/>
          <w:szCs w:val="21"/>
          <w:color w:val="FF0000"/>
          <w:strike w:val="1"/>
        </w:rPr>
        <w:t>3</w:t>
      </w:r>
      <w:r>
        <w:rPr>
          <w:rFonts w:ascii="Arial" w:cs="Arial" w:eastAsia="Arial" w:hAnsi="Arial"/>
          <w:sz w:val="21"/>
          <w:szCs w:val="21"/>
          <w:u w:val="single" w:color="auto"/>
          <w:color w:val="0000FF"/>
        </w:rPr>
        <w:t>5</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156</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161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59</w:t>
      </w:r>
      <w:r>
        <w:rPr>
          <w:rFonts w:ascii="Arial" w:cs="Arial" w:eastAsia="Arial" w:hAnsi="Arial"/>
          <w:sz w:val="18"/>
          <w:szCs w:val="18"/>
          <w:u w:val="single" w:color="auto"/>
          <w:color w:val="0000FF"/>
        </w:rPr>
        <w:t>61</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16</w:t>
      </w:r>
      <w:r>
        <w:rPr>
          <w:rFonts w:ascii="Arial" w:cs="Arial" w:eastAsia="Arial" w:hAnsi="Arial"/>
          <w:sz w:val="21"/>
          <w:szCs w:val="21"/>
          <w:color w:val="FF0000"/>
          <w:strike w:val="1"/>
        </w:rPr>
        <w:t>1</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16</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16</w:t>
      </w:r>
      <w:r>
        <w:rPr>
          <w:rFonts w:ascii="Arial" w:cs="Arial" w:eastAsia="Arial" w:hAnsi="Arial"/>
          <w:sz w:val="21"/>
          <w:szCs w:val="21"/>
          <w:color w:val="FF0000"/>
          <w:strike w:val="1"/>
        </w:rPr>
        <w:t>6</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1</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2</w:t>
      </w:r>
      <w:r>
        <w:rPr>
          <w:rFonts w:ascii="Arial" w:cs="Arial" w:eastAsia="Arial" w:hAnsi="Arial"/>
          <w:sz w:val="21"/>
          <w:szCs w:val="21"/>
          <w:u w:val="single" w:color="auto"/>
          <w:color w:val="0000FF"/>
        </w:rPr>
        <w:t>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2</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3</w:t>
      </w:r>
      <w:r>
        <w:rPr>
          <w:rFonts w:ascii="Arial" w:cs="Arial" w:eastAsia="Arial" w:hAnsi="Arial"/>
          <w:sz w:val="21"/>
          <w:szCs w:val="21"/>
          <w:u w:val="single" w:color="auto"/>
          <w:color w:val="0000FF"/>
        </w:rPr>
        <w:t>4</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3</w:t>
      </w:r>
      <w:r>
        <w:rPr>
          <w:rFonts w:ascii="Arial" w:cs="Arial" w:eastAsia="Arial" w:hAnsi="Arial"/>
          <w:sz w:val="21"/>
          <w:szCs w:val="21"/>
          <w:u w:val="single" w:color="auto"/>
          <w:color w:val="0000FF"/>
        </w:rPr>
        <w:t>5</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4</w:t>
      </w:r>
      <w:r>
        <w:rPr>
          <w:rFonts w:ascii="Arial" w:cs="Arial" w:eastAsia="Arial" w:hAnsi="Arial"/>
          <w:sz w:val="21"/>
          <w:szCs w:val="21"/>
          <w:u w:val="single" w:color="auto"/>
          <w:color w:val="0000FF"/>
        </w:rPr>
        <w:t>5</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4</w:t>
      </w:r>
      <w:r>
        <w:rPr>
          <w:rFonts w:ascii="Arial" w:cs="Arial" w:eastAsia="Arial" w:hAnsi="Arial"/>
          <w:sz w:val="21"/>
          <w:szCs w:val="21"/>
          <w:u w:val="single" w:color="auto"/>
          <w:color w:val="0000FF"/>
        </w:rPr>
        <w:t>6</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6</w:t>
      </w:r>
      <w:r>
        <w:rPr>
          <w:rFonts w:ascii="Arial" w:cs="Arial" w:eastAsia="Arial" w:hAnsi="Arial"/>
          <w:sz w:val="21"/>
          <w:szCs w:val="21"/>
          <w:u w:val="single" w:color="auto"/>
          <w:color w:val="0000FF"/>
        </w:rPr>
        <w:t>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6</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7</w:t>
      </w:r>
      <w:r>
        <w:rPr>
          <w:rFonts w:ascii="Arial" w:cs="Arial" w:eastAsia="Arial" w:hAnsi="Arial"/>
          <w:sz w:val="21"/>
          <w:szCs w:val="21"/>
          <w:u w:val="single" w:color="auto"/>
          <w:color w:val="0000FF"/>
        </w:rPr>
        <w:t>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8</w:t>
      </w:r>
      <w:r>
        <w:rPr>
          <w:rFonts w:ascii="Arial" w:cs="Arial" w:eastAsia="Arial" w:hAnsi="Arial"/>
          <w:sz w:val="21"/>
          <w:szCs w:val="21"/>
          <w:u w:val="single" w:color="auto"/>
          <w:color w:val="0000FF"/>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17</w:t>
      </w:r>
      <w:r>
        <w:rPr>
          <w:rFonts w:ascii="Arial" w:cs="Arial" w:eastAsia="Arial" w:hAnsi="Arial"/>
          <w:sz w:val="21"/>
          <w:szCs w:val="21"/>
          <w:color w:val="FF0000"/>
          <w:strike w:val="1"/>
        </w:rPr>
        <w:t>8</w:t>
      </w:r>
      <w:r>
        <w:rPr>
          <w:rFonts w:ascii="Arial" w:cs="Arial" w:eastAsia="Arial" w:hAnsi="Arial"/>
          <w:sz w:val="21"/>
          <w:szCs w:val="21"/>
          <w:u w:val="single" w:color="auto"/>
          <w:color w:val="0000FF"/>
        </w:rPr>
        <w:t>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color w:val="FF0000"/>
          <w:strike w:val="1"/>
        </w:rPr>
        <w:t>7</w:t>
      </w:r>
      <w:r>
        <w:rPr>
          <w:rFonts w:ascii="Arial" w:cs="Arial" w:eastAsia="Arial" w:hAnsi="Arial"/>
          <w:sz w:val="21"/>
          <w:szCs w:val="21"/>
          <w:u w:val="single" w:color="auto"/>
          <w:color w:val="auto"/>
        </w:rPr>
        <w:t>8</w:t>
      </w:r>
      <w:r>
        <w:rPr>
          <w:rFonts w:ascii="Arial" w:cs="Arial" w:eastAsia="Arial" w:hAnsi="Arial"/>
          <w:sz w:val="21"/>
          <w:szCs w:val="21"/>
          <w:u w:val="single" w:color="auto"/>
          <w:color w:val="0000FF"/>
        </w:rPr>
        <w:t>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r>
        <w:rPr>
          <w:rFonts w:ascii="Arial" w:cs="Arial" w:eastAsia="Arial" w:hAnsi="Arial"/>
          <w:sz w:val="21"/>
          <w:szCs w:val="21"/>
          <w:color w:val="FF0000"/>
          <w:strike w:val="1"/>
        </w:rPr>
        <w:t>7</w:t>
      </w:r>
      <w:r>
        <w:rPr>
          <w:rFonts w:ascii="Arial" w:cs="Arial" w:eastAsia="Arial" w:hAnsi="Arial"/>
          <w:sz w:val="21"/>
          <w:szCs w:val="21"/>
          <w:u w:val="single" w:color="auto"/>
          <w:color w:val="auto"/>
        </w:rPr>
        <w:t>8</w:t>
      </w:r>
      <w:r>
        <w:rPr>
          <w:rFonts w:ascii="Arial" w:cs="Arial" w:eastAsia="Arial" w:hAnsi="Arial"/>
          <w:sz w:val="21"/>
          <w:szCs w:val="21"/>
          <w:u w:val="single" w:color="auto"/>
          <w:color w:val="0000FF"/>
        </w:rPr>
        <w:t>0</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color w:val="FF0000"/>
          <w:strike w:val="1"/>
        </w:rPr>
        <w:t>79</w:t>
      </w:r>
      <w:r>
        <w:rPr>
          <w:rFonts w:ascii="Arial" w:cs="Arial" w:eastAsia="Arial" w:hAnsi="Arial"/>
          <w:sz w:val="18"/>
          <w:szCs w:val="18"/>
          <w:u w:val="single" w:color="auto"/>
          <w:color w:val="0000FF"/>
        </w:rPr>
        <w:t>80</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1"/>
          <w:szCs w:val="21"/>
          <w:u w:val="single" w:color="auto"/>
          <w:color w:val="0000FF"/>
        </w:rPr>
        <w:t>181</w:t>
      </w:r>
    </w:p>
    <w:p>
      <w:pPr>
        <w:sectPr>
          <w:pgSz w:w="11900" w:h="16838" w:orient="portrait"/>
          <w:cols w:equalWidth="0" w:num="3">
            <w:col w:w="1120" w:space="320"/>
            <w:col w:w="7720" w:space="720"/>
            <w:col w:w="520"/>
          </w:cols>
          <w:pgMar w:left="740" w:top="370" w:right="75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Arial" w:cs="Arial" w:eastAsia="Arial" w:hAnsi="Arial"/>
                <w:sz w:val="21"/>
                <w:szCs w:val="21"/>
                <w:color w:val="auto"/>
              </w:rPr>
              <w:t>SCHEDULES:</w:t>
            </w:r>
          </w:p>
        </w:tc>
        <w:tc>
          <w:tcPr>
            <w:tcW w:w="420" w:type="dxa"/>
            <w:vAlign w:val="bottom"/>
          </w:tcPr>
          <w:p>
            <w:pPr>
              <w:spacing w:after="0"/>
              <w:rPr>
                <w:sz w:val="21"/>
                <w:szCs w:val="21"/>
                <w:color w:val="auto"/>
              </w:rPr>
            </w:pPr>
          </w:p>
        </w:tc>
        <w:tc>
          <w:tcPr>
            <w:tcW w:w="4400" w:type="dxa"/>
            <w:vAlign w:val="bottom"/>
          </w:tcPr>
          <w:p>
            <w:pPr>
              <w:spacing w:after="0"/>
              <w:rPr>
                <w:sz w:val="21"/>
                <w:szCs w:val="21"/>
                <w:color w:val="auto"/>
              </w:rPr>
            </w:pP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1.01</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Disqualified Lenders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2.01</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Commitments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3.12</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Subsidiaries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3.18</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Regulatory Status and Memberships Held</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6.01</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Existing Indebtedness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6.02</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Existing Liens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w w:val="95"/>
              </w:rPr>
              <w:t>Schedule 6.04(e)</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Existing Investments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6.05</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Dispositions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6.09</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Existing Affiliate Transactions</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Schedule 6.10</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Existing Restrictions</w:t>
            </w:r>
          </w:p>
        </w:tc>
      </w:tr>
      <w:tr>
        <w:trPr>
          <w:trHeight w:val="269"/>
        </w:trPr>
        <w:tc>
          <w:tcPr>
            <w:tcW w:w="1540" w:type="dxa"/>
            <w:vAlign w:val="bottom"/>
          </w:tcPr>
          <w:p>
            <w:pPr>
              <w:spacing w:after="0"/>
              <w:rPr>
                <w:sz w:val="20"/>
                <w:szCs w:val="20"/>
                <w:color w:val="auto"/>
              </w:rPr>
            </w:pPr>
            <w:r>
              <w:rPr>
                <w:rFonts w:ascii="Arial" w:cs="Arial" w:eastAsia="Arial" w:hAnsi="Arial"/>
                <w:sz w:val="21"/>
                <w:szCs w:val="21"/>
                <w:color w:val="auto"/>
              </w:rPr>
              <w:t>Schedule 9.01</w:t>
            </w:r>
          </w:p>
        </w:tc>
        <w:tc>
          <w:tcPr>
            <w:tcW w:w="420" w:type="dxa"/>
            <w:vAlign w:val="bottom"/>
          </w:tcPr>
          <w:p>
            <w:pPr>
              <w:ind w:left="100"/>
              <w:spacing w:after="0"/>
              <w:rPr>
                <w:sz w:val="20"/>
                <w:szCs w:val="20"/>
                <w:color w:val="auto"/>
              </w:rPr>
            </w:pPr>
            <w:r>
              <w:rPr>
                <w:rFonts w:ascii="Arial" w:cs="Arial" w:eastAsia="Arial" w:hAnsi="Arial"/>
                <w:sz w:val="21"/>
                <w:szCs w:val="21"/>
                <w:color w:val="auto"/>
              </w:rPr>
              <w:t>—</w:t>
            </w:r>
          </w:p>
        </w:tc>
        <w:tc>
          <w:tcPr>
            <w:tcW w:w="4400" w:type="dxa"/>
            <w:vAlign w:val="bottom"/>
          </w:tcPr>
          <w:p>
            <w:pPr>
              <w:ind w:left="120"/>
              <w:spacing w:after="0"/>
              <w:rPr>
                <w:sz w:val="20"/>
                <w:szCs w:val="20"/>
                <w:color w:val="auto"/>
              </w:rPr>
            </w:pPr>
            <w:r>
              <w:rPr>
                <w:rFonts w:ascii="Arial" w:cs="Arial" w:eastAsia="Arial" w:hAnsi="Arial"/>
                <w:sz w:val="21"/>
                <w:szCs w:val="21"/>
                <w:color w:val="auto"/>
              </w:rPr>
              <w:t>Notices</w:t>
            </w:r>
          </w:p>
        </w:tc>
      </w:tr>
      <w:tr>
        <w:trPr>
          <w:trHeight w:val="476"/>
        </w:trPr>
        <w:tc>
          <w:tcPr>
            <w:tcW w:w="1540" w:type="dxa"/>
            <w:vAlign w:val="bottom"/>
          </w:tcPr>
          <w:p>
            <w:pPr>
              <w:spacing w:after="0"/>
              <w:rPr>
                <w:sz w:val="20"/>
                <w:szCs w:val="20"/>
                <w:color w:val="auto"/>
              </w:rPr>
            </w:pPr>
            <w:r>
              <w:rPr>
                <w:rFonts w:ascii="Arial" w:cs="Arial" w:eastAsia="Arial" w:hAnsi="Arial"/>
                <w:sz w:val="21"/>
                <w:szCs w:val="21"/>
                <w:b w:val="1"/>
                <w:bCs w:val="1"/>
                <w:color w:val="auto"/>
              </w:rPr>
              <w:t>EXHIBITS:</w:t>
            </w:r>
          </w:p>
        </w:tc>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446"/>
        </w:trPr>
        <w:tc>
          <w:tcPr>
            <w:tcW w:w="1540" w:type="dxa"/>
            <w:vAlign w:val="bottom"/>
          </w:tcPr>
          <w:p>
            <w:pPr>
              <w:spacing w:after="0"/>
              <w:rPr>
                <w:sz w:val="20"/>
                <w:szCs w:val="20"/>
                <w:color w:val="auto"/>
              </w:rPr>
            </w:pPr>
            <w:r>
              <w:rPr>
                <w:rFonts w:ascii="Arial" w:cs="Arial" w:eastAsia="Arial" w:hAnsi="Arial"/>
                <w:sz w:val="21"/>
                <w:szCs w:val="21"/>
                <w:color w:val="auto"/>
              </w:rPr>
              <w:t>Exhibit A-1</w:t>
            </w:r>
          </w:p>
        </w:tc>
        <w:tc>
          <w:tcPr>
            <w:tcW w:w="4820" w:type="dxa"/>
            <w:vAlign w:val="bottom"/>
            <w:gridSpan w:val="2"/>
          </w:tcPr>
          <w:p>
            <w:pPr>
              <w:ind w:left="100"/>
              <w:spacing w:after="0"/>
              <w:rPr>
                <w:sz w:val="20"/>
                <w:szCs w:val="20"/>
                <w:color w:val="auto"/>
              </w:rPr>
            </w:pPr>
            <w:r>
              <w:rPr>
                <w:rFonts w:ascii="Arial" w:cs="Arial" w:eastAsia="Arial" w:hAnsi="Arial"/>
                <w:sz w:val="21"/>
                <w:szCs w:val="21"/>
                <w:color w:val="auto"/>
              </w:rPr>
              <w:t>—  Form of Assignment and Assumption</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A-2</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Borrower Assignment and Assumption</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B</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Reaffirmation Agreement</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C</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Perfection Certificate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D</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[Reserved]</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E</w:t>
            </w:r>
          </w:p>
        </w:tc>
        <w:tc>
          <w:tcPr>
            <w:tcW w:w="420" w:type="dxa"/>
            <w:vAlign w:val="bottom"/>
          </w:tcPr>
          <w:p>
            <w:pPr>
              <w:ind w:left="100"/>
              <w:spacing w:after="0" w:line="238" w:lineRule="exact"/>
              <w:rPr>
                <w:sz w:val="20"/>
                <w:szCs w:val="20"/>
                <w:color w:val="auto"/>
              </w:rPr>
            </w:pPr>
            <w:r>
              <w:rPr>
                <w:rFonts w:ascii="Arial" w:cs="Arial" w:eastAsia="Arial" w:hAnsi="Arial"/>
                <w:sz w:val="21"/>
                <w:szCs w:val="21"/>
                <w:color w:val="auto"/>
              </w:rPr>
              <w:t>—</w:t>
            </w:r>
          </w:p>
        </w:tc>
        <w:tc>
          <w:tcPr>
            <w:tcW w:w="4400" w:type="dxa"/>
            <w:vAlign w:val="bottom"/>
          </w:tcPr>
          <w:p>
            <w:pPr>
              <w:ind w:left="120"/>
              <w:spacing w:after="0" w:line="238" w:lineRule="exact"/>
              <w:rPr>
                <w:sz w:val="20"/>
                <w:szCs w:val="20"/>
                <w:color w:val="auto"/>
              </w:rPr>
            </w:pPr>
            <w:r>
              <w:rPr>
                <w:rFonts w:ascii="Arial" w:cs="Arial" w:eastAsia="Arial" w:hAnsi="Arial"/>
                <w:sz w:val="21"/>
                <w:szCs w:val="21"/>
                <w:color w:val="auto"/>
              </w:rPr>
              <w:t>[Reserved]</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F-1</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First Lien Intercreditor Agreement</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F-2</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Junior Lien Intercreditor Agreement</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G</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Restatement Effective Date Certificate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H</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Intercompany Note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I</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Specified Discount Prepayment Notice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J</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w w:val="93"/>
              </w:rPr>
              <w:t>—  Form of Specified Discount Prepayment Response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K</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Discount Range Prepayment Notice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L</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Discount Range Prepayment Offer</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M</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w w:val="96"/>
              </w:rPr>
              <w:t>—  Form of Solicited Discounted Prepayment Notice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N</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w w:val="99"/>
              </w:rPr>
              <w:t>—  Form of Solicited Discounted Prepayment Offer</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O</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Acceptance and Prepayment Notice</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P-1</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Tax Status Certificate 1</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P-2</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Tax Status Certificate 2</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P-3</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Tax Status Certificate 3</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P-4</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Tax Status Certificate 4</w:t>
            </w:r>
          </w:p>
        </w:tc>
      </w:tr>
      <w:tr>
        <w:trPr>
          <w:trHeight w:val="238"/>
        </w:trPr>
        <w:tc>
          <w:tcPr>
            <w:tcW w:w="1540" w:type="dxa"/>
            <w:vAlign w:val="bottom"/>
          </w:tcPr>
          <w:p>
            <w:pPr>
              <w:spacing w:after="0" w:line="238" w:lineRule="exact"/>
              <w:rPr>
                <w:sz w:val="20"/>
                <w:szCs w:val="20"/>
                <w:color w:val="auto"/>
              </w:rPr>
            </w:pPr>
            <w:r>
              <w:rPr>
                <w:rFonts w:ascii="Arial" w:cs="Arial" w:eastAsia="Arial" w:hAnsi="Arial"/>
                <w:sz w:val="21"/>
                <w:szCs w:val="21"/>
                <w:color w:val="auto"/>
              </w:rPr>
              <w:t>Exhibit Q</w:t>
            </w:r>
          </w:p>
        </w:tc>
        <w:tc>
          <w:tcPr>
            <w:tcW w:w="4820" w:type="dxa"/>
            <w:vAlign w:val="bottom"/>
            <w:gridSpan w:val="2"/>
          </w:tcPr>
          <w:p>
            <w:pPr>
              <w:ind w:left="100"/>
              <w:spacing w:after="0" w:line="238" w:lineRule="exact"/>
              <w:rPr>
                <w:sz w:val="20"/>
                <w:szCs w:val="20"/>
                <w:color w:val="auto"/>
              </w:rPr>
            </w:pPr>
            <w:r>
              <w:rPr>
                <w:rFonts w:ascii="Arial" w:cs="Arial" w:eastAsia="Arial" w:hAnsi="Arial"/>
                <w:sz w:val="21"/>
                <w:szCs w:val="21"/>
                <w:color w:val="auto"/>
              </w:rPr>
              <w:t>—  Form of Solvency Certificate</w:t>
            </w:r>
          </w:p>
        </w:tc>
      </w:tr>
      <w:tr>
        <w:trPr>
          <w:trHeight w:val="269"/>
        </w:trPr>
        <w:tc>
          <w:tcPr>
            <w:tcW w:w="1540" w:type="dxa"/>
            <w:vAlign w:val="bottom"/>
          </w:tcPr>
          <w:p>
            <w:pPr>
              <w:spacing w:after="0"/>
              <w:rPr>
                <w:sz w:val="20"/>
                <w:szCs w:val="20"/>
                <w:color w:val="auto"/>
              </w:rPr>
            </w:pPr>
            <w:r>
              <w:rPr>
                <w:rFonts w:ascii="Arial" w:cs="Arial" w:eastAsia="Arial" w:hAnsi="Arial"/>
                <w:sz w:val="21"/>
                <w:szCs w:val="21"/>
                <w:color w:val="auto"/>
              </w:rPr>
              <w:t>Exhibit R</w:t>
            </w:r>
          </w:p>
        </w:tc>
        <w:tc>
          <w:tcPr>
            <w:tcW w:w="420" w:type="dxa"/>
            <w:vAlign w:val="bottom"/>
          </w:tcPr>
          <w:p>
            <w:pPr>
              <w:ind w:left="100"/>
              <w:spacing w:after="0"/>
              <w:rPr>
                <w:sz w:val="20"/>
                <w:szCs w:val="20"/>
                <w:color w:val="auto"/>
              </w:rPr>
            </w:pPr>
            <w:r>
              <w:rPr>
                <w:rFonts w:ascii="Arial" w:cs="Arial" w:eastAsia="Arial" w:hAnsi="Arial"/>
                <w:sz w:val="21"/>
                <w:szCs w:val="21"/>
                <w:color w:val="auto"/>
              </w:rPr>
              <w:t>—</w:t>
            </w:r>
          </w:p>
        </w:tc>
        <w:tc>
          <w:tcPr>
            <w:tcW w:w="4400" w:type="dxa"/>
            <w:vAlign w:val="bottom"/>
          </w:tcPr>
          <w:p>
            <w:pPr>
              <w:ind w:left="120"/>
              <w:spacing w:after="0"/>
              <w:rPr>
                <w:sz w:val="20"/>
                <w:szCs w:val="20"/>
                <w:color w:val="auto"/>
              </w:rPr>
            </w:pPr>
            <w:r>
              <w:rPr>
                <w:rFonts w:ascii="Arial" w:cs="Arial" w:eastAsia="Arial" w:hAnsi="Arial"/>
                <w:sz w:val="21"/>
                <w:szCs w:val="21"/>
                <w:color w:val="auto"/>
              </w:rPr>
              <w:t>Form of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14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19"/>
          </w:cols>
          <w:pgMar w:left="740" w:top="353" w:right="1440" w:bottom="1440" w:gutter="0" w:footer="0" w:header="0"/>
        </w:sectPr>
      </w:pPr>
    </w:p>
    <w:bookmarkStart w:id="167" w:name="page168"/>
    <w:bookmarkEnd w:id="167"/>
    <w:p>
      <w:pPr>
        <w:jc w:val="both"/>
        <w:ind w:firstLine="635"/>
        <w:spacing w:after="0" w:line="243" w:lineRule="auto"/>
        <w:rPr>
          <w:sz w:val="20"/>
          <w:szCs w:val="20"/>
          <w:color w:val="auto"/>
        </w:rPr>
      </w:pPr>
      <w:r>
        <w:rPr>
          <w:rFonts w:ascii="Arial" w:cs="Arial" w:eastAsia="Arial" w:hAnsi="Arial"/>
          <w:sz w:val="21"/>
          <w:szCs w:val="21"/>
          <w:b w:val="1"/>
          <w:bCs w:val="1"/>
          <w:color w:val="auto"/>
        </w:rPr>
        <w:t>FOURTH AMENDED AND RESTATED CREDIT AGREEMENT</w:t>
      </w:r>
      <w:r>
        <w:rPr>
          <w:rFonts w:ascii="Arial" w:cs="Arial" w:eastAsia="Arial" w:hAnsi="Arial"/>
          <w:sz w:val="21"/>
          <w:szCs w:val="21"/>
          <w:color w:val="auto"/>
        </w:rPr>
        <w:t>, dated as of June 30, 2017 (this</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among VIRTU FINANCIAL LLC, a Delaware limited liability company (“</w:t>
      </w:r>
      <w:r>
        <w:rPr>
          <w:rFonts w:ascii="Arial" w:cs="Arial" w:eastAsia="Arial" w:hAnsi="Arial"/>
          <w:sz w:val="21"/>
          <w:szCs w:val="21"/>
          <w:b w:val="1"/>
          <w:bCs w:val="1"/>
          <w:color w:val="auto"/>
        </w:rPr>
        <w:t>Holdings</w:t>
      </w:r>
      <w:r>
        <w:rPr>
          <w:rFonts w:ascii="Arial" w:cs="Arial" w:eastAsia="Arial" w:hAnsi="Arial"/>
          <w:sz w:val="21"/>
          <w:szCs w:val="21"/>
          <w:color w:val="auto"/>
        </w:rPr>
        <w:t>”), VFH PARENT LLC, a Delaware limited liability company (the “</w:t>
      </w:r>
      <w:r>
        <w:rPr>
          <w:rFonts w:ascii="Arial" w:cs="Arial" w:eastAsia="Arial" w:hAnsi="Arial"/>
          <w:sz w:val="21"/>
          <w:szCs w:val="21"/>
          <w:b w:val="1"/>
          <w:bCs w:val="1"/>
          <w:color w:val="auto"/>
        </w:rPr>
        <w:t>Borrower</w:t>
      </w:r>
      <w:r>
        <w:rPr>
          <w:rFonts w:ascii="Arial" w:cs="Arial" w:eastAsia="Arial" w:hAnsi="Arial"/>
          <w:sz w:val="21"/>
          <w:szCs w:val="21"/>
          <w:color w:val="auto"/>
        </w:rPr>
        <w:t>”), the LENDERS party hereto and JPMORGAN CHASE BANK, N.A., as administrative agent and collateral agent (in such capacities, including any successor thereto, the “</w:t>
      </w:r>
      <w:r>
        <w:rPr>
          <w:rFonts w:ascii="Arial" w:cs="Arial" w:eastAsia="Arial" w:hAnsi="Arial"/>
          <w:sz w:val="21"/>
          <w:szCs w:val="21"/>
          <w:b w:val="1"/>
          <w:bCs w:val="1"/>
          <w:color w:val="auto"/>
        </w:rPr>
        <w:t>Administrative Agent</w:t>
      </w:r>
      <w:r>
        <w:rPr>
          <w:rFonts w:ascii="Arial" w:cs="Arial" w:eastAsia="Arial" w:hAnsi="Arial"/>
          <w:sz w:val="21"/>
          <w:szCs w:val="21"/>
          <w:color w:val="auto"/>
        </w:rPr>
        <w:t>”). This Agreement amends and restates the Existing Credit Agreement (as defined below) in its entirety.</w:t>
      </w:r>
    </w:p>
    <w:p>
      <w:pPr>
        <w:spacing w:after="0" w:line="147"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Holdings, the Borrower, the Lenders, the Administrative Agent, and other parties are party to a credit</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dated as of October 27, 2016 (as amended, restated, supplemented or otherwise modified prior to the Restatement Effective Date, the “</w:t>
      </w:r>
      <w:r>
        <w:rPr>
          <w:rFonts w:ascii="Arial" w:cs="Arial" w:eastAsia="Arial" w:hAnsi="Arial"/>
          <w:sz w:val="21"/>
          <w:szCs w:val="21"/>
          <w:b w:val="1"/>
          <w:bCs w:val="1"/>
          <w:color w:val="auto"/>
        </w:rPr>
        <w:t>Existing Credit Agreement</w:t>
      </w:r>
      <w:r>
        <w:rPr>
          <w:rFonts w:ascii="Arial" w:cs="Arial" w:eastAsia="Arial" w:hAnsi="Arial"/>
          <w:sz w:val="21"/>
          <w:szCs w:val="21"/>
          <w:color w:val="auto"/>
        </w:rPr>
        <w:t>”), and the parties to the Restatement Agreement (as defined below) have agreed to amend and restate in its entirety the Existing Credit Agreement and replace it in its entirety with this Agreement.</w:t>
      </w:r>
    </w:p>
    <w:p>
      <w:pPr>
        <w:spacing w:after="0" w:line="135" w:lineRule="exact"/>
        <w:rPr>
          <w:sz w:val="20"/>
          <w:szCs w:val="20"/>
          <w:color w:val="auto"/>
        </w:rPr>
      </w:pPr>
    </w:p>
    <w:p>
      <w:pPr>
        <w:jc w:val="both"/>
        <w:ind w:firstLine="635"/>
        <w:spacing w:after="0" w:line="260" w:lineRule="auto"/>
        <w:rPr>
          <w:sz w:val="20"/>
          <w:szCs w:val="20"/>
          <w:color w:val="auto"/>
        </w:rPr>
      </w:pPr>
      <w:r>
        <w:rPr>
          <w:rFonts w:ascii="Arial" w:cs="Arial" w:eastAsia="Arial" w:hAnsi="Arial"/>
          <w:sz w:val="20"/>
          <w:szCs w:val="20"/>
          <w:b w:val="1"/>
          <w:bCs w:val="1"/>
          <w:u w:val="single" w:color="auto"/>
          <w:color w:val="0000FF"/>
        </w:rPr>
        <w:t>WHEREAS</w:t>
      </w:r>
      <w:r>
        <w:rPr>
          <w:rFonts w:ascii="Arial" w:cs="Arial" w:eastAsia="Arial" w:hAnsi="Arial"/>
          <w:sz w:val="20"/>
          <w:szCs w:val="20"/>
          <w:u w:val="single" w:color="auto"/>
          <w:color w:val="0000FF"/>
        </w:rPr>
        <w:t>, the Borrower has further requested that on the Amendment No. 1 Effective Date, all New Term</w:t>
      </w:r>
      <w:r>
        <w:rPr>
          <w:rFonts w:ascii="Arial" w:cs="Arial" w:eastAsia="Arial" w:hAnsi="Arial"/>
          <w:sz w:val="20"/>
          <w:szCs w:val="20"/>
          <w:b w:val="1"/>
          <w:bCs w:val="1"/>
          <w:u w:val="single" w:color="auto"/>
          <w:color w:val="0000FF"/>
        </w:rPr>
        <w:t xml:space="preserve"> </w:t>
      </w:r>
      <w:r>
        <w:rPr>
          <w:rFonts w:ascii="Arial" w:cs="Arial" w:eastAsia="Arial" w:hAnsi="Arial"/>
          <w:sz w:val="20"/>
          <w:szCs w:val="20"/>
          <w:u w:val="single" w:color="auto"/>
          <w:color w:val="0000FF"/>
        </w:rPr>
        <w:t>Loans be converted to Term B-1 Loans or be prepaid from the proceeds of newly funded Term B-1 Loans and/or cash on hand of the Borrower. Subject to the satisfaction of the conditions set forth in Section 2 of Amendment No. 1, the parties thereto have agreed to lend Term B-1 Loans and/or convert their New Term Loans into Term B-1 Loans, in each case, on the terms and subject to the conditions set forth therein and herein.</w:t>
      </w:r>
    </w:p>
    <w:p>
      <w:pPr>
        <w:spacing w:after="0" w:line="117" w:lineRule="exact"/>
        <w:rPr>
          <w:sz w:val="20"/>
          <w:szCs w:val="20"/>
          <w:color w:val="auto"/>
        </w:rPr>
      </w:pPr>
    </w:p>
    <w:p>
      <w:pPr>
        <w:ind w:right="440" w:firstLine="635"/>
        <w:spacing w:after="0" w:line="269" w:lineRule="auto"/>
        <w:rPr>
          <w:sz w:val="20"/>
          <w:szCs w:val="20"/>
          <w:color w:val="auto"/>
        </w:rPr>
      </w:pPr>
      <w:r>
        <w:rPr>
          <w:rFonts w:ascii="Arial" w:cs="Arial" w:eastAsia="Arial" w:hAnsi="Arial"/>
          <w:sz w:val="21"/>
          <w:szCs w:val="21"/>
          <w:b w:val="1"/>
          <w:bCs w:val="1"/>
          <w:color w:val="auto"/>
        </w:rPr>
        <w:t>NOW</w:t>
      </w:r>
      <w:r>
        <w:rPr>
          <w:rFonts w:ascii="Arial" w:cs="Arial" w:eastAsia="Arial" w:hAnsi="Arial"/>
          <w:sz w:val="21"/>
          <w:szCs w:val="21"/>
          <w:color w:val="auto"/>
        </w:rPr>
        <w:t>,</w:t>
      </w:r>
      <w:r>
        <w:rPr>
          <w:rFonts w:ascii="Arial" w:cs="Arial" w:eastAsia="Arial" w:hAnsi="Arial"/>
          <w:sz w:val="21"/>
          <w:szCs w:val="21"/>
          <w:b w:val="1"/>
          <w:bCs w:val="1"/>
          <w:color w:val="auto"/>
        </w:rPr>
        <w:t xml:space="preserve"> THEREFORE</w:t>
      </w:r>
      <w:r>
        <w:rPr>
          <w:rFonts w:ascii="Arial" w:cs="Arial" w:eastAsia="Arial" w:hAnsi="Arial"/>
          <w:sz w:val="21"/>
          <w:szCs w:val="21"/>
          <w:color w:val="auto"/>
        </w:rPr>
        <w:t>, in consideration of the premises and the agreements, provisions and covenants herein</w:t>
      </w:r>
      <w:r>
        <w:rPr>
          <w:rFonts w:ascii="Arial" w:cs="Arial" w:eastAsia="Arial" w:hAnsi="Arial"/>
          <w:sz w:val="21"/>
          <w:szCs w:val="21"/>
          <w:b w:val="1"/>
          <w:bCs w:val="1"/>
          <w:color w:val="auto"/>
        </w:rPr>
        <w:t xml:space="preserve"> </w:t>
      </w:r>
      <w:r>
        <w:rPr>
          <w:rFonts w:ascii="Arial" w:cs="Arial" w:eastAsia="Arial" w:hAnsi="Arial"/>
          <w:sz w:val="21"/>
          <w:szCs w:val="21"/>
          <w:color w:val="auto"/>
        </w:rPr>
        <w:t>contained, the parties hereto agree as follows: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DEFINITIONS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Defined Terms.</w:t>
      </w:r>
      <w:r>
        <w:rPr>
          <w:rFonts w:ascii="Arial" w:cs="Arial" w:eastAsia="Arial" w:hAnsi="Arial"/>
          <w:sz w:val="19"/>
          <w:szCs w:val="19"/>
          <w:color w:val="auto"/>
        </w:rPr>
        <w:t xml:space="preserve"> As used in this Agreement, the following terms have the meanings specified below:</w:t>
      </w:r>
    </w:p>
    <w:p>
      <w:pPr>
        <w:spacing w:after="0" w:line="186"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ABR</w:t>
      </w:r>
      <w:r>
        <w:rPr>
          <w:rFonts w:ascii="Arial" w:cs="Arial" w:eastAsia="Arial" w:hAnsi="Arial"/>
          <w:sz w:val="21"/>
          <w:szCs w:val="21"/>
          <w:color w:val="auto"/>
        </w:rPr>
        <w:t>” when used in reference to any Loan or Borrowing, refers to whether such Loan, or the Loans comprising such Borrowing, are bearing interest at a rate determined by reference to the Alternate Base Rate.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Acceptable Discount</w:t>
      </w:r>
      <w:r>
        <w:rPr>
          <w:rFonts w:ascii="Arial" w:cs="Arial" w:eastAsia="Arial" w:hAnsi="Arial"/>
          <w:sz w:val="21"/>
          <w:szCs w:val="21"/>
          <w:color w:val="auto"/>
        </w:rPr>
        <w:t>” has the meaning assigned to such term in Section 2.09(a)(ii)(D).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Acceptable Prepayment Amount</w:t>
      </w:r>
      <w:r>
        <w:rPr>
          <w:rFonts w:ascii="Arial" w:cs="Arial" w:eastAsia="Arial" w:hAnsi="Arial"/>
          <w:sz w:val="21"/>
          <w:szCs w:val="21"/>
          <w:color w:val="auto"/>
        </w:rPr>
        <w:t>” has the meaning assigned to such term in Section 2.09(a)(ii)(D).</w:t>
      </w:r>
    </w:p>
    <w:p>
      <w:pPr>
        <w:spacing w:after="0" w:line="169"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Acceptance and Prepayment Notice</w:t>
      </w:r>
      <w:r>
        <w:rPr>
          <w:rFonts w:ascii="Arial" w:cs="Arial" w:eastAsia="Arial" w:hAnsi="Arial"/>
          <w:sz w:val="21"/>
          <w:szCs w:val="21"/>
          <w:color w:val="auto"/>
        </w:rPr>
        <w:t>” means an irrevocable written notice from the Borrower accepting a Solicited Discounted Prepayment Offer to make a Discounted Term Loan Prepayment at the Acceptable Discount specified therein pursuant to Section 2.09(a)(ii)(D) substantially in the form of Exhibit O.</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Acceptance Date</w:t>
      </w:r>
      <w:r>
        <w:rPr>
          <w:rFonts w:ascii="Arial" w:cs="Arial" w:eastAsia="Arial" w:hAnsi="Arial"/>
          <w:sz w:val="21"/>
          <w:szCs w:val="21"/>
          <w:color w:val="auto"/>
        </w:rPr>
        <w:t>” has the meaning specified in Section 2.09(a)(ii)(D).</w:t>
      </w:r>
    </w:p>
    <w:p>
      <w:pPr>
        <w:spacing w:after="0" w:line="16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Acquired EBITDA</w:t>
      </w:r>
      <w:r>
        <w:rPr>
          <w:rFonts w:ascii="Arial" w:cs="Arial" w:eastAsia="Arial" w:hAnsi="Arial"/>
          <w:sz w:val="21"/>
          <w:szCs w:val="21"/>
          <w:color w:val="auto"/>
        </w:rPr>
        <w:t>” means, with respect to any Acquired Entity or Business or any Converted Restricted Subsidiary (any of the foregoing, a “</w:t>
      </w:r>
      <w:r>
        <w:rPr>
          <w:rFonts w:ascii="Arial" w:cs="Arial" w:eastAsia="Arial" w:hAnsi="Arial"/>
          <w:sz w:val="21"/>
          <w:szCs w:val="21"/>
          <w:b w:val="1"/>
          <w:bCs w:val="1"/>
          <w:color w:val="auto"/>
        </w:rPr>
        <w:t>Pro Forma Entity</w:t>
      </w:r>
      <w:r>
        <w:rPr>
          <w:rFonts w:ascii="Arial" w:cs="Arial" w:eastAsia="Arial" w:hAnsi="Arial"/>
          <w:sz w:val="21"/>
          <w:szCs w:val="21"/>
          <w:color w:val="auto"/>
        </w:rPr>
        <w: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110490</wp:posOffset>
            </wp:positionV>
            <wp:extent cx="661098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2" w:right="739" w:bottom="1440" w:gutter="0" w:footer="0" w:header="0"/>
        </w:sectPr>
      </w:pPr>
    </w:p>
    <w:bookmarkStart w:id="168" w:name="page169"/>
    <w:bookmarkEnd w:id="168"/>
    <w:p>
      <w:pPr>
        <w:jc w:val="both"/>
        <w:spacing w:after="0" w:line="245" w:lineRule="auto"/>
        <w:rPr>
          <w:sz w:val="20"/>
          <w:szCs w:val="20"/>
          <w:color w:val="auto"/>
        </w:rPr>
      </w:pPr>
      <w:r>
        <w:rPr>
          <w:rFonts w:ascii="Arial" w:cs="Arial" w:eastAsia="Arial" w:hAnsi="Arial"/>
          <w:sz w:val="21"/>
          <w:szCs w:val="21"/>
          <w:color w:val="auto"/>
        </w:rPr>
        <w:t>any period, the amount for such period of Consolidated EBITDA of such Pro Forma Entity (determined as if references to Holdings and the Restricted Subsidiaries in the definition of the term “</w:t>
      </w:r>
      <w:r>
        <w:rPr>
          <w:rFonts w:ascii="Arial" w:cs="Arial" w:eastAsia="Arial" w:hAnsi="Arial"/>
          <w:sz w:val="21"/>
          <w:szCs w:val="21"/>
          <w:b w:val="1"/>
          <w:bCs w:val="1"/>
          <w:color w:val="auto"/>
        </w:rPr>
        <w:t>Consolidated EBITDA</w:t>
      </w:r>
      <w:r>
        <w:rPr>
          <w:rFonts w:ascii="Arial" w:cs="Arial" w:eastAsia="Arial" w:hAnsi="Arial"/>
          <w:sz w:val="21"/>
          <w:szCs w:val="21"/>
          <w:color w:val="auto"/>
        </w:rPr>
        <w:t>” were references to such Pro Forma Entity and its subsidiaries which will become Restricted Subsidiaries), all as determined on a consolidated basis for such Pro Forma Entity.</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Acquired Entity or Business</w:t>
      </w:r>
      <w:r>
        <w:rPr>
          <w:rFonts w:ascii="Arial" w:cs="Arial" w:eastAsia="Arial" w:hAnsi="Arial"/>
          <w:sz w:val="20"/>
          <w:szCs w:val="20"/>
          <w:color w:val="auto"/>
        </w:rPr>
        <w:t>” has the meaning set forth in the definition of the term “Consolidated EBITDA”.</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Lender</w:t>
      </w:r>
      <w:r>
        <w:rPr>
          <w:rFonts w:ascii="Arial" w:cs="Arial" w:eastAsia="Arial" w:hAnsi="Arial"/>
          <w:sz w:val="20"/>
          <w:szCs w:val="20"/>
          <w:color w:val="auto"/>
        </w:rPr>
        <w:t>” means any Additional Revolving Lender or any Additional Term Lender, as applicable.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Notes</w:t>
      </w:r>
      <w:r>
        <w:rPr>
          <w:rFonts w:ascii="Arial" w:cs="Arial" w:eastAsia="Arial" w:hAnsi="Arial"/>
          <w:sz w:val="21"/>
          <w:szCs w:val="21"/>
          <w:color w:val="auto"/>
        </w:rPr>
        <w:t>” has the meaning assigned to such term in Section 6.01(a)(xxii).</w:t>
      </w:r>
    </w:p>
    <w:p>
      <w:pPr>
        <w:spacing w:after="0" w:line="169"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Revolving Lender</w:t>
      </w:r>
      <w:r>
        <w:rPr>
          <w:rFonts w:ascii="Arial" w:cs="Arial" w:eastAsia="Arial" w:hAnsi="Arial"/>
          <w:sz w:val="20"/>
          <w:szCs w:val="20"/>
          <w:color w:val="auto"/>
        </w:rPr>
        <w:t xml:space="preserve">” means, at any time, any bank or other financial institution that agrees to provide any portion of any Incremental Revolving Facility pursuant to an Incremental Revolving Facility Amendment in accordance with Section 2.18;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Additional Revolving Lender (other than any Person that is a Revolving Lender, an Affiliate of a Revolving Lender or an Approved Fund of a Revolving Lender at such time) shall be subject to the approval of the Administrative Agent and, if such Additional Revolving Lender will provide loans under an Incremental Revolving Facility, a Revolving Commitment Increase or any Other Revolving Commitment, each Issuing Bank (such approval, in each case, not to be unreasonably withheld or delayed) and the Borrower.</w:t>
      </w:r>
    </w:p>
    <w:p>
      <w:pPr>
        <w:spacing w:after="0" w:line="135"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Term Lender</w:t>
      </w:r>
      <w:r>
        <w:rPr>
          <w:rFonts w:ascii="Arial" w:cs="Arial" w:eastAsia="Arial" w:hAnsi="Arial"/>
          <w:sz w:val="20"/>
          <w:szCs w:val="20"/>
          <w:color w:val="auto"/>
        </w:rPr>
        <w:t xml:space="preserve">” means, at any time, any bank or other financial institution that agrees to provide any portion of any (a) Incremental Term Facility pursuant to an Incremental Term Facility Amendment in accordance with Section 2.18 or (b) Credit Agreement Refinancing Indebtedness pursuant to a Refinancing Amendment in accordance with Section 2.19;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each Additional Term Lender (other than any Person that is a Lender, an Affiliate of a Lender or an Approved Fund of a Lender at such time) shall be subject to the approval of the Administrative Agent (such approval not to be unreasonably withheld or delayed) and the Borrower.</w:t>
      </w:r>
    </w:p>
    <w:p>
      <w:pPr>
        <w:spacing w:after="0" w:line="123" w:lineRule="exact"/>
        <w:rPr>
          <w:sz w:val="20"/>
          <w:szCs w:val="20"/>
          <w:color w:val="auto"/>
        </w:rPr>
      </w:pPr>
    </w:p>
    <w:p>
      <w:pPr>
        <w:jc w:val="both"/>
        <w:ind w:right="20" w:firstLine="635"/>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LIBO Rate</w:t>
      </w:r>
      <w:r>
        <w:rPr>
          <w:rFonts w:ascii="Arial" w:cs="Arial" w:eastAsia="Arial" w:hAnsi="Arial"/>
          <w:sz w:val="20"/>
          <w:szCs w:val="20"/>
          <w:color w:val="auto"/>
        </w:rPr>
        <w:t xml:space="preserve">” means, with respect to any Eurodollar Borrowing for any Interest Period, an interest rate per annum equal to (i) the LIBO Rate for such Interest Period </w:t>
      </w:r>
      <w:r>
        <w:rPr>
          <w:rFonts w:ascii="Arial" w:cs="Arial" w:eastAsia="Arial" w:hAnsi="Arial"/>
          <w:sz w:val="20"/>
          <w:szCs w:val="20"/>
          <w:i w:val="1"/>
          <w:iCs w:val="1"/>
          <w:color w:val="auto"/>
        </w:rPr>
        <w:t>multiplied</w:t>
      </w:r>
      <w:r>
        <w:rPr>
          <w:rFonts w:ascii="Arial" w:cs="Arial" w:eastAsia="Arial" w:hAnsi="Arial"/>
          <w:sz w:val="20"/>
          <w:szCs w:val="20"/>
          <w:color w:val="auto"/>
        </w:rPr>
        <w:t xml:space="preserve"> by (ii) the Statutory Reserve Rate.</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Administrative Agent</w:t>
      </w:r>
      <w:r>
        <w:rPr>
          <w:rFonts w:ascii="Arial" w:cs="Arial" w:eastAsia="Arial" w:hAnsi="Arial"/>
          <w:sz w:val="21"/>
          <w:szCs w:val="21"/>
          <w:color w:val="auto"/>
        </w:rPr>
        <w:t>” has the meaning set forth in the preamble hereto.</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Questionnaire</w:t>
      </w:r>
      <w:r>
        <w:rPr>
          <w:rFonts w:ascii="Arial" w:cs="Arial" w:eastAsia="Arial" w:hAnsi="Arial"/>
          <w:sz w:val="19"/>
          <w:szCs w:val="19"/>
          <w:color w:val="auto"/>
        </w:rPr>
        <w:t>” means an administrative questionnaire in a form supplied by the Administrative</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Agent.</w:t>
      </w:r>
    </w:p>
    <w:p>
      <w:pPr>
        <w:spacing w:after="0" w:line="145"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 specified Person, another Person that directly or indirectly Controls or is Controlled by or is under common Control with the Person specified.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69" w:name="page170"/>
    <w:bookmarkEnd w:id="169"/>
    <w:p>
      <w:pPr>
        <w:jc w:val="both"/>
        <w:ind w:firstLine="635"/>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Agency Transfer Agreement</w:t>
      </w:r>
      <w:r>
        <w:rPr>
          <w:rFonts w:ascii="Arial" w:cs="Arial" w:eastAsia="Arial" w:hAnsi="Arial"/>
          <w:sz w:val="21"/>
          <w:szCs w:val="21"/>
          <w:color w:val="auto"/>
        </w:rPr>
        <w:t>” means the Successor Agent Agreement, dated as of October 27, 2016, by and among the Loan Parties, the Former Agent and the Administrative Agent.</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Agent Parties</w:t>
      </w:r>
      <w:r>
        <w:rPr>
          <w:rFonts w:ascii="Arial" w:cs="Arial" w:eastAsia="Arial" w:hAnsi="Arial"/>
          <w:sz w:val="21"/>
          <w:szCs w:val="21"/>
          <w:color w:val="auto"/>
        </w:rPr>
        <w:t>” has the meaning given to such term in Section 9.01(c).</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xml:space="preserve">” </w:t>
      </w:r>
      <w:r>
        <w:rPr>
          <w:rFonts w:ascii="Arial" w:cs="Arial" w:eastAsia="Arial" w:hAnsi="Arial"/>
          <w:sz w:val="21"/>
          <w:szCs w:val="21"/>
          <w:b w:val="1"/>
          <w:bCs w:val="1"/>
          <w:color w:val="auto"/>
        </w:rPr>
        <w:t>has</w:t>
      </w:r>
      <w:r>
        <w:rPr>
          <w:rFonts w:ascii="Arial" w:cs="Arial" w:eastAsia="Arial" w:hAnsi="Arial"/>
          <w:sz w:val="21"/>
          <w:szCs w:val="21"/>
          <w:color w:val="auto"/>
        </w:rPr>
        <w:t xml:space="preserve"> the meaning given to such term in the preliminary statements hereto.</w:t>
      </w:r>
    </w:p>
    <w:p>
      <w:pPr>
        <w:spacing w:after="0" w:line="169"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in effect on such day plus 1/2 of 1% and (c) the sum of (a) the Adjusted LIBO Rate (after giving effect to any Adjusted LIBO Rate “floor”) that would be payable on such day for a Eurodollar Borrowing with a one-month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1.00% per annum;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color w:val="0000FF"/>
        </w:rPr>
        <w:t>that for the purpose of this definition, the Adjusted LIBO Rate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 xml:space="preserve">for any day shall be based on the LIBO Screen Rate (or if the LIBO Screen Rate is not available for such one month Interest Period, the Interpolated Rate) at approximately 11:00 a.m. London time on such date; </w:t>
      </w:r>
      <w:r>
        <w:rPr>
          <w:rFonts w:ascii="Arial" w:cs="Arial" w:eastAsia="Arial" w:hAnsi="Arial"/>
          <w:sz w:val="19"/>
          <w:szCs w:val="19"/>
          <w:i w:val="1"/>
          <w:iCs w:val="1"/>
          <w:u w:val="single" w:color="auto"/>
          <w:color w:val="0000FF"/>
        </w:rPr>
        <w:t>provided</w:t>
      </w:r>
      <w:r>
        <w:rPr>
          <w:rFonts w:ascii="Arial" w:cs="Arial" w:eastAsia="Arial" w:hAnsi="Arial"/>
          <w:sz w:val="19"/>
          <w:szCs w:val="19"/>
          <w:u w:val="single" w:color="auto"/>
          <w:color w:val="0000FF"/>
        </w:rPr>
        <w:t xml:space="preserve">, </w:t>
      </w:r>
      <w:r>
        <w:rPr>
          <w:rFonts w:ascii="Arial" w:cs="Arial" w:eastAsia="Arial" w:hAnsi="Arial"/>
          <w:sz w:val="19"/>
          <w:szCs w:val="19"/>
          <w:i w:val="1"/>
          <w:iCs w:val="1"/>
          <w:u w:val="single" w:color="auto"/>
          <w:color w:val="0000FF"/>
        </w:rPr>
        <w:t>further</w:t>
      </w:r>
      <w:r>
        <w:rPr>
          <w:rFonts w:ascii="Arial" w:cs="Arial" w:eastAsia="Arial" w:hAnsi="Arial"/>
          <w:sz w:val="19"/>
          <w:szCs w:val="19"/>
          <w:u w:val="single" w:color="auto"/>
          <w:color w:val="0000FF"/>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that notwithstanding the foregoing, (x) solely with respect to the</w:t>
      </w:r>
      <w:r>
        <w:rPr>
          <w:rFonts w:ascii="Arial" w:cs="Arial" w:eastAsia="Arial" w:hAnsi="Arial"/>
          <w:sz w:val="19"/>
          <w:szCs w:val="19"/>
          <w:i w:val="1"/>
          <w:iCs w:val="1"/>
          <w:color w:val="000000"/>
        </w:rPr>
        <w:t xml:space="preserve"> </w:t>
      </w:r>
      <w:r>
        <w:rPr>
          <w:rFonts w:ascii="Arial" w:cs="Arial" w:eastAsia="Arial" w:hAnsi="Arial"/>
          <w:sz w:val="19"/>
          <w:szCs w:val="19"/>
          <w:color w:val="FF0000"/>
          <w:strike w:val="1"/>
        </w:rPr>
        <w:t>New</w:t>
      </w:r>
      <w:r>
        <w:rPr>
          <w:rFonts w:ascii="Arial" w:cs="Arial" w:eastAsia="Arial" w:hAnsi="Arial"/>
          <w:sz w:val="19"/>
          <w:szCs w:val="19"/>
          <w:i w:val="1"/>
          <w:iCs w:val="1"/>
          <w:color w:val="000000"/>
        </w:rPr>
        <w:t xml:space="preserve"> </w:t>
      </w:r>
      <w:r>
        <w:rPr>
          <w:rFonts w:ascii="Arial" w:cs="Arial" w:eastAsia="Arial" w:hAnsi="Arial"/>
          <w:sz w:val="19"/>
          <w:szCs w:val="19"/>
          <w:color w:val="000000"/>
        </w:rPr>
        <w:t>Term</w:t>
      </w:r>
      <w:r>
        <w:rPr>
          <w:rFonts w:ascii="Arial" w:cs="Arial" w:eastAsia="Arial" w:hAnsi="Arial"/>
          <w:sz w:val="19"/>
          <w:szCs w:val="19"/>
          <w:i w:val="1"/>
          <w:iCs w:val="1"/>
          <w:color w:val="000000"/>
        </w:rPr>
        <w:t xml:space="preserve"> </w:t>
      </w:r>
      <w:r>
        <w:rPr>
          <w:rFonts w:ascii="Arial" w:cs="Arial" w:eastAsia="Arial" w:hAnsi="Arial"/>
          <w:sz w:val="19"/>
          <w:szCs w:val="19"/>
          <w:color w:val="0000FF"/>
        </w:rPr>
        <w:t>B-1</w:t>
      </w:r>
      <w:r>
        <w:rPr>
          <w:rFonts w:ascii="Arial" w:cs="Arial" w:eastAsia="Arial" w:hAnsi="Arial"/>
          <w:sz w:val="19"/>
          <w:szCs w:val="19"/>
          <w:i w:val="1"/>
          <w:iCs w:val="1"/>
          <w:color w:val="000000"/>
        </w:rPr>
        <w:t xml:space="preserve"> </w:t>
      </w:r>
      <w:r>
        <w:rPr>
          <w:rFonts w:ascii="Arial" w:cs="Arial" w:eastAsia="Arial" w:hAnsi="Arial"/>
          <w:sz w:val="19"/>
          <w:szCs w:val="19"/>
          <w:color w:val="000000"/>
        </w:rPr>
        <w:t>Loans, the Alternate Base Rate</w:t>
      </w:r>
      <w:r>
        <w:rPr>
          <w:rFonts w:ascii="Arial" w:cs="Arial" w:eastAsia="Arial" w:hAnsi="Arial"/>
          <w:sz w:val="19"/>
          <w:szCs w:val="19"/>
          <w:i w:val="1"/>
          <w:iCs w:val="1"/>
          <w:color w:val="000000"/>
        </w:rPr>
        <w:t xml:space="preserve"> </w:t>
      </w:r>
      <w:r>
        <w:rPr>
          <w:rFonts w:ascii="Arial" w:cs="Arial" w:eastAsia="Arial" w:hAnsi="Arial"/>
          <w:sz w:val="19"/>
          <w:szCs w:val="19"/>
          <w:color w:val="000000"/>
        </w:rPr>
        <w:t>will be deemed to be 2.00% per annum if the Alternate Base Rate calculated pursuant to the foregoing provisions would otherwise be less than 2.00% per annum and (y) for all other purposes, the Alternate Base Rate will be deemed to be 1.00% annum if the Alternate Base Rate calculated pursuant to the foregoing provisions would otherwise be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-911860</wp:posOffset>
            </wp:positionV>
            <wp:extent cx="344424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3444240" cy="2540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-457835</wp:posOffset>
            </wp:positionV>
            <wp:extent cx="23495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234950" cy="25400"/>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21"/>
          <w:szCs w:val="21"/>
          <w:color w:val="auto"/>
        </w:rPr>
        <w:t xml:space="preserve">1.00%. Any change in the Alternate Base Rate due to a change in the Prime Rate </w:t>
      </w:r>
      <w:r>
        <w:rPr>
          <w:rFonts w:ascii="Arial" w:cs="Arial" w:eastAsia="Arial" w:hAnsi="Arial"/>
          <w:sz w:val="21"/>
          <w:szCs w:val="21"/>
          <w:color w:val="FF0000"/>
          <w:strike w:val="1"/>
        </w:rPr>
        <w:t>or</w:t>
      </w:r>
      <w:r>
        <w:rPr>
          <w:rFonts w:ascii="Arial" w:cs="Arial" w:eastAsia="Arial" w:hAnsi="Arial"/>
          <w:sz w:val="21"/>
          <w:szCs w:val="21"/>
          <w:color w:val="0000FF"/>
        </w:rPr>
        <w:t>,</w:t>
      </w:r>
      <w:r>
        <w:rPr>
          <w:rFonts w:ascii="Arial" w:cs="Arial" w:eastAsia="Arial" w:hAnsi="Arial"/>
          <w:sz w:val="21"/>
          <w:szCs w:val="21"/>
          <w:color w:val="auto"/>
        </w:rPr>
        <w:t xml:space="preserve"> the NYFRB Rate </w:t>
      </w:r>
      <w:r>
        <w:rPr>
          <w:rFonts w:ascii="Arial" w:cs="Arial" w:eastAsia="Arial" w:hAnsi="Arial"/>
          <w:sz w:val="21"/>
          <w:szCs w:val="21"/>
          <w:u w:val="single" w:color="auto"/>
          <w:color w:val="0000FF"/>
        </w:rPr>
        <w:t>or the Adjusted</w:t>
      </w:r>
      <w:r>
        <w:rPr>
          <w:rFonts w:ascii="Arial" w:cs="Arial" w:eastAsia="Arial" w:hAnsi="Arial"/>
          <w:sz w:val="21"/>
          <w:szCs w:val="21"/>
          <w:color w:val="auto"/>
        </w:rPr>
        <w:t xml:space="preserve"> </w:t>
      </w:r>
      <w:r>
        <w:rPr>
          <w:rFonts w:ascii="Arial" w:cs="Arial" w:eastAsia="Arial" w:hAnsi="Arial"/>
          <w:sz w:val="21"/>
          <w:szCs w:val="21"/>
          <w:u w:val="single" w:color="auto"/>
          <w:color w:val="0000FF"/>
        </w:rPr>
        <w:t>LIBO Rate</w:t>
      </w:r>
      <w:r>
        <w:rPr>
          <w:rFonts w:ascii="Arial" w:cs="Arial" w:eastAsia="Arial" w:hAnsi="Arial"/>
          <w:sz w:val="21"/>
          <w:szCs w:val="21"/>
          <w:color w:val="0000FF"/>
        </w:rPr>
        <w:t xml:space="preserve"> </w:t>
      </w:r>
      <w:r>
        <w:rPr>
          <w:rFonts w:ascii="Arial" w:cs="Arial" w:eastAsia="Arial" w:hAnsi="Arial"/>
          <w:sz w:val="21"/>
          <w:szCs w:val="21"/>
          <w:color w:val="000000"/>
        </w:rPr>
        <w:t>shall be effective</w:t>
      </w:r>
      <w:r>
        <w:rPr>
          <w:rFonts w:ascii="Arial" w:cs="Arial" w:eastAsia="Arial" w:hAnsi="Arial"/>
          <w:sz w:val="21"/>
          <w:szCs w:val="21"/>
          <w:color w:val="0000FF"/>
        </w:rPr>
        <w:t xml:space="preserve"> </w:t>
      </w:r>
      <w:r>
        <w:rPr>
          <w:rFonts w:ascii="Arial" w:cs="Arial" w:eastAsia="Arial" w:hAnsi="Arial"/>
          <w:sz w:val="21"/>
          <w:szCs w:val="21"/>
          <w:color w:val="FF0000"/>
          <w:strike w:val="1"/>
        </w:rPr>
        <w:t>on</w:t>
      </w:r>
      <w:r>
        <w:rPr>
          <w:rFonts w:ascii="Arial" w:cs="Arial" w:eastAsia="Arial" w:hAnsi="Arial"/>
          <w:sz w:val="21"/>
          <w:szCs w:val="21"/>
          <w:u w:val="single" w:color="auto"/>
          <w:color w:val="0000FF"/>
        </w:rPr>
        <w:t>from and including</w:t>
      </w:r>
      <w:r>
        <w:rPr>
          <w:rFonts w:ascii="Arial" w:cs="Arial" w:eastAsia="Arial" w:hAnsi="Arial"/>
          <w:sz w:val="21"/>
          <w:szCs w:val="21"/>
          <w:color w:val="0000FF"/>
        </w:rPr>
        <w:t xml:space="preserve"> </w:t>
      </w:r>
      <w:r>
        <w:rPr>
          <w:rFonts w:ascii="Arial" w:cs="Arial" w:eastAsia="Arial" w:hAnsi="Arial"/>
          <w:sz w:val="21"/>
          <w:szCs w:val="21"/>
          <w:color w:val="000000"/>
        </w:rPr>
        <w:t>the effective da</w:t>
      </w:r>
      <w:r>
        <w:rPr>
          <w:rFonts w:ascii="Arial" w:cs="Arial" w:eastAsia="Arial" w:hAnsi="Arial"/>
          <w:sz w:val="21"/>
          <w:szCs w:val="21"/>
          <w:color w:val="FF0000"/>
          <w:strike w:val="1"/>
        </w:rPr>
        <w:t>y</w:t>
      </w:r>
      <w:r>
        <w:rPr>
          <w:rFonts w:ascii="Arial" w:cs="Arial" w:eastAsia="Arial" w:hAnsi="Arial"/>
          <w:sz w:val="21"/>
          <w:szCs w:val="21"/>
          <w:u w:val="single" w:color="auto"/>
          <w:color w:val="0000FF"/>
        </w:rPr>
        <w:t>te</w:t>
      </w:r>
      <w:r>
        <w:rPr>
          <w:rFonts w:ascii="Arial" w:cs="Arial" w:eastAsia="Arial" w:hAnsi="Arial"/>
          <w:sz w:val="21"/>
          <w:szCs w:val="21"/>
          <w:color w:val="0000FF"/>
        </w:rPr>
        <w:t xml:space="preserve"> </w:t>
      </w:r>
      <w:r>
        <w:rPr>
          <w:rFonts w:ascii="Arial" w:cs="Arial" w:eastAsia="Arial" w:hAnsi="Arial"/>
          <w:sz w:val="21"/>
          <w:szCs w:val="21"/>
          <w:color w:val="000000"/>
        </w:rPr>
        <w:t>of such change in the Prime Rate</w:t>
      </w:r>
      <w:r>
        <w:rPr>
          <w:rFonts w:ascii="Arial" w:cs="Arial" w:eastAsia="Arial" w:hAnsi="Arial"/>
          <w:sz w:val="21"/>
          <w:szCs w:val="21"/>
          <w:u w:val="single" w:color="auto"/>
          <w:color w:val="0000FF"/>
        </w:rPr>
        <w:t>, the NYFRB Rate</w:t>
      </w:r>
      <w:r>
        <w:rPr>
          <w:rFonts w:ascii="Arial" w:cs="Arial" w:eastAsia="Arial" w:hAnsi="Arial"/>
          <w:sz w:val="21"/>
          <w:szCs w:val="21"/>
          <w:color w:val="0000FF"/>
        </w:rPr>
        <w:t xml:space="preserve"> </w:t>
      </w:r>
      <w:r>
        <w:rPr>
          <w:rFonts w:ascii="Arial" w:cs="Arial" w:eastAsia="Arial" w:hAnsi="Arial"/>
          <w:sz w:val="21"/>
          <w:szCs w:val="21"/>
          <w:color w:val="000000"/>
        </w:rPr>
        <w:t xml:space="preserve">or the </w:t>
      </w:r>
      <w:r>
        <w:rPr>
          <w:rFonts w:ascii="Arial" w:cs="Arial" w:eastAsia="Arial" w:hAnsi="Arial"/>
          <w:sz w:val="21"/>
          <w:szCs w:val="21"/>
          <w:color w:val="FF0000"/>
          <w:strike w:val="1"/>
        </w:rPr>
        <w:t>NYFRB Rate, respectively</w:t>
      </w:r>
      <w:r>
        <w:rPr>
          <w:rFonts w:ascii="Arial" w:cs="Arial" w:eastAsia="Arial" w:hAnsi="Arial"/>
          <w:sz w:val="21"/>
          <w:szCs w:val="21"/>
          <w:u w:val="single" w:color="auto"/>
          <w:color w:val="0000FF"/>
        </w:rPr>
        <w:t>Adjusted LIBO Rate, respectively. If the Alternate Base Rate is being used as an alternate</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rate of interest pursuant to Section 2.12 hereof, then the Alternate Base Rate shall be the greater of clauses (a) and (b) above and shall be determined without reference to clause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-617855</wp:posOffset>
            </wp:positionV>
            <wp:extent cx="3365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33655" cy="25400"/>
                    </a:xfrm>
                    <a:prstGeom prst="rect">
                      <a:avLst/>
                    </a:prstGeom>
                    <a:noFill/>
                  </pic:spPr>
                </pic:pic>
              </a:graphicData>
            </a:graphic>
          </wp:anchor>
        </w:drawing>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Amendment No. 1</w:t>
      </w:r>
      <w:r>
        <w:rPr>
          <w:rFonts w:ascii="Arial" w:cs="Arial" w:eastAsia="Arial" w:hAnsi="Arial"/>
          <w:sz w:val="21"/>
          <w:szCs w:val="21"/>
          <w:u w:val="single" w:color="auto"/>
          <w:color w:val="0000FF"/>
        </w:rPr>
        <w:t>” means Amendment No. 1 to this Agreement dated as of January 2, 2018.</w:t>
      </w:r>
    </w:p>
    <w:p>
      <w:pPr>
        <w:spacing w:after="0" w:line="18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Amendment No. 1 Consenting Lender</w:t>
      </w:r>
      <w:r>
        <w:rPr>
          <w:rFonts w:ascii="Arial" w:cs="Arial" w:eastAsia="Arial" w:hAnsi="Arial"/>
          <w:sz w:val="21"/>
          <w:szCs w:val="21"/>
          <w:u w:val="single" w:color="auto"/>
          <w:color w:val="0000FF"/>
        </w:rPr>
        <w:t>” means each Lender that returned an executed counterpart to Amendment No. 1 to the Administrative Agent prior to the Amendment No. 1 Effective Date.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Amendment No. 1 Effective Date</w:t>
      </w:r>
      <w:r>
        <w:rPr>
          <w:rFonts w:ascii="Arial" w:cs="Arial" w:eastAsia="Arial" w:hAnsi="Arial"/>
          <w:sz w:val="21"/>
          <w:szCs w:val="21"/>
          <w:u w:val="single" w:color="auto"/>
          <w:color w:val="0000FF"/>
        </w:rPr>
        <w:t>” has the meaning set forth in Amendment No. 1.</w:t>
      </w:r>
    </w:p>
    <w:p>
      <w:pPr>
        <w:spacing w:after="0" w:line="16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Application</w:t>
      </w:r>
      <w:r>
        <w:rPr>
          <w:rFonts w:ascii="Arial" w:cs="Arial" w:eastAsia="Arial" w:hAnsi="Arial"/>
          <w:sz w:val="21"/>
          <w:szCs w:val="21"/>
          <w:color w:val="auto"/>
        </w:rPr>
        <w:t>” means an application, in such form as the Issuing Bank may specify from time to time, requesting the Issuing Bank to open a Letter of Credit.</w:t>
      </w:r>
    </w:p>
    <w:p>
      <w:pPr>
        <w:spacing w:after="0" w:line="120" w:lineRule="exact"/>
        <w:rPr>
          <w:sz w:val="20"/>
          <w:szCs w:val="20"/>
          <w:color w:val="auto"/>
        </w:rPr>
      </w:pPr>
    </w:p>
    <w:p>
      <w:pPr>
        <w:jc w:val="both"/>
        <w:ind w:firstLine="635"/>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Account</w:t>
      </w:r>
      <w:r>
        <w:rPr>
          <w:rFonts w:ascii="Arial" w:cs="Arial" w:eastAsia="Arial" w:hAnsi="Arial"/>
          <w:sz w:val="19"/>
          <w:szCs w:val="19"/>
          <w:color w:val="auto"/>
        </w:rPr>
        <w:t>” means, with respect to any payment to be made to the Administrative Agent hereunder, the account specified by the Administrative Agent from time to time for the purpose of receiving payments of such type.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70" w:name="page171"/>
    <w:bookmarkEnd w:id="170"/>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Discount</w:t>
      </w:r>
      <w:r>
        <w:rPr>
          <w:rFonts w:ascii="Arial" w:cs="Arial" w:eastAsia="Arial" w:hAnsi="Arial"/>
          <w:sz w:val="21"/>
          <w:szCs w:val="21"/>
          <w:color w:val="auto"/>
        </w:rPr>
        <w:t>” has the meaning assigned to such term in Section 2.09(a)(ii)(C).</w:t>
      </w:r>
    </w:p>
    <w:p>
      <w:pPr>
        <w:spacing w:after="0" w:line="169"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Fronting Exposure</w:t>
      </w:r>
      <w:r>
        <w:rPr>
          <w:rFonts w:ascii="Arial" w:cs="Arial" w:eastAsia="Arial" w:hAnsi="Arial"/>
          <w:sz w:val="21"/>
          <w:szCs w:val="21"/>
          <w:color w:val="auto"/>
        </w:rPr>
        <w:t>” means, with respect to any Person that is an Issuing Bank at any time, the sum of (a) the aggregate amount of all Letters of Credit issued by such Person in its capacity as an Issuing Bank (if applicable) that remains available for drawing at such time and (b) the aggregate amount of all LC Disbursements made by such Person in its capacity as an Issuing Bank (if applicable) that have not yet been reimbursed by or on behalf of the Borrower at such time.</w:t>
      </w:r>
    </w:p>
    <w:p>
      <w:pPr>
        <w:spacing w:after="0" w:line="148"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Applicable Percentage</w:t>
      </w:r>
      <w:r>
        <w:rPr>
          <w:rFonts w:ascii="Arial" w:cs="Arial" w:eastAsia="Arial" w:hAnsi="Arial"/>
          <w:sz w:val="21"/>
          <w:szCs w:val="21"/>
          <w:color w:val="auto"/>
        </w:rPr>
        <w:t>” means, at any time with respect to any Revolving Lender, the percentage of the Total Revolving Commitments represented by such Lender’s Revolving Commitment at such time and, solely for purposes of any reallocations made pursuant to Section 2.21(d), after giving effect to any Revolving Lender’s status as a Defaulting Lender at the time of determination. If the Revolving Commitments have terminated or expired, the Applicable Percentages shall be determined based upon the Revolving Commitments most recently in effect, giving effect to any assignments pursuant to this Agreement and to any Revolving Lender’s status as a Defaulting Lender at the time of determination.</w:t>
      </w:r>
    </w:p>
    <w:p>
      <w:pPr>
        <w:spacing w:after="0" w:line="134" w:lineRule="exact"/>
        <w:rPr>
          <w:sz w:val="20"/>
          <w:szCs w:val="20"/>
          <w:color w:val="auto"/>
        </w:rPr>
      </w:pPr>
    </w:p>
    <w:p>
      <w:pPr>
        <w:jc w:val="both"/>
        <w:ind w:firstLine="635"/>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Rate</w:t>
      </w:r>
      <w:r>
        <w:rPr>
          <w:rFonts w:ascii="Arial" w:cs="Arial" w:eastAsia="Arial" w:hAnsi="Arial"/>
          <w:sz w:val="19"/>
          <w:szCs w:val="19"/>
          <w:color w:val="auto"/>
        </w:rPr>
        <w:t xml:space="preserve">” means, for any day, (A) with respect to any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color w:val="0000FF"/>
        </w:rPr>
        <w:t>B-1</w:t>
      </w:r>
      <w:r>
        <w:rPr>
          <w:rFonts w:ascii="Arial" w:cs="Arial" w:eastAsia="Arial" w:hAnsi="Arial"/>
          <w:sz w:val="19"/>
          <w:szCs w:val="19"/>
          <w:color w:val="auto"/>
        </w:rPr>
        <w:t xml:space="preserve"> Loan, (i) 2.</w:t>
      </w:r>
      <w:r>
        <w:rPr>
          <w:rFonts w:ascii="Arial" w:cs="Arial" w:eastAsia="Arial" w:hAnsi="Arial"/>
          <w:sz w:val="19"/>
          <w:szCs w:val="19"/>
          <w:color w:val="FF0000"/>
          <w:strike w:val="1"/>
        </w:rPr>
        <w:t>7</w:t>
      </w:r>
      <w:r>
        <w:rPr>
          <w:rFonts w:ascii="Arial" w:cs="Arial" w:eastAsia="Arial" w:hAnsi="Arial"/>
          <w:sz w:val="19"/>
          <w:szCs w:val="19"/>
          <w:u w:val="single" w:color="auto"/>
          <w:color w:val="0000FF"/>
        </w:rPr>
        <w:t>2</w:t>
      </w:r>
      <w:r>
        <w:rPr>
          <w:rFonts w:ascii="Arial" w:cs="Arial" w:eastAsia="Arial" w:hAnsi="Arial"/>
          <w:sz w:val="19"/>
          <w:szCs w:val="19"/>
          <w:color w:val="auto"/>
        </w:rPr>
        <w:t>5% per annum, in the case of an ABR Loan or (ii) 3.</w:t>
      </w:r>
      <w:r>
        <w:rPr>
          <w:rFonts w:ascii="Arial" w:cs="Arial" w:eastAsia="Arial" w:hAnsi="Arial"/>
          <w:sz w:val="19"/>
          <w:szCs w:val="19"/>
          <w:color w:val="FF0000"/>
          <w:strike w:val="1"/>
        </w:rPr>
        <w:t>7</w:t>
      </w:r>
      <w:r>
        <w:rPr>
          <w:rFonts w:ascii="Arial" w:cs="Arial" w:eastAsia="Arial" w:hAnsi="Arial"/>
          <w:sz w:val="19"/>
          <w:szCs w:val="19"/>
          <w:u w:val="single" w:color="auto"/>
          <w:color w:val="0000FF"/>
        </w:rPr>
        <w:t>2</w:t>
      </w:r>
      <w:r>
        <w:rPr>
          <w:rFonts w:ascii="Arial" w:cs="Arial" w:eastAsia="Arial" w:hAnsi="Arial"/>
          <w:sz w:val="19"/>
          <w:szCs w:val="19"/>
          <w:color w:val="auto"/>
        </w:rPr>
        <w:t>5% per annum, in the case of a Eurodollar Loan and (B) with respect to any Revolving Loan, (i) 2.00% per annum in the case of an ABR Loan or (ii) 3.00% per annum in the case of a 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-345440</wp:posOffset>
            </wp:positionV>
            <wp:extent cx="23495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234950" cy="25400"/>
                    </a:xfrm>
                    <a:prstGeom prst="rect">
                      <a:avLst/>
                    </a:prstGeom>
                    <a:noFill/>
                  </pic:spPr>
                </pic:pic>
              </a:graphicData>
            </a:graphic>
          </wp:anchor>
        </w:drawing>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Bank</w:t>
      </w:r>
      <w:r>
        <w:rPr>
          <w:rFonts w:ascii="Arial" w:cs="Arial" w:eastAsia="Arial" w:hAnsi="Arial"/>
          <w:sz w:val="19"/>
          <w:szCs w:val="19"/>
          <w:color w:val="auto"/>
        </w:rPr>
        <w:t>” has the meaning assigned to such term in the definition of the term “Permitted Investments.”</w:t>
      </w:r>
    </w:p>
    <w:p>
      <w:pPr>
        <w:spacing w:after="0" w:line="205"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Fund</w:t>
      </w:r>
      <w:r>
        <w:rPr>
          <w:rFonts w:ascii="Arial" w:cs="Arial" w:eastAsia="Arial" w:hAnsi="Arial"/>
          <w:sz w:val="21"/>
          <w:szCs w:val="21"/>
          <w:color w:val="auto"/>
        </w:rPr>
        <w:t>” means any Person (other than a natural person) that is (or will be)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30"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and Assumption</w:t>
      </w:r>
      <w:r>
        <w:rPr>
          <w:rFonts w:ascii="Arial" w:cs="Arial" w:eastAsia="Arial" w:hAnsi="Arial"/>
          <w:sz w:val="21"/>
          <w:szCs w:val="21"/>
          <w:color w:val="auto"/>
        </w:rPr>
        <w:t>” means an assignment and assumption entered into by a Lender and an Eligible Assignee (with the consent of any Person whose consent is required by Section 9.04), substantially in the form of Exhibit A-1 or any other form reasonably approved by the Administrative Agent.</w:t>
      </w:r>
    </w:p>
    <w:p>
      <w:pPr>
        <w:spacing w:after="0" w:line="12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Assumed Tax Rate</w:t>
      </w:r>
      <w:r>
        <w:rPr>
          <w:rFonts w:ascii="Arial" w:cs="Arial" w:eastAsia="Arial" w:hAnsi="Arial"/>
          <w:sz w:val="21"/>
          <w:szCs w:val="21"/>
          <w:color w:val="auto"/>
        </w:rPr>
        <w:t>” means the greater of (i) 45% and (ii) the maximum marginal combined federal, state and local income tax rate applicable at such time to a natural person residing in New York City, New York.</w:t>
      </w:r>
    </w:p>
    <w:p>
      <w:pPr>
        <w:spacing w:after="0" w:line="120"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Revolving Commitment</w:t>
      </w:r>
      <w:r>
        <w:rPr>
          <w:rFonts w:ascii="Arial" w:cs="Arial" w:eastAsia="Arial" w:hAnsi="Arial"/>
          <w:sz w:val="21"/>
          <w:szCs w:val="21"/>
          <w:color w:val="auto"/>
        </w:rPr>
        <w:t xml:space="preserve">” means as to any Revolving Lender at any time, an amount equal to the excess, if any, of (a) such Lender’s Revolving Commitment then in effect </w:t>
      </w:r>
      <w:r>
        <w:rPr>
          <w:rFonts w:ascii="Arial" w:cs="Arial" w:eastAsia="Arial" w:hAnsi="Arial"/>
          <w:sz w:val="21"/>
          <w:szCs w:val="21"/>
          <w:i w:val="1"/>
          <w:iCs w:val="1"/>
          <w:color w:val="auto"/>
        </w:rPr>
        <w:t>over</w:t>
      </w:r>
      <w:r>
        <w:rPr>
          <w:rFonts w:ascii="Arial" w:cs="Arial" w:eastAsia="Arial" w:hAnsi="Arial"/>
          <w:sz w:val="21"/>
          <w:szCs w:val="21"/>
          <w:color w:val="auto"/>
        </w:rPr>
        <w:t xml:space="preserve"> (b) such Lender’s Revolving Exposure then outstanding.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71" w:name="page172"/>
    <w:bookmarkEnd w:id="171"/>
    <w:p>
      <w:pPr>
        <w:jc w:val="both"/>
        <w:ind w:firstLine="63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Auction Agent</w:t>
      </w:r>
      <w:r>
        <w:rPr>
          <w:rFonts w:ascii="Arial" w:cs="Arial" w:eastAsia="Arial" w:hAnsi="Arial"/>
          <w:sz w:val="20"/>
          <w:szCs w:val="20"/>
          <w:color w:val="auto"/>
        </w:rPr>
        <w:t xml:space="preserve">” means (a) the Administrative Agent or (b) any other financial institution or advisor employed by the Borrower (whether or not an Affiliate of the Administrative Agent) to act as an arranger in connection with any Discounted Term Loan Prepayment pursuant to Section 2.09(a)(ii);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w:t>
      </w:r>
    </w:p>
    <w:p>
      <w:pPr>
        <w:spacing w:after="0" w:line="11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Audited Financial Statements</w:t>
      </w:r>
      <w:r>
        <w:rPr>
          <w:rFonts w:ascii="Arial" w:cs="Arial" w:eastAsia="Arial" w:hAnsi="Arial"/>
          <w:sz w:val="21"/>
          <w:szCs w:val="21"/>
          <w:color w:val="auto"/>
        </w:rPr>
        <w:t>” means the audited consolidated balance sheet of Holdings for the fiscal year ended December 31, 2016 and the related consolidated statements of income, changes in equity and cash flows of Holdings, including the notes thereto.</w:t>
      </w:r>
    </w:p>
    <w:p>
      <w:pPr>
        <w:spacing w:after="0" w:line="136"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Bail-In Action</w:t>
      </w:r>
      <w:r>
        <w:rPr>
          <w:rFonts w:ascii="Arial" w:cs="Arial" w:eastAsia="Arial" w:hAnsi="Arial"/>
          <w:sz w:val="21"/>
          <w:szCs w:val="21"/>
          <w:color w:val="auto"/>
        </w:rPr>
        <w:t>” means the exercise of any Write-Down and Conversion Powers by the applicable EEA Resolution Authority in respect of any liability of an EEA Financial Institution.</w:t>
      </w:r>
    </w:p>
    <w:p>
      <w:pPr>
        <w:spacing w:after="0" w:line="107" w:lineRule="exact"/>
        <w:rPr>
          <w:sz w:val="20"/>
          <w:szCs w:val="20"/>
          <w:color w:val="auto"/>
        </w:rPr>
      </w:pPr>
    </w:p>
    <w:p>
      <w:pPr>
        <w:jc w:val="both"/>
        <w:ind w:right="20"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Bail-in Legislation</w:t>
      </w:r>
      <w:r>
        <w:rPr>
          <w:rFonts w:ascii="Arial" w:cs="Arial" w:eastAsia="Arial" w:hAnsi="Arial"/>
          <w:sz w:val="21"/>
          <w:szCs w:val="21"/>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2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Bankruptcy Code</w:t>
      </w:r>
      <w:r>
        <w:rPr>
          <w:rFonts w:ascii="Arial" w:cs="Arial" w:eastAsia="Arial" w:hAnsi="Arial"/>
          <w:sz w:val="21"/>
          <w:szCs w:val="21"/>
          <w:color w:val="auto"/>
        </w:rPr>
        <w:t>” means Title 11 of the United State Code, as amended, or any similar federal or state law for the relief of debtors.</w:t>
      </w:r>
    </w:p>
    <w:p>
      <w:pPr>
        <w:spacing w:after="0" w:line="120"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Bankruptcy Event</w:t>
      </w:r>
      <w:r>
        <w:rPr>
          <w:rFonts w:ascii="Arial" w:cs="Arial" w:eastAsia="Arial" w:hAnsi="Arial"/>
          <w:sz w:val="19"/>
          <w:szCs w:val="19"/>
          <w:color w:val="auto"/>
        </w:rPr>
        <w:t xml:space="preserve">” means with respect to any Person, such Person becomes insolvent or is otherwise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13"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72" w:name="page173"/>
    <w:bookmarkEnd w:id="172"/>
    <w:p>
      <w:pPr>
        <w:jc w:val="both"/>
        <w:ind w:firstLine="635"/>
        <w:spacing w:after="0" w:line="247"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Benefit Plan</w:t>
      </w:r>
      <w:r>
        <w:rPr>
          <w:rFonts w:ascii="Arial" w:cs="Arial" w:eastAsia="Arial" w:hAnsi="Arial"/>
          <w:sz w:val="21"/>
          <w:szCs w:val="21"/>
          <w:u w:val="single" w:color="auto"/>
          <w:color w:val="0000FF"/>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31" w:lineRule="exact"/>
        <w:rPr>
          <w:sz w:val="20"/>
          <w:szCs w:val="20"/>
          <w:color w:val="auto"/>
        </w:rPr>
      </w:pPr>
    </w:p>
    <w:p>
      <w:pPr>
        <w:jc w:val="both"/>
        <w:ind w:firstLine="63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means, with respect to any Person, (a) in the case of any corporation, the board of directors of such Person or any committee thereof duly authorized to act on behalf of such board, (b) in the case of any limited liability company, the board of managers of such Person, (c) in the case of any partnership, the board of directors or board of managers of the general partner of such Person and (d) in any other case, the functional equivalent of the foregoing.</w:t>
      </w:r>
    </w:p>
    <w:p>
      <w:pPr>
        <w:spacing w:after="0" w:line="111"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 of Governors</w:t>
      </w:r>
      <w:r>
        <w:rPr>
          <w:rFonts w:ascii="Arial" w:cs="Arial" w:eastAsia="Arial" w:hAnsi="Arial"/>
          <w:sz w:val="21"/>
          <w:szCs w:val="21"/>
          <w:color w:val="auto"/>
        </w:rPr>
        <w:t>” means the Board of Governors of the Federal Reserve System of the United States of America.</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w:t>
      </w:r>
      <w:r>
        <w:rPr>
          <w:rFonts w:ascii="Arial" w:cs="Arial" w:eastAsia="Arial" w:hAnsi="Arial"/>
          <w:sz w:val="21"/>
          <w:szCs w:val="21"/>
          <w:color w:val="auto"/>
        </w:rPr>
        <w:t>” has the meaning assigned to such term in the preamble.</w:t>
      </w:r>
    </w:p>
    <w:p>
      <w:pPr>
        <w:spacing w:after="0" w:line="16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Assignment and Assumption</w:t>
      </w:r>
      <w:r>
        <w:rPr>
          <w:rFonts w:ascii="Arial" w:cs="Arial" w:eastAsia="Arial" w:hAnsi="Arial"/>
          <w:sz w:val="21"/>
          <w:szCs w:val="21"/>
          <w:color w:val="auto"/>
        </w:rPr>
        <w:t>” means an assignment and assumption agreement substantially in the form of Exhibit A-2, or any other form reasonably approved by the Administrative Agent.</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Materials</w:t>
      </w:r>
      <w:r>
        <w:rPr>
          <w:rFonts w:ascii="Arial" w:cs="Arial" w:eastAsia="Arial" w:hAnsi="Arial"/>
          <w:sz w:val="21"/>
          <w:szCs w:val="21"/>
          <w:color w:val="auto"/>
        </w:rPr>
        <w:t>” has the meaning assigned to such term in Section 5.01.</w:t>
      </w:r>
    </w:p>
    <w:p>
      <w:pPr>
        <w:spacing w:after="0" w:line="16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Offer of Specified Discount Prepayment</w:t>
      </w:r>
      <w:r>
        <w:rPr>
          <w:rFonts w:ascii="Arial" w:cs="Arial" w:eastAsia="Arial" w:hAnsi="Arial"/>
          <w:sz w:val="21"/>
          <w:szCs w:val="21"/>
          <w:color w:val="auto"/>
        </w:rPr>
        <w:t>” means the offer by the Borrower to make a voluntary prepayment of Term Loans at a specified discount to par pursuant to Section 2.09(a)(ii)(B).</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Solicitation of Discount Range Prepayment Offers</w:t>
      </w:r>
      <w:r>
        <w:rPr>
          <w:rFonts w:ascii="Arial" w:cs="Arial" w:eastAsia="Arial" w:hAnsi="Arial"/>
          <w:sz w:val="21"/>
          <w:szCs w:val="21"/>
          <w:color w:val="auto"/>
        </w:rPr>
        <w:t>” means the solicitation by the Borrower of offers for, and the corresponding acceptance by a Term Lender of, a voluntary prepayment of Term Loans at a specified range at a discount to par pursuant to Section 2.09(a)(ii)(C).</w:t>
      </w:r>
    </w:p>
    <w:p>
      <w:pPr>
        <w:spacing w:after="0" w:line="136"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Solicitation of Discounted Prepayment Offers</w:t>
      </w:r>
      <w:r>
        <w:rPr>
          <w:rFonts w:ascii="Arial" w:cs="Arial" w:eastAsia="Arial" w:hAnsi="Arial"/>
          <w:sz w:val="21"/>
          <w:szCs w:val="21"/>
          <w:color w:val="auto"/>
        </w:rPr>
        <w:t>” means the solicitation by the Borrower of offers for, and the subsequent acceptance, if any, by a Term Lender of, a voluntary prepayment of Term Loans at a discount to par pursuant to Section 2.09(a)(ii)(D).</w:t>
      </w:r>
    </w:p>
    <w:p>
      <w:pPr>
        <w:spacing w:after="0" w:line="12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Borrowing</w:t>
      </w:r>
      <w:r>
        <w:rPr>
          <w:rFonts w:ascii="Arial" w:cs="Arial" w:eastAsia="Arial" w:hAnsi="Arial"/>
          <w:sz w:val="21"/>
          <w:szCs w:val="21"/>
          <w:color w:val="auto"/>
        </w:rPr>
        <w:t>” means Loans of the same Class and Type, made, converted or continued on the same date and, in the case of Eurodollar Loans, as to which a single Interest Period is in effect.</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Borrowing Request</w:t>
      </w:r>
      <w:r>
        <w:rPr>
          <w:rFonts w:ascii="Arial" w:cs="Arial" w:eastAsia="Arial" w:hAnsi="Arial"/>
          <w:sz w:val="20"/>
          <w:szCs w:val="20"/>
          <w:color w:val="auto"/>
        </w:rPr>
        <w:t>” means a request by the Borrower for a Borrowing in accordance with Section 2.03.</w:t>
      </w:r>
    </w:p>
    <w:p>
      <w:pPr>
        <w:spacing w:after="0" w:line="193" w:lineRule="exact"/>
        <w:rPr>
          <w:sz w:val="20"/>
          <w:szCs w:val="20"/>
          <w:color w:val="auto"/>
        </w:rPr>
      </w:pPr>
    </w:p>
    <w:p>
      <w:pPr>
        <w:jc w:val="both"/>
        <w:ind w:right="20" w:firstLine="635"/>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Broker-Dealer Subsidiary</w:t>
      </w:r>
      <w:r>
        <w:rPr>
          <w:rFonts w:ascii="Arial" w:cs="Arial" w:eastAsia="Arial" w:hAnsi="Arial"/>
          <w:sz w:val="19"/>
          <w:szCs w:val="19"/>
          <w:color w:val="auto"/>
        </w:rPr>
        <w:t>” means any Restricted Subsidiary that is registered as (a) a broker or a dealer pursuant to Section 15 of the Exchange Act or (b) a broker or a dealer or an underwriter under any foreign securities law.</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173" w:name="page174"/>
    <w:bookmarkEnd w:id="173"/>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xml:space="preserve"> ” means any day other than a Saturday, Sunday or day on which banks in New York City are authorized or required by law to close; </w:t>
      </w:r>
      <w:r>
        <w:rPr>
          <w:rFonts w:ascii="Arial" w:cs="Arial" w:eastAsia="Arial" w:hAnsi="Arial"/>
          <w:sz w:val="21"/>
          <w:szCs w:val="21"/>
          <w:i w:val="1"/>
          <w:iCs w:val="1"/>
          <w:color w:val="auto"/>
        </w:rPr>
        <w:t>provided, however</w:t>
      </w:r>
      <w:r>
        <w:rPr>
          <w:rFonts w:ascii="Arial" w:cs="Arial" w:eastAsia="Arial" w:hAnsi="Arial"/>
          <w:sz w:val="21"/>
          <w:szCs w:val="21"/>
          <w:color w:val="auto"/>
        </w:rPr>
        <w:t>, that when used in connection with a Eurodollar Loan or an ABR Loan based on the LIBO Rate, the term “</w:t>
      </w:r>
      <w:r>
        <w:rPr>
          <w:rFonts w:ascii="Arial" w:cs="Arial" w:eastAsia="Arial" w:hAnsi="Arial"/>
          <w:sz w:val="21"/>
          <w:szCs w:val="21"/>
          <w:b w:val="1"/>
          <w:bCs w:val="1"/>
          <w:color w:val="auto"/>
        </w:rPr>
        <w:t>Business Day</w:t>
      </w:r>
      <w:r>
        <w:rPr>
          <w:rFonts w:ascii="Arial" w:cs="Arial" w:eastAsia="Arial" w:hAnsi="Arial"/>
          <w:sz w:val="21"/>
          <w:szCs w:val="21"/>
          <w:color w:val="auto"/>
        </w:rPr>
        <w:t>” shall also exclude any day on which banks are not open for dealings in dollar deposits in the London interbank market.</w:t>
      </w:r>
    </w:p>
    <w:p>
      <w:pPr>
        <w:spacing w:after="0" w:line="131"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For purposes of Section 6.02, a Capital Lease Obligation shall be deemed to be secured by a Lien on the property being leased and such property shall be deemed to be owned by the lessee.</w:t>
      </w:r>
    </w:p>
    <w:p>
      <w:pPr>
        <w:spacing w:after="0" w:line="136"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Capitalized Leases</w:t>
      </w:r>
      <w:r>
        <w:rPr>
          <w:rFonts w:ascii="Arial" w:cs="Arial" w:eastAsia="Arial" w:hAnsi="Arial"/>
          <w:sz w:val="21"/>
          <w:szCs w:val="21"/>
          <w:color w:val="auto"/>
        </w:rPr>
        <w:t xml:space="preserve">” means all leases that have been or should be, in accordance with GAAP, recorded as capitalized leases;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for all purposes hereunder the amount of obligations under any Capitalized Lease shall be the amount thereof accounted for as a liability in accordance with GAAP.</w:t>
      </w:r>
    </w:p>
    <w:p>
      <w:pPr>
        <w:spacing w:after="0" w:line="123" w:lineRule="exact"/>
        <w:rPr>
          <w:sz w:val="20"/>
          <w:szCs w:val="20"/>
          <w:color w:val="auto"/>
        </w:rPr>
      </w:pPr>
    </w:p>
    <w:p>
      <w:pPr>
        <w:jc w:val="both"/>
        <w:ind w:firstLine="63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Capitalized Software Expenditures</w:t>
      </w:r>
      <w:r>
        <w:rPr>
          <w:rFonts w:ascii="Arial" w:cs="Arial" w:eastAsia="Arial" w:hAnsi="Arial"/>
          <w:sz w:val="19"/>
          <w:szCs w:val="19"/>
          <w:color w:val="auto"/>
        </w:rPr>
        <w:t>” means, for any period, the aggregate of all expenditures (whether paid in cash or accrued as liabilities) by Holdings and its Restricted Subsidiaries during such period in respect of purchased software or internally developed software and software enhancements that, in conformity with GAAP, are or are required to be reflected as capitalized costs on the consolidated balance sheet of Holdings and the Restricted Subsidiaries.</w:t>
      </w:r>
    </w:p>
    <w:p>
      <w:pPr>
        <w:spacing w:after="0" w:line="98"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Management Obligations</w:t>
      </w:r>
      <w:r>
        <w:rPr>
          <w:rFonts w:ascii="Arial" w:cs="Arial" w:eastAsia="Arial" w:hAnsi="Arial"/>
          <w:sz w:val="21"/>
          <w:szCs w:val="21"/>
          <w:color w:val="auto"/>
        </w:rPr>
        <w:t>” means obligations of Holdings, any Intermediate Parent, the Borrower or any Restricted Subsidiary in respect of any overdraft and related liabilities arising from treasury, depository and cash management services or any automated clearing house transfers of funds.</w:t>
      </w:r>
    </w:p>
    <w:p>
      <w:pPr>
        <w:spacing w:after="0" w:line="136" w:lineRule="exact"/>
        <w:rPr>
          <w:sz w:val="20"/>
          <w:szCs w:val="20"/>
          <w:color w:val="auto"/>
        </w:rPr>
      </w:pPr>
    </w:p>
    <w:p>
      <w:pPr>
        <w:jc w:val="both"/>
        <w:ind w:firstLine="635"/>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Casualty Event</w:t>
      </w:r>
      <w:r>
        <w:rPr>
          <w:rFonts w:ascii="Arial" w:cs="Arial" w:eastAsia="Arial" w:hAnsi="Arial"/>
          <w:sz w:val="19"/>
          <w:szCs w:val="19"/>
          <w:color w:val="auto"/>
        </w:rPr>
        <w:t>” means any event that gives rise to the receipt by Holdings, any Intermediate Parent, the Borrower or any Subsidiary of any insurance proceeds or condemnation awards in respect of any equipment, fixed assets or real property (including any improvements thereon) to replace or repair such equipment, fixed assets or real property.</w:t>
      </w:r>
    </w:p>
    <w:p>
      <w:pPr>
        <w:spacing w:after="0" w:line="89" w:lineRule="exact"/>
        <w:rPr>
          <w:sz w:val="20"/>
          <w:szCs w:val="20"/>
          <w:color w:val="auto"/>
        </w:rPr>
      </w:pPr>
    </w:p>
    <w:p>
      <w:pPr>
        <w:jc w:val="both"/>
        <w:ind w:firstLine="63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occurrence of any of the following: (a) the direct or indirect sale, lease, transfer, conveyance or other disposition (other than by way of merger or consolidation), in one or a series of related transactions, of all or substantially all of the assets of Holdings and its Subsidiaries taken as a whole to any “person” or “group” (as each such term is used in Section 13(d) of the Exchange Act) other than Holdings, one or more or its Restricted Subsidiaries, or one or more Permitted Holders; (b) the adoption of a plan relating to the liquidation or dissolution of Holdings; (c) the consummation of any transaction (including, without limitation, any merger or consolidation), the result of which is that any “person” or “group” (each as defined above) other than one or more Permitted Holders is or becomes the Beneficial Owner, directly or indirectly, of more than 50% of the Voting Stock of Holdings, measured by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174" w:name="page175"/>
    <w:bookmarkEnd w:id="174"/>
    <w:p>
      <w:pPr>
        <w:jc w:val="both"/>
        <w:spacing w:after="0" w:line="243" w:lineRule="auto"/>
        <w:rPr>
          <w:sz w:val="20"/>
          <w:szCs w:val="20"/>
          <w:color w:val="auto"/>
        </w:rPr>
      </w:pPr>
      <w:r>
        <w:rPr>
          <w:rFonts w:ascii="Arial" w:cs="Arial" w:eastAsia="Arial" w:hAnsi="Arial"/>
          <w:sz w:val="21"/>
          <w:szCs w:val="21"/>
          <w:color w:val="auto"/>
        </w:rPr>
        <w:t>voting power rather than number of shares, units or the like; (d) the failure of Holdings, directly or indirectly through wholly owned subsidiaries, to own all of the Equity Interests of the Borrower; or (e) the occurrence of a “Change of Control” (or similar event, however denominated), as defined in the documentation governing any Material Indebtedness that is Permitted First Priority Refinancing Debt, Permitted Junior Lien Refinancing Debt, Permitted Unsecured Refinancing Debt, Additional Notes or Junior Financing.</w:t>
      </w:r>
    </w:p>
    <w:p>
      <w:pPr>
        <w:spacing w:after="0" w:line="135"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Law</w:t>
      </w:r>
      <w:r>
        <w:rPr>
          <w:rFonts w:ascii="Arial" w:cs="Arial" w:eastAsia="Arial" w:hAnsi="Arial"/>
          <w:sz w:val="21"/>
          <w:szCs w:val="21"/>
          <w:color w:val="auto"/>
        </w:rPr>
        <w:t>” means: (a) the adoption of any rule, regulation, treaty or other law after the Restatement Effective Date, (b) any change in any rule, regulation, treaty or other law or in the administration, interpretation or application thereof by any Governmental Authority or Regulatory Supervising Organization after the Restatement Effective Date or (c) the making or issuance of any request, guideline or directive (whether or not having the force of law) of any Governmental Authority or Regulatory Supervising Organization made or issued after the Restatement Effective Date.</w:t>
      </w:r>
    </w:p>
    <w:p>
      <w:pPr>
        <w:spacing w:after="0" w:line="14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Class</w:t>
      </w:r>
      <w:r>
        <w:rPr>
          <w:rFonts w:ascii="Arial" w:cs="Arial" w:eastAsia="Arial" w:hAnsi="Arial"/>
          <w:sz w:val="20"/>
          <w:szCs w:val="20"/>
          <w:color w:val="auto"/>
        </w:rPr>
        <w:t xml:space="preserve">” when used in reference to (a) any Loan or Borrowing, refers to whether such Loan, or the Loans comprising such Borrowing, are Revolving Loans, Other Revolving Loans,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Other Term Loans, Incremental Term Loans (other than in the form of additional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or loans under an Incremental Revolving Facility, (b) any Commitment, refers to whether such Commitment is a Revolving Commitment, Other Revolving Commitment, Term Commitment, Other Term Commitment, Incremental Term Commitment or commitment in respect of an Incremental Revolving Facility and (c) any Lender, refers to whether such Lender has a Loan or Commitment with respect to a particular Class of Loans or Commitments. Other Term Commitments, Incremental Term Commitments, commitment in respect of an Incremental Revolving Facility, Other Term Loans, Incremental Term Loans (other than Incremental Term Loans in the form of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u w:val="single" w:color="auto"/>
          <w:color w:val="0000FF"/>
        </w:rPr>
        <w:t>B-1</w:t>
      </w:r>
      <w:r>
        <w:rPr>
          <w:rFonts w:ascii="Arial" w:cs="Arial" w:eastAsia="Arial" w:hAnsi="Arial"/>
          <w:sz w:val="20"/>
          <w:szCs w:val="20"/>
          <w:color w:val="auto"/>
        </w:rPr>
        <w:t xml:space="preserve"> Loans), Other Revolving Commitments (and the Other Revolving Loans made pursuant thereto), loans under an Incremental Revolving Facility and Incremental Term Facilities that have different terms and conditions shall be construed to be in different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-1390015</wp:posOffset>
            </wp:positionV>
            <wp:extent cx="25209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252095" cy="25400"/>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-1238885</wp:posOffset>
            </wp:positionV>
            <wp:extent cx="26035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260350" cy="25400"/>
                    </a:xfrm>
                    <a:prstGeom prst="rect">
                      <a:avLst/>
                    </a:prstGeom>
                    <a:noFill/>
                  </pic:spPr>
                </pic:pic>
              </a:graphicData>
            </a:graphic>
          </wp:anchor>
        </w:drawing>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Closing Date</w:t>
      </w:r>
      <w:r>
        <w:rPr>
          <w:rFonts w:ascii="Arial" w:cs="Arial" w:eastAsia="Arial" w:hAnsi="Arial"/>
          <w:sz w:val="21"/>
          <w:szCs w:val="21"/>
          <w:color w:val="auto"/>
        </w:rPr>
        <w:t>” means May 22, 2013.</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Internal Revenue Code of 1986, as amended from time to time.</w:t>
      </w:r>
    </w:p>
    <w:p>
      <w:pPr>
        <w:spacing w:after="0" w:line="182"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w:t>
      </w:r>
      <w:r>
        <w:rPr>
          <w:rFonts w:ascii="Arial" w:cs="Arial" w:eastAsia="Arial" w:hAnsi="Arial"/>
          <w:sz w:val="21"/>
          <w:szCs w:val="21"/>
          <w:color w:val="auto"/>
        </w:rPr>
        <w:t>” means any and all assets, whether real or personal, tangible or intangible, on which Liens are purported to be granted pursuant to the Security Documents as security for the Secured Obligations.</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Agreement</w:t>
      </w:r>
      <w:r>
        <w:rPr>
          <w:rFonts w:ascii="Arial" w:cs="Arial" w:eastAsia="Arial" w:hAnsi="Arial"/>
          <w:sz w:val="21"/>
          <w:szCs w:val="21"/>
          <w:color w:val="auto"/>
        </w:rPr>
        <w:t>” means the Collateral Agreement dated as of July 8, 2011 among the Borrower, each other Loan Party and the Administrative Agent (as assignee of the Former Agent), as supplemented, amended or otherwise modified from time to time.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Collateral and Guarantee Requirement</w:t>
      </w:r>
      <w:r>
        <w:rPr>
          <w:rFonts w:ascii="Arial" w:cs="Arial" w:eastAsia="Arial" w:hAnsi="Arial"/>
          <w:sz w:val="21"/>
          <w:szCs w:val="21"/>
          <w:color w:val="auto"/>
        </w:rPr>
        <w:t>” means, at any time, the requirement that: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75" w:name="page176"/>
    <w:bookmarkEnd w:id="175"/>
    <w:p>
      <w:pPr>
        <w:jc w:val="both"/>
        <w:ind w:firstLine="644"/>
        <w:spacing w:after="0" w:line="251" w:lineRule="auto"/>
        <w:tabs>
          <w:tab w:leader="none" w:pos="94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(i) Holdings, any Intermediate Parent, the Borrower and each of Holdings’ other Restricted Subsidiaries (other than any Foreign Subsidiary, any Regulated Subsidiary, any Excluded Subsidiary or any Excluded Domestic Subsidiary) either (x) a counterpart of the Guarantee Agreement duly executed and delivered on behalf of such Person or (y) in the case of any Person that becomes a Loan Party after the Restatement Effective Date (including by ceasing to be an Excluded Subsidiary, an Immaterial Subsidiary, a Foreign Subsidiary, a Regulated Subsidiary or an Excluded Domestic Subsidiary), a supplement to the Guarantee Agreement, in the form specified therein, duly executed and delivered on behalf of such Person and (ii) Holdings, any Intermediate Parent, the Borrower and each Subsidiary Loan Party either (x) a counterpart of the Collateral Agreement duly executed and delivered on behalf of such Person or (y) in the case of any Person that becomes a Loan Party after the Restatement Effective Date (including by ceasing to be an Excluded Subsidiary, an Immaterial Subsidiary, a Foreign Subsidiary, a Regulated Subsidiary or an Excluded Domestic Subsidiary), a supplement to the Collateral Agreement, in the form specified therein, duly executed and delivered on behalf of such Person, in each case under this clause (a) together with, in the case of any such Loan Documents executed and delivered after the Restatement Effective Date, documents and opinions of the type referred to in Sections 4.01(b) and 4.01(c));</w:t>
      </w:r>
    </w:p>
    <w:p>
      <w:pPr>
        <w:spacing w:after="0" w:line="138" w:lineRule="exact"/>
        <w:rPr>
          <w:rFonts w:ascii="Arial" w:cs="Arial" w:eastAsia="Arial" w:hAnsi="Arial"/>
          <w:sz w:val="20"/>
          <w:szCs w:val="20"/>
          <w:color w:val="auto"/>
        </w:rPr>
      </w:pPr>
    </w:p>
    <w:p>
      <w:pPr>
        <w:jc w:val="both"/>
        <w:ind w:firstLine="644"/>
        <w:spacing w:after="0" w:line="241" w:lineRule="auto"/>
        <w:tabs>
          <w:tab w:leader="none" w:pos="939"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all outstanding Equity Interests of any Intermediate Parent, the Borrower and each Restricted Subsidiary (other than any Equity Interests constituting Excluded Assets) owned by or on behalf of any Loan Party, shall have been pledged pursuant to the Collateral Agreement, and the Administrative Agent shall have received certificates or other instruments representing all such Equity Interests (if any), together with undated stock powers or other instruments of transfer with respect thereto endorsed in blank; </w:t>
      </w:r>
      <w:r>
        <w:rPr>
          <w:rFonts w:ascii="Arial" w:cs="Arial" w:eastAsia="Arial" w:hAnsi="Arial"/>
          <w:sz w:val="21"/>
          <w:szCs w:val="21"/>
          <w:i w:val="1"/>
          <w:iCs w:val="1"/>
          <w:color w:val="auto"/>
        </w:rPr>
        <w:t>provided</w:t>
      </w:r>
      <w:r>
        <w:rPr>
          <w:rFonts w:ascii="Arial" w:cs="Arial" w:eastAsia="Arial" w:hAnsi="Arial"/>
          <w:sz w:val="21"/>
          <w:szCs w:val="21"/>
          <w:color w:val="auto"/>
        </w:rPr>
        <w:t>, that with respect to the Equity Interests of any Regulated Subsidiary, such instruments shall be subject to customary enforcement limitations, including regulatory approvals at the time of enforcement;</w:t>
      </w:r>
    </w:p>
    <w:p>
      <w:pPr>
        <w:spacing w:after="0" w:line="154" w:lineRule="exact"/>
        <w:rPr>
          <w:rFonts w:ascii="Arial" w:cs="Arial" w:eastAsia="Arial" w:hAnsi="Arial"/>
          <w:sz w:val="21"/>
          <w:szCs w:val="21"/>
          <w:color w:val="auto"/>
        </w:rPr>
      </w:pPr>
    </w:p>
    <w:p>
      <w:pPr>
        <w:jc w:val="both"/>
        <w:ind w:firstLine="644"/>
        <w:spacing w:after="0" w:line="258" w:lineRule="auto"/>
        <w:tabs>
          <w:tab w:leader="none" w:pos="928"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any Indebtedness for borrowed money (including in respect of cash management arrangements) of Holdings, any Intermediate Parent, the Borrower or any Subsidiary in a principal amount of $5,000,000 or more is owing by such obligor to any Loan Party, such Indebtedness shall be evidenced by a promissory note that shall have been pledged pursuant to the Collateral Agreement, and the Administrative Agent shall have received all such promissory notes, together with undated instruments of transfer with respect thereto endorsed in blank;</w:t>
      </w:r>
    </w:p>
    <w:p>
      <w:pPr>
        <w:spacing w:after="0" w:line="126" w:lineRule="exact"/>
        <w:rPr>
          <w:rFonts w:ascii="Arial" w:cs="Arial" w:eastAsia="Arial" w:hAnsi="Arial"/>
          <w:sz w:val="20"/>
          <w:szCs w:val="20"/>
          <w:color w:val="auto"/>
        </w:rPr>
      </w:pPr>
    </w:p>
    <w:p>
      <w:pPr>
        <w:jc w:val="both"/>
        <w:ind w:firstLine="644"/>
        <w:spacing w:after="0" w:line="256" w:lineRule="auto"/>
        <w:tabs>
          <w:tab w:leader="none" w:pos="994" w:val="left"/>
        </w:tabs>
        <w:numPr>
          <w:ilvl w:val="0"/>
          <w:numId w:val="62"/>
        </w:numPr>
        <w:rPr>
          <w:rFonts w:ascii="Arial" w:cs="Arial" w:eastAsia="Arial" w:hAnsi="Arial"/>
          <w:sz w:val="20"/>
          <w:szCs w:val="20"/>
          <w:color w:val="auto"/>
        </w:rPr>
      </w:pPr>
      <w:r>
        <w:rPr>
          <w:rFonts w:ascii="Arial" w:cs="Arial" w:eastAsia="Arial" w:hAnsi="Arial"/>
          <w:sz w:val="20"/>
          <w:szCs w:val="20"/>
          <w:color w:val="auto"/>
        </w:rPr>
        <w:t>all certificates, agreements, documents and instruments, including Uniform Commercial Code financing statements,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for filing, registration or recording; and</w:t>
      </w:r>
    </w:p>
    <w:p>
      <w:pPr>
        <w:spacing w:after="0" w:line="128" w:lineRule="exact"/>
        <w:rPr>
          <w:rFonts w:ascii="Arial" w:cs="Arial" w:eastAsia="Arial" w:hAnsi="Arial"/>
          <w:sz w:val="20"/>
          <w:szCs w:val="20"/>
          <w:color w:val="auto"/>
        </w:rPr>
      </w:pPr>
    </w:p>
    <w:p>
      <w:pPr>
        <w:ind w:firstLine="644"/>
        <w:spacing w:after="0" w:line="263" w:lineRule="auto"/>
        <w:tabs>
          <w:tab w:leader="none" w:pos="943"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Administrative Agent shall have received (i) counterparts of a Mortgage with respect to each Mortgaged Property duly executed and delivered by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76" w:name="page177"/>
    <w:bookmarkEnd w:id="176"/>
    <w:p>
      <w:pPr>
        <w:jc w:val="both"/>
        <w:spacing w:after="0"/>
        <w:rPr>
          <w:sz w:val="20"/>
          <w:szCs w:val="20"/>
          <w:color w:val="auto"/>
        </w:rPr>
      </w:pPr>
      <w:r>
        <w:rPr>
          <w:rFonts w:ascii="Arial" w:cs="Arial" w:eastAsia="Arial" w:hAnsi="Arial"/>
          <w:sz w:val="21"/>
          <w:szCs w:val="21"/>
          <w:color w:val="auto"/>
        </w:rPr>
        <w:t>record owner of such Mortgaged Property, (ii) a policy or policies of title insurance issued by a nationally recognized title insurance company insuring the Lien of each such Mortgage as a first priority Lien on the Mortgaged Property described therein, free of any other Liens except as expressly permitted by Section 6.02, together with such endorsements, coinsurance and reinsurance as the Administrative Agent may reasonably request, (iii) if any Mortgaged Property is located in an area determined by the Federal Emergency Management Agency to have special flood hazards, evidence of such flood insurance as may be required under applicable law, including Regulation H of the Board of Governors and (iv) such legal opinions as the Administrative Agent may reasonably request with respect to any such Mortgage or Mortgaged Property.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and for so long as the Administrative Agent and the Borrower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shall be excessive in view of the benefits to be obtained by the Lenders therefrom, (b) Liens required to be granted from time to time pursuant to the term “Collateral and Guarantee Requirement” shall be subject to exceptions and limitations set forth in the Security Documents as in effect on the Restatement Effective Date, (c) in no event shall control agreements or other control or similar arrangements be required with respect to deposit accounts, securities accounts, commodities accounts, letter of credit rights or other assets requiring perfection by control (but not, for the avoidance of doubt, possession), (d) in no event shall any Loan Party be required to complete any filings or other action with respect to the perfection or creation of security interests in any jurisdiction outside of the United States (or otherwise enter into any security agreements, mortgages or pledge agreements governed by the laws of any jurisdiction outside of the United States), (e) in no event shall the Collateral include any Excluded Assets, (f) in no event shall landlord lien waivers, estoppels and collateral access letters be required. The Administrative Agent may grant extensions of time for the creation and perfection of security interests in or the obtaining of title insurance, legal opinions or other deliverables with respect to particular assets or the provision of any Guarantee by any Subsidiary (including extensions beyond the Restatement Effective Date or in connection with assets acquired, or Subsidiaries formed or acquired, after the Restatement Effective Date) where it determines that such action cannot be accomplished without undue effort or expense by the time or times at which it would otherwise be required to be accomplished by this Agreement or the Security Documents and (g) none of Virtu GW Comm LLC, Virtu Japan PTS Holdings LLC, Geodesic Networks, LLC, GETCO Investments, LLC, GETCO Strategic Investments, LLC or GETCO Trading, LLC shall be required to become a Guarantor until such time as it would no longer be required to be registered as an “investment company” under the Investment Company Act of 1940, as amended, and the rules and the regulations of the SEC thereunder, as a result of being a Guarantor (unless such Subsidiary would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77" w:name="page178"/>
    <w:bookmarkEnd w:id="177"/>
    <w:p>
      <w:pPr>
        <w:spacing w:after="0"/>
        <w:rPr>
          <w:sz w:val="20"/>
          <w:szCs w:val="20"/>
          <w:color w:val="auto"/>
        </w:rPr>
      </w:pPr>
      <w:r>
        <w:rPr>
          <w:rFonts w:ascii="Arial" w:cs="Arial" w:eastAsia="Arial" w:hAnsi="Arial"/>
          <w:sz w:val="21"/>
          <w:szCs w:val="21"/>
          <w:color w:val="auto"/>
        </w:rPr>
        <w:t>otherwise be excluded pursuant to clause (a) above or the definition of “Excluded Subsidiary”).</w:t>
      </w:r>
    </w:p>
    <w:p>
      <w:pPr>
        <w:spacing w:after="0" w:line="163"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w:t>
      </w:r>
      <w:r>
        <w:rPr>
          <w:rFonts w:ascii="Arial" w:cs="Arial" w:eastAsia="Arial" w:hAnsi="Arial"/>
          <w:sz w:val="20"/>
          <w:szCs w:val="20"/>
          <w:color w:val="auto"/>
        </w:rPr>
        <w:t>” means, with respect to any Lender, its Revolving Commitment, Other Revolving Commitment, Term Commitment, Other Term Commitment or commitment in respect of any Incremental Term Facility or Incremental Revolving Facility, in each case of any Class, or any combination thereof (as the context requires).</w:t>
      </w:r>
    </w:p>
    <w:p>
      <w:pPr>
        <w:spacing w:after="0" w:line="120" w:lineRule="exact"/>
        <w:rPr>
          <w:sz w:val="20"/>
          <w:szCs w:val="20"/>
          <w:color w:val="auto"/>
        </w:rPr>
      </w:pPr>
    </w:p>
    <w:p>
      <w:pPr>
        <w:jc w:val="both"/>
        <w:ind w:firstLine="63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Income Amount</w:t>
      </w:r>
      <w:r>
        <w:rPr>
          <w:rFonts w:ascii="Arial" w:cs="Arial" w:eastAsia="Arial" w:hAnsi="Arial"/>
          <w:sz w:val="19"/>
          <w:szCs w:val="19"/>
          <w:color w:val="auto"/>
        </w:rPr>
        <w:t>” means, for a Tax Estimation Period, an amount, if positive, equal to the estimated net taxable income of Holdings for such Tax Estimation Period. For purposes of calculating the Company Income Amount, items of income, gain, loss and deduction resulting from adjustments to the tax basis of Holdings' assets pursuant to Code Section 743(b) and adjustments pursuant to Code Section 704(c) shall not be taken into account.</w:t>
      </w:r>
    </w:p>
    <w:p>
      <w:pPr>
        <w:spacing w:after="0" w:line="98"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Competitor</w:t>
      </w:r>
      <w:r>
        <w:rPr>
          <w:rFonts w:ascii="Arial" w:cs="Arial" w:eastAsia="Arial" w:hAnsi="Arial"/>
          <w:sz w:val="20"/>
          <w:szCs w:val="20"/>
          <w:color w:val="auto"/>
        </w:rPr>
        <w:t xml:space="preserve">” means any Person (a) engaged in trading financial assets through the use of an electronically automated trading system that generates order sets (which, for purposes of clarity, can consist of a single order) with the intention of (i) creating profit by providing two-sided liquidity to the market, (ii) making a profit margin consistent with the business of making the bid-offer spread or less per unit of the financial asset(s) being traded (including by providing either one-sided or two sided liquidity to the market) or (iii) creating simultaneous (within 500 milliseconds) order sets that are generated with the intention of locking in an arbitrage profit and (b) identified as a “Potential Competitor” on Part B of Schedule 1.01; </w:t>
      </w:r>
      <w:r>
        <w:rPr>
          <w:rFonts w:ascii="Arial" w:cs="Arial" w:eastAsia="Arial" w:hAnsi="Arial"/>
          <w:sz w:val="20"/>
          <w:szCs w:val="20"/>
          <w:i w:val="1"/>
          <w:iCs w:val="1"/>
          <w:color w:val="auto"/>
        </w:rPr>
        <w:t>provided</w:t>
      </w:r>
      <w:r>
        <w:rPr>
          <w:rFonts w:ascii="Arial" w:cs="Arial" w:eastAsia="Arial" w:hAnsi="Arial"/>
          <w:sz w:val="20"/>
          <w:szCs w:val="20"/>
          <w:color w:val="auto"/>
        </w:rPr>
        <w:t>, that any such Person shall be deemed not to be a Competitor if the Loans or commitments in respect thereof will be held by or booked to any division or other identifiable unit or desk of such Person that, in the ordinary course of its business, holds commitments or extends credit of the type contemplated by this Agreement. Notwithstanding anything in this Agreement to the contrary, each Loan Party and the Lenders acknowledge and agree that the Administrative Agent will not have any responsibility or obligation to determine whether any Lender or potential Lender is a Competitor.</w:t>
      </w:r>
    </w:p>
    <w:p>
      <w:pPr>
        <w:spacing w:after="0" w:line="13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Compliance Certificate</w:t>
      </w:r>
      <w:r>
        <w:rPr>
          <w:rFonts w:ascii="Arial" w:cs="Arial" w:eastAsia="Arial" w:hAnsi="Arial"/>
          <w:sz w:val="21"/>
          <w:szCs w:val="21"/>
          <w:color w:val="auto"/>
        </w:rPr>
        <w:t>” means a certificate in the form of Exhibit R required to be delivered pursuant to Section 5.01(d).</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EBITDA</w:t>
      </w:r>
      <w:r>
        <w:rPr>
          <w:rFonts w:ascii="Arial" w:cs="Arial" w:eastAsia="Arial" w:hAnsi="Arial"/>
          <w:sz w:val="21"/>
          <w:szCs w:val="21"/>
          <w:color w:val="auto"/>
        </w:rPr>
        <w:t>” means, for any period, the Consolidated Net Income for such period, plus:</w:t>
      </w:r>
    </w:p>
    <w:p>
      <w:pPr>
        <w:spacing w:after="0" w:line="175" w:lineRule="exact"/>
        <w:rPr>
          <w:sz w:val="20"/>
          <w:szCs w:val="20"/>
          <w:color w:val="auto"/>
        </w:rPr>
      </w:pPr>
    </w:p>
    <w:p>
      <w:pPr>
        <w:ind w:firstLine="644"/>
        <w:spacing w:after="0" w:line="263" w:lineRule="auto"/>
        <w:tabs>
          <w:tab w:leader="none" w:pos="946" w:val="left"/>
        </w:tabs>
        <w:numPr>
          <w:ilvl w:val="0"/>
          <w:numId w:val="63"/>
        </w:numPr>
        <w:rPr>
          <w:rFonts w:ascii="Arial" w:cs="Arial" w:eastAsia="Arial" w:hAnsi="Arial"/>
          <w:sz w:val="21"/>
          <w:szCs w:val="21"/>
          <w:color w:val="auto"/>
        </w:rPr>
      </w:pPr>
      <w:r>
        <w:rPr>
          <w:rFonts w:ascii="Arial" w:cs="Arial" w:eastAsia="Arial" w:hAnsi="Arial"/>
          <w:sz w:val="21"/>
          <w:szCs w:val="21"/>
          <w:color w:val="auto"/>
        </w:rPr>
        <w:t>without duplication and to the extent already deducted (and not added back or excluded) in arriving at such Consolidated Net Income, the sum of the following amounts for such period:</w:t>
      </w:r>
    </w:p>
    <w:p>
      <w:pPr>
        <w:spacing w:after="0" w:line="118" w:lineRule="exact"/>
        <w:rPr>
          <w:rFonts w:ascii="Arial" w:cs="Arial" w:eastAsia="Arial" w:hAnsi="Arial"/>
          <w:sz w:val="21"/>
          <w:szCs w:val="21"/>
          <w:color w:val="auto"/>
        </w:rPr>
      </w:pPr>
    </w:p>
    <w:p>
      <w:pPr>
        <w:jc w:val="both"/>
        <w:ind w:left="640" w:firstLine="639"/>
        <w:spacing w:after="0" w:line="258" w:lineRule="auto"/>
        <w:tabs>
          <w:tab w:leader="none" w:pos="1528" w:val="left"/>
        </w:tabs>
        <w:numPr>
          <w:ilvl w:val="1"/>
          <w:numId w:val="63"/>
        </w:numPr>
        <w:rPr>
          <w:rFonts w:ascii="Arial" w:cs="Arial" w:eastAsia="Arial" w:hAnsi="Arial"/>
          <w:sz w:val="20"/>
          <w:szCs w:val="20"/>
          <w:color w:val="auto"/>
        </w:rPr>
      </w:pPr>
      <w:r>
        <w:rPr>
          <w:rFonts w:ascii="Arial" w:cs="Arial" w:eastAsia="Arial" w:hAnsi="Arial"/>
          <w:sz w:val="20"/>
          <w:szCs w:val="20"/>
          <w:color w:val="auto"/>
        </w:rPr>
        <w:t>total interest expense and, to the extent not reflected in such total interest expense, any losses on hedging obligations or other derivative instruments entered into for the purpose of hedging interest rate risk (other than in the ordinary course of the trading business of Holdings and its Restricted Subsidiaries), net of interest income and gains on such hedging obligations or such derivative instruments, and bank and letter of credit fees and costs of surety bonds in connection with financing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78" w:name="page179"/>
    <w:bookmarkEnd w:id="178"/>
    <w:p>
      <w:pPr>
        <w:jc w:val="both"/>
        <w:ind w:left="-60" w:firstLine="639"/>
        <w:spacing w:after="0" w:line="250" w:lineRule="auto"/>
        <w:tabs>
          <w:tab w:leader="none" w:pos="907" w:val="left"/>
        </w:tabs>
        <w:numPr>
          <w:ilvl w:val="0"/>
          <w:numId w:val="64"/>
        </w:numPr>
        <w:rPr>
          <w:rFonts w:ascii="Arial" w:cs="Arial" w:eastAsia="Arial" w:hAnsi="Arial"/>
          <w:sz w:val="21"/>
          <w:szCs w:val="21"/>
          <w:color w:val="auto"/>
        </w:rPr>
      </w:pPr>
      <w:r>
        <w:rPr>
          <w:rFonts w:ascii="Arial" w:cs="Arial" w:eastAsia="Arial" w:hAnsi="Arial"/>
          <w:sz w:val="21"/>
          <w:szCs w:val="21"/>
          <w:color w:val="auto"/>
        </w:rPr>
        <w:t>without duplication among periods, provision for taxes based on income, profits or capital, including federal, foreign, state, franchise, excise and similar taxes paid or accrued during such period (including in respect of repatriated funds);</w:t>
      </w:r>
    </w:p>
    <w:p>
      <w:pPr>
        <w:spacing w:after="0" w:line="132" w:lineRule="exact"/>
        <w:rPr>
          <w:rFonts w:ascii="Arial" w:cs="Arial" w:eastAsia="Arial" w:hAnsi="Arial"/>
          <w:sz w:val="21"/>
          <w:szCs w:val="21"/>
          <w:color w:val="auto"/>
        </w:rPr>
      </w:pPr>
    </w:p>
    <w:p>
      <w:pPr>
        <w:ind w:left="-60" w:right="20" w:firstLine="639"/>
        <w:spacing w:after="0" w:line="263" w:lineRule="auto"/>
        <w:tabs>
          <w:tab w:leader="none" w:pos="1005" w:val="left"/>
        </w:tabs>
        <w:numPr>
          <w:ilvl w:val="0"/>
          <w:numId w:val="64"/>
        </w:numPr>
        <w:rPr>
          <w:rFonts w:ascii="Arial" w:cs="Arial" w:eastAsia="Arial" w:hAnsi="Arial"/>
          <w:sz w:val="21"/>
          <w:szCs w:val="21"/>
          <w:color w:val="auto"/>
        </w:rPr>
      </w:pPr>
      <w:r>
        <w:rPr>
          <w:rFonts w:ascii="Arial" w:cs="Arial" w:eastAsia="Arial" w:hAnsi="Arial"/>
          <w:sz w:val="21"/>
          <w:szCs w:val="21"/>
          <w:color w:val="auto"/>
        </w:rPr>
        <w:t>depreciation and amortization (including amortization of Capitalized Software Expenditures and amortization of deferred financing fees or costs);</w:t>
      </w:r>
    </w:p>
    <w:p>
      <w:pPr>
        <w:spacing w:after="0" w:line="132" w:lineRule="exact"/>
        <w:rPr>
          <w:rFonts w:ascii="Arial" w:cs="Arial" w:eastAsia="Arial" w:hAnsi="Arial"/>
          <w:sz w:val="21"/>
          <w:szCs w:val="21"/>
          <w:color w:val="auto"/>
        </w:rPr>
      </w:pPr>
    </w:p>
    <w:p>
      <w:pPr>
        <w:ind w:left="940" w:hanging="361"/>
        <w:spacing w:after="0"/>
        <w:tabs>
          <w:tab w:leader="none" w:pos="9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Non-Cash Charges;</w:t>
      </w:r>
    </w:p>
    <w:p>
      <w:pPr>
        <w:spacing w:after="0" w:line="168" w:lineRule="exact"/>
        <w:rPr>
          <w:rFonts w:ascii="Arial" w:cs="Arial" w:eastAsia="Arial" w:hAnsi="Arial"/>
          <w:sz w:val="21"/>
          <w:szCs w:val="21"/>
          <w:color w:val="auto"/>
        </w:rPr>
      </w:pPr>
    </w:p>
    <w:p>
      <w:pPr>
        <w:ind w:left="880" w:hanging="301"/>
        <w:spacing w:after="0"/>
        <w:tabs>
          <w:tab w:leader="none" w:pos="8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extraordinary losses in accordance with GAAP;</w:t>
      </w:r>
    </w:p>
    <w:p>
      <w:pPr>
        <w:spacing w:after="0" w:line="168" w:lineRule="exact"/>
        <w:rPr>
          <w:rFonts w:ascii="Arial" w:cs="Arial" w:eastAsia="Arial" w:hAnsi="Arial"/>
          <w:sz w:val="21"/>
          <w:szCs w:val="21"/>
          <w:color w:val="auto"/>
        </w:rPr>
      </w:pPr>
    </w:p>
    <w:p>
      <w:pPr>
        <w:jc w:val="both"/>
        <w:ind w:left="-60" w:firstLine="639"/>
        <w:spacing w:after="0" w:line="242" w:lineRule="auto"/>
        <w:tabs>
          <w:tab w:leader="none" w:pos="942" w:val="left"/>
        </w:tabs>
        <w:numPr>
          <w:ilvl w:val="0"/>
          <w:numId w:val="64"/>
        </w:numPr>
        <w:rPr>
          <w:rFonts w:ascii="Arial" w:cs="Arial" w:eastAsia="Arial" w:hAnsi="Arial"/>
          <w:sz w:val="21"/>
          <w:szCs w:val="21"/>
          <w:color w:val="auto"/>
        </w:rPr>
      </w:pPr>
      <w:r>
        <w:rPr>
          <w:rFonts w:ascii="Arial" w:cs="Arial" w:eastAsia="Arial" w:hAnsi="Arial"/>
          <w:sz w:val="21"/>
          <w:szCs w:val="21"/>
          <w:color w:val="auto"/>
        </w:rPr>
        <w:t>non-recurring charges (including any unusual or non-recurring operating expenses directly attributable to the implementation of cost savings initiatives), severance, relocation costs, integration and facilities’ opening costs, signing costs, retention or completion bonuses (other than bonuses paid in the ordinary course of business of Holdings and its Restricted Subsidiaries), transition costs, costs related to closure/consolidation of facilities and curtailments or modifications to pension and post-retirement employee benefit plans (including any settlement of pension liabilities);</w:t>
      </w:r>
    </w:p>
    <w:p>
      <w:pPr>
        <w:spacing w:after="0" w:line="152" w:lineRule="exact"/>
        <w:rPr>
          <w:rFonts w:ascii="Arial" w:cs="Arial" w:eastAsia="Arial" w:hAnsi="Arial"/>
          <w:sz w:val="21"/>
          <w:szCs w:val="21"/>
          <w:color w:val="auto"/>
        </w:rPr>
      </w:pPr>
    </w:p>
    <w:p>
      <w:pPr>
        <w:jc w:val="both"/>
        <w:ind w:left="-60" w:firstLine="639"/>
        <w:spacing w:after="0" w:line="243" w:lineRule="auto"/>
        <w:tabs>
          <w:tab w:leader="none" w:pos="1015"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restructuring charges, accruals or reserves (including restructuring costs related to acquisitions after the Closing Date and adjustments to existing reserves);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aggregate amount included in Consolidated EBITDA pursuant to this clause (vii) for any Test Period shall not exceed 10% of Consolidated EBITDA for such Test Period (calculated prior to giving effect to any adjustment pursuant to this clause (vii));</w:t>
      </w:r>
    </w:p>
    <w:p>
      <w:pPr>
        <w:spacing w:after="0" w:line="140" w:lineRule="exact"/>
        <w:rPr>
          <w:rFonts w:ascii="Arial" w:cs="Arial" w:eastAsia="Arial" w:hAnsi="Arial"/>
          <w:sz w:val="21"/>
          <w:szCs w:val="21"/>
          <w:color w:val="auto"/>
        </w:rPr>
      </w:pPr>
    </w:p>
    <w:p>
      <w:pPr>
        <w:jc w:val="both"/>
        <w:ind w:left="-60" w:firstLine="639"/>
        <w:spacing w:after="0" w:line="250" w:lineRule="auto"/>
        <w:tabs>
          <w:tab w:leader="none" w:pos="1063"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amount of any minority interest expense consisting of subsidiary income attributable to minority equity interests of third parties in any Non-Wholly Owned Subsidiary deducted (and not added back in such period to Consolidated Net Income);</w:t>
      </w:r>
    </w:p>
    <w:p>
      <w:pPr>
        <w:spacing w:after="0" w:line="131" w:lineRule="exact"/>
        <w:rPr>
          <w:rFonts w:ascii="Arial" w:cs="Arial" w:eastAsia="Arial" w:hAnsi="Arial"/>
          <w:sz w:val="21"/>
          <w:szCs w:val="21"/>
          <w:color w:val="auto"/>
        </w:rPr>
      </w:pPr>
    </w:p>
    <w:p>
      <w:pPr>
        <w:jc w:val="both"/>
        <w:ind w:left="-60" w:firstLine="639"/>
        <w:spacing w:after="0" w:line="243" w:lineRule="auto"/>
        <w:tabs>
          <w:tab w:leader="none" w:pos="939"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amount of expenses relating to payments made to option holders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by the Loan Documents;</w:t>
      </w:r>
    </w:p>
    <w:p>
      <w:pPr>
        <w:spacing w:after="0" w:line="153" w:lineRule="exact"/>
        <w:rPr>
          <w:rFonts w:ascii="Arial" w:cs="Arial" w:eastAsia="Arial" w:hAnsi="Arial"/>
          <w:sz w:val="21"/>
          <w:szCs w:val="21"/>
          <w:color w:val="auto"/>
        </w:rPr>
      </w:pPr>
    </w:p>
    <w:p>
      <w:pPr>
        <w:ind w:left="-60" w:firstLine="639"/>
        <w:spacing w:after="0" w:line="263" w:lineRule="auto"/>
        <w:tabs>
          <w:tab w:leader="none" w:pos="890" w:val="left"/>
        </w:tabs>
        <w:numPr>
          <w:ilvl w:val="0"/>
          <w:numId w:val="64"/>
        </w:numPr>
        <w:rPr>
          <w:rFonts w:ascii="Arial" w:cs="Arial" w:eastAsia="Arial" w:hAnsi="Arial"/>
          <w:sz w:val="21"/>
          <w:szCs w:val="21"/>
          <w:color w:val="auto"/>
        </w:rPr>
      </w:pPr>
      <w:r>
        <w:rPr>
          <w:rFonts w:ascii="Arial" w:cs="Arial" w:eastAsia="Arial" w:hAnsi="Arial"/>
          <w:sz w:val="21"/>
          <w:szCs w:val="21"/>
          <w:color w:val="auto"/>
        </w:rPr>
        <w:t>losses on asset sales, disposals or abandonments (other than asset sales, disposals or abandonments in the ordinary course of business);</w:t>
      </w:r>
    </w:p>
    <w:p>
      <w:pPr>
        <w:spacing w:after="0" w:line="118" w:lineRule="exact"/>
        <w:rPr>
          <w:rFonts w:ascii="Arial" w:cs="Arial" w:eastAsia="Arial" w:hAnsi="Arial"/>
          <w:sz w:val="21"/>
          <w:szCs w:val="21"/>
          <w:color w:val="auto"/>
        </w:rPr>
      </w:pPr>
    </w:p>
    <w:p>
      <w:pPr>
        <w:ind w:left="940" w:hanging="361"/>
        <w:spacing w:after="0"/>
        <w:tabs>
          <w:tab w:leader="none" w:pos="94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amount of any net losses from discontinued operations in accordance with GAAP;</w:t>
      </w:r>
    </w:p>
    <w:p>
      <w:pPr>
        <w:spacing w:after="0" w:line="200" w:lineRule="exact"/>
        <w:rPr>
          <w:sz w:val="20"/>
          <w:szCs w:val="20"/>
          <w:color w:val="auto"/>
        </w:rPr>
      </w:pP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179" w:name="page180"/>
    <w:bookmarkEnd w:id="179"/>
    <w:p>
      <w:pPr>
        <w:jc w:val="both"/>
        <w:ind w:left="640" w:firstLine="639"/>
        <w:spacing w:after="0" w:line="243" w:lineRule="auto"/>
        <w:tabs>
          <w:tab w:leader="none" w:pos="1695"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 non-cash loss attributable to the mark to market movement in the valuation of hedging obligations or other derivative instruments (to the extent the cash impact resulting from such loss has not been realized) (other than those entered into in the ordinary course of the trading business of the Borrower and its Restricted Subsidiaries) pursuant to Financial Accounting Standards Accounting Standards Codification No. 815— Derivatives and Hedging;</w:t>
      </w:r>
    </w:p>
    <w:p>
      <w:pPr>
        <w:spacing w:after="0" w:line="140" w:lineRule="exact"/>
        <w:rPr>
          <w:rFonts w:ascii="Arial" w:cs="Arial" w:eastAsia="Arial" w:hAnsi="Arial"/>
          <w:sz w:val="21"/>
          <w:szCs w:val="21"/>
          <w:color w:val="auto"/>
        </w:rPr>
      </w:pPr>
    </w:p>
    <w:p>
      <w:pPr>
        <w:jc w:val="both"/>
        <w:ind w:left="640" w:firstLine="639"/>
        <w:spacing w:after="0" w:line="268" w:lineRule="auto"/>
        <w:tabs>
          <w:tab w:leader="none" w:pos="1758"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loss relating to amounts paid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129" w:lineRule="exact"/>
        <w:rPr>
          <w:rFonts w:ascii="Arial" w:cs="Arial" w:eastAsia="Arial" w:hAnsi="Arial"/>
          <w:sz w:val="20"/>
          <w:szCs w:val="20"/>
          <w:color w:val="auto"/>
        </w:rPr>
      </w:pPr>
    </w:p>
    <w:p>
      <w:pPr>
        <w:jc w:val="both"/>
        <w:ind w:left="640" w:firstLine="639"/>
        <w:spacing w:after="0" w:line="245" w:lineRule="auto"/>
        <w:tabs>
          <w:tab w:leader="none" w:pos="1782"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 gain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(b)(v) and (b)(vi) below; and</w:t>
      </w:r>
    </w:p>
    <w:p>
      <w:pPr>
        <w:spacing w:after="0" w:line="138" w:lineRule="exact"/>
        <w:rPr>
          <w:rFonts w:ascii="Arial" w:cs="Arial" w:eastAsia="Arial" w:hAnsi="Arial"/>
          <w:sz w:val="21"/>
          <w:szCs w:val="21"/>
          <w:color w:val="auto"/>
        </w:rPr>
      </w:pPr>
    </w:p>
    <w:p>
      <w:pPr>
        <w:jc w:val="both"/>
        <w:ind w:left="640" w:firstLine="639"/>
        <w:spacing w:after="0" w:line="272" w:lineRule="auto"/>
        <w:tabs>
          <w:tab w:leader="none" w:pos="1754"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any expenses or charges related to any issuance of Equity Interests, Investment, acquisition, Disposition, recapitalization or the incurrence, modification or repayment of Indebtedness permitted to be incurred by this Agreement (including a refinancing thereof) (whether or not successful), in each case, outside the ordinary course of business, including (x) such fees, expenses or charges related to this Agreement and (y) any amendment or other modification of the Loans or other obligations under the Loan Documents or other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amount added back pursuant to this clause (xv) in any Test Period shall not exceed $10,000,000;</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less</w:t>
      </w:r>
    </w:p>
    <w:p>
      <w:pPr>
        <w:spacing w:after="0" w:line="182" w:lineRule="exact"/>
        <w:rPr>
          <w:sz w:val="20"/>
          <w:szCs w:val="20"/>
          <w:color w:val="auto"/>
        </w:rPr>
      </w:pPr>
    </w:p>
    <w:p>
      <w:pPr>
        <w:ind w:right="460" w:firstLine="644"/>
        <w:spacing w:after="0" w:line="263" w:lineRule="auto"/>
        <w:tabs>
          <w:tab w:leader="none" w:pos="935" w:val="left"/>
        </w:tabs>
        <w:numPr>
          <w:ilvl w:val="0"/>
          <w:numId w:val="66"/>
        </w:numPr>
        <w:rPr>
          <w:rFonts w:ascii="Arial" w:cs="Arial" w:eastAsia="Arial" w:hAnsi="Arial"/>
          <w:sz w:val="21"/>
          <w:szCs w:val="21"/>
          <w:color w:val="auto"/>
        </w:rPr>
      </w:pPr>
      <w:r>
        <w:rPr>
          <w:rFonts w:ascii="Arial" w:cs="Arial" w:eastAsia="Arial" w:hAnsi="Arial"/>
          <w:sz w:val="21"/>
          <w:szCs w:val="21"/>
          <w:color w:val="auto"/>
        </w:rPr>
        <w:t>without duplication and to the extent included in arriving at such Consolidated Net Income, the sum of the following amounts for such period:</w:t>
      </w:r>
    </w:p>
    <w:p>
      <w:pPr>
        <w:spacing w:after="0" w:line="118" w:lineRule="exact"/>
        <w:rPr>
          <w:rFonts w:ascii="Arial" w:cs="Arial" w:eastAsia="Arial" w:hAnsi="Arial"/>
          <w:sz w:val="21"/>
          <w:szCs w:val="21"/>
          <w:color w:val="auto"/>
        </w:rPr>
      </w:pPr>
    </w:p>
    <w:p>
      <w:pPr>
        <w:ind w:left="1540" w:hanging="261"/>
        <w:spacing w:after="0"/>
        <w:tabs>
          <w:tab w:leader="none" w:pos="1540" w:val="left"/>
        </w:tabs>
        <w:numPr>
          <w:ilvl w:val="1"/>
          <w:numId w:val="66"/>
        </w:numPr>
        <w:rPr>
          <w:rFonts w:ascii="Arial" w:cs="Arial" w:eastAsia="Arial" w:hAnsi="Arial"/>
          <w:sz w:val="21"/>
          <w:szCs w:val="21"/>
          <w:color w:val="auto"/>
        </w:rPr>
      </w:pPr>
      <w:r>
        <w:rPr>
          <w:rFonts w:ascii="Arial" w:cs="Arial" w:eastAsia="Arial" w:hAnsi="Arial"/>
          <w:sz w:val="21"/>
          <w:szCs w:val="21"/>
          <w:color w:val="auto"/>
        </w:rPr>
        <w:t>extraordinary gains and unusual or non-recurring gains;</w:t>
      </w:r>
    </w:p>
    <w:p>
      <w:pPr>
        <w:spacing w:after="0" w:line="168" w:lineRule="exact"/>
        <w:rPr>
          <w:rFonts w:ascii="Arial" w:cs="Arial" w:eastAsia="Arial" w:hAnsi="Arial"/>
          <w:sz w:val="21"/>
          <w:szCs w:val="21"/>
          <w:color w:val="auto"/>
        </w:rPr>
      </w:pPr>
    </w:p>
    <w:p>
      <w:pPr>
        <w:jc w:val="both"/>
        <w:ind w:left="640" w:firstLine="639"/>
        <w:spacing w:after="0" w:line="250" w:lineRule="auto"/>
        <w:tabs>
          <w:tab w:leader="none" w:pos="1611" w:val="left"/>
        </w:tabs>
        <w:numPr>
          <w:ilvl w:val="1"/>
          <w:numId w:val="66"/>
        </w:numPr>
        <w:rPr>
          <w:rFonts w:ascii="Arial" w:cs="Arial" w:eastAsia="Arial" w:hAnsi="Arial"/>
          <w:sz w:val="21"/>
          <w:szCs w:val="21"/>
          <w:color w:val="auto"/>
        </w:rPr>
      </w:pPr>
      <w:r>
        <w:rPr>
          <w:rFonts w:ascii="Arial" w:cs="Arial" w:eastAsia="Arial" w:hAnsi="Arial"/>
          <w:sz w:val="21"/>
          <w:szCs w:val="21"/>
          <w:color w:val="auto"/>
        </w:rPr>
        <w:t>non-cash gains (excluding any non-cash gain to the extent it represents the reversal of an accrual or reserve for a potential cash item that reduced Consolidated Net Income or Consolidated EBITDA in any prior period);</w:t>
      </w:r>
    </w:p>
    <w:p>
      <w:pPr>
        <w:spacing w:after="0" w:line="144" w:lineRule="exact"/>
        <w:rPr>
          <w:rFonts w:ascii="Arial" w:cs="Arial" w:eastAsia="Arial" w:hAnsi="Arial"/>
          <w:sz w:val="21"/>
          <w:szCs w:val="21"/>
          <w:color w:val="auto"/>
        </w:rPr>
      </w:pPr>
    </w:p>
    <w:p>
      <w:pPr>
        <w:ind w:left="640" w:firstLine="639"/>
        <w:spacing w:after="0" w:line="263" w:lineRule="auto"/>
        <w:tabs>
          <w:tab w:leader="none" w:pos="1660" w:val="left"/>
        </w:tabs>
        <w:numPr>
          <w:ilvl w:val="1"/>
          <w:numId w:val="66"/>
        </w:numPr>
        <w:rPr>
          <w:rFonts w:ascii="Arial" w:cs="Arial" w:eastAsia="Arial" w:hAnsi="Arial"/>
          <w:sz w:val="21"/>
          <w:szCs w:val="21"/>
          <w:color w:val="auto"/>
        </w:rPr>
      </w:pPr>
      <w:r>
        <w:rPr>
          <w:rFonts w:ascii="Arial" w:cs="Arial" w:eastAsia="Arial" w:hAnsi="Arial"/>
          <w:sz w:val="21"/>
          <w:szCs w:val="21"/>
          <w:color w:val="auto"/>
        </w:rPr>
        <w:t>gains on asset sales, disposals or abandonments (other than asset sales, disposals or abandonments in the ordinary course of business);</w:t>
      </w:r>
    </w:p>
    <w:p>
      <w:pPr>
        <w:spacing w:after="0" w:line="118" w:lineRule="exact"/>
        <w:rPr>
          <w:rFonts w:ascii="Arial" w:cs="Arial" w:eastAsia="Arial" w:hAnsi="Arial"/>
          <w:sz w:val="21"/>
          <w:szCs w:val="21"/>
          <w:color w:val="auto"/>
        </w:rPr>
      </w:pPr>
    </w:p>
    <w:p>
      <w:pPr>
        <w:ind w:left="1640" w:hanging="361"/>
        <w:spacing w:after="0"/>
        <w:tabs>
          <w:tab w:leader="none" w:pos="1640"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amount of any net income from discontinued operations in accordance with GAAP;</w:t>
      </w:r>
    </w:p>
    <w:p>
      <w:pPr>
        <w:spacing w:after="0" w:line="168" w:lineRule="exact"/>
        <w:rPr>
          <w:rFonts w:ascii="Arial" w:cs="Arial" w:eastAsia="Arial" w:hAnsi="Arial"/>
          <w:sz w:val="21"/>
          <w:szCs w:val="21"/>
          <w:color w:val="auto"/>
        </w:rPr>
      </w:pPr>
    </w:p>
    <w:p>
      <w:pPr>
        <w:ind w:left="640" w:firstLine="639"/>
        <w:spacing w:after="0" w:line="263" w:lineRule="auto"/>
        <w:tabs>
          <w:tab w:leader="none" w:pos="1583" w:val="left"/>
        </w:tabs>
        <w:numPr>
          <w:ilvl w:val="1"/>
          <w:numId w:val="66"/>
        </w:numPr>
        <w:rPr>
          <w:rFonts w:ascii="Arial" w:cs="Arial" w:eastAsia="Arial" w:hAnsi="Arial"/>
          <w:sz w:val="21"/>
          <w:szCs w:val="21"/>
          <w:color w:val="auto"/>
        </w:rPr>
      </w:pPr>
      <w:r>
        <w:rPr>
          <w:rFonts w:ascii="Arial" w:cs="Arial" w:eastAsia="Arial" w:hAnsi="Arial"/>
          <w:sz w:val="21"/>
          <w:szCs w:val="21"/>
          <w:color w:val="auto"/>
        </w:rPr>
        <w:t>any non-cash gain attributable to the mark to market movement in the valuation of hedging obligations or other derivative instruments (to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0" w:name="page181"/>
    <w:bookmarkEnd w:id="180"/>
    <w:p>
      <w:pPr>
        <w:jc w:val="both"/>
        <w:ind w:left="640"/>
        <w:spacing w:after="0" w:line="245" w:lineRule="auto"/>
        <w:rPr>
          <w:sz w:val="20"/>
          <w:szCs w:val="20"/>
          <w:color w:val="auto"/>
        </w:rPr>
      </w:pPr>
      <w:r>
        <w:rPr>
          <w:rFonts w:ascii="Arial" w:cs="Arial" w:eastAsia="Arial" w:hAnsi="Arial"/>
          <w:sz w:val="21"/>
          <w:szCs w:val="21"/>
          <w:color w:val="auto"/>
        </w:rPr>
        <w:t>extent the cash impact resulting from such gain has not been realized) (other than any hedging obligations or other derivative instruments entered into in the ordinary course of the trading business of Holdings and its Restricted Subsidiaries) pursuant to Financial Accounting Standards Accounting Standards Codification No. 815-Derivatives and Hedging;</w:t>
      </w:r>
    </w:p>
    <w:p>
      <w:pPr>
        <w:spacing w:after="0" w:line="139" w:lineRule="exact"/>
        <w:rPr>
          <w:sz w:val="20"/>
          <w:szCs w:val="20"/>
          <w:color w:val="auto"/>
        </w:rPr>
      </w:pPr>
    </w:p>
    <w:p>
      <w:pPr>
        <w:jc w:val="both"/>
        <w:ind w:left="640" w:firstLine="639"/>
        <w:spacing w:after="0" w:line="268" w:lineRule="auto"/>
        <w:tabs>
          <w:tab w:leader="none" w:pos="1678"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gain relating to amounts received in cash prior to the stated settlement date of any hedging obligation (other than any hedging obligation entered into in the ordinary course of the trading business of Holdings and its Restricted Subsidiaries) that has been reflected in Consolidated Net Income for such period;</w:t>
      </w:r>
    </w:p>
    <w:p>
      <w:pPr>
        <w:spacing w:after="0" w:line="129" w:lineRule="exact"/>
        <w:rPr>
          <w:rFonts w:ascii="Arial" w:cs="Arial" w:eastAsia="Arial" w:hAnsi="Arial"/>
          <w:sz w:val="20"/>
          <w:szCs w:val="20"/>
          <w:color w:val="auto"/>
        </w:rPr>
      </w:pPr>
    </w:p>
    <w:p>
      <w:pPr>
        <w:jc w:val="both"/>
        <w:ind w:left="640" w:firstLine="639"/>
        <w:spacing w:after="0" w:line="245" w:lineRule="auto"/>
        <w:tabs>
          <w:tab w:leader="none" w:pos="1741" w:val="left"/>
        </w:tabs>
        <w:numPr>
          <w:ilvl w:val="0"/>
          <w:numId w:val="67"/>
        </w:numPr>
        <w:rPr>
          <w:rFonts w:ascii="Arial" w:cs="Arial" w:eastAsia="Arial" w:hAnsi="Arial"/>
          <w:sz w:val="21"/>
          <w:szCs w:val="21"/>
          <w:color w:val="auto"/>
        </w:rPr>
      </w:pPr>
      <w:r>
        <w:rPr>
          <w:rFonts w:ascii="Arial" w:cs="Arial" w:eastAsia="Arial" w:hAnsi="Arial"/>
          <w:sz w:val="21"/>
          <w:szCs w:val="21"/>
          <w:color w:val="auto"/>
        </w:rPr>
        <w:t>any loss relating to hedging obligations (other than any hedging obligations entered into in the ordinary course of the trading business of Holdings and its Restricted Subsidiaries) associated with transactions realized in the current period that has been reflected in Consolidated Net Income in prior periods and excluded from Consolidated EBITDA pursuant to clauses (a)(xiii) and (a)(xiv) above; and</w:t>
      </w:r>
    </w:p>
    <w:p>
      <w:pPr>
        <w:spacing w:after="0" w:line="138" w:lineRule="exact"/>
        <w:rPr>
          <w:rFonts w:ascii="Arial" w:cs="Arial" w:eastAsia="Arial" w:hAnsi="Arial"/>
          <w:sz w:val="21"/>
          <w:szCs w:val="21"/>
          <w:color w:val="auto"/>
        </w:rPr>
      </w:pPr>
    </w:p>
    <w:p>
      <w:pPr>
        <w:jc w:val="both"/>
        <w:ind w:left="640" w:firstLine="639"/>
        <w:spacing w:after="0" w:line="250" w:lineRule="auto"/>
        <w:tabs>
          <w:tab w:leader="none" w:pos="1789"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amount of any minority interest income consisting of subsidiary loss attributable to minority equity interests of third parties in any Non-Wholly Owned Subsidiary added (and not deducted in such period in calculating Consolidated Net Income);</w:t>
      </w:r>
    </w:p>
    <w:p>
      <w:pPr>
        <w:spacing w:after="0" w:line="132" w:lineRule="exact"/>
        <w:rPr>
          <w:sz w:val="20"/>
          <w:szCs w:val="20"/>
          <w:color w:val="auto"/>
        </w:rPr>
      </w:pPr>
    </w:p>
    <w:p>
      <w:pPr>
        <w:ind w:right="640"/>
        <w:spacing w:after="0" w:line="263" w:lineRule="auto"/>
        <w:rPr>
          <w:sz w:val="20"/>
          <w:szCs w:val="20"/>
          <w:color w:val="auto"/>
        </w:rPr>
      </w:pPr>
      <w:r>
        <w:rPr>
          <w:rFonts w:ascii="Arial" w:cs="Arial" w:eastAsia="Arial" w:hAnsi="Arial"/>
          <w:sz w:val="21"/>
          <w:szCs w:val="21"/>
          <w:color w:val="auto"/>
        </w:rPr>
        <w:t xml:space="preserve">in each case, as determined on a consolidated basis for Holdings and the Restricted Subsidiaries in accordance with GAAP;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w:t>
      </w:r>
    </w:p>
    <w:p>
      <w:pPr>
        <w:spacing w:after="0" w:line="132" w:lineRule="exact"/>
        <w:rPr>
          <w:sz w:val="20"/>
          <w:szCs w:val="20"/>
          <w:color w:val="auto"/>
        </w:rPr>
      </w:pPr>
    </w:p>
    <w:p>
      <w:pPr>
        <w:jc w:val="both"/>
        <w:ind w:left="640" w:firstLine="639"/>
        <w:spacing w:after="0" w:line="258" w:lineRule="auto"/>
        <w:tabs>
          <w:tab w:leader="none" w:pos="1545"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the extent included in Consolidated Net Income, there shall be excluded in determining Consolidated EBITDA currency translation gains and losses related to currency remeasurements of Indebtedness (including the net loss or gain resulting from hedging agreements for currency exchange risk and revaluations of intercompany balances), other than any gains or losses related to foreign currency trading and hedging in the ordinary course of the trading business of Holdings and its Restricted Subsidiaries,</w:t>
      </w:r>
    </w:p>
    <w:p>
      <w:pPr>
        <w:spacing w:after="0" w:line="126" w:lineRule="exact"/>
        <w:rPr>
          <w:sz w:val="20"/>
          <w:szCs w:val="20"/>
          <w:color w:val="auto"/>
        </w:rPr>
      </w:pPr>
    </w:p>
    <w:p>
      <w:pPr>
        <w:jc w:val="both"/>
        <w:ind w:left="640" w:firstLine="639"/>
        <w:spacing w:after="0" w:line="279" w:lineRule="auto"/>
        <w:tabs>
          <w:tab w:leader="none" w:pos="1612" w:val="left"/>
        </w:tabs>
        <w:numPr>
          <w:ilvl w:val="0"/>
          <w:numId w:val="69"/>
        </w:numPr>
        <w:rPr>
          <w:rFonts w:ascii="Arial" w:cs="Arial" w:eastAsia="Arial" w:hAnsi="Arial"/>
          <w:sz w:val="19"/>
          <w:szCs w:val="19"/>
          <w:color w:val="auto"/>
        </w:rPr>
      </w:pPr>
      <w:r>
        <w:rPr>
          <w:rFonts w:ascii="Arial" w:cs="Arial" w:eastAsia="Arial" w:hAnsi="Arial"/>
          <w:sz w:val="19"/>
          <w:szCs w:val="19"/>
          <w:color w:val="auto"/>
        </w:rPr>
        <w:t>to the extent included in Consolidated Net Income, there shall be excluded in determining Consolidated EBITDA for any period any adjustments resulting from the application of Financial Accounting Standards Accounting Standards Codification No. 815-Derivatives and Hedging (other than with respect to any hedging obligations entered into in the ordinary course of the trading business of Holdings and its Restricted Subsidiaries),</w:t>
      </w:r>
    </w:p>
    <w:p>
      <w:pPr>
        <w:spacing w:after="0" w:line="108" w:lineRule="exact"/>
        <w:rPr>
          <w:sz w:val="20"/>
          <w:szCs w:val="20"/>
          <w:color w:val="auto"/>
        </w:rPr>
      </w:pPr>
    </w:p>
    <w:p>
      <w:pPr>
        <w:jc w:val="both"/>
        <w:ind w:left="640" w:firstLine="639"/>
        <w:spacing w:after="0" w:line="242" w:lineRule="auto"/>
        <w:tabs>
          <w:tab w:leader="none" w:pos="1736" w:val="left"/>
        </w:tabs>
        <w:numPr>
          <w:ilvl w:val="0"/>
          <w:numId w:val="70"/>
        </w:numPr>
        <w:rPr>
          <w:rFonts w:ascii="Arial" w:cs="Arial" w:eastAsia="Arial" w:hAnsi="Arial"/>
          <w:sz w:val="21"/>
          <w:szCs w:val="21"/>
          <w:color w:val="auto"/>
        </w:rPr>
      </w:pPr>
      <w:r>
        <w:rPr>
          <w:rFonts w:ascii="Arial" w:cs="Arial" w:eastAsia="Arial" w:hAnsi="Arial"/>
          <w:sz w:val="21"/>
          <w:szCs w:val="21"/>
          <w:color w:val="auto"/>
        </w:rPr>
        <w:t>to the extent not included in Consolidated Net Income, there shall be included in determining Consolidated EBITDA for any period, without duplication, (A) the Acquired EBITDA of any Person, property, business or asset acquired by Holdings or any Restricted Subsidiary during such period (other than any Unrestricted Subsidiary) to the extent not subsequently sold, transferred or otherwise disposed of (but not including the Acquired EBITDA of any related Person, property, business or assets to the extent not so acquired) (each such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1" w:name="page182"/>
    <w:bookmarkEnd w:id="181"/>
    <w:p>
      <w:pPr>
        <w:jc w:val="both"/>
        <w:ind w:left="640"/>
        <w:spacing w:after="0" w:line="253" w:lineRule="auto"/>
        <w:rPr>
          <w:sz w:val="20"/>
          <w:szCs w:val="20"/>
          <w:color w:val="auto"/>
        </w:rPr>
      </w:pPr>
      <w:r>
        <w:rPr>
          <w:rFonts w:ascii="Arial" w:cs="Arial" w:eastAsia="Arial" w:hAnsi="Arial"/>
          <w:sz w:val="20"/>
          <w:szCs w:val="20"/>
          <w:color w:val="auto"/>
        </w:rPr>
        <w:t>Person, property, business or asset acquired, including pursuant to a transaction consummated prior to the Restatement Effective Date, and not subsequently so disposed of, an “</w:t>
      </w:r>
      <w:r>
        <w:rPr>
          <w:rFonts w:ascii="Arial" w:cs="Arial" w:eastAsia="Arial" w:hAnsi="Arial"/>
          <w:sz w:val="20"/>
          <w:szCs w:val="20"/>
          <w:b w:val="1"/>
          <w:bCs w:val="1"/>
          <w:color w:val="auto"/>
        </w:rPr>
        <w:t>Acquired Entity or Business</w:t>
      </w:r>
      <w:r>
        <w:rPr>
          <w:rFonts w:ascii="Arial" w:cs="Arial" w:eastAsia="Arial" w:hAnsi="Arial"/>
          <w:sz w:val="20"/>
          <w:szCs w:val="20"/>
          <w:color w:val="auto"/>
        </w:rPr>
        <w:t>”), and the Acquired EBITDA of any Unrestricted Subsidiary that is converted into a Restricted Subsidiary during such period (each, a “</w:t>
      </w:r>
      <w:r>
        <w:rPr>
          <w:rFonts w:ascii="Arial" w:cs="Arial" w:eastAsia="Arial" w:hAnsi="Arial"/>
          <w:sz w:val="20"/>
          <w:szCs w:val="20"/>
          <w:b w:val="1"/>
          <w:bCs w:val="1"/>
          <w:color w:val="auto"/>
        </w:rPr>
        <w:t>Converted Restricted Subsidiary</w:t>
      </w:r>
      <w:r>
        <w:rPr>
          <w:rFonts w:ascii="Arial" w:cs="Arial" w:eastAsia="Arial" w:hAnsi="Arial"/>
          <w:sz w:val="20"/>
          <w:szCs w:val="20"/>
          <w:color w:val="auto"/>
        </w:rPr>
        <w:t xml:space="preserve"> ”),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a certificate from a Financial Officer delivered to the Administrative Agent (for further delivery to the Lenders); and</w:t>
      </w:r>
    </w:p>
    <w:p>
      <w:pPr>
        <w:spacing w:after="0" w:line="134" w:lineRule="exact"/>
        <w:rPr>
          <w:sz w:val="20"/>
          <w:szCs w:val="20"/>
          <w:color w:val="auto"/>
        </w:rPr>
      </w:pPr>
    </w:p>
    <w:p>
      <w:pPr>
        <w:jc w:val="both"/>
        <w:ind w:left="640" w:firstLine="635"/>
        <w:spacing w:after="0" w:line="251" w:lineRule="auto"/>
        <w:rPr>
          <w:sz w:val="20"/>
          <w:szCs w:val="20"/>
          <w:color w:val="auto"/>
        </w:rPr>
      </w:pPr>
      <w:r>
        <w:rPr>
          <w:rFonts w:ascii="Arial" w:cs="Arial" w:eastAsia="Arial" w:hAnsi="Arial"/>
          <w:sz w:val="20"/>
          <w:szCs w:val="20"/>
          <w:color w:val="auto"/>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by Holdings or any Restricted Subsidiary during such period (each such Person, property, business or asset so sold, transferred or otherwise disposed of, closed or classified, a “</w:t>
      </w:r>
      <w:r>
        <w:rPr>
          <w:rFonts w:ascii="Arial" w:cs="Arial" w:eastAsia="Arial" w:hAnsi="Arial"/>
          <w:sz w:val="20"/>
          <w:szCs w:val="20"/>
          <w:b w:val="1"/>
          <w:bCs w:val="1"/>
          <w:color w:val="auto"/>
        </w:rPr>
        <w:t>Sold Entity or Business</w:t>
      </w:r>
      <w:r>
        <w:rPr>
          <w:rFonts w:ascii="Arial" w:cs="Arial" w:eastAsia="Arial" w:hAnsi="Arial"/>
          <w:sz w:val="20"/>
          <w:szCs w:val="20"/>
          <w:color w:val="auto"/>
        </w:rPr>
        <w:t>”), and the Disposed EBITDA of any Restricted Subsidiary that is converted into an Unrestricted Subsidiary during such period (each, a “</w:t>
      </w:r>
      <w:r>
        <w:rPr>
          <w:rFonts w:ascii="Arial" w:cs="Arial" w:eastAsia="Arial" w:hAnsi="Arial"/>
          <w:sz w:val="20"/>
          <w:szCs w:val="20"/>
          <w:b w:val="1"/>
          <w:bCs w:val="1"/>
          <w:color w:val="auto"/>
        </w:rPr>
        <w:t>Converted Unrestricted Subsidiary</w:t>
      </w:r>
      <w:r>
        <w:rPr>
          <w:rFonts w:ascii="Arial" w:cs="Arial" w:eastAsia="Arial" w:hAnsi="Arial"/>
          <w:sz w:val="20"/>
          <w:szCs w:val="20"/>
          <w:color w:val="auto"/>
        </w:rPr>
        <w:t>”),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or Converted Unrestricted Subsidiary is converted, an adjustment equal to the Pro Forma Disposal Adjustment with respect to such Sold Entity or Business or Converted Unrestricted Subsidiary (including the portion thereof occurring prior to such disposal or conversion) as specified in a certificate from a Financial Officer delivered to the Administrative Agent (for further delivery to the Lenders).</w:t>
      </w:r>
    </w:p>
    <w:p>
      <w:pPr>
        <w:spacing w:after="0" w:line="143"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Interest Expense</w:t>
      </w:r>
      <w:r>
        <w:rPr>
          <w:rFonts w:ascii="Arial" w:cs="Arial" w:eastAsia="Arial" w:hAnsi="Arial"/>
          <w:sz w:val="20"/>
          <w:szCs w:val="20"/>
          <w:color w:val="auto"/>
        </w:rPr>
        <w:t>” means, for any period, the cash interest expense (including that attributable to Capitalized Leases), net of cash interest income (excluding cash interest income relating to any asset or property that secures any Trading Debt), of Holdings and the Restricted Subsidiaries, determined on a consolidated basis in accordance with GAAP, with respect to all outstanding Indebtedness of Holdings and the Restricted Subsidiaries (excluding Trading Debt), including all commissions, discounts and other fees and charges owed with respect to letters of credit and bankers’ acceptance financing and net costs under hedging agreements, but excluding, for the avoidance of doubt, (i) amortization of deferred financing costs, debt issuance costs, commissions, fees and expenses, pay-in-kind interest expense and any other amounts of non-cash interest (including as a result of the effects of acquisition method accounting), (ii) the accretion or accrual of discounted liabilities during such period, (iii) any interest in respect of items excluded from Indebtedness in the proviso to the definition thereof, (iv)</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2" w:name="page183"/>
    <w:bookmarkEnd w:id="182"/>
    <w:p>
      <w:pPr>
        <w:jc w:val="both"/>
        <w:spacing w:after="0" w:line="275" w:lineRule="auto"/>
        <w:rPr>
          <w:sz w:val="20"/>
          <w:szCs w:val="20"/>
          <w:color w:val="auto"/>
        </w:rPr>
      </w:pPr>
      <w:r>
        <w:rPr>
          <w:rFonts w:ascii="Arial" w:cs="Arial" w:eastAsia="Arial" w:hAnsi="Arial"/>
          <w:sz w:val="19"/>
          <w:szCs w:val="19"/>
          <w:color w:val="auto"/>
        </w:rPr>
        <w:t>non-cash interest expense attributable to the movement of the mark-to-market valuation of obligations under hedging agreements or other derivative instruments pursuant to Financial Accounting Standards Accounting Standards Codification No. 815-Derivatives and Hedging, (v) any one-time cash costs associated with breakage in respect of hedging agreements for interest rates, and (vi) all non-recurring cash interest expense consisting of liquidated damages for failure to timely comply with registration rights obligations, all as calculated on a consolidated basis in accordance with GAAP.</w:t>
      </w:r>
    </w:p>
    <w:p>
      <w:pPr>
        <w:spacing w:after="0" w:line="105"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Net Income</w:t>
      </w:r>
      <w:r>
        <w:rPr>
          <w:rFonts w:ascii="Arial" w:cs="Arial" w:eastAsia="Arial" w:hAnsi="Arial"/>
          <w:sz w:val="19"/>
          <w:szCs w:val="19"/>
          <w:color w:val="auto"/>
        </w:rPr>
        <w:t>” means, for any period, the net income (loss) of Holdings and the Restricted Subsidiaries for such period determined on a consolidated basis in accordance with GAAP, excluding, without duplication,</w:t>
      </w:r>
    </w:p>
    <w:p>
      <w:pPr>
        <w:spacing w:after="0" w:line="1" w:lineRule="exact"/>
        <w:rPr>
          <w:sz w:val="20"/>
          <w:szCs w:val="20"/>
          <w:color w:val="auto"/>
        </w:rPr>
      </w:pPr>
    </w:p>
    <w:p>
      <w:pPr>
        <w:jc w:val="both"/>
        <w:ind w:firstLine="9"/>
        <w:spacing w:after="0" w:line="249" w:lineRule="auto"/>
        <w:tabs>
          <w:tab w:leader="none" w:pos="298" w:val="left"/>
        </w:tabs>
        <w:numPr>
          <w:ilvl w:val="0"/>
          <w:numId w:val="71"/>
        </w:numPr>
        <w:rPr>
          <w:rFonts w:ascii="Arial" w:cs="Arial" w:eastAsia="Arial" w:hAnsi="Arial"/>
          <w:sz w:val="20"/>
          <w:szCs w:val="20"/>
          <w:color w:val="auto"/>
        </w:rPr>
      </w:pPr>
      <w:r>
        <w:rPr>
          <w:rFonts w:ascii="Arial" w:cs="Arial" w:eastAsia="Arial" w:hAnsi="Arial"/>
          <w:sz w:val="20"/>
          <w:szCs w:val="20"/>
          <w:color w:val="auto"/>
        </w:rPr>
        <w:t>extraordinary items for such period, (b) the cumulative effect of a change in accounting principles during such period to the extent included in Consolidated Net Income, (c) [reserved], (d) any fees and expenses (including any transaction or retention bonus) incurred during such period, or any amortization thereof for such period, in connection with any acquisition, Investment, asset disposition, issuance or repayment of debt, issuance of equity securities, refinancing transaction or amendment or other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(e) any income (loss) for such period attributable to the early extinguishment of Indebtedness, hedging agreements or other derivative instruments (other than any income (loss) attributable to Trading Debt or hedging agreements or other derivative instruments entered into in the ordinary course of the trading business of Holdings and its Restricted Subsidiaries), (f) accruals and reserves that are established or adjusted as a result of the Transactions in accordance with GAAP (including any adjustment of estimated payouts on existing earn-outs) or changes as a result of the adoption or modification of accounting policies during such period, (g) non-cash stock-based award compensation expenses, (h) any income (loss) attributable to deferred compensation plans or trusts and (i) any income (loss) from Investments recorded using the equity method. There shall be excluded from Consolidated Net Income for any period the effects from applying acquisition method accounting, including applying acquisition method accounting to inventory, property and equipment, leases, software and other intangible assets and deferred revenue (including deferred costs related thereto and deferred rent) required or permitted by GAAP and related authoritative pronouncements (including the effects of such adjustments pushed down to Holdings and the Restricted Subsidiaries), as a result of any acquisition consummated prior to the Restatement Effective Date, the Merger and Contribution and any Permitted Acquisition or the amortization or write-off of any amounts thereof.</w:t>
      </w:r>
    </w:p>
    <w:p>
      <w:pPr>
        <w:spacing w:after="0" w:line="157"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In addition, to the extent not already included in Consolidated Net Income,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w:t>
      </w:r>
    </w:p>
    <w:p>
      <w:pPr>
        <w:spacing w:after="0" w:line="13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Total Assets</w:t>
      </w:r>
      <w:r>
        <w:rPr>
          <w:rFonts w:ascii="Arial" w:cs="Arial" w:eastAsia="Arial" w:hAnsi="Arial"/>
          <w:sz w:val="21"/>
          <w:szCs w:val="21"/>
          <w:color w:val="auto"/>
        </w:rPr>
        <w:t xml:space="preserve"> ” means, as at any date of determination, the total assets of Holdings and its Restricted Subsidiaries on a consolidated basis in accordance with GAAP.</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3" w:name="page184"/>
    <w:bookmarkEnd w:id="183"/>
    <w:p>
      <w:pPr>
        <w:jc w:val="both"/>
        <w:ind w:firstLine="635"/>
        <w:spacing w:after="0" w:line="25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Total Debt</w:t>
      </w:r>
      <w:r>
        <w:rPr>
          <w:rFonts w:ascii="Arial" w:cs="Arial" w:eastAsia="Arial" w:hAnsi="Arial"/>
          <w:sz w:val="20"/>
          <w:szCs w:val="20"/>
          <w:color w:val="auto"/>
        </w:rPr>
        <w:t>” means, as of any date of determination, the aggregate amount of Indebtedness of Holdings and the Restricted Subsidiaries outstanding on such date, determined on a consolidated basis in accordance with GAAP (but excluding the effects of any discounting of Indebtedness resulting from the application of acquisition method accounting in connection with the Merger and Contribution or any Permitted Acquisition or other Investment permitted hereunder) consisting only of Indebtedness for borrowed money, unreimbursed obligations under letters of credit, obligations in respect of Capitalized Leases and debt obligations evidenced by promissory notes or similar instruments (and excluding, in any event, all Trading Debt).</w:t>
      </w:r>
    </w:p>
    <w:p>
      <w:pPr>
        <w:spacing w:after="0" w:line="122" w:lineRule="exact"/>
        <w:rPr>
          <w:sz w:val="20"/>
          <w:szCs w:val="20"/>
          <w:color w:val="auto"/>
        </w:rPr>
      </w:pPr>
    </w:p>
    <w:p>
      <w:pPr>
        <w:jc w:val="both"/>
        <w:ind w:firstLine="63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Net Debt</w:t>
      </w:r>
      <w:r>
        <w:rPr>
          <w:rFonts w:ascii="Arial" w:cs="Arial" w:eastAsia="Arial" w:hAnsi="Arial"/>
          <w:sz w:val="19"/>
          <w:szCs w:val="19"/>
          <w:color w:val="auto"/>
        </w:rPr>
        <w:t>” means, as of any date of determination (a) the amount of Consolidated Total Debt as of such date, less (b) all cash and Permitted Investments on the balance sheet of Holdings and the Restricted Subsidiaries to the extent not subject to any Liens (other than Liens permitted under Section 6.02 but excluding any Liens permitted by Section 6.02(iii), Section 6.02(xv) and Section 6.02(xx)) and the use thereof for application to the payment of Indebtedness is not prohibited by law or contract binding on Holdings or the Restricted Subsidiaries (and excluding, in any event, the amount of regulatory capital required by applicable law to be held at any Regulated Subsidiary).</w:t>
      </w:r>
    </w:p>
    <w:p>
      <w:pPr>
        <w:spacing w:after="0" w:line="123"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cs="Arial" w:eastAsia="Arial" w:hAnsi="Arial"/>
          <w:sz w:val="20"/>
          <w:szCs w:val="20"/>
          <w:b w:val="1"/>
          <w:b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color w:val="auto"/>
        </w:rPr>
        <w:t>Controlled</w:t>
      </w:r>
      <w:r>
        <w:rPr>
          <w:rFonts w:ascii="Arial" w:cs="Arial" w:eastAsia="Arial" w:hAnsi="Arial"/>
          <w:sz w:val="20"/>
          <w:szCs w:val="20"/>
          <w:color w:val="auto"/>
        </w:rPr>
        <w:t>” have meanings correlative thereto.</w:t>
      </w:r>
    </w:p>
    <w:p>
      <w:pPr>
        <w:spacing w:after="0" w:line="107"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Converted New Term Loans</w:t>
      </w:r>
      <w:r>
        <w:rPr>
          <w:rFonts w:ascii="Arial" w:cs="Arial" w:eastAsia="Arial" w:hAnsi="Arial"/>
          <w:sz w:val="21"/>
          <w:szCs w:val="21"/>
          <w:u w:val="single" w:color="auto"/>
          <w:color w:val="0000FF"/>
        </w:rPr>
        <w:t>” means, as to any Amendment No. 1 Consenting Lender that has indicated on its counterpart to Amendment No. 1 that it is requesting to convert its New Term Loans to a Term B-1 Loan, the entire aggregate principal amount of such Amendment No. 1 Consenting Lender’s Term B-1 Loan outstanding on the Amendment No. 1 Effective Date (or, if less, the amount notified to such Lender by the Administrative Agent prior to the Amendment No. 1 Effective Date).</w:t>
      </w:r>
    </w:p>
    <w:p>
      <w:pPr>
        <w:spacing w:after="0" w:line="135"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Converted Restricted Subsidiary</w:t>
      </w:r>
      <w:r>
        <w:rPr>
          <w:rFonts w:ascii="Arial" w:cs="Arial" w:eastAsia="Arial" w:hAnsi="Arial"/>
          <w:sz w:val="21"/>
          <w:szCs w:val="21"/>
          <w:color w:val="auto"/>
        </w:rPr>
        <w:t>” has the meaning given such term in the definition of “Consolidated EBITDA.”</w:t>
      </w:r>
    </w:p>
    <w:p>
      <w:pPr>
        <w:spacing w:after="0" w:line="120"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Converted Unrestricted Subsidiary</w:t>
      </w:r>
      <w:r>
        <w:rPr>
          <w:rFonts w:ascii="Arial" w:cs="Arial" w:eastAsia="Arial" w:hAnsi="Arial"/>
          <w:sz w:val="21"/>
          <w:szCs w:val="21"/>
          <w:color w:val="auto"/>
        </w:rPr>
        <w:t>” has the meaning given such term in the definition of “Consolidated EBITDA.”</w:t>
      </w:r>
    </w:p>
    <w:p>
      <w:pPr>
        <w:spacing w:after="0" w:line="107"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Converting Term Lender</w:t>
      </w:r>
      <w:r>
        <w:rPr>
          <w:rFonts w:ascii="Arial" w:cs="Arial" w:eastAsia="Arial" w:hAnsi="Arial"/>
          <w:sz w:val="21"/>
          <w:szCs w:val="21"/>
          <w:color w:val="auto"/>
        </w:rPr>
        <w:t>” means each Original Term Lender that has elected to convert its Original Term Loans to Initial Term Loans pursuant to the Restatement Agreement.</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Converting Term Loan</w:t>
      </w:r>
      <w:r>
        <w:rPr>
          <w:rFonts w:ascii="Arial" w:cs="Arial" w:eastAsia="Arial" w:hAnsi="Arial"/>
          <w:sz w:val="21"/>
          <w:szCs w:val="21"/>
          <w:color w:val="auto"/>
        </w:rPr>
        <w:t>” means each Original Term Loan held by a Term Lender that is a Converting Term Lender (or, if less, the portion of the principal amount of such Original Term Loan notified to such Converting Lender by the Administrative Agent prior to the Restatement Effective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184" w:name="page185"/>
    <w:bookmarkEnd w:id="184"/>
    <w:p>
      <w:pPr>
        <w:jc w:val="both"/>
        <w:ind w:firstLine="635"/>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Credit Agreement Refinancing Indebtedness</w:t>
      </w:r>
      <w:r>
        <w:rPr>
          <w:rFonts w:ascii="Arial" w:cs="Arial" w:eastAsia="Arial" w:hAnsi="Arial"/>
          <w:sz w:val="19"/>
          <w:szCs w:val="19"/>
          <w:color w:val="auto"/>
        </w:rPr>
        <w:t>” means (a) Permitted First Priority Refinancing Debt, (b) Permitted Junior Lien Refinancing Debt, (c) Permitted Unsecured Refinancing Debt or (d) Indebtedness incurred or Other Revolving Commitments obtained pursuant to a Refinancing Amendment, in each case, issued, incurred or otherwise obtained (including by means of the extension or renewal of existing Indebtedness) in exchange for, or to extend, renew, replace or refinance, in whole or part, existing Term Loans, outstanding Revolving Loans or (in the case of Other Revolving Commitments obtained pursuant to a Refinancing Amendment) Revolving Commitments, outstanding loans under any Incremental Revolving Facility or undrawn commitments under any Incremental Revolving Facility (“</w:t>
      </w:r>
      <w:r>
        <w:rPr>
          <w:rFonts w:ascii="Arial" w:cs="Arial" w:eastAsia="Arial" w:hAnsi="Arial"/>
          <w:sz w:val="19"/>
          <w:szCs w:val="19"/>
          <w:b w:val="1"/>
          <w:bCs w:val="1"/>
          <w:color w:val="auto"/>
        </w:rPr>
        <w:t>Refinanced Debt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extending, renewing, replacing or refinancing Indebtedness (including, if such Indebtedness includes any Other Revolving Commitments, the unused portion of such Other Revolving Commitments) is in an original aggregate principal amount not greater than the sum of the aggregate principal amount of the Refinanced Debt (and, in the case of Refinanced Debt consisting, in whole or in part, of unused commitments under any Incremental Revolving Facility or Other Revolving Commitments, the amount thereof) plus all accrued and unpaid interest and fees thereon and expenses incurred in connection with such extension, renewal, replacement or refinancing,</w:t>
      </w:r>
    </w:p>
    <w:p>
      <w:pPr>
        <w:spacing w:after="0" w:line="7" w:lineRule="exact"/>
        <w:rPr>
          <w:sz w:val="20"/>
          <w:szCs w:val="20"/>
          <w:color w:val="auto"/>
        </w:rPr>
      </w:pPr>
    </w:p>
    <w:p>
      <w:pPr>
        <w:jc w:val="both"/>
        <w:ind w:firstLine="9"/>
        <w:spacing w:after="0" w:line="266" w:lineRule="auto"/>
        <w:tabs>
          <w:tab w:leader="none" w:pos="374"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such Indebtedness has a maturity that is equal to or later than and, except in the case of Other Revolving Commitments, a Weighted Average Life to Maturity equal to or greater than the Refinanced Debt, and (iii) such Refinanced Debt shall be repaid, defeased or satisfied and discharged, and all accrued interest, fees and premiums (if any) in connection therewith shall be paid, on the date such Credit Agreement Refinancing Indebtedness is issued, incurred or obtained;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such Refinanced Debt consists, in whole or in part, of commitments under any Incremental Revolving Facility or Other Revolving Commitments (or loans incurred pursuant to any Incremental Revolving Facility or Other Revolving Loans), such commitments shall be terminated, and all accrued fees in connection therewith shall be paid, on the date such Credit Agreement Refinancing Indebtedness is issued, incurred or obtained.</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Party</w:t>
      </w:r>
      <w:r>
        <w:rPr>
          <w:rFonts w:ascii="Arial" w:cs="Arial" w:eastAsia="Arial" w:hAnsi="Arial"/>
          <w:sz w:val="21"/>
          <w:szCs w:val="21"/>
          <w:color w:val="auto"/>
        </w:rPr>
        <w:t>” means the Administrative Agent, the Issuing Bank or any other Lender.</w:t>
      </w:r>
    </w:p>
    <w:p>
      <w:pPr>
        <w:spacing w:after="0" w:line="182" w:lineRule="exact"/>
        <w:rPr>
          <w:sz w:val="20"/>
          <w:szCs w:val="20"/>
          <w:color w:val="auto"/>
        </w:rPr>
      </w:pPr>
    </w:p>
    <w:p>
      <w:pPr>
        <w:jc w:val="both"/>
        <w:ind w:firstLine="635"/>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Cumulative Excess Cash Flow</w:t>
      </w:r>
      <w:r>
        <w:rPr>
          <w:rFonts w:ascii="Arial" w:cs="Arial" w:eastAsia="Arial" w:hAnsi="Arial"/>
          <w:sz w:val="21"/>
          <w:szCs w:val="21"/>
          <w:color w:val="auto"/>
        </w:rPr>
        <w:t xml:space="preserve">” means (a) prior to the Escrow Assumption Date, the sum of (i) Excess Cash Flow (but not less than zero in any period) for each fiscal quarter of Holdings, commencing with the fiscal quarter ending June 30, 2017 plus (ii) the unused (i.e., not applied to any mandatory prepayment of loans or relied on as the basis for the taking of any action) amount of Cumulative Excess Cash Flow under the Existing Credit Agreement as of the date immediately preceding the Restatement Effective Date and (b) from and after the Escrow Assumption Date, Excess Cash Flow (but not less than zero in any period) for each completed fiscal quarter commencing with the first full fiscal quarter commencing after the Escrow Assumption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Excess Cash Flow for any period shall not constitute Cumulative Excess Cash Flow until the date that (A) the corresponding Excess Cash Flow prepayment for such period is made pursuant to Section 2.09(c) or (B) if no Excess Cash Flow prepayment is required for such period pursuant to Section 2.09(c), the date that is five days after the date on which financial statements are delivered pursuant to Section 5.01(b) with respect to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period or, in the case of the fourth fiscal quarter in any fiscal year, pursuant to Section 5.01(a) for such fiscal year.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Cure Amount</w:t>
      </w:r>
      <w:r>
        <w:rPr>
          <w:rFonts w:ascii="Arial" w:cs="Arial" w:eastAsia="Arial" w:hAnsi="Arial"/>
          <w:sz w:val="21"/>
          <w:szCs w:val="21"/>
          <w:color w:val="auto"/>
        </w:rPr>
        <w:t>” has the meaning assigned to such term in Section 7.02(a).</w:t>
      </w:r>
    </w:p>
    <w:p>
      <w:pPr>
        <w:spacing w:after="0" w:line="182"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Debtor Relief Laws</w:t>
      </w:r>
      <w:r>
        <w:rPr>
          <w:rFonts w:ascii="Arial" w:cs="Arial" w:eastAsia="Arial" w:hAnsi="Arial"/>
          <w:sz w:val="21"/>
          <w:szCs w:val="21"/>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0"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any event or condition that constitutes an Event of Default or that upon notice, lapse of time or both would, unless cured or waived, become an Event of Default.</w:t>
      </w:r>
    </w:p>
    <w:p>
      <w:pPr>
        <w:spacing w:after="0" w:line="107"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Defaulting Lender</w:t>
      </w:r>
      <w:r>
        <w:rPr>
          <w:rFonts w:ascii="Arial" w:cs="Arial" w:eastAsia="Arial" w:hAnsi="Arial"/>
          <w:sz w:val="19"/>
          <w:szCs w:val="19"/>
          <w:color w:val="auto"/>
        </w:rPr>
        <w:t xml:space="preserve">” means any Revolving Lender that (a) has failed, within one Business Day of the date required to be funded or paid, to (i) fund any portion of its Revolving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a loan under this Agreement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agreements in which it commits to extend credit, (c) has failed, within three Business Days after request by the Administrative Agent or the Borrower, acting in good faith, to provide a certification in writing from an authorized officer of such Lender that it will comply with its obligations (and is financially able to meet such obligations) to fund prospective Revolving Loans and participations in then outstanding Letters of Credit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Lender shall cease to be a Defaulting Lender pursuant to this clause (c) upon the Administrative Agent’s or the Borrower’s receipt, as applicable, of such certification in form and substance satisfactory to it and the Administrative Agent, or (d) has, or has a Lender Parent that has, (i) become the subject of a Bankruptcy Event or (ii) become subject to a Bail-In Action. Any determination by the Administrative Agent made in writing to the Borrower and each Lender that a Lender is a Defaulting Lender under any one or more of clauses (a) through (d) above shall be conclusive and binding absent manifest error.</w:t>
      </w:r>
    </w:p>
    <w:p>
      <w:pPr>
        <w:spacing w:after="0" w:line="143"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Non-Cash Consideration</w:t>
      </w:r>
      <w:r>
        <w:rPr>
          <w:rFonts w:ascii="Arial" w:cs="Arial" w:eastAsia="Arial" w:hAnsi="Arial"/>
          <w:sz w:val="21"/>
          <w:szCs w:val="21"/>
          <w:color w:val="auto"/>
        </w:rPr>
        <w:t>” means the fair market value of non-cash consideration received by Holdings, any Intermediate Parent, the Borrower or a Subsidiary in connection with a Disposition pursuant to Section 6.05(k) that is designated as Designated Non-Cash Consideration pursuant to a certificate of a Responsible Officer of Holdings, setting forth the basis of such valuation (which amount will be reduced by the fair market value of the portion of the non-cash consideration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6" w:name="page187"/>
    <w:bookmarkEnd w:id="186"/>
    <w:p>
      <w:pPr>
        <w:spacing w:after="0"/>
        <w:rPr>
          <w:sz w:val="20"/>
          <w:szCs w:val="20"/>
          <w:color w:val="auto"/>
        </w:rPr>
      </w:pPr>
      <w:r>
        <w:rPr>
          <w:rFonts w:ascii="Arial" w:cs="Arial" w:eastAsia="Arial" w:hAnsi="Arial"/>
          <w:sz w:val="21"/>
          <w:szCs w:val="21"/>
          <w:color w:val="auto"/>
        </w:rPr>
        <w:t>converted to cash within 180 days following the consummation of the applicable Disposition).</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Designation Date</w:t>
      </w:r>
      <w:r>
        <w:rPr>
          <w:rFonts w:ascii="Arial" w:cs="Arial" w:eastAsia="Arial" w:hAnsi="Arial"/>
          <w:sz w:val="21"/>
          <w:szCs w:val="21"/>
          <w:color w:val="auto"/>
        </w:rPr>
        <w:t>” has the meaning assigned to such term in Section 5.13.</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Prepayment Accepting Lender</w:t>
      </w:r>
      <w:r>
        <w:rPr>
          <w:rFonts w:ascii="Arial" w:cs="Arial" w:eastAsia="Arial" w:hAnsi="Arial"/>
          <w:sz w:val="20"/>
          <w:szCs w:val="20"/>
          <w:color w:val="auto"/>
        </w:rPr>
        <w:t>” has the meaning assigned to such term in Section 2.09(a)(ii)(B).</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w:t>
      </w:r>
      <w:r>
        <w:rPr>
          <w:rFonts w:ascii="Arial" w:cs="Arial" w:eastAsia="Arial" w:hAnsi="Arial"/>
          <w:sz w:val="21"/>
          <w:szCs w:val="21"/>
          <w:color w:val="auto"/>
        </w:rPr>
        <w:t>” has the meaning assigned to such term in Section 2.09(a)(ii)(C).</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Range Prepayment Amount</w:t>
      </w:r>
      <w:r>
        <w:rPr>
          <w:rFonts w:ascii="Arial" w:cs="Arial" w:eastAsia="Arial" w:hAnsi="Arial"/>
          <w:sz w:val="20"/>
          <w:szCs w:val="20"/>
          <w:color w:val="auto"/>
        </w:rPr>
        <w:t>” has the meaning assigned to such term in Section 2.09(a)(ii)(C).</w:t>
      </w:r>
    </w:p>
    <w:p>
      <w:pPr>
        <w:spacing w:after="0" w:line="19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 Prepayment Notice</w:t>
      </w:r>
      <w:r>
        <w:rPr>
          <w:rFonts w:ascii="Arial" w:cs="Arial" w:eastAsia="Arial" w:hAnsi="Arial"/>
          <w:sz w:val="21"/>
          <w:szCs w:val="21"/>
          <w:color w:val="auto"/>
        </w:rPr>
        <w:t>” means a written notice of a Borrower Solicitation of Discount Range Prepayment Offers made pursuant to Section 2.09(a)(ii)(C) substantially in the form of Exhibit K.</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 Prepayment Offer</w:t>
      </w:r>
      <w:r>
        <w:rPr>
          <w:rFonts w:ascii="Arial" w:cs="Arial" w:eastAsia="Arial" w:hAnsi="Arial"/>
          <w:sz w:val="21"/>
          <w:szCs w:val="21"/>
          <w:color w:val="auto"/>
        </w:rPr>
        <w:t>” means the irrevocable written offer by a Term Lender, substantially in the form of Exhibit L, submitted in response to an invitation to submit offers following the Auction Agent’s receipt of a Discount Range Prepayment Notice.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 Range Prepayment Response Date</w:t>
      </w:r>
      <w:r>
        <w:rPr>
          <w:rFonts w:ascii="Arial" w:cs="Arial" w:eastAsia="Arial" w:hAnsi="Arial"/>
          <w:sz w:val="19"/>
          <w:szCs w:val="19"/>
          <w:color w:val="auto"/>
        </w:rPr>
        <w:t>” has the meaning assigned to such term in Section 2.09(a)(ii)(C).</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 Range Proration</w:t>
      </w:r>
      <w:r>
        <w:rPr>
          <w:rFonts w:ascii="Arial" w:cs="Arial" w:eastAsia="Arial" w:hAnsi="Arial"/>
          <w:sz w:val="21"/>
          <w:szCs w:val="21"/>
          <w:color w:val="auto"/>
        </w:rPr>
        <w:t>” has the meaning assigned to such term in Section 2.09(a)(ii)(C).</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Discounted Prepayment Determination Date</w:t>
      </w:r>
      <w:r>
        <w:rPr>
          <w:rFonts w:ascii="Arial" w:cs="Arial" w:eastAsia="Arial" w:hAnsi="Arial"/>
          <w:sz w:val="19"/>
          <w:szCs w:val="19"/>
          <w:color w:val="auto"/>
        </w:rPr>
        <w:t>” has the meaning assigned to such term in Section 2.09(a)(ii)(D).</w:t>
      </w:r>
    </w:p>
    <w:p>
      <w:pPr>
        <w:spacing w:after="0" w:line="192"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Discounted Prepayment Effective Date</w:t>
      </w:r>
      <w:r>
        <w:rPr>
          <w:rFonts w:ascii="Arial" w:cs="Arial" w:eastAsia="Arial" w:hAnsi="Arial"/>
          <w:sz w:val="21"/>
          <w:szCs w:val="21"/>
          <w:color w:val="auto"/>
        </w:rPr>
        <w:t>” means in the case of a Borrower Offer of Specified Discount Prepayment, Borrower Solicitation of Discount Range Prepayment Offer or Borrower Solicitation of Discounted Prepayment Offer, five (5) Business Days following the receipt by each relevant Term Lender of notice from the Auction Agent in accordance with Section 2.09(a)(ii)(B), Section 2.09(a)(ii)(C) or Section 2.09(a)(ii)(D), as applicable unless a shorter period is agreed to between the Borrower and the Auction Agent.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Discounted Term Loan Prepayment</w:t>
      </w:r>
      <w:r>
        <w:rPr>
          <w:rFonts w:ascii="Arial" w:cs="Arial" w:eastAsia="Arial" w:hAnsi="Arial"/>
          <w:sz w:val="21"/>
          <w:szCs w:val="21"/>
          <w:color w:val="auto"/>
        </w:rPr>
        <w:t>” has the meaning assigned to such term in Section 2.09(a)(ii)(A).</w:t>
      </w:r>
    </w:p>
    <w:p>
      <w:pPr>
        <w:spacing w:after="0" w:line="169"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Disposed EBITDA</w:t>
      </w:r>
      <w:r>
        <w:rPr>
          <w:rFonts w:ascii="Arial" w:cs="Arial" w:eastAsia="Arial" w:hAnsi="Arial"/>
          <w:sz w:val="21"/>
          <w:szCs w:val="21"/>
          <w:color w:val="auto"/>
        </w:rPr>
        <w:t>” means, with respect to any Sold Entity or Business or Converted Unrestricted Subsidiary for any period, the amount for such period of Consolidated EBITDA of such Sold Entity or Business or Converted Unrestricted Subsidiary (determined as if references to Holdings and the Restricted Subsidiaries in the definition of the term “Consolidated EBITDA” (and in the component financial definitions used therein) were references to such Sold Entity or Business and its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7" w:name="page188"/>
    <w:bookmarkEnd w:id="187"/>
    <w:p>
      <w:pPr>
        <w:jc w:val="both"/>
        <w:ind w:right="20"/>
        <w:spacing w:after="0" w:line="264" w:lineRule="auto"/>
        <w:rPr>
          <w:sz w:val="20"/>
          <w:szCs w:val="20"/>
          <w:color w:val="auto"/>
        </w:rPr>
      </w:pPr>
      <w:r>
        <w:rPr>
          <w:rFonts w:ascii="Arial" w:cs="Arial" w:eastAsia="Arial" w:hAnsi="Arial"/>
          <w:sz w:val="21"/>
          <w:szCs w:val="21"/>
          <w:color w:val="auto"/>
        </w:rPr>
        <w:t>subsidiaries or to such Converted Unrestricted Subsidiary and its subsidiaries), all as determined on a consolidated basis for such Sold Entity or Business or Converted Unrestricted Subsidiary.</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Disposition</w:t>
      </w:r>
      <w:r>
        <w:rPr>
          <w:rFonts w:ascii="Arial" w:cs="Arial" w:eastAsia="Arial" w:hAnsi="Arial"/>
          <w:sz w:val="21"/>
          <w:szCs w:val="21"/>
          <w:color w:val="auto"/>
        </w:rPr>
        <w:t>” has the meaning assigned to such term in Section 6.05.</w:t>
      </w:r>
    </w:p>
    <w:p>
      <w:pPr>
        <w:spacing w:after="0" w:line="182"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Disqualified Equity Interest</w:t>
      </w:r>
      <w:r>
        <w:rPr>
          <w:rFonts w:ascii="Arial" w:cs="Arial" w:eastAsia="Arial" w:hAnsi="Arial"/>
          <w:sz w:val="21"/>
          <w:szCs w:val="21"/>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29" w:lineRule="exact"/>
        <w:rPr>
          <w:sz w:val="20"/>
          <w:szCs w:val="20"/>
          <w:color w:val="auto"/>
        </w:rPr>
      </w:pPr>
    </w:p>
    <w:p>
      <w:pPr>
        <w:jc w:val="both"/>
        <w:ind w:left="640" w:firstLine="639"/>
        <w:spacing w:after="0" w:line="250" w:lineRule="auto"/>
        <w:tabs>
          <w:tab w:leader="none" w:pos="1575" w:val="left"/>
        </w:tabs>
        <w:numPr>
          <w:ilvl w:val="0"/>
          <w:numId w:val="73"/>
        </w:numPr>
        <w:rPr>
          <w:rFonts w:ascii="Arial" w:cs="Arial" w:eastAsia="Arial" w:hAnsi="Arial"/>
          <w:sz w:val="21"/>
          <w:szCs w:val="21"/>
          <w:color w:val="auto"/>
        </w:rPr>
      </w:pPr>
      <w:r>
        <w:rPr>
          <w:rFonts w:ascii="Arial" w:cs="Arial" w:eastAsia="Arial" w:hAnsi="Arial"/>
          <w:sz w:val="21"/>
          <w:szCs w:val="21"/>
          <w:color w:val="auto"/>
        </w:rPr>
        <w:t>matures or is mandatorily redeemable (other than solely for Equity Interests in such Person or in Virtu Financial, Inc. that do not constitute Disqualified Equity Interests and cash in lieu of fractional shares of such Equity Interests), whether pursuant to a sinking fund obligation or otherwise;</w:t>
      </w:r>
    </w:p>
    <w:p>
      <w:pPr>
        <w:spacing w:after="0" w:line="131" w:lineRule="exact"/>
        <w:rPr>
          <w:rFonts w:ascii="Arial" w:cs="Arial" w:eastAsia="Arial" w:hAnsi="Arial"/>
          <w:sz w:val="21"/>
          <w:szCs w:val="21"/>
          <w:color w:val="auto"/>
        </w:rPr>
      </w:pPr>
    </w:p>
    <w:p>
      <w:pPr>
        <w:jc w:val="both"/>
        <w:ind w:left="640" w:firstLine="639"/>
        <w:spacing w:after="0" w:line="289" w:lineRule="auto"/>
        <w:tabs>
          <w:tab w:leader="none" w:pos="1649" w:val="left"/>
        </w:tabs>
        <w:numPr>
          <w:ilvl w:val="0"/>
          <w:numId w:val="73"/>
        </w:numPr>
        <w:rPr>
          <w:rFonts w:ascii="Arial" w:cs="Arial" w:eastAsia="Arial" w:hAnsi="Arial"/>
          <w:sz w:val="19"/>
          <w:szCs w:val="19"/>
          <w:color w:val="auto"/>
        </w:rPr>
      </w:pPr>
      <w:r>
        <w:rPr>
          <w:rFonts w:ascii="Arial" w:cs="Arial" w:eastAsia="Arial" w:hAnsi="Arial"/>
          <w:sz w:val="19"/>
          <w:szCs w:val="19"/>
          <w:color w:val="auto"/>
        </w:rPr>
        <w:t>is convertible or exchangeable, either mandatorily or at the option of the holder thereof, for Indebtedness or Equity Interests (other than solely for Equity Interests in such Person or in Virtu Financial, Inc. that do not constitute Disqualified Equity Interests and cash in lieu of fractional shares of such Equity Interests);</w:t>
      </w:r>
    </w:p>
    <w:p>
      <w:pPr>
        <w:spacing w:after="0" w:line="110" w:lineRule="exact"/>
        <w:rPr>
          <w:rFonts w:ascii="Arial" w:cs="Arial" w:eastAsia="Arial" w:hAnsi="Arial"/>
          <w:sz w:val="19"/>
          <w:szCs w:val="19"/>
          <w:color w:val="auto"/>
        </w:rPr>
      </w:pPr>
    </w:p>
    <w:p>
      <w:pPr>
        <w:ind w:left="1560" w:hanging="281"/>
        <w:spacing w:after="0"/>
        <w:tabs>
          <w:tab w:leader="none" w:pos="15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provides for the scheduled payments of dividends in cash; or</w:t>
      </w:r>
    </w:p>
    <w:p>
      <w:pPr>
        <w:spacing w:after="0" w:line="168" w:lineRule="exact"/>
        <w:rPr>
          <w:rFonts w:ascii="Arial" w:cs="Arial" w:eastAsia="Arial" w:hAnsi="Arial"/>
          <w:sz w:val="21"/>
          <w:szCs w:val="21"/>
          <w:color w:val="auto"/>
        </w:rPr>
      </w:pPr>
    </w:p>
    <w:p>
      <w:pPr>
        <w:jc w:val="both"/>
        <w:ind w:left="640" w:firstLine="639"/>
        <w:spacing w:after="0" w:line="245" w:lineRule="auto"/>
        <w:tabs>
          <w:tab w:leader="none" w:pos="1575" w:val="left"/>
        </w:tabs>
        <w:numPr>
          <w:ilvl w:val="0"/>
          <w:numId w:val="73"/>
        </w:numPr>
        <w:rPr>
          <w:rFonts w:ascii="Arial" w:cs="Arial" w:eastAsia="Arial" w:hAnsi="Arial"/>
          <w:sz w:val="21"/>
          <w:szCs w:val="21"/>
          <w:color w:val="auto"/>
        </w:rPr>
      </w:pPr>
      <w:r>
        <w:rPr>
          <w:rFonts w:ascii="Arial" w:cs="Arial" w:eastAsia="Arial" w:hAnsi="Arial"/>
          <w:sz w:val="21"/>
          <w:szCs w:val="21"/>
          <w:color w:val="auto"/>
        </w:rPr>
        <w:t>is redeemable (other than solely for Equity Interests in such Person or in Virtu Financial, Inc. that do not constitute Disqualified Equity Interests and cash in lieu of fractional shares of such Equity Interests) or is required to be repurchased by such Person or Virtu Financial, Inc. or any of its Affiliates, in whole or in part, at the option of the holder thereof;</w:t>
      </w:r>
    </w:p>
    <w:p>
      <w:pPr>
        <w:spacing w:after="0" w:line="138"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in each case, on or prior to the date 91 days after the Latest Maturity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shall not constitute a Disqualified Equity Interest if any such requirement becomes operative only after repayment in full of all the Loans and all other Loan Document Obligations that are accrued and payable, the cancellation or expiration of all Letters of Credit and the termination of the Commitments and (ii) if an Equity Interest in any Person is issued pursuant to any plan for the benefit of employees of Holdings (or any direct or indirect parent thereof) or any of its subsidiaries or by any such plan to such employees, such Equity Interest shall not constitute a Disqualified Equity Interest solely because it may be required to be repurchased by Holdings (or any direct or indirect parent company thereof) or any of its subsidiaries in order to satisfy applicable statutory or regulatory obligations of such Person.</w:t>
      </w:r>
    </w:p>
    <w:p>
      <w:pPr>
        <w:spacing w:after="0" w:line="130" w:lineRule="exact"/>
        <w:rPr>
          <w:sz w:val="20"/>
          <w:szCs w:val="20"/>
          <w:color w:val="auto"/>
        </w:rPr>
      </w:pPr>
    </w:p>
    <w:p>
      <w:pPr>
        <w:jc w:val="both"/>
        <w:ind w:right="20"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Disqualified Lender</w:t>
      </w:r>
      <w:r>
        <w:rPr>
          <w:rFonts w:ascii="Arial" w:cs="Arial" w:eastAsia="Arial" w:hAnsi="Arial"/>
          <w:sz w:val="21"/>
          <w:szCs w:val="21"/>
          <w:color w:val="auto"/>
        </w:rPr>
        <w:t>” means each Person identified as a “Disqualified Lender” on Part A of Schedule 1.01, which Schedule may be provided to any Lender or prospective Lender upon request. Notwithstanding anything in this Agreement to the contrary, each Loan Party and the Lenders acknowledge and agree that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8" w:name="page189"/>
    <w:bookmarkEnd w:id="188"/>
    <w:p>
      <w:pPr>
        <w:jc w:val="both"/>
        <w:spacing w:after="0" w:line="268" w:lineRule="auto"/>
        <w:rPr>
          <w:sz w:val="20"/>
          <w:szCs w:val="20"/>
          <w:color w:val="auto"/>
        </w:rPr>
      </w:pPr>
      <w:r>
        <w:rPr>
          <w:rFonts w:ascii="Arial" w:cs="Arial" w:eastAsia="Arial" w:hAnsi="Arial"/>
          <w:sz w:val="20"/>
          <w:szCs w:val="20"/>
          <w:color w:val="auto"/>
        </w:rPr>
        <w:t>Administrative Agent will not have any responsibility or obligation to determine whether any Lender or potential Lender is a Disqualified Lender and the Administrative Agent will not have any liability with respect to any assignment made to a Disqualified Lender. “</w:t>
      </w:r>
      <w:r>
        <w:rPr>
          <w:rFonts w:ascii="Arial" w:cs="Arial" w:eastAsia="Arial" w:hAnsi="Arial"/>
          <w:sz w:val="20"/>
          <w:szCs w:val="20"/>
          <w:b w:val="1"/>
          <w:bCs w:val="1"/>
          <w:color w:val="auto"/>
        </w:rPr>
        <w:t>dollars</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refers to lawful money of the United States of America.</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Domestic Subsidiary</w:t>
      </w:r>
      <w:r>
        <w:rPr>
          <w:rFonts w:ascii="Arial" w:cs="Arial" w:eastAsia="Arial" w:hAnsi="Arial"/>
          <w:sz w:val="21"/>
          <w:szCs w:val="21"/>
          <w:color w:val="auto"/>
        </w:rPr>
        <w:t>” means any Subsidiary that is not a Foreign Subsidiary.</w:t>
      </w:r>
    </w:p>
    <w:p>
      <w:pPr>
        <w:spacing w:after="0" w:line="182"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Financial Institution</w:t>
      </w:r>
      <w:r>
        <w:rPr>
          <w:rFonts w:ascii="Arial" w:cs="Arial" w:eastAsia="Arial" w:hAnsi="Arial"/>
          <w:sz w:val="21"/>
          <w:szCs w:val="21"/>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35"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Member Country</w:t>
      </w:r>
      <w:r>
        <w:rPr>
          <w:rFonts w:ascii="Arial" w:cs="Arial" w:eastAsia="Arial" w:hAnsi="Arial"/>
          <w:sz w:val="21"/>
          <w:szCs w:val="21"/>
          <w:color w:val="auto"/>
        </w:rPr>
        <w:t>” means any of the member states of the European Union, Iceland, Liechtenstein, and Norway.</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EEA Resolution Authority</w:t>
      </w:r>
      <w:r>
        <w:rPr>
          <w:rFonts w:ascii="Arial" w:cs="Arial" w:eastAsia="Arial" w:hAnsi="Arial"/>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6" w:lineRule="exact"/>
        <w:rPr>
          <w:sz w:val="20"/>
          <w:szCs w:val="20"/>
          <w:color w:val="auto"/>
        </w:rPr>
      </w:pPr>
    </w:p>
    <w:p>
      <w:pPr>
        <w:jc w:val="both"/>
        <w:ind w:firstLine="635"/>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ECF Percentage</w:t>
      </w:r>
      <w:r>
        <w:rPr>
          <w:rFonts w:ascii="Arial" w:cs="Arial" w:eastAsia="Arial" w:hAnsi="Arial"/>
          <w:sz w:val="21"/>
          <w:szCs w:val="21"/>
          <w:color w:val="auto"/>
        </w:rPr>
        <w:t>” means, with respect to any prepayment required by Section 2.09(c) with respect to (I) any fiscal quarter (or other applicable period) of the Borrower ending prior to the Escrow Assumption Date, if the Total Leverage Ratio (prior to giving effect to the applicable prepayment pursuant to Section 2.09(c)) as of the end of such fiscal quarter (or other applicable period) is (a) greater than 2.00 to 1.00, 50% of Excess Cash Flow for such period and (b) equal to or less than 2:00 to 1.00, 0% of Excess Cash Flow for such period and (II) any fiscal quarter (or other applicable period) of the Borrower ending on or after the Escrow Assumption Date, if the Total Leverage Ratio (prior to giving effect to the applicable prepayment pursuant to Section 2.09(c)) as of the end of such fiscal quarter (or other applicable period) is (a) greater than 2.75 to 1.00, 50% of Excess Cash Flow for such period, (b) equal to or less than 2.75 to 1.00 but greater than 2.25 to 1.00, 25% of Excess Cash Flow for such period and (c) equal to or less than 2.25 to 1.00, 0% of Excess Cash Flow for such period.</w:t>
      </w:r>
    </w:p>
    <w:p>
      <w:pPr>
        <w:spacing w:after="0" w:line="138"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Assignee</w:t>
      </w:r>
      <w:r>
        <w:rPr>
          <w:rFonts w:ascii="Arial" w:cs="Arial" w:eastAsia="Arial" w:hAnsi="Arial"/>
          <w:sz w:val="21"/>
          <w:szCs w:val="21"/>
          <w:color w:val="auto"/>
        </w:rPr>
        <w:t>” means (a) a Lender, (b) an Affiliate of a Lender, (c) an Approved Fund and (d) any other Person (other than Holdings, any Intermediate Parent, the Borrower or any of their subsidiaries, any VV Holder, any Affiliate of Vincent Viola (including any trust established for the benefit of his spouse or children) or any Disqualified Lender), other than, in each case, a natural person.</w:t>
      </w:r>
    </w:p>
    <w:p>
      <w:pPr>
        <w:spacing w:after="0" w:line="130" w:lineRule="exact"/>
        <w:rPr>
          <w:sz w:val="20"/>
          <w:szCs w:val="20"/>
          <w:color w:val="auto"/>
        </w:rPr>
      </w:pPr>
    </w:p>
    <w:p>
      <w:pPr>
        <w:jc w:val="both"/>
        <w:ind w:firstLine="63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 Holding Vehicles</w:t>
      </w:r>
      <w:r>
        <w:rPr>
          <w:rFonts w:ascii="Arial" w:cs="Arial" w:eastAsia="Arial" w:hAnsi="Arial"/>
          <w:sz w:val="19"/>
          <w:szCs w:val="19"/>
          <w:color w:val="auto"/>
        </w:rPr>
        <w:t>” means, collectively, Virtu Employee Holdco LLC, a Delaware limited liability company, Virtu East MIP LLC, a Delaware limited liability company, and any other similar entity, the equityholders of which are current and former officers, directors and employees of Holdings (or any direct or indirect parent thereof), the Borrower and the Restricted Subsidiaries, or their permitted transferees (or their respective estates, executors, trustees, administrators, heirs, legatees or distributees), which entity is formed to hold Equity Interests of Holdings (or any of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89" w:name="page190"/>
    <w:bookmarkEnd w:id="189"/>
    <w:p>
      <w:pPr>
        <w:spacing w:after="0"/>
        <w:rPr>
          <w:sz w:val="20"/>
          <w:szCs w:val="20"/>
          <w:color w:val="auto"/>
        </w:rPr>
      </w:pPr>
      <w:r>
        <w:rPr>
          <w:rFonts w:ascii="Arial" w:cs="Arial" w:eastAsia="Arial" w:hAnsi="Arial"/>
          <w:sz w:val="21"/>
          <w:szCs w:val="21"/>
          <w:color w:val="auto"/>
        </w:rPr>
        <w:t>Holdings’ direct or indirect parent companies) on behalf of such officers, directors and employees.</w:t>
      </w:r>
    </w:p>
    <w:p>
      <w:pPr>
        <w:spacing w:after="0" w:line="163" w:lineRule="exact"/>
        <w:rPr>
          <w:sz w:val="20"/>
          <w:szCs w:val="20"/>
          <w:color w:val="auto"/>
        </w:rPr>
      </w:pPr>
    </w:p>
    <w:p>
      <w:pPr>
        <w:jc w:val="both"/>
        <w:ind w:firstLine="63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Laws</w:t>
      </w:r>
      <w:r>
        <w:rPr>
          <w:rFonts w:ascii="Arial" w:cs="Arial" w:eastAsia="Arial" w:hAnsi="Arial"/>
          <w:sz w:val="19"/>
          <w:szCs w:val="19"/>
          <w:color w:val="auto"/>
        </w:rPr>
        <w:t>” means all applicable treaties, rules, regulations, codes, ordinances, judgments, orders, decrees, Governmental Approvals and other applicable Requirements of Law, and all applicable injunctions or binding agreements issued, promulgated or entered into by or with any Governmental Authority, in each instance relating to the protection of the environment, to preservation or reclamation of natural resources, to Release or threatened Release of any Hazardous Material or to the extent relating to exposure to Hazardous Materials, to health or safety matters.</w:t>
      </w:r>
    </w:p>
    <w:p>
      <w:pPr>
        <w:spacing w:after="0" w:line="119" w:lineRule="exact"/>
        <w:rPr>
          <w:sz w:val="20"/>
          <w:szCs w:val="20"/>
          <w:color w:val="auto"/>
        </w:rPr>
      </w:pPr>
    </w:p>
    <w:p>
      <w:pPr>
        <w:jc w:val="both"/>
        <w:ind w:firstLine="63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Liability</w:t>
      </w:r>
      <w:r>
        <w:rPr>
          <w:rFonts w:ascii="Arial" w:cs="Arial" w:eastAsia="Arial" w:hAnsi="Arial"/>
          <w:sz w:val="19"/>
          <w:szCs w:val="19"/>
          <w:color w:val="auto"/>
        </w:rPr>
        <w:t>”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any Intermediate Parent, the Borrower or any Subsidiary directly or indirectly resulting from or based upon (a) any actual or alleged violation of any Environmental Law or permit, license or approval issued thereunder, (b) Environmental Laws and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11"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Interests</w:t>
      </w:r>
      <w:r>
        <w:rPr>
          <w:rFonts w:ascii="Arial" w:cs="Arial" w:eastAsia="Arial" w:hAnsi="Arial"/>
          <w:sz w:val="21"/>
          <w:szCs w:val="21"/>
          <w:color w:val="auto"/>
        </w:rPr>
        <w:t>” means shares of capital stock, partnership interests, membership interests in a limited liability company, beneficial interests in a trust or other equity ownership interests in a Person.</w:t>
      </w:r>
    </w:p>
    <w:p>
      <w:pPr>
        <w:spacing w:after="0" w:line="107"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xml:space="preserve">” means the Employee Retirement Income Security Act of 1974, as amended from time to time, </w:t>
      </w:r>
      <w:r>
        <w:rPr>
          <w:rFonts w:ascii="Arial" w:cs="Arial" w:eastAsia="Arial" w:hAnsi="Arial"/>
          <w:sz w:val="21"/>
          <w:szCs w:val="21"/>
          <w:color w:val="0000FF"/>
        </w:rPr>
        <w:t>and the</w:t>
      </w:r>
      <w:r>
        <w:rPr>
          <w:rFonts w:ascii="Arial" w:cs="Arial" w:eastAsia="Arial" w:hAnsi="Arial"/>
          <w:sz w:val="21"/>
          <w:szCs w:val="21"/>
          <w:color w:val="auto"/>
        </w:rPr>
        <w:t xml:space="preserve"> </w:t>
      </w:r>
      <w:r>
        <w:rPr>
          <w:rFonts w:ascii="Arial" w:cs="Arial" w:eastAsia="Arial" w:hAnsi="Arial"/>
          <w:sz w:val="21"/>
          <w:szCs w:val="21"/>
          <w:u w:val="single" w:color="auto"/>
          <w:color w:val="0000FF"/>
        </w:rPr>
        <w:t>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-182880</wp:posOffset>
            </wp:positionV>
            <wp:extent cx="43688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436880" cy="25400"/>
                    </a:xfrm>
                    <a:prstGeom prst="rect">
                      <a:avLst/>
                    </a:prstGeom>
                    <a:noFill/>
                  </pic:spPr>
                </pic:pic>
              </a:graphicData>
            </a:graphic>
          </wp:anchor>
        </w:drawing>
      </w:r>
    </w:p>
    <w:p>
      <w:pPr>
        <w:spacing w:after="0" w:line="100"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means any trade or business (whether or not incorporated) that, together with Borrower or any Subsidiary, is treated as a single employer under Section 414(b) or 414(c) of the Code or, solely for purposes of Section 302 of ERISA and Section 412 of the Code, is treated as a single employer under Section 414 of the Code.</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Event</w:t>
      </w:r>
      <w:r>
        <w:rPr>
          <w:rFonts w:ascii="Arial" w:cs="Arial" w:eastAsia="Arial" w:hAnsi="Arial"/>
          <w:sz w:val="20"/>
          <w:szCs w:val="20"/>
          <w:color w:val="auto"/>
        </w:rPr>
        <w:t>” means (a) any “reportable event,” as defined in Section 4043 of ERISA or the regulations issued thereunder with respect to a Plan (other than an event for which the 30 day notice period is waived); (b)any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the Borrower or any ERISA Affiliate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90" w:name="page191"/>
    <w:bookmarkEnd w:id="190"/>
    <w:p>
      <w:pPr>
        <w:jc w:val="both"/>
        <w:spacing w:after="0" w:line="243" w:lineRule="auto"/>
        <w:rPr>
          <w:sz w:val="20"/>
          <w:szCs w:val="20"/>
          <w:color w:val="auto"/>
        </w:rPr>
      </w:pPr>
      <w:r>
        <w:rPr>
          <w:rFonts w:ascii="Arial" w:cs="Arial" w:eastAsia="Arial" w:hAnsi="Arial"/>
          <w:sz w:val="21"/>
          <w:szCs w:val="21"/>
          <w:color w:val="auto"/>
        </w:rPr>
        <w:t>ERISA Affiliate of any liability with respect to the withdrawal or partial withdrawal from any Plan or Multiemployer Plan; or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305 of ERISA.</w:t>
      </w:r>
    </w:p>
    <w:p>
      <w:pPr>
        <w:spacing w:after="0" w:line="135"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Escrow Assumption</w:t>
      </w:r>
      <w:r>
        <w:rPr>
          <w:rFonts w:ascii="Arial" w:cs="Arial" w:eastAsia="Arial" w:hAnsi="Arial"/>
          <w:sz w:val="21"/>
          <w:szCs w:val="21"/>
          <w:color w:val="auto"/>
        </w:rPr>
        <w:t>” means the assumption of the obligations of the Escrow Borrower under the Escrow Term Loans by the Borrower on the Escrow Assumption Date pursuant to an instrument in form reasonably satisfactory to the Administrative Agent.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Escrow Assumption Date</w:t>
      </w:r>
      <w:r>
        <w:rPr>
          <w:rFonts w:ascii="Arial" w:cs="Arial" w:eastAsia="Arial" w:hAnsi="Arial"/>
          <w:sz w:val="19"/>
          <w:szCs w:val="19"/>
          <w:color w:val="auto"/>
        </w:rPr>
        <w:t>” means the date of the satisfaction of each of the conditions set forth in Section 4.03.</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Escrow Borrower</w:t>
      </w:r>
      <w:r>
        <w:rPr>
          <w:rFonts w:ascii="Arial" w:cs="Arial" w:eastAsia="Arial" w:hAnsi="Arial"/>
          <w:sz w:val="21"/>
          <w:szCs w:val="21"/>
          <w:color w:val="auto"/>
        </w:rPr>
        <w:t>” means Orchestra Borrower, LLC, a Delaware limited liability company.</w:t>
      </w:r>
    </w:p>
    <w:p>
      <w:pPr>
        <w:spacing w:after="0" w:line="16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Escrow Funding Date</w:t>
      </w:r>
      <w:r>
        <w:rPr>
          <w:rFonts w:ascii="Arial" w:cs="Arial" w:eastAsia="Arial" w:hAnsi="Arial"/>
          <w:sz w:val="21"/>
          <w:szCs w:val="21"/>
          <w:color w:val="auto"/>
        </w:rPr>
        <w:t>” means the date of the initial funding of the Escrow Term Loans under the Escrow Term Loan Credit Agreement.</w:t>
      </w:r>
    </w:p>
    <w:p>
      <w:pPr>
        <w:spacing w:after="0" w:line="120"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Escrow Term Loan Credit Agreement</w:t>
      </w:r>
      <w:r>
        <w:rPr>
          <w:rFonts w:ascii="Arial" w:cs="Arial" w:eastAsia="Arial" w:hAnsi="Arial"/>
          <w:sz w:val="21"/>
          <w:szCs w:val="21"/>
          <w:color w:val="auto"/>
        </w:rPr>
        <w:t>” means the Credit Agreement, to be dated as of the Escrow Funding Date, by and among the Escrow Borrower, the lenders party thereto and JPMorgan Chase Bank, N.A., pursuant to which the Escrow Term Loans were originally borrowed.</w:t>
      </w:r>
    </w:p>
    <w:p>
      <w:pPr>
        <w:spacing w:after="0" w:line="12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Escrow Term Loans</w:t>
      </w:r>
      <w:r>
        <w:rPr>
          <w:rFonts w:ascii="Arial" w:cs="Arial" w:eastAsia="Arial" w:hAnsi="Arial"/>
          <w:sz w:val="21"/>
          <w:szCs w:val="21"/>
          <w:color w:val="auto"/>
        </w:rPr>
        <w:t>” means $610,000,000 aggregate principal amount of term loans incurred by the Escrow Borrower pursuant to the Escrow Term Loan Credit Agreement on the Escrow Funding Date.</w:t>
      </w:r>
    </w:p>
    <w:p>
      <w:pPr>
        <w:spacing w:after="0" w:line="107"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20" w:lineRule="exact"/>
        <w:rPr>
          <w:sz w:val="20"/>
          <w:szCs w:val="20"/>
          <w:color w:val="auto"/>
        </w:rPr>
      </w:pPr>
    </w:p>
    <w:p>
      <w:pPr>
        <w:jc w:val="both"/>
        <w:ind w:right="20" w:firstLine="635"/>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Eurodollar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Adjusted LIBO Rate.</w:t>
      </w:r>
    </w:p>
    <w:p>
      <w:pPr>
        <w:spacing w:after="0" w:line="8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 of Default</w:t>
      </w:r>
      <w:r>
        <w:rPr>
          <w:rFonts w:ascii="Arial" w:cs="Arial" w:eastAsia="Arial" w:hAnsi="Arial"/>
          <w:sz w:val="21"/>
          <w:szCs w:val="21"/>
          <w:color w:val="auto"/>
        </w:rPr>
        <w:t>” has the meaning assigned to such term in Section 7.01. “</w:t>
      </w:r>
      <w:r>
        <w:rPr>
          <w:rFonts w:ascii="Arial" w:cs="Arial" w:eastAsia="Arial" w:hAnsi="Arial"/>
          <w:sz w:val="21"/>
          <w:szCs w:val="21"/>
          <w:b w:val="1"/>
          <w:bCs w:val="1"/>
          <w:color w:val="auto"/>
        </w:rPr>
        <w:t>Excess Cash Flow</w:t>
      </w:r>
      <w:r>
        <w:rPr>
          <w:rFonts w:ascii="Arial" w:cs="Arial" w:eastAsia="Arial" w:hAnsi="Arial"/>
          <w:sz w:val="21"/>
          <w:szCs w:val="21"/>
          <w:color w:val="auto"/>
        </w:rPr>
        <w:t>” means, for any period, an amount equal to the excess of:</w:t>
      </w:r>
    </w:p>
    <w:p>
      <w:pPr>
        <w:spacing w:after="0" w:line="113" w:lineRule="exact"/>
        <w:rPr>
          <w:sz w:val="20"/>
          <w:szCs w:val="20"/>
          <w:color w:val="auto"/>
        </w:rPr>
      </w:pPr>
    </w:p>
    <w:p>
      <w:pPr>
        <w:ind w:left="940" w:hanging="296"/>
        <w:spacing w:after="0"/>
        <w:tabs>
          <w:tab w:leader="none" w:pos="94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sum, without duplication, of:</w:t>
      </w:r>
    </w:p>
    <w:p>
      <w:pPr>
        <w:spacing w:after="0" w:line="181" w:lineRule="exact"/>
        <w:rPr>
          <w:rFonts w:ascii="Arial" w:cs="Arial" w:eastAsia="Arial" w:hAnsi="Arial"/>
          <w:sz w:val="21"/>
          <w:szCs w:val="21"/>
          <w:color w:val="auto"/>
        </w:rPr>
      </w:pPr>
    </w:p>
    <w:p>
      <w:pPr>
        <w:ind w:left="1540" w:hanging="261"/>
        <w:spacing w:after="0"/>
        <w:tabs>
          <w:tab w:leader="none" w:pos="1540" w:val="left"/>
        </w:tabs>
        <w:numPr>
          <w:ilvl w:val="1"/>
          <w:numId w:val="74"/>
        </w:numPr>
        <w:rPr>
          <w:rFonts w:ascii="Arial" w:cs="Arial" w:eastAsia="Arial" w:hAnsi="Arial"/>
          <w:sz w:val="21"/>
          <w:szCs w:val="21"/>
          <w:color w:val="auto"/>
        </w:rPr>
      </w:pPr>
      <w:r>
        <w:rPr>
          <w:rFonts w:ascii="Arial" w:cs="Arial" w:eastAsia="Arial" w:hAnsi="Arial"/>
          <w:sz w:val="21"/>
          <w:szCs w:val="21"/>
          <w:color w:val="auto"/>
        </w:rPr>
        <w:t>Consolidated Net Income for such period,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91" w:name="page192"/>
    <w:bookmarkEnd w:id="191"/>
    <w:p>
      <w:pPr>
        <w:ind w:left="-4" w:firstLine="639"/>
        <w:spacing w:after="0" w:line="264" w:lineRule="auto"/>
        <w:tabs>
          <w:tab w:leader="none" w:pos="978"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 amount equal to the amount of all Non-Cash Charges (including in respect of depreciation and amortization) to the extent deducted in arriving at such Consolidated Net Income,</w:t>
      </w:r>
    </w:p>
    <w:p>
      <w:pPr>
        <w:spacing w:after="0" w:line="117" w:lineRule="exact"/>
        <w:rPr>
          <w:rFonts w:ascii="Arial" w:cs="Arial" w:eastAsia="Arial" w:hAnsi="Arial"/>
          <w:sz w:val="21"/>
          <w:szCs w:val="21"/>
          <w:color w:val="auto"/>
        </w:rPr>
      </w:pPr>
    </w:p>
    <w:p>
      <w:pPr>
        <w:jc w:val="both"/>
        <w:ind w:left="-4" w:firstLine="639"/>
        <w:spacing w:after="0" w:line="250" w:lineRule="auto"/>
        <w:tabs>
          <w:tab w:leader="none" w:pos="1029"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 amount equal to the aggregate net non-cash loss on dispositions by Holdings and the Restricted Subsidiaries during such period (other than dispositions in the ordinary course of business) to the extent deducted in arriving at such Consolidated Net Income;</w:t>
      </w:r>
    </w:p>
    <w:p>
      <w:pPr>
        <w:spacing w:after="0" w:line="144" w:lineRule="exact"/>
        <w:rPr>
          <w:rFonts w:ascii="Arial" w:cs="Arial" w:eastAsia="Arial" w:hAnsi="Arial"/>
          <w:sz w:val="21"/>
          <w:szCs w:val="21"/>
          <w:color w:val="auto"/>
        </w:rPr>
      </w:pPr>
    </w:p>
    <w:p>
      <w:pPr>
        <w:ind w:left="-4" w:right="20" w:firstLine="639"/>
        <w:spacing w:after="0" w:line="263" w:lineRule="auto"/>
        <w:tabs>
          <w:tab w:leader="none" w:pos="1006" w:val="left"/>
        </w:tabs>
        <w:numPr>
          <w:ilvl w:val="1"/>
          <w:numId w:val="75"/>
        </w:numPr>
        <w:rPr>
          <w:rFonts w:ascii="Arial" w:cs="Arial" w:eastAsia="Arial" w:hAnsi="Arial"/>
          <w:sz w:val="21"/>
          <w:szCs w:val="21"/>
          <w:color w:val="auto"/>
        </w:rPr>
      </w:pPr>
      <w:r>
        <w:rPr>
          <w:rFonts w:ascii="Arial" w:cs="Arial" w:eastAsia="Arial" w:hAnsi="Arial"/>
          <w:sz w:val="21"/>
          <w:szCs w:val="21"/>
          <w:color w:val="auto"/>
        </w:rPr>
        <w:t>the amount of tax expenses deducted in determining Consolidated Net Income for such period to the extent they exceed the amount of cash taxes paid in such period; and</w:t>
      </w:r>
    </w:p>
    <w:p>
      <w:pPr>
        <w:spacing w:after="0" w:line="118" w:lineRule="exact"/>
        <w:rPr>
          <w:rFonts w:ascii="Arial" w:cs="Arial" w:eastAsia="Arial" w:hAnsi="Arial"/>
          <w:sz w:val="21"/>
          <w:szCs w:val="21"/>
          <w:color w:val="auto"/>
        </w:rPr>
      </w:pPr>
    </w:p>
    <w:p>
      <w:pPr>
        <w:ind w:left="936" w:hanging="301"/>
        <w:spacing w:after="0"/>
        <w:tabs>
          <w:tab w:leader="none" w:pos="936" w:val="left"/>
        </w:tabs>
        <w:numPr>
          <w:ilvl w:val="1"/>
          <w:numId w:val="75"/>
        </w:numPr>
        <w:rPr>
          <w:rFonts w:ascii="Arial" w:cs="Arial" w:eastAsia="Arial" w:hAnsi="Arial"/>
          <w:sz w:val="21"/>
          <w:szCs w:val="21"/>
          <w:color w:val="auto"/>
        </w:rPr>
      </w:pPr>
      <w:r>
        <w:rPr>
          <w:rFonts w:ascii="Arial" w:cs="Arial" w:eastAsia="Arial" w:hAnsi="Arial"/>
          <w:sz w:val="21"/>
          <w:szCs w:val="21"/>
          <w:color w:val="auto"/>
        </w:rPr>
        <w:t>extraordinary cash gains during such period; over</w:t>
      </w:r>
    </w:p>
    <w:p>
      <w:pPr>
        <w:spacing w:after="0" w:line="168" w:lineRule="exact"/>
        <w:rPr>
          <w:rFonts w:ascii="Arial" w:cs="Arial" w:eastAsia="Arial" w:hAnsi="Arial"/>
          <w:sz w:val="21"/>
          <w:szCs w:val="21"/>
          <w:color w:val="auto"/>
        </w:rPr>
      </w:pPr>
    </w:p>
    <w:p>
      <w:pPr>
        <w:ind w:left="296" w:hanging="296"/>
        <w:spacing w:after="0"/>
        <w:tabs>
          <w:tab w:leader="none" w:pos="296"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sum, without duplication, of:</w:t>
      </w:r>
    </w:p>
    <w:p>
      <w:pPr>
        <w:spacing w:after="0" w:line="181" w:lineRule="exact"/>
        <w:rPr>
          <w:rFonts w:ascii="Arial" w:cs="Arial" w:eastAsia="Arial" w:hAnsi="Arial"/>
          <w:sz w:val="21"/>
          <w:szCs w:val="21"/>
          <w:color w:val="auto"/>
        </w:rPr>
      </w:pPr>
    </w:p>
    <w:p>
      <w:pPr>
        <w:jc w:val="both"/>
        <w:ind w:left="-4" w:firstLine="639"/>
        <w:spacing w:after="0" w:line="258" w:lineRule="auto"/>
        <w:tabs>
          <w:tab w:leader="none" w:pos="909"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(i) of the definition of Consolidated Net Income to the extent financed with internally generated funds of Holdings and the Restricted Subsidiaries,</w:t>
      </w:r>
    </w:p>
    <w:p>
      <w:pPr>
        <w:spacing w:after="0" w:line="126" w:lineRule="exact"/>
        <w:rPr>
          <w:rFonts w:ascii="Arial" w:cs="Arial" w:eastAsia="Arial" w:hAnsi="Arial"/>
          <w:sz w:val="20"/>
          <w:szCs w:val="20"/>
          <w:color w:val="auto"/>
        </w:rPr>
      </w:pPr>
    </w:p>
    <w:p>
      <w:pPr>
        <w:jc w:val="both"/>
        <w:ind w:left="-4" w:firstLine="639"/>
        <w:spacing w:after="0" w:line="261" w:lineRule="auto"/>
        <w:tabs>
          <w:tab w:leader="none" w:pos="987" w:val="left"/>
        </w:tabs>
        <w:numPr>
          <w:ilvl w:val="1"/>
          <w:numId w:val="76"/>
        </w:numPr>
        <w:rPr>
          <w:rFonts w:ascii="Arial" w:cs="Arial" w:eastAsia="Arial" w:hAnsi="Arial"/>
          <w:sz w:val="20"/>
          <w:szCs w:val="20"/>
          <w:color w:val="auto"/>
        </w:rPr>
      </w:pPr>
      <w:r>
        <w:rPr>
          <w:rFonts w:ascii="Arial" w:cs="Arial" w:eastAsia="Arial" w:hAnsi="Arial"/>
          <w:sz w:val="20"/>
          <w:szCs w:val="20"/>
          <w:color w:val="auto"/>
        </w:rPr>
        <w:t>without duplication of amounts deducted pursuant to clause (x) below in prior fiscal periods, the amount of capital expenditures made in cash during such period to the extent financed with internally generated funds of Holdings and the Restricted Subsidiaries (other than asset sale proceeds, casualty proceeds, condemnation proceeds or other funds that would not be included in Consolidated Net Income),</w:t>
      </w:r>
    </w:p>
    <w:p>
      <w:pPr>
        <w:spacing w:after="0" w:line="124" w:lineRule="exact"/>
        <w:rPr>
          <w:rFonts w:ascii="Arial" w:cs="Arial" w:eastAsia="Arial" w:hAnsi="Arial"/>
          <w:sz w:val="20"/>
          <w:szCs w:val="20"/>
          <w:color w:val="auto"/>
        </w:rPr>
      </w:pPr>
    </w:p>
    <w:p>
      <w:pPr>
        <w:jc w:val="both"/>
        <w:ind w:left="-4" w:firstLine="639"/>
        <w:spacing w:after="0" w:line="271" w:lineRule="auto"/>
        <w:tabs>
          <w:tab w:leader="none" w:pos="1025"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aggregate amount of all principal payments of Indebtedness (other than the payment prior to its stated maturity of (x) any Indebtedness that is subordinated in right of payment to the Loan Document Obligations,</w:t>
      </w:r>
    </w:p>
    <w:p>
      <w:pPr>
        <w:jc w:val="both"/>
        <w:ind w:left="-4" w:firstLine="4"/>
        <w:spacing w:after="0" w:line="251" w:lineRule="auto"/>
        <w:tabs>
          <w:tab w:leader="none" w:pos="329"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Indebtedness that is secured by a junior Lien on the Collateral and (z) unsecured Indebtedness of the Borrower and its Restricted Subsidiaries) of the Borrower and the Restricted Subsidiaries (including (A) the principal component of payments in respect of Capitalized Leases and (B) the amount of any mandatory prepayment of Term Loans pursuant to Section 2.09(b) with the Net Proceeds from an event of the type specified in clause (a) of the definition of “Prepayment Event” to the extent required due to a disposition that resulted in an increase to Consolidated Net Income and not in excess of the amount of such increase but excluding (X) all other prepayments of Term Loans, (Y) all prepayments of revolving loans (including any Revolving Loans) and any Trading Debt unless accompanied by a permanent reduction of commitments or termination of a credit line in respect of such revolving loans or such Trading Debt and (Z) the</w:t>
      </w:r>
    </w:p>
    <w:p>
      <w:pPr>
        <w:spacing w:after="0" w:line="384" w:lineRule="exact"/>
        <w:rPr>
          <w:sz w:val="20"/>
          <w:szCs w:val="20"/>
          <w:color w:val="auto"/>
        </w:rPr>
      </w:pPr>
    </w:p>
    <w:p>
      <w:pPr>
        <w:ind w:left="4456"/>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78740</wp:posOffset>
            </wp:positionV>
            <wp:extent cx="661098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76"/>
          </w:cols>
          <w:pgMar w:left="1384" w:top="118" w:right="739" w:bottom="1440" w:gutter="0" w:footer="0" w:header="0"/>
        </w:sectPr>
      </w:pPr>
    </w:p>
    <w:bookmarkStart w:id="192" w:name="page193"/>
    <w:bookmarkEnd w:id="192"/>
    <w:p>
      <w:pPr>
        <w:jc w:val="both"/>
        <w:spacing w:after="0" w:line="245" w:lineRule="auto"/>
        <w:rPr>
          <w:sz w:val="20"/>
          <w:szCs w:val="20"/>
          <w:color w:val="auto"/>
        </w:rPr>
      </w:pPr>
      <w:r>
        <w:rPr>
          <w:rFonts w:ascii="Arial" w:cs="Arial" w:eastAsia="Arial" w:hAnsi="Arial"/>
          <w:sz w:val="21"/>
          <w:szCs w:val="21"/>
          <w:color w:val="auto"/>
        </w:rPr>
        <w:t>Refinancing) made during such period, to the extent financed with internally generated funds of Holdings and the Restricted Subsidiaries (other than to the extent such payments were made using any portion of the Cumulative Excess Cash Flow) (it being agreed that any amount not permitted to be deducted pursuant to this clause (b)(iii) may not be deducted pursuant to any other provision of this clause (b)),</w:t>
      </w:r>
    </w:p>
    <w:p>
      <w:pPr>
        <w:spacing w:after="0" w:line="139" w:lineRule="exact"/>
        <w:rPr>
          <w:sz w:val="20"/>
          <w:szCs w:val="20"/>
          <w:color w:val="auto"/>
        </w:rPr>
      </w:pPr>
    </w:p>
    <w:p>
      <w:pPr>
        <w:jc w:val="both"/>
        <w:ind w:firstLine="639"/>
        <w:spacing w:after="0" w:line="250" w:lineRule="auto"/>
        <w:tabs>
          <w:tab w:leader="none" w:pos="1020"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 amount equal to the aggregate net non-cash gain on dispositions by Holdings and the Restricted Subsidiaries during such period (other than dispositions in the ordinary course of business) to the extent included in arriving at such Consolidated Net Income,</w:t>
      </w:r>
    </w:p>
    <w:p>
      <w:pPr>
        <w:spacing w:after="0" w:line="144" w:lineRule="exact"/>
        <w:rPr>
          <w:rFonts w:ascii="Arial" w:cs="Arial" w:eastAsia="Arial" w:hAnsi="Arial"/>
          <w:sz w:val="21"/>
          <w:szCs w:val="21"/>
          <w:color w:val="auto"/>
        </w:rPr>
      </w:pPr>
    </w:p>
    <w:p>
      <w:pPr>
        <w:jc w:val="both"/>
        <w:ind w:firstLine="639"/>
        <w:spacing w:after="0" w:line="245" w:lineRule="auto"/>
        <w:tabs>
          <w:tab w:leader="none" w:pos="948" w:val="left"/>
        </w:tabs>
        <w:numPr>
          <w:ilvl w:val="0"/>
          <w:numId w:val="78"/>
        </w:numPr>
        <w:rPr>
          <w:rFonts w:ascii="Arial" w:cs="Arial" w:eastAsia="Arial" w:hAnsi="Arial"/>
          <w:sz w:val="21"/>
          <w:szCs w:val="21"/>
          <w:color w:val="auto"/>
        </w:rPr>
      </w:pPr>
      <w:r>
        <w:rPr>
          <w:rFonts w:ascii="Arial" w:cs="Arial" w:eastAsia="Arial" w:hAnsi="Arial"/>
          <w:sz w:val="21"/>
          <w:szCs w:val="21"/>
          <w:color w:val="auto"/>
        </w:rPr>
        <w:t>cash payments by Holdings and the Restricted Subsidiaries during such period in respect of long-term liabilities of Holdings and the Restricted Subsidiaries other than Indebtedness and that were made with internally generated funds of Holdings and the Restricted Subsidiaries, to the extent that such payments were not expensed in arriving at such Consolidated Net Income,</w:t>
      </w:r>
    </w:p>
    <w:p>
      <w:pPr>
        <w:spacing w:after="0" w:line="138" w:lineRule="exact"/>
        <w:rPr>
          <w:rFonts w:ascii="Arial" w:cs="Arial" w:eastAsia="Arial" w:hAnsi="Arial"/>
          <w:sz w:val="21"/>
          <w:szCs w:val="21"/>
          <w:color w:val="auto"/>
        </w:rPr>
      </w:pPr>
    </w:p>
    <w:p>
      <w:pPr>
        <w:jc w:val="both"/>
        <w:ind w:firstLine="639"/>
        <w:spacing w:after="0" w:line="242" w:lineRule="auto"/>
        <w:tabs>
          <w:tab w:leader="none" w:pos="1035" w:val="left"/>
        </w:tabs>
        <w:numPr>
          <w:ilvl w:val="0"/>
          <w:numId w:val="78"/>
        </w:numPr>
        <w:rPr>
          <w:rFonts w:ascii="Arial" w:cs="Arial" w:eastAsia="Arial" w:hAnsi="Arial"/>
          <w:sz w:val="21"/>
          <w:szCs w:val="21"/>
          <w:color w:val="auto"/>
        </w:rPr>
      </w:pPr>
      <w:r>
        <w:rPr>
          <w:rFonts w:ascii="Arial" w:cs="Arial" w:eastAsia="Arial" w:hAnsi="Arial"/>
          <w:sz w:val="21"/>
          <w:szCs w:val="21"/>
          <w:color w:val="auto"/>
        </w:rPr>
        <w:t>without duplication of amounts deducted pursuant to clause (x) below in prior fiscal periods, the amount of Investments and acquisitions made in cash during such period pursuant to Section 6.04 (other than (1) Section 6.04(a), (2) to the extent made with Cumulative Excess Cash Flow and (3) any Investment by Holdings or any Restricted Subsidiary in Holdings or any Restricted Subsidiary) to the extent that such Investments and acquisitions were financed with internally generated funds of Holdings and the Restricted Subsidiaries and were not expensed in arriving at such Consolidated Net Income,</w:t>
      </w:r>
    </w:p>
    <w:p>
      <w:pPr>
        <w:spacing w:after="0" w:line="139" w:lineRule="exact"/>
        <w:rPr>
          <w:rFonts w:ascii="Arial" w:cs="Arial" w:eastAsia="Arial" w:hAnsi="Arial"/>
          <w:sz w:val="21"/>
          <w:szCs w:val="21"/>
          <w:color w:val="auto"/>
        </w:rPr>
      </w:pPr>
    </w:p>
    <w:p>
      <w:pPr>
        <w:jc w:val="both"/>
        <w:ind w:firstLine="639"/>
        <w:spacing w:after="0" w:line="279" w:lineRule="auto"/>
        <w:tabs>
          <w:tab w:leader="none" w:pos="1069"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amount of dividends, distributions and other restricted payments paid in cash during such period by the Borrower pursuant to Section 6.08 (including any permitted quarterly tax distribution but excluding any such payments pursuant to clause (z) of Section 6.08(a)(viii) and clause (z) of Section 6.08(b)(iv)) to the extent such payments were financed with internally generated funds of Holdings and the Restricted Subsidiaries,</w:t>
      </w:r>
    </w:p>
    <w:p>
      <w:pPr>
        <w:spacing w:after="0" w:line="121" w:lineRule="exact"/>
        <w:rPr>
          <w:rFonts w:ascii="Arial" w:cs="Arial" w:eastAsia="Arial" w:hAnsi="Arial"/>
          <w:sz w:val="19"/>
          <w:szCs w:val="19"/>
          <w:color w:val="auto"/>
        </w:rPr>
      </w:pPr>
    </w:p>
    <w:p>
      <w:pPr>
        <w:jc w:val="both"/>
        <w:ind w:firstLine="639"/>
        <w:spacing w:after="0" w:line="243" w:lineRule="auto"/>
        <w:tabs>
          <w:tab w:leader="none" w:pos="1129"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aggregate amount of expenditures actually made by Holdings and the Restricted Subsidiaries in cash during such period (including expenditures for the payment of financing fees) to the extent that such expenditures are not expensed during such period and were financed with internally generated funds of Holdings and the Restricted Subsidiaries (other than to the extent such expenditures were made using any portion of the Cumulative Excess Cash Flow),</w:t>
      </w:r>
    </w:p>
    <w:p>
      <w:pPr>
        <w:spacing w:after="0" w:line="140" w:lineRule="exact"/>
        <w:rPr>
          <w:rFonts w:ascii="Arial" w:cs="Arial" w:eastAsia="Arial" w:hAnsi="Arial"/>
          <w:sz w:val="21"/>
          <w:szCs w:val="21"/>
          <w:color w:val="auto"/>
        </w:rPr>
      </w:pPr>
    </w:p>
    <w:p>
      <w:pPr>
        <w:jc w:val="both"/>
        <w:ind w:firstLine="639"/>
        <w:spacing w:after="0" w:line="243" w:lineRule="auto"/>
        <w:tabs>
          <w:tab w:leader="none" w:pos="1031"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aggregate amount of any premium, make-whole or penalty payments actually paid in cash by Holdings and the Restricted Subsidiaries during such period that are required to be made in connection with any prepayment of Indebtedness to the extent that such payments are not expensed during such period or any previous period and were financed with internally generated funds of Holdings and the Restricted Subsidiaries (other than to the</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80"/>
          </w:cols>
          <w:pgMar w:left="1380" w:top="118" w:right="739" w:bottom="1440" w:gutter="0" w:footer="0" w:header="0"/>
        </w:sectPr>
      </w:pPr>
    </w:p>
    <w:bookmarkStart w:id="193" w:name="page194"/>
    <w:bookmarkEnd w:id="193"/>
    <w:p>
      <w:pPr>
        <w:ind w:left="640"/>
        <w:spacing w:after="0"/>
        <w:rPr>
          <w:sz w:val="20"/>
          <w:szCs w:val="20"/>
          <w:color w:val="auto"/>
        </w:rPr>
      </w:pPr>
      <w:r>
        <w:rPr>
          <w:rFonts w:ascii="Arial" w:cs="Arial" w:eastAsia="Arial" w:hAnsi="Arial"/>
          <w:sz w:val="21"/>
          <w:szCs w:val="21"/>
          <w:color w:val="auto"/>
        </w:rPr>
        <w:t>extent such payments were made using any portion of the Cumulative Excess Cash Flow),</w:t>
      </w:r>
    </w:p>
    <w:p>
      <w:pPr>
        <w:spacing w:after="0" w:line="169" w:lineRule="exact"/>
        <w:rPr>
          <w:sz w:val="20"/>
          <w:szCs w:val="20"/>
          <w:color w:val="auto"/>
        </w:rPr>
      </w:pPr>
    </w:p>
    <w:p>
      <w:pPr>
        <w:jc w:val="both"/>
        <w:ind w:left="640" w:firstLine="639"/>
        <w:spacing w:after="0" w:line="266" w:lineRule="auto"/>
        <w:tabs>
          <w:tab w:leader="none" w:pos="1625" w:val="left"/>
        </w:tabs>
        <w:numPr>
          <w:ilvl w:val="0"/>
          <w:numId w:val="79"/>
        </w:numPr>
        <w:rPr>
          <w:rFonts w:ascii="Arial" w:cs="Arial" w:eastAsia="Arial" w:hAnsi="Arial"/>
          <w:sz w:val="19"/>
          <w:szCs w:val="19"/>
          <w:color w:val="auto"/>
        </w:rPr>
      </w:pPr>
      <w:r>
        <w:rPr>
          <w:rFonts w:ascii="Arial" w:cs="Arial" w:eastAsia="Arial" w:hAnsi="Arial"/>
          <w:sz w:val="19"/>
          <w:szCs w:val="19"/>
          <w:color w:val="auto"/>
        </w:rPr>
        <w:t>without duplication of amounts deducted from Excess Cash Flow in prior periods, the aggregate consideration required to be paid in cash by Holdings or any of the Restricted Subsidiaries pursuant to binding contracts (which may include, among other things, letters of intent or purchase orders) (the “Contract Consideration”) entered into prior to or during such period relating to Permitted Acquisitions, other Investments or capital expenditures (including Capitalized Software Expenses or other purchases of intellectual property but excluding any contracts where the counterparty is Holdings or any of the Restricted Subsidiaries) to be consummated or made during the period of four consecutive fiscal quarters of Holdings following the end of such period, provided that to the extent the aggregate amount of internally generated funds actually utilized to finance such Permitted Acquisitions, Investments or capital expenditures during such period of four consecutive fiscal quarters is less than the Contract Consideration, the amount of such shortfall shall be added to the calculation of Excess Cash Flow at the earliest to occur of the (A) abandonment of such planned expenditure, (B) making of such planned expenditure and (C) end of such period of four consecutive fiscal quarters,</w:t>
      </w:r>
    </w:p>
    <w:p>
      <w:pPr>
        <w:spacing w:after="0" w:line="136" w:lineRule="exact"/>
        <w:rPr>
          <w:rFonts w:ascii="Arial" w:cs="Arial" w:eastAsia="Arial" w:hAnsi="Arial"/>
          <w:sz w:val="19"/>
          <w:szCs w:val="19"/>
          <w:color w:val="auto"/>
        </w:rPr>
      </w:pPr>
    </w:p>
    <w:p>
      <w:pPr>
        <w:ind w:left="640" w:firstLine="639"/>
        <w:spacing w:after="0" w:line="263" w:lineRule="auto"/>
        <w:tabs>
          <w:tab w:leader="none" w:pos="1664"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amount of cash taxes paid in such period to the extent they exceed the amount of tax expense deducted in determining Consolidated Net Income for such period, and</w:t>
      </w:r>
    </w:p>
    <w:p>
      <w:pPr>
        <w:spacing w:after="0" w:line="118" w:lineRule="exact"/>
        <w:rPr>
          <w:rFonts w:ascii="Arial" w:cs="Arial" w:eastAsia="Arial" w:hAnsi="Arial"/>
          <w:sz w:val="21"/>
          <w:szCs w:val="21"/>
          <w:color w:val="auto"/>
        </w:rPr>
      </w:pPr>
    </w:p>
    <w:p>
      <w:pPr>
        <w:ind w:left="1700" w:hanging="421"/>
        <w:spacing w:after="0"/>
        <w:tabs>
          <w:tab w:leader="none" w:pos="17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extraordinary cash losses for such period.</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United States Securities Exchange Act of 1934, as amended from time to time.</w:t>
      </w:r>
    </w:p>
    <w:p>
      <w:pPr>
        <w:spacing w:after="0" w:line="193"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Assets</w:t>
      </w:r>
      <w:r>
        <w:rPr>
          <w:rFonts w:ascii="Arial" w:cs="Arial" w:eastAsia="Arial" w:hAnsi="Arial"/>
          <w:sz w:val="19"/>
          <w:szCs w:val="19"/>
          <w:color w:val="auto"/>
        </w:rPr>
        <w:t>” means (a) any fee-owned real property with a fair market value of less than $5,000,000 and all leasehold interests in real property, (b) motor vehicles and other assets subject to certificates of title or ownership (but only to the extent that a security interest in any such asset cannot be perfected by filing of a financing statement), (c) any commercial tort claims or letter of credit rights having a value of less than $5,000,000 (but only to the extent that a security interest in any such asset cannot be perfected by filing of a financing statement), (d) Equity Interests in any Person (other than the Borrower or any Wholly Owned Restricted Subsidiaries) to the extent not permitted by the terms of such Person’s organizational or joint venture documents, (e) voting Equity Interests constituting an amount greater than 65% of the voting Equity Interests of any Foreign Subsidiary, (f) any lease, license or other agreement with any Person if, to the extent and for so long as the grant of a Lien thereon to secure the Secured Obligations constitutes a breach of or a default under, or creates an enforceable right of termination in favor of any party (other than Holdings or any Restricted Subsidiary) to, such lease, license or other agreement (but only to the extent any of the foregoing is not rendered ineffective by, or is otherwise unenforceable under, the Uniform Commercial Code or any Requirements of Law), (g) any asset subject to a Lien of the type permitted by Section 6.02(iv) (whether or not incurred pursuant to such Section) or a Lien permitted by Section 6.02(xi) or Section 6.02(xx), in each case if,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94" w:name="page195"/>
    <w:bookmarkEnd w:id="194"/>
    <w:p>
      <w:pPr>
        <w:jc w:val="both"/>
        <w:spacing w:after="0" w:line="265" w:lineRule="auto"/>
        <w:rPr>
          <w:sz w:val="20"/>
          <w:szCs w:val="20"/>
          <w:color w:val="auto"/>
        </w:rPr>
      </w:pPr>
      <w:r>
        <w:rPr>
          <w:rFonts w:ascii="Arial" w:cs="Arial" w:eastAsia="Arial" w:hAnsi="Arial"/>
          <w:sz w:val="19"/>
          <w:szCs w:val="19"/>
          <w:color w:val="auto"/>
        </w:rPr>
        <w:t>the extent and for so long as the grant of a Lien thereon to secure the Secured Obligations constitutes a breach of or a default under, or creates a right of termination in favor of any party (other than Holdings or any Restricted Subsidiary) to, any agreement pursuant to which such Lien has been created (but only to the extent any of the foregoing is not rendered ineffective by, or is otherwise unenforceable under, the Uniform Commercial Code or any Requirements of Law), (h) any intent-to-use trademark applications filed in the United States Patent and Trademark Office, (i) any asset with respect to which Holdings with the written consent of the Administrative Agent (not to be unreasonably withheld or delayed) shall have provided to the Administrative Agent a certificate of a Financial Officer to the effect that, based on the advice of outside counsel or tax advisors of national recognition, the grant of a Lien thereon to secure the Secured Obligations would result in adverse tax consequences (including as a result of the operation of Section 956 of the Code or any similar law or regulation in any applicable jurisdiction) to Holdings and its Restricted Subsidiaries (other than on account of any Taxes payable in connection with filings, recordings, registrations, stampings and any similar acts in connection with the creation or perfection of Liens) that shall have been reasonably determined by Holdings to be material to Holdings and its Restricted Subsidiaries and (j) any asset if, to the extent and for so long as the grant of a Lien thereon to secure the Secured Obligations is prohibited by any Requirements of Law (other than to the extent that any such prohibition would be rendered ineffective pursuant to the Uniform Commercial Code or any other applicable Requirements of Law).</w:t>
      </w:r>
    </w:p>
    <w:p>
      <w:pPr>
        <w:spacing w:after="0" w:line="120" w:lineRule="exact"/>
        <w:rPr>
          <w:sz w:val="20"/>
          <w:szCs w:val="20"/>
          <w:color w:val="auto"/>
        </w:rPr>
      </w:pPr>
    </w:p>
    <w:p>
      <w:pPr>
        <w:jc w:val="both"/>
        <w:ind w:firstLine="635"/>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Domestic Subsidiary</w:t>
      </w:r>
      <w:r>
        <w:rPr>
          <w:rFonts w:ascii="Arial" w:cs="Arial" w:eastAsia="Arial" w:hAnsi="Arial"/>
          <w:sz w:val="19"/>
          <w:szCs w:val="19"/>
          <w:color w:val="auto"/>
        </w:rPr>
        <w:t>” means any direct or indirect Domestic Subsidiary of a direct or indirect Foreign Subsidiary of Holdings that is a “controlled foreign corporation” within the meaning of Section 957 of the Code.</w:t>
      </w:r>
    </w:p>
    <w:p>
      <w:pPr>
        <w:spacing w:after="0" w:line="73"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Subsidiary</w:t>
      </w:r>
      <w:r>
        <w:rPr>
          <w:rFonts w:ascii="Arial" w:cs="Arial" w:eastAsia="Arial" w:hAnsi="Arial"/>
          <w:sz w:val="19"/>
          <w:szCs w:val="19"/>
          <w:color w:val="auto"/>
        </w:rPr>
        <w:t>” means (a) any Subsidiary that is not a Wholly Owned Subsidiary of Holdings on the Restatement Effective Date (or, if later, the date it first becomes a Subsidiary), (b) any Subsidiary that is prohibited by any contractual obligation existing on the Restatement Effective Date (or, if later, the date it first becomes a Subsidiary, so long as such prohibition was not incurred in connection with or in contemplation of the acquisition of such Subsidiary), from guaranteeing the Secured Obligations, (c) any Subsidiary that is prohibited by any Requirement of Law from guaranteeing the Secured Obligations or that would require the consent, approval, license or authorization of any Governmental Authority or any Regulatory Supervising Organization to guarantee the Secured Obligations (unless such consent, approval, license or authorization has been received), (d) any Subsidiary to the extent such Subsidiary guaranteeing the Secured Obligations would result in a material adverse tax consequence to the Borrower and its Subsidiaries (including as a result of the operation of Section 956 of the Code or any similar law or regulation in any applicable jurisdiction) as reasonably determined by the Borrower with the consent of the Administrative Agent (such consent not to be unreasonably withheld or delayed) and (e) any other Subsidiary excused from becoming a Loan Party pursuant to the last paragraph of the definition of the term “Collateral and Guarantee Requirement.”</w:t>
      </w:r>
    </w:p>
    <w:p>
      <w:pPr>
        <w:spacing w:after="0" w:line="119" w:lineRule="exact"/>
        <w:rPr>
          <w:sz w:val="20"/>
          <w:szCs w:val="20"/>
          <w:color w:val="auto"/>
        </w:rPr>
      </w:pPr>
    </w:p>
    <w:p>
      <w:pPr>
        <w:jc w:val="both"/>
        <w:ind w:firstLine="635"/>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with respect to the Administrative Agent, any Lender, any Issuing Bank or any other recipient of any payment to be made by or on account of any obligation of any Loan Party hereunder or under any other Loan Document, (a) Taxes imposed on (or measured by) its net income (however denominated) and franchise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95" w:name="page196"/>
    <w:bookmarkEnd w:id="195"/>
    <w:p>
      <w:pPr>
        <w:jc w:val="both"/>
        <w:spacing w:after="0" w:line="266" w:lineRule="auto"/>
        <w:rPr>
          <w:sz w:val="20"/>
          <w:szCs w:val="20"/>
          <w:color w:val="auto"/>
        </w:rPr>
      </w:pPr>
      <w:r>
        <w:rPr>
          <w:rFonts w:ascii="Arial" w:cs="Arial" w:eastAsia="Arial" w:hAnsi="Arial"/>
          <w:sz w:val="19"/>
          <w:szCs w:val="19"/>
          <w:color w:val="auto"/>
        </w:rPr>
        <w:t>Taxes imposed on it (in lieu of net income Taxes) by (i) the United States of America, or the jurisdiction under the laws of which such recipient is organized or in which its principal office is located or, in the case of any Lender, in which its applicable lending office is located, or (ii) any other jurisdiction as a result of a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interest in, engaged in any other transaction pursuant to, or enforced, any Loan Documents), (b) any branch profits Tax imposed by the United States of America or any similar Tax imposed by any other jurisdiction described in clause (a) above, (c) any withholding Tax that is attributable to a Lender’s failure to comply with Section 2.15(e) and (d) except in the case of an assignee pursuant to a request by the Borrower under Section 2.17 hereto, any U.S. federal withholding Taxes (including any deduction or withholding pursuant to FATCA) imposed due to a Requirement of Law in effect at the time a Lender becomes a party hereto (or designates a new lending office), except to the extent that such Lender (or its assignor, if any) was entitled, at the time of designation of a new lending office (or assignment), to receive additional amounts with respect to such withholding Tax under Section 2.15(a).</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Credit Agreement</w:t>
      </w:r>
      <w:r>
        <w:rPr>
          <w:rFonts w:ascii="Arial" w:cs="Arial" w:eastAsia="Arial" w:hAnsi="Arial"/>
          <w:sz w:val="21"/>
          <w:szCs w:val="21"/>
          <w:color w:val="auto"/>
        </w:rPr>
        <w:t>” has the meaning set forth in the preamble hereto.</w:t>
      </w:r>
    </w:p>
    <w:p>
      <w:pPr>
        <w:spacing w:after="0" w:line="182"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Yen Bonds</w:t>
      </w:r>
      <w:r>
        <w:rPr>
          <w:rFonts w:ascii="Arial" w:cs="Arial" w:eastAsia="Arial" w:hAnsi="Arial"/>
          <w:sz w:val="21"/>
          <w:szCs w:val="21"/>
          <w:color w:val="auto"/>
        </w:rPr>
        <w:t>” means the VFH Parent LLC Japanese Yen Bonds issued on July 25, 2016 in the aggregate principal amount of JPY3,500,000,000 in favor of SBI Life Insurance Co., Ltd. and SBI Insurance Col., Ltd., and guaranteed by Virtu Financial LLC.</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Extension Notice</w:t>
      </w:r>
      <w:r>
        <w:rPr>
          <w:rFonts w:ascii="Arial" w:cs="Arial" w:eastAsia="Arial" w:hAnsi="Arial"/>
          <w:sz w:val="20"/>
          <w:szCs w:val="20"/>
          <w:color w:val="auto"/>
        </w:rPr>
        <w:t>” has the meaning assigned to such term in Section 2.19(b). “</w:t>
      </w:r>
      <w:r>
        <w:rPr>
          <w:rFonts w:ascii="Arial" w:cs="Arial" w:eastAsia="Arial" w:hAnsi="Arial"/>
          <w:sz w:val="20"/>
          <w:szCs w:val="20"/>
          <w:b w:val="1"/>
          <w:bCs w:val="1"/>
          <w:color w:val="auto"/>
        </w:rPr>
        <w:t>Facility</w:t>
      </w:r>
      <w:r>
        <w:rPr>
          <w:rFonts w:ascii="Arial" w:cs="Arial" w:eastAsia="Arial" w:hAnsi="Arial"/>
          <w:sz w:val="20"/>
          <w:szCs w:val="20"/>
          <w:color w:val="auto"/>
        </w:rPr>
        <w:t>” means any series of</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Loans.</w:t>
      </w:r>
    </w:p>
    <w:p>
      <w:pPr>
        <w:spacing w:after="0" w:line="145"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 (b)(1) of the Code, as of the date of this Agreement (or any amended or successor version described above).</w:t>
      </w:r>
    </w:p>
    <w:p>
      <w:pPr>
        <w:spacing w:after="0" w:line="126"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Federal Funds Effective Rate</w:t>
      </w:r>
      <w:r>
        <w:rPr>
          <w:rFonts w:ascii="Arial" w:cs="Arial" w:eastAsia="Arial" w:hAnsi="Arial"/>
          <w:sz w:val="21"/>
          <w:szCs w:val="21"/>
          <w:color w:val="auto"/>
        </w:rPr>
        <w:t xml:space="preserve">” means, for any day, the rate calculated by the NYFRB based on such day’s federal funds transactions by depositary institutions, as determined in such manner as the NYFRB shall set forth on its public website from time to time, as published on the next succeeding Business Day by the NYFRB as the federal funds effective rate;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notwithstanding the foregoing, the Federal Funds Effective Rate will be deemed to be 0.00% per annum if the Federal Funds Effective Rate determined pursuant to this definition would otherwise be less than 0.00% per annum.</w:t>
      </w:r>
    </w:p>
    <w:p>
      <w:pPr>
        <w:spacing w:after="0" w:line="134" w:lineRule="exact"/>
        <w:rPr>
          <w:sz w:val="20"/>
          <w:szCs w:val="20"/>
          <w:color w:val="auto"/>
        </w:rPr>
      </w:pPr>
    </w:p>
    <w:p>
      <w:pPr>
        <w:ind w:right="78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Officer</w:t>
      </w:r>
      <w:r>
        <w:rPr>
          <w:rFonts w:ascii="Arial" w:cs="Arial" w:eastAsia="Arial" w:hAnsi="Arial"/>
          <w:sz w:val="21"/>
          <w:szCs w:val="21"/>
          <w:color w:val="auto"/>
        </w:rPr>
        <w:t>” means the chief financial officer, chief operating officer, principal accounting officer, treasurer or controller of Holdings.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96" w:name="page197"/>
    <w:bookmarkEnd w:id="196"/>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Performance Covenants</w:t>
      </w:r>
      <w:r>
        <w:rPr>
          <w:rFonts w:ascii="Arial" w:cs="Arial" w:eastAsia="Arial" w:hAnsi="Arial"/>
          <w:sz w:val="21"/>
          <w:szCs w:val="21"/>
          <w:color w:val="auto"/>
        </w:rPr>
        <w:t>” means the covenants set forth in Sections 6.12 and 6.13.</w:t>
      </w:r>
    </w:p>
    <w:p>
      <w:pPr>
        <w:spacing w:after="0" w:line="169"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Financing Transactions</w:t>
      </w:r>
      <w:r>
        <w:rPr>
          <w:rFonts w:ascii="Arial" w:cs="Arial" w:eastAsia="Arial" w:hAnsi="Arial"/>
          <w:sz w:val="21"/>
          <w:szCs w:val="21"/>
          <w:color w:val="auto"/>
        </w:rPr>
        <w:t>” means the execution, delivery and performance by each Loan Party of the Loan Documents entered into on the Restatement Effective Date to which it is to be a party, the funding of (and conversion to) of Initial Term Loans hereunder and the use of the proceeds thereof.</w:t>
      </w:r>
    </w:p>
    <w:p>
      <w:pPr>
        <w:spacing w:after="0" w:line="136"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First Lien Intercreditor Agreement</w:t>
      </w:r>
      <w:r>
        <w:rPr>
          <w:rFonts w:ascii="Arial" w:cs="Arial" w:eastAsia="Arial" w:hAnsi="Arial"/>
          <w:sz w:val="21"/>
          <w:szCs w:val="21"/>
          <w:color w:val="auto"/>
        </w:rPr>
        <w:t>” means the First Lien Intercreditor Agreement substantially in the form of Exhibit F-1 among the Administrative Agent and one or more Senior Representatives for holders of Permitted First Priority Refinancing Debt, any secured Indebtedness incurred pursuant to Section 6.01(a)(viii) or any secured Additional Notes issued pursuant to Section 6.01(a)(xxii), with such modifications thereto as the Administrative Agent may reasonably agree.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Flow-Through Entity</w:t>
      </w:r>
      <w:r>
        <w:rPr>
          <w:rFonts w:ascii="Arial" w:cs="Arial" w:eastAsia="Arial" w:hAnsi="Arial"/>
          <w:sz w:val="21"/>
          <w:szCs w:val="21"/>
          <w:color w:val="auto"/>
        </w:rPr>
        <w:t>” has the meaning assigned to such term in Section 6.08(a)(vi).</w:t>
      </w:r>
    </w:p>
    <w:p>
      <w:pPr>
        <w:spacing w:after="0" w:line="169"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Foreign Subsidiary</w:t>
      </w:r>
      <w:r>
        <w:rPr>
          <w:rFonts w:ascii="Arial" w:cs="Arial" w:eastAsia="Arial" w:hAnsi="Arial"/>
          <w:sz w:val="21"/>
          <w:szCs w:val="21"/>
          <w:color w:val="auto"/>
        </w:rPr>
        <w:t>” means (a) any Subsidiary that is organized under the laws of a jurisdiction other than the United States of America, any State thereof or the District of Columbia and (b) any Subsidiary organized under the laws of the United States of America, any State thereof or the District of Columbia that is disregarded for U.S. federal income tax purposes if substantially all of its assets consist of the equity interests of one or more direct or indirect Foreign Subsidiaries.</w:t>
      </w:r>
    </w:p>
    <w:p>
      <w:pPr>
        <w:spacing w:after="0" w:line="148" w:lineRule="exact"/>
        <w:rPr>
          <w:sz w:val="20"/>
          <w:szCs w:val="20"/>
          <w:color w:val="auto"/>
        </w:rPr>
      </w:pPr>
    </w:p>
    <w:p>
      <w:pPr>
        <w:jc w:val="both"/>
        <w:ind w:firstLine="635"/>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Former Agent</w:t>
      </w:r>
      <w:r>
        <w:rPr>
          <w:rFonts w:ascii="Arial" w:cs="Arial" w:eastAsia="Arial" w:hAnsi="Arial"/>
          <w:sz w:val="20"/>
          <w:szCs w:val="20"/>
          <w:color w:val="auto"/>
        </w:rPr>
        <w:t>” means Credit Suisse AG, Cayman Islands Branch, in its former capacity as administrative and collateral agent under the Existing Credit Agreement (as defined in the Existing Credit Agreement).</w:t>
      </w:r>
    </w:p>
    <w:p>
      <w:pPr>
        <w:spacing w:after="0" w:line="83"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means generally accepted accounting principles in the United States of America, as in effect from time to time but subject to Section 1.04.</w:t>
      </w:r>
    </w:p>
    <w:p>
      <w:pPr>
        <w:spacing w:after="0" w:line="107" w:lineRule="exact"/>
        <w:rPr>
          <w:sz w:val="20"/>
          <w:szCs w:val="20"/>
          <w:color w:val="auto"/>
        </w:rPr>
      </w:pPr>
    </w:p>
    <w:p>
      <w:pPr>
        <w:jc w:val="both"/>
        <w:ind w:firstLine="635"/>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Approvals</w:t>
      </w:r>
      <w:r>
        <w:rPr>
          <w:rFonts w:ascii="Arial" w:cs="Arial" w:eastAsia="Arial" w:hAnsi="Arial"/>
          <w:sz w:val="20"/>
          <w:szCs w:val="20"/>
          <w:color w:val="auto"/>
        </w:rPr>
        <w:t>” means all authorizations, consents, approvals, permits, licenses and exemptions of, registrations and filings with, and reports to, Governmental Authorities or Regulatory Supervising Organizations.</w:t>
      </w:r>
    </w:p>
    <w:p>
      <w:pPr>
        <w:spacing w:after="0" w:line="96"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35"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Guarantee</w:t>
      </w:r>
      <w:r>
        <w:rPr>
          <w:rFonts w:ascii="Arial" w:cs="Arial" w:eastAsia="Arial" w:hAnsi="Arial"/>
          <w:sz w:val="21"/>
          <w:szCs w:val="21"/>
          <w:color w:val="auto"/>
        </w:rPr>
        <w:t>” of or by any Person (the “</w:t>
      </w:r>
      <w:r>
        <w:rPr>
          <w:rFonts w:ascii="Arial" w:cs="Arial" w:eastAsia="Arial" w:hAnsi="Arial"/>
          <w:sz w:val="21"/>
          <w:szCs w:val="21"/>
          <w:b w:val="1"/>
          <w:bCs w:val="1"/>
          <w:color w:val="auto"/>
        </w:rPr>
        <w:t>guarantor</w:t>
      </w:r>
      <w:r>
        <w:rPr>
          <w:rFonts w:ascii="Arial" w:cs="Arial" w:eastAsia="Arial" w:hAnsi="Arial"/>
          <w:sz w:val="21"/>
          <w:szCs w:val="21"/>
          <w:color w:val="auto"/>
        </w:rPr>
        <w:t>”) means any obligation, contingent or otherwise, of the guarantor guaranteeing or having the economic effect of guaranteeing any Indebtedness of any other Person (the “</w:t>
      </w:r>
      <w:r>
        <w:rPr>
          <w:rFonts w:ascii="Arial" w:cs="Arial" w:eastAsia="Arial" w:hAnsi="Arial"/>
          <w:sz w:val="21"/>
          <w:szCs w:val="21"/>
          <w:b w:val="1"/>
          <w:bCs w:val="1"/>
          <w:color w:val="auto"/>
        </w:rPr>
        <w:t>primary obligor</w:t>
      </w:r>
      <w:r>
        <w:rPr>
          <w:rFonts w:ascii="Arial" w:cs="Arial" w:eastAsia="Arial" w:hAnsi="Arial"/>
          <w:sz w:val="21"/>
          <w:szCs w:val="21"/>
          <w:color w:val="auto"/>
        </w:rPr>
        <w:t>”) in any manner, whether directly or indirectly, and including any obligation of the guarantor, direct or indirect, (a) to purchase or pay (or advance or supply funds for the purchase or payment of) such Indebtedness or to purchase (or to advance or supply funds for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197" w:name="page198"/>
    <w:bookmarkEnd w:id="197"/>
    <w:p>
      <w:pPr>
        <w:jc w:val="both"/>
        <w:spacing w:after="0" w:line="267" w:lineRule="auto"/>
        <w:rPr>
          <w:sz w:val="20"/>
          <w:szCs w:val="20"/>
          <w:color w:val="auto"/>
        </w:rPr>
      </w:pPr>
      <w:r>
        <w:rPr>
          <w:rFonts w:ascii="Arial" w:cs="Arial" w:eastAsia="Arial" w:hAnsi="Arial"/>
          <w:sz w:val="19"/>
          <w:szCs w:val="19"/>
          <w:color w:val="auto"/>
        </w:rPr>
        <w:t xml:space="preserve">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or customary and reasonable indemnity obligations in effect on the Restatement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w:t>
      </w:r>
    </w:p>
    <w:p>
      <w:pPr>
        <w:spacing w:after="0" w:line="11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Guarantee Agreement</w:t>
      </w:r>
      <w:r>
        <w:rPr>
          <w:rFonts w:ascii="Arial" w:cs="Arial" w:eastAsia="Arial" w:hAnsi="Arial"/>
          <w:sz w:val="21"/>
          <w:szCs w:val="21"/>
          <w:color w:val="auto"/>
        </w:rPr>
        <w:t>” means the Master Guarantee Agreement dated as of July 8, 2011 among the Loan Parties and the Administrative Agent (as assignee of the Former Agent).</w:t>
      </w:r>
    </w:p>
    <w:p>
      <w:pPr>
        <w:spacing w:after="0" w:line="120"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Materials</w:t>
      </w:r>
      <w:r>
        <w:rPr>
          <w:rFonts w:ascii="Arial" w:cs="Arial" w:eastAsia="Arial" w:hAnsi="Arial"/>
          <w:sz w:val="20"/>
          <w:szCs w:val="20"/>
          <w:color w:val="auto"/>
        </w:rPr>
        <w:t>” means all explosive, radioactive, hazardous or toxic substances, wastes or other pollutants, including petroleum or petroleum by-products or distillates, asbestos or asbestos-containing materials, polychlorinated biphenyls, radon gas, infectious or medical wastes and all other substances or wastes of any nature regulated as hazardous or toxic, or any other term of similar import, pursuant to any Environmental Law.</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Holdings</w:t>
      </w:r>
      <w:r>
        <w:rPr>
          <w:rFonts w:ascii="Arial" w:cs="Arial" w:eastAsia="Arial" w:hAnsi="Arial"/>
          <w:sz w:val="21"/>
          <w:szCs w:val="21"/>
          <w:color w:val="auto"/>
        </w:rPr>
        <w:t>” has the meaning given to such term in the preliminary statements hereto.</w:t>
      </w:r>
    </w:p>
    <w:p>
      <w:pPr>
        <w:spacing w:after="0" w:line="169"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Holdings LLC Agreement</w:t>
      </w:r>
      <w:r>
        <w:rPr>
          <w:rFonts w:ascii="Arial" w:cs="Arial" w:eastAsia="Arial" w:hAnsi="Arial"/>
          <w:sz w:val="21"/>
          <w:szCs w:val="21"/>
          <w:color w:val="auto"/>
        </w:rPr>
        <w:t>” means the Limited Liability Company Agreement of Holdings pursuant to which the members of Holdings hold limited liability interests of Holdings, together with all exhibits and schedules thereto as in effect on the Restatement Effective Date.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Identified Participating Lenders</w:t>
      </w:r>
      <w:r>
        <w:rPr>
          <w:rFonts w:ascii="Arial" w:cs="Arial" w:eastAsia="Arial" w:hAnsi="Arial"/>
          <w:sz w:val="21"/>
          <w:szCs w:val="21"/>
          <w:color w:val="auto"/>
        </w:rPr>
        <w:t>” has the meaning assigned to such term in Section 2.09(a)(ii)(C).</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Identified Qualifying Lenders</w:t>
      </w:r>
      <w:r>
        <w:rPr>
          <w:rFonts w:ascii="Arial" w:cs="Arial" w:eastAsia="Arial" w:hAnsi="Arial"/>
          <w:sz w:val="21"/>
          <w:szCs w:val="21"/>
          <w:color w:val="auto"/>
        </w:rPr>
        <w:t>” has the meaning specified in Section 2.09(a)(ii)(D).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Immaterial Subsidiary</w:t>
      </w:r>
      <w:r>
        <w:rPr>
          <w:rFonts w:ascii="Arial" w:cs="Arial" w:eastAsia="Arial" w:hAnsi="Arial"/>
          <w:sz w:val="21"/>
          <w:szCs w:val="21"/>
          <w:color w:val="auto"/>
        </w:rPr>
        <w:t>” means any Subsidiary other than a Material Subsidiary.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Impacted Interest Period</w:t>
      </w:r>
      <w:r>
        <w:rPr>
          <w:rFonts w:ascii="Arial" w:cs="Arial" w:eastAsia="Arial" w:hAnsi="Arial"/>
          <w:sz w:val="21"/>
          <w:szCs w:val="21"/>
          <w:color w:val="auto"/>
        </w:rPr>
        <w:t>” has the meaning assigned to such term in the definition of “LIBO Rate.”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Cap</w:t>
      </w:r>
      <w:r>
        <w:rPr>
          <w:rFonts w:ascii="Arial" w:cs="Arial" w:eastAsia="Arial" w:hAnsi="Arial"/>
          <w:sz w:val="21"/>
          <w:szCs w:val="21"/>
          <w:color w:val="auto"/>
        </w:rPr>
        <w:t>” has the meaning assigned to such term in Section 2.18(a)(iii).</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198" w:name="page199"/>
    <w:bookmarkEnd w:id="198"/>
    <w:p>
      <w:pPr>
        <w:ind w:firstLine="635"/>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Commitment</w:t>
      </w:r>
      <w:r>
        <w:rPr>
          <w:rFonts w:ascii="Arial" w:cs="Arial" w:eastAsia="Arial" w:hAnsi="Arial"/>
          <w:sz w:val="21"/>
          <w:szCs w:val="21"/>
          <w:color w:val="auto"/>
        </w:rPr>
        <w:t>” means the commitment of the Additional Revolving Lenders to make loans pursuant to an Incremental Revolving Facility in accordance with Section 2.18.</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Revolving Facility</w:t>
      </w:r>
      <w:r>
        <w:rPr>
          <w:rFonts w:ascii="Arial" w:cs="Arial" w:eastAsia="Arial" w:hAnsi="Arial"/>
          <w:sz w:val="21"/>
          <w:szCs w:val="21"/>
          <w:color w:val="auto"/>
        </w:rPr>
        <w:t>” has the meaning assigned to such term in Section 2.18(a)(i).</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Revolving Facility Amendment</w:t>
      </w:r>
      <w:r>
        <w:rPr>
          <w:rFonts w:ascii="Arial" w:cs="Arial" w:eastAsia="Arial" w:hAnsi="Arial"/>
          <w:sz w:val="20"/>
          <w:szCs w:val="20"/>
          <w:color w:val="auto"/>
        </w:rPr>
        <w:t>” has the meaning assigned to such term in Section 2.18(b).</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Incremental Revolving Facility Closing Date</w:t>
      </w:r>
      <w:r>
        <w:rPr>
          <w:rFonts w:ascii="Arial" w:cs="Arial" w:eastAsia="Arial" w:hAnsi="Arial"/>
          <w:sz w:val="20"/>
          <w:szCs w:val="20"/>
          <w:color w:val="auto"/>
        </w:rPr>
        <w:t>” has the meaning assigned to such term in Section 2.18(b).</w:t>
      </w:r>
    </w:p>
    <w:p>
      <w:pPr>
        <w:spacing w:after="0" w:line="180" w:lineRule="exact"/>
        <w:rPr>
          <w:sz w:val="20"/>
          <w:szCs w:val="20"/>
          <w:color w:val="auto"/>
        </w:rPr>
      </w:pPr>
    </w:p>
    <w:p>
      <w:pPr>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Commitment</w:t>
      </w:r>
      <w:r>
        <w:rPr>
          <w:rFonts w:ascii="Arial" w:cs="Arial" w:eastAsia="Arial" w:hAnsi="Arial"/>
          <w:sz w:val="21"/>
          <w:szCs w:val="21"/>
          <w:color w:val="auto"/>
        </w:rPr>
        <w:t>” means the commitment of the Additional Term Lenders to make Incremental Term Loans pursuant to Section 2.18.</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Facility</w:t>
      </w:r>
      <w:r>
        <w:rPr>
          <w:rFonts w:ascii="Arial" w:cs="Arial" w:eastAsia="Arial" w:hAnsi="Arial"/>
          <w:sz w:val="21"/>
          <w:szCs w:val="21"/>
          <w:color w:val="auto"/>
        </w:rPr>
        <w:t>” has the meaning assigned to such term in Section 2.18(ii).</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Facility Amendment</w:t>
      </w:r>
      <w:r>
        <w:rPr>
          <w:rFonts w:ascii="Arial" w:cs="Arial" w:eastAsia="Arial" w:hAnsi="Arial"/>
          <w:sz w:val="21"/>
          <w:szCs w:val="21"/>
          <w:color w:val="auto"/>
        </w:rPr>
        <w:t>” has the meaning assigned to such term in Section 2.18(b).</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Facility Closing Date</w:t>
      </w:r>
      <w:r>
        <w:rPr>
          <w:rFonts w:ascii="Arial" w:cs="Arial" w:eastAsia="Arial" w:hAnsi="Arial"/>
          <w:sz w:val="21"/>
          <w:szCs w:val="21"/>
          <w:color w:val="auto"/>
        </w:rPr>
        <w:t>” has the meaning assigned to such term in Section 2.18(b).</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Incremental Term Loans</w:t>
      </w:r>
      <w:r>
        <w:rPr>
          <w:rFonts w:ascii="Arial" w:cs="Arial" w:eastAsia="Arial" w:hAnsi="Arial"/>
          <w:sz w:val="21"/>
          <w:szCs w:val="21"/>
          <w:color w:val="auto"/>
        </w:rPr>
        <w:t>” means term loans established pursuant to Section 2.18(b).</w:t>
      </w:r>
    </w:p>
    <w:p>
      <w:pPr>
        <w:spacing w:after="0" w:line="169"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Indebtedness</w:t>
      </w:r>
      <w:r>
        <w:rPr>
          <w:rFonts w:ascii="Arial" w:cs="Arial" w:eastAsia="Arial" w:hAnsi="Arial"/>
          <w:sz w:val="19"/>
          <w:szCs w:val="19"/>
          <w:color w:val="auto"/>
        </w:rPr>
        <w:t xml:space="preserve">”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trade accounts payable in the ordinary course of business and any earn-out obligation until such obligation becomes a liability on the balance sheet of such Person in accordance with GAAP),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term “Indebtedness” shall not include (x) deferred or prepaid revenue and (y) purchase price holdbacks</w:t>
      </w:r>
      <w:r>
        <w:rPr>
          <w:rFonts w:ascii="Arial" w:cs="Arial" w:eastAsia="Arial" w:hAnsi="Arial"/>
          <w:sz w:val="19"/>
          <w:szCs w:val="19"/>
          <w:i w:val="1"/>
          <w:iCs w:val="1"/>
          <w:color w:val="auto"/>
        </w:rPr>
        <w:t xml:space="preserve"> </w:t>
      </w:r>
      <w:r>
        <w:rPr>
          <w:rFonts w:ascii="Arial" w:cs="Arial" w:eastAsia="Arial" w:hAnsi="Arial"/>
          <w:sz w:val="19"/>
          <w:szCs w:val="19"/>
          <w:color w:val="auto"/>
        </w:rPr>
        <w:t>in respect of a portion of the purchase price of an asset to satisfy warranty or other unperformed obligations of the seller. The Indebtedness of any Person shall include the Indebtedness of any other entity (including any partnership in which such Person is a general partner) to the extent such Person is liable therefor as a result of such Person’s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199" w:name="page200"/>
    <w:bookmarkEnd w:id="199"/>
    <w:p>
      <w:pPr>
        <w:jc w:val="both"/>
        <w:spacing w:after="0" w:line="243" w:lineRule="auto"/>
        <w:rPr>
          <w:sz w:val="20"/>
          <w:szCs w:val="20"/>
          <w:color w:val="auto"/>
        </w:rPr>
      </w:pPr>
      <w:r>
        <w:rPr>
          <w:rFonts w:ascii="Arial" w:cs="Arial" w:eastAsia="Arial" w:hAnsi="Arial"/>
          <w:sz w:val="21"/>
          <w:szCs w:val="21"/>
          <w:color w:val="auto"/>
        </w:rPr>
        <w:t>ownership interest in or other relationship with such entity, except to the extent the terms of such Indebtedness provide that such Person is not liable therefor. The amount of Indebtedness of any Person for purposes of clause (e) above shall (unless such Indebtedness has been assumed by such Person) be deemed to be equal to the lesser of (A) the aggregate unpaid amount of such Indebtedness and (B) the fair market value of the property encumbered thereby as determined by such Person in good faith.</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Taxes</w:t>
      </w:r>
      <w:r>
        <w:rPr>
          <w:rFonts w:ascii="Arial" w:cs="Arial" w:eastAsia="Arial" w:hAnsi="Arial"/>
          <w:sz w:val="21"/>
          <w:szCs w:val="21"/>
          <w:color w:val="auto"/>
        </w:rPr>
        <w:t>” means Taxes other than Excluded Taxes.</w:t>
      </w:r>
    </w:p>
    <w:p>
      <w:pPr>
        <w:spacing w:after="0" w:line="18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Indemnitee</w:t>
      </w:r>
      <w:r>
        <w:rPr>
          <w:rFonts w:ascii="Arial" w:cs="Arial" w:eastAsia="Arial" w:hAnsi="Arial"/>
          <w:sz w:val="21"/>
          <w:szCs w:val="21"/>
          <w:color w:val="auto"/>
        </w:rPr>
        <w:t>” has the meaning assigned to such term in Section 9.03(b). “</w:t>
      </w:r>
      <w:r>
        <w:rPr>
          <w:rFonts w:ascii="Arial" w:cs="Arial" w:eastAsia="Arial" w:hAnsi="Arial"/>
          <w:sz w:val="21"/>
          <w:szCs w:val="21"/>
          <w:b w:val="1"/>
          <w:bCs w:val="1"/>
          <w:color w:val="auto"/>
        </w:rPr>
        <w:t>Information</w:t>
      </w:r>
      <w:r>
        <w:rPr>
          <w:rFonts w:ascii="Arial" w:cs="Arial" w:eastAsia="Arial" w:hAnsi="Arial"/>
          <w:sz w:val="21"/>
          <w:szCs w:val="21"/>
          <w:color w:val="auto"/>
        </w:rPr>
        <w:t>” has the meaning assigned to such term in 9.12.</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Information Materials</w:t>
      </w:r>
      <w:r>
        <w:rPr>
          <w:rFonts w:ascii="Arial" w:cs="Arial" w:eastAsia="Arial" w:hAnsi="Arial"/>
          <w:sz w:val="21"/>
          <w:szCs w:val="21"/>
          <w:color w:val="auto"/>
        </w:rPr>
        <w:t>” means the presentation to the Lenders dated May 2017.</w:t>
      </w:r>
    </w:p>
    <w:p>
      <w:pPr>
        <w:spacing w:after="0" w:line="169" w:lineRule="exact"/>
        <w:rPr>
          <w:sz w:val="20"/>
          <w:szCs w:val="20"/>
          <w:color w:val="auto"/>
        </w:rPr>
      </w:pPr>
    </w:p>
    <w:p>
      <w:pPr>
        <w:jc w:val="both"/>
        <w:ind w:right="20" w:firstLine="698"/>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Initial Term Loan</w:t>
      </w:r>
      <w:r>
        <w:rPr>
          <w:rFonts w:ascii="Arial" w:cs="Arial" w:eastAsia="Arial" w:hAnsi="Arial"/>
          <w:sz w:val="21"/>
          <w:szCs w:val="21"/>
          <w:color w:val="auto"/>
        </w:rPr>
        <w:t xml:space="preserve">” means a Loan made by a Lender </w:t>
      </w:r>
      <w:r>
        <w:rPr>
          <w:rFonts w:ascii="Arial" w:cs="Arial" w:eastAsia="Arial" w:hAnsi="Arial"/>
          <w:sz w:val="21"/>
          <w:szCs w:val="21"/>
          <w:color w:val="FF0000"/>
          <w:strike w:val="1"/>
        </w:rPr>
        <w:t>pursuant to Section 2.0 1(a) or (b)</w:t>
      </w:r>
      <w:r>
        <w:rPr>
          <w:rFonts w:ascii="Arial" w:cs="Arial" w:eastAsia="Arial" w:hAnsi="Arial"/>
          <w:sz w:val="21"/>
          <w:szCs w:val="21"/>
          <w:u w:val="single" w:color="auto"/>
          <w:color w:val="0000FF"/>
        </w:rPr>
        <w:t>on the Restatement</w:t>
      </w:r>
      <w:r>
        <w:rPr>
          <w:rFonts w:ascii="Arial" w:cs="Arial" w:eastAsia="Arial" w:hAnsi="Arial"/>
          <w:sz w:val="21"/>
          <w:szCs w:val="21"/>
          <w:color w:val="auto"/>
        </w:rPr>
        <w:t xml:space="preserve"> </w:t>
      </w:r>
      <w:r>
        <w:rPr>
          <w:rFonts w:ascii="Arial" w:cs="Arial" w:eastAsia="Arial" w:hAnsi="Arial"/>
          <w:sz w:val="21"/>
          <w:szCs w:val="21"/>
          <w:u w:val="single" w:color="auto"/>
          <w:color w:val="0000FF"/>
        </w:rPr>
        <w:t>Effective Date,</w:t>
      </w:r>
      <w:r>
        <w:rPr>
          <w:rFonts w:ascii="Arial" w:cs="Arial" w:eastAsia="Arial" w:hAnsi="Arial"/>
          <w:sz w:val="21"/>
          <w:szCs w:val="21"/>
          <w:color w:val="0000FF"/>
        </w:rPr>
        <w:t xml:space="preserve"> </w:t>
      </w:r>
      <w:r>
        <w:rPr>
          <w:rFonts w:ascii="Arial" w:cs="Arial" w:eastAsia="Arial" w:hAnsi="Arial"/>
          <w:sz w:val="21"/>
          <w:szCs w:val="21"/>
          <w:color w:val="000000"/>
        </w:rPr>
        <w:t>including, for the avoidance of doubt, a Converting Term Loan converted to an Initial Term Loan</w:t>
      </w:r>
      <w:r>
        <w:rPr>
          <w:rFonts w:ascii="Arial" w:cs="Arial" w:eastAsia="Arial" w:hAnsi="Arial"/>
          <w:sz w:val="21"/>
          <w:szCs w:val="21"/>
          <w:color w:val="0000FF"/>
        </w:rPr>
        <w:t xml:space="preserve"> on the </w:t>
      </w:r>
      <w:r>
        <w:rPr>
          <w:rFonts w:ascii="Arial" w:cs="Arial" w:eastAsia="Arial" w:hAnsi="Arial"/>
          <w:sz w:val="21"/>
          <w:szCs w:val="21"/>
          <w:u w:val="single" w:color="auto"/>
          <w:color w:val="0000FF"/>
        </w:rPr>
        <w:t>Restatement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6229985</wp:posOffset>
            </wp:positionH>
            <wp:positionV relativeFrom="paragraph">
              <wp:posOffset>-172720</wp:posOffset>
            </wp:positionV>
            <wp:extent cx="37782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377825" cy="25400"/>
                    </a:xfrm>
                    <a:prstGeom prst="rect">
                      <a:avLst/>
                    </a:prstGeom>
                    <a:noFill/>
                  </pic:spPr>
                </pic:pic>
              </a:graphicData>
            </a:graphic>
          </wp:anchor>
        </w:drawing>
      </w:r>
    </w:p>
    <w:p>
      <w:pPr>
        <w:spacing w:after="0" w:line="116"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Insolvent</w:t>
      </w:r>
      <w:r>
        <w:rPr>
          <w:rFonts w:ascii="Arial" w:cs="Arial" w:eastAsia="Arial" w:hAnsi="Arial"/>
          <w:sz w:val="19"/>
          <w:szCs w:val="19"/>
          <w:color w:val="auto"/>
        </w:rPr>
        <w:t>” means, with respect to any Person, that (i) the fair value of assets is less than the amount that will be required to pay the total liability on existing debts as they become absolute and matured, (ii) the present fair saleable value of assets is less than the amount that will be required to pay the probable liability on existing debts as they become absolute and matured, (iii) it is unable to pay its debts or other obligations as they generally become due, (iv) it ceases to pay its current obligations in the ordinary course of business as they generally become absolute and matured, or (v) its aggregate property is not, at a fair valuation, sufficient, or if disposed of at a fairly conducted sale under legal process, would not be, sufficient to enable payment of all obligations, due and accruing due. The term “debts” as used in this definition includes any legal liability, whether matured or unmatured, liquidated or unliquidated, absolute, fixed or contingent and “values of assets” shall mean the amount of which the assets (both tangible and intangible) in their entirety would change hands between a willing buyer and a willing seller, with a commercially reasonable period of time, each having reasonable knowledge of the relevant facts, with neither being under compulsion to act.</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Intellectual Property</w:t>
      </w:r>
      <w:r>
        <w:rPr>
          <w:rFonts w:ascii="Arial" w:cs="Arial" w:eastAsia="Arial" w:hAnsi="Arial"/>
          <w:sz w:val="21"/>
          <w:szCs w:val="21"/>
          <w:color w:val="auto"/>
        </w:rPr>
        <w:t>” has the meaning assigned to such term in the Collateral Agreement.</w:t>
      </w:r>
    </w:p>
    <w:p>
      <w:pPr>
        <w:spacing w:after="0" w:line="16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Coverage Ratio</w:t>
      </w:r>
      <w:r>
        <w:rPr>
          <w:rFonts w:ascii="Arial" w:cs="Arial" w:eastAsia="Arial" w:hAnsi="Arial"/>
          <w:sz w:val="21"/>
          <w:szCs w:val="21"/>
          <w:color w:val="auto"/>
        </w:rPr>
        <w:t>” means, the ratio of (a) Consolidated EBITDA for any Test Period to (b) Consolidated Interest Expense for such Test Period.</w:t>
      </w:r>
    </w:p>
    <w:p>
      <w:pPr>
        <w:spacing w:after="0" w:line="120"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Election Request</w:t>
      </w:r>
      <w:r>
        <w:rPr>
          <w:rFonts w:ascii="Arial" w:cs="Arial" w:eastAsia="Arial" w:hAnsi="Arial"/>
          <w:sz w:val="21"/>
          <w:szCs w:val="21"/>
          <w:color w:val="auto"/>
        </w:rPr>
        <w:t>” means a request by the Borrower to convert or continue a borrowing under an Incremental Revolving Facility, a Revolving Borrowing or a Term Borrowing in accordance with Section 2.05.</w:t>
      </w:r>
    </w:p>
    <w:p>
      <w:pPr>
        <w:spacing w:after="0" w:line="107"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Interest Payment Date</w:t>
      </w:r>
      <w:r>
        <w:rPr>
          <w:rFonts w:ascii="Arial" w:cs="Arial" w:eastAsia="Arial" w:hAnsi="Arial"/>
          <w:sz w:val="21"/>
          <w:szCs w:val="21"/>
          <w:color w:val="auto"/>
        </w:rPr>
        <w:t>” means (a) with respect to any ABR Loan, the last Business Day of each March, June, September and December and (b) with respect to 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0" w:name="page201"/>
    <w:bookmarkEnd w:id="200"/>
    <w:p>
      <w:pPr>
        <w:jc w:val="both"/>
        <w:spacing w:after="0" w:line="258" w:lineRule="auto"/>
        <w:rPr>
          <w:sz w:val="20"/>
          <w:szCs w:val="20"/>
          <w:color w:val="auto"/>
        </w:rPr>
      </w:pPr>
      <w:r>
        <w:rPr>
          <w:rFonts w:ascii="Arial" w:cs="Arial" w:eastAsia="Arial" w:hAnsi="Arial"/>
          <w:sz w:val="20"/>
          <w:szCs w:val="20"/>
          <w:color w:val="auto"/>
        </w:rPr>
        <w:t>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r>
        <w:rPr>
          <w:rFonts w:ascii="Arial" w:cs="Arial" w:eastAsia="Arial" w:hAnsi="Arial"/>
          <w:sz w:val="20"/>
          <w:szCs w:val="20"/>
          <w:color w:val="FF0000"/>
          <w:strike w:val="1"/>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 xml:space="preserve">provided </w:t>
      </w:r>
      <w:r>
        <w:rPr>
          <w:rFonts w:ascii="Arial" w:cs="Arial" w:eastAsia="Arial" w:hAnsi="Arial"/>
          <w:sz w:val="20"/>
          <w:szCs w:val="20"/>
          <w:u w:val="single" w:color="auto"/>
          <w:color w:val="0000FF"/>
        </w:rPr>
        <w:t>that the Amendment No. 1 Effective Date shall be an Interest Payment Date with respect to all New Term Loans</w:t>
      </w:r>
      <w:r>
        <w:rPr>
          <w:rFonts w:ascii="Arial" w:cs="Arial" w:eastAsia="Arial" w:hAnsi="Arial"/>
          <w:sz w:val="20"/>
          <w:szCs w:val="20"/>
          <w:i w:val="1"/>
          <w:iCs w:val="1"/>
          <w:u w:val="single" w:color="auto"/>
          <w:color w:val="0000FF"/>
        </w:rPr>
        <w:t xml:space="preserve"> </w:t>
      </w:r>
      <w:r>
        <w:rPr>
          <w:rFonts w:ascii="Arial" w:cs="Arial" w:eastAsia="Arial" w:hAnsi="Arial"/>
          <w:sz w:val="20"/>
          <w:szCs w:val="20"/>
          <w:u w:val="single" w:color="auto"/>
          <w:color w:val="0000FF"/>
        </w:rPr>
        <w:t>outstanding on such date immediately prior to the Amendment No. 1 Effective Date.</w:t>
      </w:r>
    </w:p>
    <w:p>
      <w:pPr>
        <w:spacing w:after="0" w:line="121"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Period</w:t>
      </w:r>
      <w:r>
        <w:rPr>
          <w:rFonts w:ascii="Arial" w:cs="Arial" w:eastAsia="Arial" w:hAnsi="Arial"/>
          <w:sz w:val="20"/>
          <w:szCs w:val="20"/>
          <w:color w:val="auto"/>
        </w:rPr>
        <w:t xml:space="preserve">” means, with respect to any Eurodollar Borrowing, the period commencing on the date such Borrowing is disbursed or converted to or continued as a Eurodollar Borrowing and ending on the date that is one, two, three or six months thereafter as selected by the Borrower in its Borrowing Request (or, </w:t>
      </w:r>
      <w:r>
        <w:rPr>
          <w:rFonts w:ascii="Arial" w:cs="Arial" w:eastAsia="Arial" w:hAnsi="Arial"/>
          <w:sz w:val="20"/>
          <w:szCs w:val="20"/>
          <w:color w:val="FF0000"/>
          <w:strike w:val="1"/>
        </w:rPr>
        <w:t>if</w:t>
      </w:r>
      <w:r>
        <w:rPr>
          <w:rFonts w:ascii="Arial" w:cs="Arial" w:eastAsia="Arial" w:hAnsi="Arial"/>
          <w:sz w:val="20"/>
          <w:szCs w:val="20"/>
          <w:u w:val="single" w:color="auto"/>
          <w:color w:val="0000FF"/>
        </w:rPr>
        <w:t>to the extent set forth in Section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2.01(b) or otherwise</w:t>
      </w:r>
      <w:r>
        <w:rPr>
          <w:rFonts w:ascii="Arial" w:cs="Arial" w:eastAsia="Arial" w:hAnsi="Arial"/>
          <w:sz w:val="20"/>
          <w:szCs w:val="20"/>
          <w:color w:val="0000FF"/>
        </w:rPr>
        <w:t xml:space="preserve"> </w:t>
      </w:r>
      <w:r>
        <w:rPr>
          <w:rFonts w:ascii="Arial" w:cs="Arial" w:eastAsia="Arial" w:hAnsi="Arial"/>
          <w:sz w:val="20"/>
          <w:szCs w:val="20"/>
          <w:color w:val="000000"/>
        </w:rPr>
        <w:t>agreed to by each Lender participating therein, twelve months or such other period less than one</w:t>
      </w:r>
      <w:r>
        <w:rPr>
          <w:rFonts w:ascii="Arial" w:cs="Arial" w:eastAsia="Arial" w:hAnsi="Arial"/>
          <w:sz w:val="20"/>
          <w:szCs w:val="20"/>
          <w:color w:val="0000FF"/>
        </w:rPr>
        <w:t xml:space="preserve"> </w:t>
      </w:r>
      <w:r>
        <w:rPr>
          <w:rFonts w:ascii="Arial" w:cs="Arial" w:eastAsia="Arial" w:hAnsi="Arial"/>
          <w:sz w:val="20"/>
          <w:szCs w:val="20"/>
          <w:color w:val="000000"/>
        </w:rPr>
        <w:t xml:space="preserve">month thereafter as the Borrower may elect);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and (c) no Interest Period shall extend beyond (i) in the case of </w:t>
      </w:r>
      <w:r>
        <w:rPr>
          <w:rFonts w:ascii="Arial" w:cs="Arial" w:eastAsia="Arial" w:hAnsi="Arial"/>
          <w:sz w:val="20"/>
          <w:szCs w:val="20"/>
          <w:color w:val="FF0000"/>
          <w:strike w:val="1"/>
        </w:rPr>
        <w:t>New</w:t>
      </w:r>
      <w:r>
        <w:rPr>
          <w:rFonts w:ascii="Arial" w:cs="Arial" w:eastAsia="Arial" w:hAnsi="Arial"/>
          <w:sz w:val="20"/>
          <w:szCs w:val="20"/>
          <w:color w:val="000000"/>
        </w:rPr>
        <w:t xml:space="preserve"> Term </w:t>
      </w:r>
      <w:r>
        <w:rPr>
          <w:rFonts w:ascii="Arial" w:cs="Arial" w:eastAsia="Arial" w:hAnsi="Arial"/>
          <w:sz w:val="20"/>
          <w:szCs w:val="20"/>
          <w:color w:val="0000FF"/>
        </w:rPr>
        <w:t>B-1</w:t>
      </w:r>
      <w:r>
        <w:rPr>
          <w:rFonts w:ascii="Arial" w:cs="Arial" w:eastAsia="Arial" w:hAnsi="Arial"/>
          <w:sz w:val="20"/>
          <w:szCs w:val="20"/>
          <w:color w:val="000000"/>
        </w:rPr>
        <w:t xml:space="preserve"> Loans, the Term Maturity Date, and (ii) in the case of Revolving Loans, the Revolving Maturity Date (or other applicable maturity date). For purposes hereof, the date of a Borrowing 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4759960</wp:posOffset>
            </wp:positionH>
            <wp:positionV relativeFrom="paragraph">
              <wp:posOffset>-1683385</wp:posOffset>
            </wp:positionV>
            <wp:extent cx="3365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33655" cy="2540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-473710</wp:posOffset>
            </wp:positionV>
            <wp:extent cx="24384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243840" cy="25400"/>
                    </a:xfrm>
                    <a:prstGeom prst="rect">
                      <a:avLst/>
                    </a:prstGeom>
                    <a:noFill/>
                  </pic:spPr>
                </pic:pic>
              </a:graphicData>
            </a:graphic>
          </wp:anchor>
        </w:drawing>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Intermediate Parent</w:t>
      </w:r>
      <w:r>
        <w:rPr>
          <w:rFonts w:ascii="Arial" w:cs="Arial" w:eastAsia="Arial" w:hAnsi="Arial"/>
          <w:sz w:val="21"/>
          <w:szCs w:val="21"/>
          <w:color w:val="auto"/>
        </w:rPr>
        <w:t>” means any Subsidiary of Holdings and of which the Borrower is a Subsidiary.</w:t>
      </w:r>
    </w:p>
    <w:p>
      <w:pPr>
        <w:spacing w:after="0" w:line="169"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Interpolated Rate</w:t>
      </w:r>
      <w:r>
        <w:rPr>
          <w:rFonts w:ascii="Arial" w:cs="Arial" w:eastAsia="Arial" w:hAnsi="Arial"/>
          <w:sz w:val="20"/>
          <w:szCs w:val="20"/>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w:t>
      </w:r>
    </w:p>
    <w:p>
      <w:pPr>
        <w:spacing w:after="0" w:line="123"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Investment</w:t>
      </w:r>
      <w:r>
        <w:rPr>
          <w:rFonts w:ascii="Arial" w:cs="Arial" w:eastAsia="Arial" w:hAnsi="Arial"/>
          <w:sz w:val="21"/>
          <w:szCs w:val="21"/>
          <w:color w:val="auto"/>
        </w:rPr>
        <w:t>” means, as to any Person, any direct or indirect acquisition or investment by such Person, whether by means of (a) the purchase or other acquisition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The amount, as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1" w:name="page202"/>
    <w:bookmarkEnd w:id="201"/>
    <w:p>
      <w:pPr>
        <w:jc w:val="both"/>
        <w:spacing w:after="0" w:line="263" w:lineRule="auto"/>
        <w:rPr>
          <w:sz w:val="20"/>
          <w:szCs w:val="20"/>
          <w:color w:val="auto"/>
        </w:rPr>
      </w:pPr>
      <w:r>
        <w:rPr>
          <w:rFonts w:ascii="Arial" w:cs="Arial" w:eastAsia="Arial" w:hAnsi="Arial"/>
          <w:sz w:val="19"/>
          <w:szCs w:val="19"/>
          <w:color w:val="auto"/>
        </w:rPr>
        <w:t xml:space="preserve">of any date of determination, of (a) any Investment in the form of a loan or an advance shall be the principal amount thereof outstanding on such date, minus any cash payments actually received by such investor representing interest in respect of such Investment (to the extent any such payment to be deducted does not exceed the remaining principal amount of such Investment), but without any adjustment for write-downs or write-offs (including as a result of forgiveness of any portion thereof) with respect to such loan or advance after the date thereof, (b)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(c) any Investment in the form of a transfer of Equity Interests or other non-cash property by the investor to the investee, including any such transfer in the form of a capital contribution, shall be the fair market value (as determined in good faith by a Financial Officer) of such Equity Interests or other property as of the time of the transfer, </w:t>
      </w:r>
      <w:r>
        <w:rPr>
          <w:rFonts w:ascii="Arial" w:cs="Arial" w:eastAsia="Arial" w:hAnsi="Arial"/>
          <w:sz w:val="19"/>
          <w:szCs w:val="19"/>
          <w:i w:val="1"/>
          <w:iCs w:val="1"/>
          <w:color w:val="auto"/>
        </w:rPr>
        <w:t>minus</w:t>
      </w:r>
      <w:r>
        <w:rPr>
          <w:rFonts w:ascii="Arial" w:cs="Arial" w:eastAsia="Arial" w:hAnsi="Arial"/>
          <w:sz w:val="19"/>
          <w:szCs w:val="19"/>
          <w:color w:val="auto"/>
        </w:rPr>
        <w:t xml:space="preserve"> any payments actually received by such investor representing a return of capital of, or dividends or other distributions in respect of, such Investment (to the extent such payments do not exceed, in the aggregate, the original amount of such Investment), but without any other adjustment for increases or decreases in value of, or write-ups, write-downs or write-offs with respect to, such Investment after the date of such Investment, and</w:t>
      </w:r>
    </w:p>
    <w:p>
      <w:pPr>
        <w:jc w:val="both"/>
        <w:ind w:firstLine="9"/>
        <w:spacing w:after="0" w:line="264" w:lineRule="auto"/>
        <w:tabs>
          <w:tab w:leader="none" w:pos="319"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any Investment (other than any Investment referred to in clause (a), (b) or (c) above) by the specified Person in the form of a purchase or other acquisition for value of any Equity Interests, evidences of Indebtedness or other securities of any other Person shall be the original cost of such Investment (including any Indebtedness assumed in connection therewith), </w:t>
      </w:r>
      <w:r>
        <w:rPr>
          <w:rFonts w:ascii="Arial" w:cs="Arial" w:eastAsia="Arial" w:hAnsi="Arial"/>
          <w:sz w:val="19"/>
          <w:szCs w:val="19"/>
          <w:i w:val="1"/>
          <w:iCs w:val="1"/>
          <w:color w:val="auto"/>
        </w:rPr>
        <w:t>plus</w:t>
      </w:r>
      <w:r>
        <w:rPr>
          <w:rFonts w:ascii="Arial" w:cs="Arial" w:eastAsia="Arial" w:hAnsi="Arial"/>
          <w:sz w:val="19"/>
          <w:szCs w:val="19"/>
          <w:color w:val="auto"/>
        </w:rPr>
        <w:t xml:space="preserve"> (i) the cost of all additions thereto and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the amount of any portion of such Investment that has been repaid to the investor in cash as a repayment of principal or a return of capital, and of any cash payments actually received by such investor representing interest, dividends or other distributions in respect of such Investment (to the extent the amounts referred to in clause (ii) do not, in the aggregate, exceed the original cost of such Investment plus the costs of additions thereto),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pending the final determination of the amounts to be so allocated in accordance with GAAP, such allocation shall be as reasonably determined by a Financial Officer.</w:t>
      </w:r>
    </w:p>
    <w:p>
      <w:pPr>
        <w:spacing w:after="0" w:line="121" w:lineRule="exact"/>
        <w:rPr>
          <w:sz w:val="20"/>
          <w:szCs w:val="20"/>
          <w:color w:val="auto"/>
        </w:rPr>
      </w:pPr>
    </w:p>
    <w:p>
      <w:pPr>
        <w:jc w:val="both"/>
        <w:ind w:firstLine="635"/>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Issuing Bank</w:t>
      </w:r>
      <w:r>
        <w:rPr>
          <w:rFonts w:ascii="Arial" w:cs="Arial" w:eastAsia="Arial" w:hAnsi="Arial"/>
          <w:sz w:val="19"/>
          <w:szCs w:val="19"/>
          <w:color w:val="auto"/>
        </w:rPr>
        <w:t>” means each of (a) JPMorgan Chase Bank, N.A. and (b) each Revolving Lender that shall have become an Issuing Bank hereunder as provided in Section 2.22(i) (other than any Person that shall have ceased to be an Issuing Bank as provided in Section 2.22(j)), in each case in its capacity as an issuer of Letters of Credit hereunder. Each reference herein to the “Issuing Bank” shall be deemed to be a reference to the relevant Issuing Bank.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2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Junior Financing</w:t>
      </w:r>
      <w:r>
        <w:rPr>
          <w:rFonts w:ascii="Arial" w:cs="Arial" w:eastAsia="Arial" w:hAnsi="Arial"/>
          <w:sz w:val="21"/>
          <w:szCs w:val="21"/>
          <w:color w:val="auto"/>
        </w:rPr>
        <w:t>” means the Second Lien Notes, any Subordinated Indebtedness and any Permitted Refinancing in respect of any of the foregoing owing by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2" w:name="page203"/>
    <w:bookmarkEnd w:id="202"/>
    <w:p>
      <w:pPr>
        <w:spacing w:after="0"/>
        <w:rPr>
          <w:sz w:val="20"/>
          <w:szCs w:val="20"/>
          <w:color w:val="auto"/>
        </w:rPr>
      </w:pPr>
      <w:r>
        <w:rPr>
          <w:rFonts w:ascii="Arial" w:cs="Arial" w:eastAsia="Arial" w:hAnsi="Arial"/>
          <w:sz w:val="19"/>
          <w:szCs w:val="19"/>
          <w:color w:val="auto"/>
        </w:rPr>
        <w:t>Holdings or a Restricted Subsidiary (other than intercompany Indebtedness owing to Holdings or a Restricted Subsidiary).</w:t>
      </w:r>
    </w:p>
    <w:p>
      <w:pPr>
        <w:spacing w:after="0" w:line="186"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Junior Lien Intercreditor Agreement</w:t>
      </w:r>
      <w:r>
        <w:rPr>
          <w:rFonts w:ascii="Arial" w:cs="Arial" w:eastAsia="Arial" w:hAnsi="Arial"/>
          <w:sz w:val="21"/>
          <w:szCs w:val="21"/>
          <w:color w:val="auto"/>
        </w:rPr>
        <w:t>” means the Junior Lien Intercreditor Agreement substantially in the form of Exhibit F-2 among the Administrative Agent and one or more Senior Representatives for holders of Second Lien Notes, Permitted Junior Lien Refinancing Debt, any junior Lien secured Indebtedness incurred pursuant to Section 6.01(a)(viii) or any junior Lien secured Additional Notes issued pursuant to Section 6.01(a)(xxii), with such modifications thereto as the Administrative Agent may reasonably agree.</w:t>
      </w:r>
    </w:p>
    <w:p>
      <w:pPr>
        <w:spacing w:after="0" w:line="148" w:lineRule="exact"/>
        <w:rPr>
          <w:sz w:val="20"/>
          <w:szCs w:val="20"/>
          <w:color w:val="auto"/>
        </w:rPr>
      </w:pPr>
    </w:p>
    <w:p>
      <w:pPr>
        <w:jc w:val="both"/>
        <w:ind w:right="20"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KCG</w:t>
      </w:r>
      <w:r>
        <w:rPr>
          <w:rFonts w:ascii="Arial" w:cs="Arial" w:eastAsia="Arial" w:hAnsi="Arial"/>
          <w:sz w:val="21"/>
          <w:szCs w:val="21"/>
          <w:color w:val="auto"/>
        </w:rPr>
        <w:t>” means (a) KCG Holdings, Inc., a Delaware corporation, and (b) following the merger contemplated by Merger and Contribution pursuant to which KCG shall be the surviving Person, and its conversion into a Delaware limited liability company, KCG Holdings LLC, a Delaware limited liability company.</w:t>
      </w:r>
    </w:p>
    <w:p>
      <w:pPr>
        <w:spacing w:after="0" w:line="123" w:lineRule="exact"/>
        <w:rPr>
          <w:sz w:val="20"/>
          <w:szCs w:val="20"/>
          <w:color w:val="auto"/>
        </w:rPr>
      </w:pPr>
    </w:p>
    <w:p>
      <w:pPr>
        <w:jc w:val="both"/>
        <w:ind w:firstLine="63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KCG Refinancing</w:t>
      </w:r>
      <w:r>
        <w:rPr>
          <w:rFonts w:ascii="Arial" w:cs="Arial" w:eastAsia="Arial" w:hAnsi="Arial"/>
          <w:sz w:val="19"/>
          <w:szCs w:val="19"/>
          <w:color w:val="auto"/>
        </w:rPr>
        <w:t>” means the repayment in full of all outstanding amounts under (i) that certain Indenture, dated of as March 31, 2015, among KCG, certain of its subsidiaries and The Bank of New York Mellon and (ii) that certain Credit Agreement, dared as of June 5, 2015, among KCG Americas LLC, certain of its subsidiaries and BMO Harris Bank N.A., the termination of all commitments thereunder and the release of all security interests with respect thereto.</w:t>
      </w:r>
    </w:p>
    <w:p>
      <w:pPr>
        <w:spacing w:after="0" w:line="98" w:lineRule="exact"/>
        <w:rPr>
          <w:sz w:val="20"/>
          <w:szCs w:val="20"/>
          <w:color w:val="auto"/>
        </w:rPr>
      </w:pPr>
    </w:p>
    <w:p>
      <w:pPr>
        <w:jc w:val="both"/>
        <w:ind w:right="20"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Latest Maturity Date</w:t>
      </w:r>
      <w:r>
        <w:rPr>
          <w:rFonts w:ascii="Arial" w:cs="Arial" w:eastAsia="Arial" w:hAnsi="Arial"/>
          <w:sz w:val="21"/>
          <w:szCs w:val="21"/>
          <w:color w:val="auto"/>
        </w:rPr>
        <w:t>”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Cash Collateral Account</w:t>
      </w:r>
      <w:r>
        <w:rPr>
          <w:rFonts w:ascii="Arial" w:cs="Arial" w:eastAsia="Arial" w:hAnsi="Arial"/>
          <w:sz w:val="21"/>
          <w:szCs w:val="21"/>
          <w:color w:val="auto"/>
        </w:rPr>
        <w:t>” has the meaning assigned to such term in Section 2.22.</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Commitment</w:t>
      </w:r>
      <w:r>
        <w:rPr>
          <w:rFonts w:ascii="Arial" w:cs="Arial" w:eastAsia="Arial" w:hAnsi="Arial"/>
          <w:sz w:val="21"/>
          <w:szCs w:val="21"/>
          <w:color w:val="auto"/>
        </w:rPr>
        <w:t>” means $5,000,000.</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Disbursement</w:t>
      </w:r>
      <w:r>
        <w:rPr>
          <w:rFonts w:ascii="Arial" w:cs="Arial" w:eastAsia="Arial" w:hAnsi="Arial"/>
          <w:sz w:val="21"/>
          <w:szCs w:val="21"/>
          <w:color w:val="auto"/>
        </w:rPr>
        <w:t>” means a payment made by an Issuing Bank pursuant to a Letter of Credit.</w:t>
      </w:r>
    </w:p>
    <w:p>
      <w:pPr>
        <w:spacing w:after="0" w:line="18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LC Exposure</w:t>
      </w:r>
      <w:r>
        <w:rPr>
          <w:rFonts w:ascii="Arial" w:cs="Arial" w:eastAsia="Arial" w:hAnsi="Arial"/>
          <w:sz w:val="21"/>
          <w:szCs w:val="21"/>
          <w:color w:val="auto"/>
        </w:rPr>
        <w:t>” means, at any time, the total LC Obligations. The LC Exposure of any Revolving Lender at any time shall be its Applicable Percentage of the aggregate LC Exposure at such time.</w:t>
      </w:r>
    </w:p>
    <w:p>
      <w:pPr>
        <w:spacing w:after="0" w:line="107"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Obligations</w:t>
      </w:r>
      <w:r>
        <w:rPr>
          <w:rFonts w:ascii="Arial" w:cs="Arial" w:eastAsia="Arial" w:hAnsi="Arial"/>
          <w:sz w:val="20"/>
          <w:szCs w:val="20"/>
          <w:color w:val="auto"/>
        </w:rPr>
        <w:t>” means, at any time, an amount equal to the sum of (a) the aggregate then undrawn and unexpired amount of the then outstanding Letters of Credit and (b) the aggregate amount of drawings under Letters of Credit that have not then been reimbursed pursuant to Section 2.22.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3" w:name="page204"/>
    <w:bookmarkEnd w:id="203"/>
    <w:p>
      <w:pPr>
        <w:jc w:val="both"/>
        <w:spacing w:after="0" w:line="243" w:lineRule="auto"/>
        <w:rPr>
          <w:sz w:val="20"/>
          <w:szCs w:val="20"/>
          <w:color w:val="auto"/>
        </w:rPr>
      </w:pPr>
      <w:r>
        <w:rPr>
          <w:rFonts w:ascii="Arial" w:cs="Arial" w:eastAsia="Arial" w:hAnsi="Arial"/>
          <w:sz w:val="21"/>
          <w:szCs w:val="21"/>
          <w:color w:val="auto"/>
        </w:rPr>
        <w:t>amount of a Letter of Credit at any time shall be deemed to be the stated amount of such Letter of Credit in effect at such time; provided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LC Participants</w:t>
      </w:r>
      <w:r>
        <w:rPr>
          <w:rFonts w:ascii="Arial" w:cs="Arial" w:eastAsia="Arial" w:hAnsi="Arial"/>
          <w:sz w:val="20"/>
          <w:szCs w:val="20"/>
          <w:color w:val="auto"/>
        </w:rPr>
        <w:t>” means the collective reference to all the Revolving Lenders other than the Issuing Bank.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Lead Arranger</w:t>
      </w:r>
      <w:r>
        <w:rPr>
          <w:rFonts w:ascii="Arial" w:cs="Arial" w:eastAsia="Arial" w:hAnsi="Arial"/>
          <w:sz w:val="21"/>
          <w:szCs w:val="21"/>
          <w:color w:val="auto"/>
        </w:rPr>
        <w:t>” means JPMorgan Chase Bank, N.A.</w:t>
      </w:r>
    </w:p>
    <w:p>
      <w:pPr>
        <w:spacing w:after="0" w:line="169"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 Parent</w:t>
      </w:r>
      <w:r>
        <w:rPr>
          <w:rFonts w:ascii="Arial" w:cs="Arial" w:eastAsia="Arial" w:hAnsi="Arial"/>
          <w:sz w:val="21"/>
          <w:szCs w:val="21"/>
          <w:color w:val="auto"/>
        </w:rPr>
        <w:t>” means, with respect to any Lender, any Person as to which such Lender is, directly or indirectly, a Subsidiary.</w:t>
      </w:r>
    </w:p>
    <w:p>
      <w:pPr>
        <w:spacing w:after="0" w:line="107" w:lineRule="exact"/>
        <w:rPr>
          <w:sz w:val="20"/>
          <w:szCs w:val="20"/>
          <w:color w:val="auto"/>
        </w:rPr>
      </w:pPr>
    </w:p>
    <w:p>
      <w:pPr>
        <w:jc w:val="both"/>
        <w:ind w:firstLine="635"/>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Lenders</w:t>
      </w:r>
      <w:r>
        <w:rPr>
          <w:rFonts w:ascii="Arial" w:cs="Arial" w:eastAsia="Arial" w:hAnsi="Arial"/>
          <w:sz w:val="19"/>
          <w:szCs w:val="19"/>
          <w:color w:val="auto"/>
        </w:rPr>
        <w:t>” means the Persons listed on Schedule 2.01, each Converting Term Lender and any other Person that shall have become a party hereto (as a lender) pursuant to an Assignment and Assumption, an Incremental Revolving Facility Amendment, an Incremental Term Facility Amendment, a Refinancing Amendment or the Escrow Assumption, in each case, other than any such Person that ceases to be a party hereto pursuant to an Assignment and Assumption.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Letters of Credit</w:t>
      </w:r>
      <w:r>
        <w:rPr>
          <w:rFonts w:ascii="Arial" w:cs="Arial" w:eastAsia="Arial" w:hAnsi="Arial"/>
          <w:sz w:val="21"/>
          <w:szCs w:val="21"/>
          <w:color w:val="auto"/>
        </w:rPr>
        <w:t>” has the meaning assigned to such term in Section 2.22(a).</w:t>
      </w:r>
    </w:p>
    <w:p>
      <w:pPr>
        <w:spacing w:after="0" w:line="169"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LIBO Rate</w:t>
      </w:r>
      <w:r>
        <w:rPr>
          <w:rFonts w:ascii="Arial" w:cs="Arial" w:eastAsia="Arial" w:hAnsi="Arial"/>
          <w:sz w:val="20"/>
          <w:szCs w:val="20"/>
          <w:color w:val="auto"/>
        </w:rPr>
        <w:t xml:space="preserve">” means, with respect to any Eurodollar Borrowing for any Interest Period, the rate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equal to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Arial" w:cs="Arial" w:eastAsia="Arial" w:hAnsi="Arial"/>
          <w:sz w:val="20"/>
          <w:szCs w:val="20"/>
          <w:b w:val="1"/>
          <w:bCs w:val="1"/>
          <w:color w:val="auto"/>
        </w:rPr>
        <w:t>LIBOR Screen Rate</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0000FF"/>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that if the LIBO Screen Rate determined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pursuant to this definition would be less than zero, such rate shall be deemed to be zero for the purposes of this Agreement)</w:t>
      </w:r>
      <w:r>
        <w:rPr>
          <w:rFonts w:ascii="Arial" w:cs="Arial" w:eastAsia="Arial" w:hAnsi="Arial"/>
          <w:sz w:val="20"/>
          <w:szCs w:val="20"/>
          <w:color w:val="0000FF"/>
        </w:rPr>
        <w:t xml:space="preserve"> </w:t>
      </w:r>
      <w:r>
        <w:rPr>
          <w:rFonts w:ascii="Arial" w:cs="Arial" w:eastAsia="Arial" w:hAnsi="Arial"/>
          <w:sz w:val="20"/>
          <w:szCs w:val="20"/>
          <w:color w:val="000000"/>
        </w:rPr>
        <w:t>at approximately 11:00 a.m., London time, two Business Days prior to the commencement of such Interest</w:t>
      </w:r>
      <w:r>
        <w:rPr>
          <w:rFonts w:ascii="Arial" w:cs="Arial" w:eastAsia="Arial" w:hAnsi="Arial"/>
          <w:sz w:val="20"/>
          <w:szCs w:val="20"/>
          <w:color w:val="0000FF"/>
        </w:rPr>
        <w:t xml:space="preserve"> </w:t>
      </w:r>
      <w:r>
        <w:rPr>
          <w:rFonts w:ascii="Arial" w:cs="Arial" w:eastAsia="Arial" w:hAnsi="Arial"/>
          <w:sz w:val="20"/>
          <w:szCs w:val="20"/>
          <w:color w:val="000000"/>
        </w:rPr>
        <w:t xml:space="preserve">Period;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w:t>
      </w:r>
      <w:r>
        <w:rPr>
          <w:rFonts w:ascii="Arial" w:cs="Arial" w:eastAsia="Arial" w:hAnsi="Arial"/>
          <w:sz w:val="20"/>
          <w:szCs w:val="20"/>
          <w:i w:val="1"/>
          <w:iCs w:val="1"/>
          <w:color w:val="000000"/>
        </w:rPr>
        <w:t>further</w:t>
      </w:r>
      <w:r>
        <w:rPr>
          <w:rFonts w:ascii="Arial" w:cs="Arial" w:eastAsia="Arial" w:hAnsi="Arial"/>
          <w:sz w:val="20"/>
          <w:szCs w:val="20"/>
          <w:color w:val="000000"/>
        </w:rPr>
        <w:t>, that if the LIBO Screen Rate shall not be available at such time for such Interest Period (an “</w:t>
      </w:r>
      <w:r>
        <w:rPr>
          <w:rFonts w:ascii="Arial" w:cs="Arial" w:eastAsia="Arial" w:hAnsi="Arial"/>
          <w:sz w:val="20"/>
          <w:szCs w:val="20"/>
          <w:b w:val="1"/>
          <w:bCs w:val="1"/>
          <w:color w:val="000000"/>
        </w:rPr>
        <w:t>Impacted Interest Period</w:t>
      </w:r>
      <w:r>
        <w:rPr>
          <w:rFonts w:ascii="Arial" w:cs="Arial" w:eastAsia="Arial" w:hAnsi="Arial"/>
          <w:sz w:val="20"/>
          <w:szCs w:val="20"/>
          <w:color w:val="000000"/>
        </w:rPr>
        <w:t>”), then the LIBO Rate shall be the Interpolated Rate comparable to such period as of approximately 11:00 a.m., London time, on such date.</w:t>
      </w:r>
    </w:p>
    <w:p>
      <w:pPr>
        <w:spacing w:after="0" w:line="138" w:lineRule="exact"/>
        <w:rPr>
          <w:sz w:val="20"/>
          <w:szCs w:val="20"/>
          <w:color w:val="auto"/>
        </w:rPr>
      </w:pPr>
    </w:p>
    <w:p>
      <w:pPr>
        <w:jc w:val="both"/>
        <w:ind w:firstLine="635"/>
        <w:spacing w:after="0" w:line="258" w:lineRule="auto"/>
        <w:rPr>
          <w:sz w:val="20"/>
          <w:szCs w:val="20"/>
          <w:color w:val="auto"/>
        </w:rPr>
      </w:pPr>
      <w:r>
        <w:rPr>
          <w:rFonts w:ascii="Arial" w:cs="Arial" w:eastAsia="Arial" w:hAnsi="Arial"/>
          <w:sz w:val="20"/>
          <w:szCs w:val="20"/>
          <w:color w:val="auto"/>
        </w:rPr>
        <w:t xml:space="preserve">Notwithstanding the foregoing, (i) solely with respect to the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the LIBO Rate with respect to any applicable Interest Period will be deemed to be 1.00% per annum if the LIBO Rate for such Interest Period determined pursuant to this definition would otherwise be less than 1.00% per annum and (ii) solely with respect to Revolving Loans, the LIBO Rate with respect to any applicable Interest Period will be deemed to be zero if the LIBO Rate for such Interest Period determined pursuant to this definition would otherwise be less than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4281170</wp:posOffset>
            </wp:positionH>
            <wp:positionV relativeFrom="paragraph">
              <wp:posOffset>-628015</wp:posOffset>
            </wp:positionV>
            <wp:extent cx="23495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234950" cy="2540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4" w:name="page205"/>
    <w:bookmarkEnd w:id="204"/>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LIBOR Screen Rate</w:t>
      </w:r>
      <w:r>
        <w:rPr>
          <w:rFonts w:ascii="Arial" w:cs="Arial" w:eastAsia="Arial" w:hAnsi="Arial"/>
          <w:sz w:val="21"/>
          <w:szCs w:val="21"/>
          <w:color w:val="auto"/>
        </w:rPr>
        <w:t>” shall have the meaning set forth in the definition of “LIBO Rate.”</w:t>
      </w:r>
    </w:p>
    <w:p>
      <w:pPr>
        <w:spacing w:after="0" w:line="169"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Lien</w:t>
      </w:r>
      <w:r>
        <w:rPr>
          <w:rFonts w:ascii="Arial" w:cs="Arial" w:eastAsia="Arial" w:hAnsi="Arial"/>
          <w:sz w:val="21"/>
          <w:szCs w:val="21"/>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Document Obligations</w:t>
      </w:r>
      <w:r>
        <w:rPr>
          <w:rFonts w:ascii="Arial" w:cs="Arial" w:eastAsia="Arial" w:hAnsi="Arial"/>
          <w:sz w:val="21"/>
          <w:szCs w:val="21"/>
          <w:color w:val="auto"/>
        </w:rPr>
        <w:t>” has the meaning assigned to such term in the Collateral Agreement.</w:t>
      </w:r>
    </w:p>
    <w:p>
      <w:pPr>
        <w:spacing w:after="0" w:line="169" w:lineRule="exact"/>
        <w:rPr>
          <w:sz w:val="20"/>
          <w:szCs w:val="20"/>
          <w:color w:val="auto"/>
        </w:rPr>
      </w:pPr>
    </w:p>
    <w:p>
      <w:pPr>
        <w:jc w:val="both"/>
        <w:ind w:firstLine="63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Loan Documents</w:t>
      </w:r>
      <w:r>
        <w:rPr>
          <w:rFonts w:ascii="Arial" w:cs="Arial" w:eastAsia="Arial" w:hAnsi="Arial"/>
          <w:sz w:val="19"/>
          <w:szCs w:val="19"/>
          <w:color w:val="auto"/>
        </w:rPr>
        <w:t>” means the Restatement Agreement, the Agency Transfer Agreement, this Agreement, any Refinancing Amendment, the Guarantee Agreement, the Collateral Agreement, the other Security Documents, any Reaffirmation Agreement, the First Lien Intercreditor Agreement, the Junior Lien Intercreditor Agreement, any promissory notes delivered pursuant to Section 2.07(e) (except for purposes of Section 9.02)</w:t>
      </w:r>
      <w:r>
        <w:rPr>
          <w:rFonts w:ascii="Arial" w:cs="Arial" w:eastAsia="Arial" w:hAnsi="Arial"/>
          <w:sz w:val="19"/>
          <w:szCs w:val="19"/>
          <w:u w:val="single" w:color="auto"/>
          <w:color w:val="0000FF"/>
        </w:rPr>
        <w:t>, Amendment No. 1</w:t>
      </w:r>
      <w:r>
        <w:rPr>
          <w:rFonts w:ascii="Arial" w:cs="Arial" w:eastAsia="Arial" w:hAnsi="Arial"/>
          <w:sz w:val="19"/>
          <w:szCs w:val="19"/>
          <w:color w:val="auto"/>
        </w:rPr>
        <w:t xml:space="preserve"> and any other agreement, document or instrument to which any Loan Party is a party and which is designated as a Loan Document.</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 Parties</w:t>
      </w:r>
      <w:r>
        <w:rPr>
          <w:rFonts w:ascii="Arial" w:cs="Arial" w:eastAsia="Arial" w:hAnsi="Arial"/>
          <w:sz w:val="21"/>
          <w:szCs w:val="21"/>
          <w:color w:val="auto"/>
        </w:rPr>
        <w:t>” means Holdings, any Intermediate Parent, the Borrower and the Subsidiary Loan Parties.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Loans</w:t>
      </w:r>
      <w:r>
        <w:rPr>
          <w:rFonts w:ascii="Arial" w:cs="Arial" w:eastAsia="Arial" w:hAnsi="Arial"/>
          <w:sz w:val="21"/>
          <w:szCs w:val="21"/>
          <w:color w:val="auto"/>
        </w:rPr>
        <w:t>” means the loans made by the Lenders to the Borrower pursuant to this Agreement.</w:t>
      </w:r>
    </w:p>
    <w:p>
      <w:pPr>
        <w:spacing w:after="0" w:line="169" w:lineRule="exact"/>
        <w:rPr>
          <w:sz w:val="20"/>
          <w:szCs w:val="20"/>
          <w:color w:val="auto"/>
        </w:rPr>
      </w:pPr>
    </w:p>
    <w:p>
      <w:pPr>
        <w:jc w:val="both"/>
        <w:ind w:firstLine="63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in Interest,</w:t>
      </w:r>
      <w:r>
        <w:rPr>
          <w:rFonts w:ascii="Arial" w:cs="Arial" w:eastAsia="Arial" w:hAnsi="Arial"/>
          <w:sz w:val="19"/>
          <w:szCs w:val="19"/>
          <w:color w:val="auto"/>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aggregate unused Revolving Commitments at such time and (b) in the case of the Term Lenders of any Class, Lenders holding outstanding Term Loans of such Class representing more than 50% of all Term Loans of such Class outstanding at such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Loans, Revolving Exposures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the Majority in Interest.</w:t>
      </w:r>
    </w:p>
    <w:p>
      <w:pPr>
        <w:spacing w:after="0" w:line="111"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any event, circumstance or condition that has had, or would reasonably be expected to have, a materially adverse effect on (a) the business, financial condition or results of operations of Holdings and its Restricted Subsidiaries, taken as a whole, (b) the ability of the Borrower and the other Loan Parties, taken as a whole, to perform their payment obligations under the Loan Documents or (c) the rights and remedies of the Administrative Agent and the Lenders under the Loan Documents.</w:t>
      </w:r>
    </w:p>
    <w:p>
      <w:pPr>
        <w:spacing w:after="0" w:line="148"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Indebtedness</w:t>
      </w:r>
      <w:r>
        <w:rPr>
          <w:rFonts w:ascii="Arial" w:cs="Arial" w:eastAsia="Arial" w:hAnsi="Arial"/>
          <w:sz w:val="21"/>
          <w:szCs w:val="21"/>
          <w:color w:val="auto"/>
        </w:rPr>
        <w:t>” means Indebtedness (other than the Loan Document Obligations), or obligations in respect of one or more Swap Agreements, of any one or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205" w:name="page206"/>
    <w:bookmarkEnd w:id="205"/>
    <w:p>
      <w:pPr>
        <w:jc w:val="both"/>
        <w:spacing w:after="0" w:line="280" w:lineRule="auto"/>
        <w:rPr>
          <w:sz w:val="20"/>
          <w:szCs w:val="20"/>
          <w:color w:val="auto"/>
        </w:rPr>
      </w:pPr>
      <w:r>
        <w:rPr>
          <w:rFonts w:ascii="Arial" w:cs="Arial" w:eastAsia="Arial" w:hAnsi="Arial"/>
          <w:sz w:val="19"/>
          <w:szCs w:val="19"/>
          <w:color w:val="auto"/>
        </w:rPr>
        <w:t>more of Holdings and the Restricted Subsidiaries in an aggregate principal amount exceeding $40,000,000. For purposes of determining Material Indebtedness, the “principal amount” of the obligations in respect of any Swap Agreement at any time shall be the maximum aggregate amount (giving effect to any netting agreements) that Holdings or such Restricted Subsidiary would be required to pay if such Swap Agreement were terminated at such time.</w:t>
      </w:r>
    </w:p>
    <w:p>
      <w:pPr>
        <w:spacing w:after="0" w:line="99" w:lineRule="exact"/>
        <w:rPr>
          <w:sz w:val="20"/>
          <w:szCs w:val="20"/>
          <w:color w:val="auto"/>
        </w:rPr>
      </w:pPr>
    </w:p>
    <w:p>
      <w:pPr>
        <w:jc w:val="both"/>
        <w:ind w:firstLine="635"/>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Subsidiary</w:t>
      </w:r>
      <w:r>
        <w:rPr>
          <w:rFonts w:ascii="Arial" w:cs="Arial" w:eastAsia="Arial" w:hAnsi="Arial"/>
          <w:sz w:val="21"/>
          <w:szCs w:val="21"/>
          <w:color w:val="auto"/>
        </w:rPr>
        <w:t xml:space="preserve">” means (i) each Wholly Owned Restricted Subsidiary that, as of the last day of the fiscal quarter of Holdings most recently ended, had revenues or total assets for such quarter in excess of 2.5% of the consolidated revenues or total assets, as applicable, of Holdings for such quarter and (ii) any group comprising Wholly Owned Restricted Subsidiaries that each would not have been a Material Subsidiary under clause (i) but that, taken together, as of the last day of the fiscal quarter of Holdings most recently ended, had revenues or total assets for such quarter in excess of 5% of the consolidated revenues or total assets, as applicable, of Holdings for such quarter;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solely for purposes of Sections 7.01(h) and (i) each such Subsidiary forming part of such group is subject to an Event of Default under one or more of such Sections.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Maximum Rate</w:t>
      </w:r>
      <w:r>
        <w:rPr>
          <w:rFonts w:ascii="Arial" w:cs="Arial" w:eastAsia="Arial" w:hAnsi="Arial"/>
          <w:sz w:val="21"/>
          <w:szCs w:val="21"/>
          <w:color w:val="auto"/>
        </w:rPr>
        <w:t>” has the meaning assigned to such term in Section 9.16.</w:t>
      </w:r>
    </w:p>
    <w:p>
      <w:pPr>
        <w:spacing w:after="0" w:line="169"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Merger Agreement</w:t>
      </w:r>
      <w:r>
        <w:rPr>
          <w:rFonts w:ascii="Arial" w:cs="Arial" w:eastAsia="Arial" w:hAnsi="Arial"/>
          <w:sz w:val="21"/>
          <w:szCs w:val="21"/>
          <w:color w:val="auto"/>
        </w:rPr>
        <w:t>” means that certain Agreement and Plan of Merger and Contribution, dated as of April 20, 2017, among Virtu Financial, Inc., Merger Sub and KCG.</w:t>
      </w:r>
    </w:p>
    <w:p>
      <w:pPr>
        <w:spacing w:after="0" w:line="107"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Merger and Contribution</w:t>
      </w:r>
      <w:r>
        <w:rPr>
          <w:rFonts w:ascii="Arial" w:cs="Arial" w:eastAsia="Arial" w:hAnsi="Arial"/>
          <w:sz w:val="21"/>
          <w:szCs w:val="21"/>
          <w:color w:val="auto"/>
        </w:rPr>
        <w:t>” means the merger of Merger Sub with and into KCG, with KCG surviving such merger, followed by the immediate series of contributions of the Escrow Borrower and its Subsidiaries (including KCG) to Holdings and then to the Borrower and then to Virtu Financial Operating LLC, resulting in KCG becoming an indirect, wholly owned subsidiary of the Borrower.</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Merger Sub</w:t>
      </w:r>
      <w:r>
        <w:rPr>
          <w:rFonts w:ascii="Arial" w:cs="Arial" w:eastAsia="Arial" w:hAnsi="Arial"/>
          <w:sz w:val="21"/>
          <w:szCs w:val="21"/>
          <w:color w:val="auto"/>
        </w:rPr>
        <w:t>” means Orchestra Merger Sub, Inc., a Delaware corporation.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Moody’s</w:t>
      </w:r>
      <w:r>
        <w:rPr>
          <w:rFonts w:ascii="Arial" w:cs="Arial" w:eastAsia="Arial" w:hAnsi="Arial"/>
          <w:sz w:val="21"/>
          <w:szCs w:val="21"/>
          <w:color w:val="auto"/>
        </w:rPr>
        <w:t>” means Moody’s Investors Service, Inc. and any successor to its rating agency business.</w:t>
      </w:r>
    </w:p>
    <w:p>
      <w:pPr>
        <w:spacing w:after="0" w:line="169"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Mortgage</w:t>
      </w:r>
      <w:r>
        <w:rPr>
          <w:rFonts w:ascii="Arial" w:cs="Arial" w:eastAsia="Arial" w:hAnsi="Arial"/>
          <w:sz w:val="21"/>
          <w:szCs w:val="21"/>
          <w:color w:val="auto"/>
        </w:rPr>
        <w:t>” means a mortgage, deed of trust, assignment of leases and rents, leasehold mortgage or other security document granting a Lien on any Mortgaged Property to secure the Secured Obligations. Each Mortgage shall be in form and substance reasonably satisfactory to the Administrative Agent and the Borrower.</w:t>
      </w:r>
    </w:p>
    <w:p>
      <w:pPr>
        <w:spacing w:after="0" w:line="136"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Mortgaged Property</w:t>
      </w:r>
      <w:r>
        <w:rPr>
          <w:rFonts w:ascii="Arial" w:cs="Arial" w:eastAsia="Arial" w:hAnsi="Arial"/>
          <w:sz w:val="21"/>
          <w:szCs w:val="21"/>
          <w:color w:val="auto"/>
        </w:rPr>
        <w:t>” means each parcel of real property and the improvements thereto owned by a Loan Party with respect to which a Mortgage is granted pursuant to Section 5.11 or Section 5.12.</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Multiemployer Plan</w:t>
      </w:r>
      <w:r>
        <w:rPr>
          <w:rFonts w:ascii="Arial" w:cs="Arial" w:eastAsia="Arial" w:hAnsi="Arial"/>
          <w:sz w:val="21"/>
          <w:szCs w:val="21"/>
          <w:color w:val="auto"/>
        </w:rPr>
        <w:t>” means a multiemployer plan as defined in Section 4001(a)(3) of ERISA.</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6" w:name="page207"/>
    <w:bookmarkEnd w:id="206"/>
    <w:p>
      <w:pPr>
        <w:jc w:val="both"/>
        <w:ind w:firstLine="635"/>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Proceeds</w:t>
      </w:r>
      <w:r>
        <w:rPr>
          <w:rFonts w:ascii="Arial" w:cs="Arial" w:eastAsia="Arial" w:hAnsi="Arial"/>
          <w:sz w:val="19"/>
          <w:szCs w:val="19"/>
          <w:color w:val="auto"/>
        </w:rPr>
        <w:t>” means, with respect to any event, (a) the proceeds received in respect of such event in cash or Permitted Investments, including (i) any cash or Permitted Investments received in respect of any non-cash proceeds (including any cash payments received by way of deferred payment of principal pursuant to a note or installment receivable or purchase price adjustment or earn-out, but excluding any interest payments), but only as and when received,</w:t>
      </w:r>
    </w:p>
    <w:p>
      <w:pPr>
        <w:spacing w:after="0" w:line="1" w:lineRule="exact"/>
        <w:rPr>
          <w:sz w:val="20"/>
          <w:szCs w:val="20"/>
          <w:color w:val="auto"/>
        </w:rPr>
      </w:pPr>
    </w:p>
    <w:p>
      <w:pPr>
        <w:jc w:val="both"/>
        <w:ind w:firstLine="9"/>
        <w:spacing w:after="0" w:line="263" w:lineRule="auto"/>
        <w:tabs>
          <w:tab w:leader="none" w:pos="32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in the case of a casualty, insurance proceeds, and (iii) in the case of a condemnation or similar event, condemnation awards and similar payments,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sum of (i) all fees and out-of-pocket expenses paid by Holdings, any Intermediate Parent, the Borrower and its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Holdings, any Intermediate Parent, the Borrower and its Restricted Subsidiaries as a result of such event to repay Indebtedness (other than the Loans, any Permitted First Priority Refinancing Debt, any Permitted Junior Lien Refinancing Debt, any Second Lien Notes, any secured Indebtedness incurred pursuant to Section 6.01(a)(viii) or any secured Additional Notes issued pursuant to Section 6.01(a)(xxii))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Holdings, any Intermediate Parent, the Borrower its Restricted Subsidiaries as a result thereof and (z) the amount of any liabilities directly associated with such asset and retained by the Borrower or any Restricted Subsidiary and (iii) the amount of all taxes paid (or reasonably estimated to be payable), and the amount of any reserves established by Holdings, any Intermediate Parent, the Borrower and its Restricted Subsidiaries to fund contingent liabilities reasonably estimated to be payable, that are directly attributable to such event,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if the amount of any such estimated taxes exceeds the amount of taxes actually required to be paid in cash in respect of such event, the aggregate amount of such excess shall constitute Net Proceeds at the time such taxes are actually paid and (y) any reduction at any time in the amount of any such reserves (other than as a result of payments made in respect thereof) shall be deemed to constitute the receipt by the Borrower at such time of Net Proceeds in the amount of such reduction.</w:t>
      </w:r>
    </w:p>
    <w:p>
      <w:pPr>
        <w:spacing w:after="0" w:line="119"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Term Loans</w:t>
      </w:r>
      <w:r>
        <w:rPr>
          <w:rFonts w:ascii="Arial" w:cs="Arial" w:eastAsia="Arial" w:hAnsi="Arial"/>
          <w:sz w:val="21"/>
          <w:szCs w:val="21"/>
          <w:color w:val="auto"/>
        </w:rPr>
        <w:t xml:space="preserve">” means </w:t>
      </w:r>
      <w:r>
        <w:rPr>
          <w:rFonts w:ascii="Arial" w:cs="Arial" w:eastAsia="Arial" w:hAnsi="Arial"/>
          <w:sz w:val="21"/>
          <w:szCs w:val="21"/>
          <w:color w:val="0000FF"/>
        </w:rPr>
        <w:t>all term loans (including</w:t>
      </w:r>
      <w:r>
        <w:rPr>
          <w:rFonts w:ascii="Arial" w:cs="Arial" w:eastAsia="Arial" w:hAnsi="Arial"/>
          <w:sz w:val="21"/>
          <w:szCs w:val="21"/>
          <w:color w:val="auto"/>
        </w:rPr>
        <w:t xml:space="preserve"> the Initial Term Loans and</w:t>
      </w:r>
      <w:r>
        <w:rPr>
          <w:rFonts w:ascii="Arial" w:cs="Arial" w:eastAsia="Arial" w:hAnsi="Arial"/>
          <w:sz w:val="21"/>
          <w:szCs w:val="21"/>
          <w:color w:val="FF0000"/>
          <w:strike w:val="1"/>
        </w:rPr>
        <w:t>, following the Escrow</w:t>
      </w:r>
      <w:r>
        <w:rPr>
          <w:rFonts w:ascii="Arial" w:cs="Arial" w:eastAsia="Arial" w:hAnsi="Arial"/>
          <w:sz w:val="21"/>
          <w:szCs w:val="21"/>
          <w:color w:val="auto"/>
        </w:rPr>
        <w:t xml:space="preserve"> </w:t>
      </w:r>
      <w:r>
        <w:rPr>
          <w:rFonts w:ascii="Arial" w:cs="Arial" w:eastAsia="Arial" w:hAnsi="Arial"/>
          <w:sz w:val="21"/>
          <w:szCs w:val="21"/>
          <w:color w:val="FF0000"/>
          <w:strike w:val="1"/>
        </w:rPr>
        <w:t xml:space="preserve">Assumption, the Escrow Term Loans, and any Incremental Term Facilities that are incurred in the form of New Term Loans. </w:t>
      </w:r>
      <w:r>
        <w:rPr>
          <w:rFonts w:ascii="Arial" w:cs="Arial" w:eastAsia="Arial" w:hAnsi="Arial"/>
          <w:sz w:val="21"/>
          <w:szCs w:val="21"/>
          <w:color w:val="0000FF"/>
          <w:strike w:val="1"/>
        </w:rPr>
        <w:t>the Escrow Term Loans) that are outstanding under this Agreement immediately prior to the Amendment No. 1</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-470535</wp:posOffset>
            </wp:positionV>
            <wp:extent cx="15373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1537335" cy="25400"/>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-168275</wp:posOffset>
            </wp:positionV>
            <wp:extent cx="62414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6241415" cy="25400"/>
                    </a:xfrm>
                    <a:prstGeom prst="rect">
                      <a:avLst/>
                    </a:prstGeom>
                    <a:noFill/>
                  </pic:spPr>
                </pic:pic>
              </a:graphicData>
            </a:graphic>
          </wp:anchor>
        </w:drawing>
      </w:r>
    </w:p>
    <w:p>
      <w:pPr>
        <w:spacing w:after="0" w:line="124"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Non-Cash Charges</w:t>
      </w:r>
      <w:r>
        <w:rPr>
          <w:rFonts w:ascii="Arial" w:cs="Arial" w:eastAsia="Arial" w:hAnsi="Arial"/>
          <w:sz w:val="19"/>
          <w:szCs w:val="19"/>
          <w:color w:val="auto"/>
        </w:rPr>
        <w:t>” means (a) any non-cash impairment charge or asset write-off or write-down related to intangible assets (including goodwill), long-lived assets, and Investments in debt and equity securities pursuant to GAAP,</w:t>
      </w:r>
    </w:p>
    <w:p>
      <w:pPr>
        <w:spacing w:after="0" w:line="1" w:lineRule="exact"/>
        <w:rPr>
          <w:sz w:val="20"/>
          <w:szCs w:val="20"/>
          <w:color w:val="auto"/>
        </w:rPr>
      </w:pPr>
    </w:p>
    <w:p>
      <w:pPr>
        <w:ind w:firstLine="9"/>
        <w:spacing w:after="0" w:line="245" w:lineRule="auto"/>
        <w:tabs>
          <w:tab w:leader="none" w:pos="305" w:val="left"/>
        </w:tabs>
        <w:numPr>
          <w:ilvl w:val="0"/>
          <w:numId w:val="82"/>
        </w:numPr>
        <w:rPr>
          <w:rFonts w:ascii="Arial" w:cs="Arial" w:eastAsia="Arial" w:hAnsi="Arial"/>
          <w:sz w:val="21"/>
          <w:szCs w:val="21"/>
          <w:color w:val="auto"/>
        </w:rPr>
      </w:pPr>
      <w:r>
        <w:rPr>
          <w:rFonts w:ascii="Arial" w:cs="Arial" w:eastAsia="Arial" w:hAnsi="Arial"/>
          <w:sz w:val="21"/>
          <w:szCs w:val="21"/>
          <w:color w:val="auto"/>
        </w:rPr>
        <w:t>all non-cash losses from Investments recorded using the equity method, (c) all Non-Cash Compensation Expenses, (d) the non-cash impact of acquisition method accounting,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207" w:name="page208"/>
    <w:bookmarkEnd w:id="207"/>
    <w:p>
      <w:pPr>
        <w:jc w:val="both"/>
        <w:ind w:firstLine="9"/>
        <w:spacing w:after="0" w:line="289" w:lineRule="auto"/>
        <w:tabs>
          <w:tab w:leader="none" w:pos="327" w:val="left"/>
        </w:tabs>
        <w:numPr>
          <w:ilvl w:val="0"/>
          <w:numId w:val="83"/>
        </w:numPr>
        <w:rPr>
          <w:rFonts w:ascii="Arial" w:cs="Arial" w:eastAsia="Arial" w:hAnsi="Arial"/>
          <w:sz w:val="19"/>
          <w:szCs w:val="19"/>
          <w:color w:val="auto"/>
        </w:rPr>
      </w:pPr>
      <w:r>
        <w:rPr>
          <w:rFonts w:ascii="Arial" w:cs="Arial" w:eastAsia="Arial" w:hAnsi="Arial"/>
          <w:sz w:val="19"/>
          <w:szCs w:val="19"/>
          <w:color w:val="auto"/>
        </w:rPr>
        <w:t>other non-cash charges (</w:t>
      </w:r>
      <w:r>
        <w:rPr>
          <w:rFonts w:ascii="Arial" w:cs="Arial" w:eastAsia="Arial" w:hAnsi="Arial"/>
          <w:sz w:val="19"/>
          <w:szCs w:val="19"/>
          <w:i w:val="1"/>
          <w:iCs w:val="1"/>
          <w:color w:val="auto"/>
        </w:rPr>
        <w:t>provided</w:t>
      </w:r>
      <w:r>
        <w:rPr>
          <w:rFonts w:ascii="Arial" w:cs="Arial" w:eastAsia="Arial" w:hAnsi="Arial"/>
          <w:sz w:val="19"/>
          <w:szCs w:val="19"/>
          <w:color w:val="auto"/>
        </w:rPr>
        <w:t>, in each case, that if any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w:t>
      </w:r>
    </w:p>
    <w:p>
      <w:pPr>
        <w:spacing w:after="0" w:line="92" w:lineRule="exact"/>
        <w:rPr>
          <w:sz w:val="20"/>
          <w:szCs w:val="20"/>
          <w:color w:val="auto"/>
        </w:rPr>
      </w:pPr>
    </w:p>
    <w:p>
      <w:pPr>
        <w:jc w:val="both"/>
        <w:ind w:firstLine="635"/>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Non-Cash Compensation Expense</w:t>
      </w:r>
      <w:r>
        <w:rPr>
          <w:rFonts w:ascii="Arial" w:cs="Arial" w:eastAsia="Arial" w:hAnsi="Arial"/>
          <w:sz w:val="19"/>
          <w:szCs w:val="19"/>
          <w:color w:val="auto"/>
        </w:rPr>
        <w:t>” means any non-cash expenses and costs that result from the issuance of stock-based awards, partnership interest-based awards and similar incentive based compensation awards or arrangements.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Non-Consenting Lender</w:t>
      </w:r>
      <w:r>
        <w:rPr>
          <w:rFonts w:ascii="Arial" w:cs="Arial" w:eastAsia="Arial" w:hAnsi="Arial"/>
          <w:sz w:val="21"/>
          <w:szCs w:val="21"/>
          <w:color w:val="auto"/>
        </w:rPr>
        <w:t>” has the meaning assigned to such term in Section 9.02(c).</w:t>
      </w:r>
    </w:p>
    <w:p>
      <w:pPr>
        <w:spacing w:after="0" w:line="169"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Non-Converted New Term Loans</w:t>
      </w:r>
      <w:r>
        <w:rPr>
          <w:rFonts w:ascii="Arial" w:cs="Arial" w:eastAsia="Arial" w:hAnsi="Arial"/>
          <w:sz w:val="21"/>
          <w:szCs w:val="21"/>
          <w:u w:val="single" w:color="auto"/>
          <w:color w:val="0000FF"/>
        </w:rPr>
        <w:t>” means each New Term Loan (or portion thereof) other than a Converted New Term Loan.</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Non-Converting Term Loan</w:t>
      </w:r>
      <w:r>
        <w:rPr>
          <w:rFonts w:ascii="Arial" w:cs="Arial" w:eastAsia="Arial" w:hAnsi="Arial"/>
          <w:sz w:val="21"/>
          <w:szCs w:val="21"/>
          <w:color w:val="auto"/>
        </w:rPr>
        <w:t>” means each Original Term Loan other than a Converting Term Loan.</w:t>
      </w:r>
    </w:p>
    <w:p>
      <w:pPr>
        <w:spacing w:after="0" w:line="182" w:lineRule="exact"/>
        <w:rPr>
          <w:sz w:val="20"/>
          <w:szCs w:val="20"/>
          <w:color w:val="auto"/>
        </w:rPr>
      </w:pPr>
    </w:p>
    <w:p>
      <w:pPr>
        <w:jc w:val="both"/>
        <w:ind w:firstLine="635"/>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Non-Loan Party Investment Amount</w:t>
      </w:r>
      <w:r>
        <w:rPr>
          <w:rFonts w:ascii="Arial" w:cs="Arial" w:eastAsia="Arial" w:hAnsi="Arial"/>
          <w:sz w:val="21"/>
          <w:szCs w:val="21"/>
          <w:color w:val="auto"/>
        </w:rPr>
        <w:t xml:space="preserve">” means, at any time, the sum of (a) the greater of $100,000,000 and 40% of Consolidated EBITDA for the most recently ended Test Period, (b) the aggregate amount of the Net Proceeds of the issuance of, or contribution in respect of existing, Qualified Equity Interests, in each case to the extent contributed to Holdings as cash common equity after (I) prior to the Escrow Assumption Date, the Closing Date and (II) if the Escrow Assumption Date shall have occurred, the Escrow Assumption Date (other than, in each case, any such issuance or contribution made pursuant to Section 7.02 or any issuance to or contribution from a Restricted Subsidiary) that are Not Otherwise Applied and (c) Cumulative Excess Cash Flow that is Not Otherwise Applied;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amounts under clause (b) or (c) may only be utilized to make an Investment or acquisition if (i) no Default has occurred and is continuing at the time of the applicable Investment or acquisition or would result therefrom and (ii) at the time of the applicable Investment or acquisition and immediately after giving effect thereto, the Borrower would be in compliance with the Financial Performance Covenants on a Pro Forma Basis as of the end of the most recent Test Period for which financial statements are available.</w:t>
      </w:r>
    </w:p>
    <w:p>
      <w:pPr>
        <w:spacing w:after="0" w:line="144"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Non-Wholly Owned Subsidiary</w:t>
      </w:r>
      <w:r>
        <w:rPr>
          <w:rFonts w:ascii="Arial" w:cs="Arial" w:eastAsia="Arial" w:hAnsi="Arial"/>
          <w:sz w:val="21"/>
          <w:szCs w:val="21"/>
          <w:color w:val="auto"/>
        </w:rPr>
        <w:t>” of any Person means any Subsidiary of such Person other than a Wholly Owned Subsidiary.</w:t>
      </w:r>
    </w:p>
    <w:p>
      <w:pPr>
        <w:spacing w:after="0" w:line="107" w:lineRule="exact"/>
        <w:rPr>
          <w:sz w:val="20"/>
          <w:szCs w:val="20"/>
          <w:color w:val="auto"/>
        </w:rPr>
      </w:pPr>
    </w:p>
    <w:p>
      <w:pPr>
        <w:jc w:val="both"/>
        <w:ind w:firstLine="635"/>
        <w:spacing w:after="0" w:line="24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 Otherwise Applied</w:t>
      </w:r>
      <w:r>
        <w:rPr>
          <w:rFonts w:ascii="Arial" w:cs="Arial" w:eastAsia="Arial" w:hAnsi="Arial"/>
          <w:sz w:val="21"/>
          <w:szCs w:val="21"/>
          <w:color w:val="auto"/>
        </w:rPr>
        <w:t>” means, with reference to any amount of Net Proceeds of any transaction or event or of Excess Cash Flow, that such amount (a) was not or was not required to be applied to prepay the Loans pursuant to Section 2.09(c) (or, prior to the Restatement Effective Date, to prepay the Original Term Loans pursuant to Section 2.09(c) of the Existing Credit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if such Excess Cash Flow was not required to be applied to prepay the Loans pursuant to Section 2.09(f), such Excess Cash Flow shall only be deemed “Not Otherwise Applied” to the extent the Borrower has made a payment of Term Loans pursuant to clause (B) of Section 2.09(f) and such amounts represent the amount of additional taxes that would have been payable or reserved against if such Excess Cash Flow had been repatriated and (II) with respect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8" w:name="page209"/>
    <w:bookmarkEnd w:id="208"/>
    <w:p>
      <w:pPr>
        <w:jc w:val="both"/>
        <w:spacing w:after="0" w:line="272" w:lineRule="auto"/>
        <w:rPr>
          <w:sz w:val="20"/>
          <w:szCs w:val="20"/>
          <w:color w:val="auto"/>
        </w:rPr>
      </w:pPr>
      <w:r>
        <w:rPr>
          <w:rFonts w:ascii="Arial" w:cs="Arial" w:eastAsia="Arial" w:hAnsi="Arial"/>
          <w:sz w:val="19"/>
          <w:szCs w:val="19"/>
          <w:color w:val="auto"/>
        </w:rPr>
        <w:t>to any fiscal quarter ending on or after June 30, 2017 and prior to the earlier of (x) the Escrow Assumption Date and (y) the termination of the Merger Agreement, an amount of Excess Cash Flow equal to 50% (or, if the Total Leverage Ratio as of the last day of such fiscal quarter was less than or equal to 2.0 to 1.0, 0%) of such Excess Cash Flow for such fiscal quarter shall be deemed for purposes of this definition to have been applied to prepay Loans pursuant to Section 2.09(c)), and (b) was not previously applied pursuant to any of Sections 6.04(c)(iii)(A), 6.04(h), 6.04(m), 6.08(a)(iii), 6.08(a)(viii), 6.08(a)(ix) or 6.08(b)(iv) (or, prior to the Restatement Effective Date, any such Section of the Existing Credit Agreement).</w:t>
      </w:r>
    </w:p>
    <w:p>
      <w:pPr>
        <w:spacing w:after="0" w:line="10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Notes Co-Issuer</w:t>
      </w:r>
      <w:r>
        <w:rPr>
          <w:rFonts w:ascii="Arial" w:cs="Arial" w:eastAsia="Arial" w:hAnsi="Arial"/>
          <w:sz w:val="21"/>
          <w:szCs w:val="21"/>
          <w:color w:val="auto"/>
        </w:rPr>
        <w:t>” means Orchestra Co-Issuer, Inc., a Delaware corporation.</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NYFRB</w:t>
      </w:r>
      <w:r>
        <w:rPr>
          <w:rFonts w:ascii="Arial" w:cs="Arial" w:eastAsia="Arial" w:hAnsi="Arial"/>
          <w:sz w:val="21"/>
          <w:szCs w:val="21"/>
          <w:color w:val="auto"/>
        </w:rPr>
        <w:t>” means the Federal Reserve Bank of New York.</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NYFRB Rate</w:t>
      </w:r>
      <w:r>
        <w:rPr>
          <w:rFonts w:ascii="Arial" w:cs="Arial" w:eastAsia="Arial" w:hAnsi="Arial"/>
          <w:sz w:val="19"/>
          <w:szCs w:val="19"/>
          <w:color w:val="auto"/>
        </w:rPr>
        <w:t>” means, for any day, the greater of (a) the Federal Funds Effective Rate in effect on such day and</w:t>
      </w:r>
    </w:p>
    <w:p>
      <w:pPr>
        <w:spacing w:after="0" w:line="44" w:lineRule="exact"/>
        <w:rPr>
          <w:sz w:val="20"/>
          <w:szCs w:val="20"/>
          <w:color w:val="auto"/>
        </w:rPr>
      </w:pPr>
    </w:p>
    <w:p>
      <w:pPr>
        <w:jc w:val="both"/>
        <w:ind w:firstLine="9"/>
        <w:spacing w:after="0" w:line="270" w:lineRule="auto"/>
        <w:tabs>
          <w:tab w:leader="none" w:pos="302"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Overnight Bank Funding Rate in effect on such date (or for any day that is not a Business Day, for the immediately preceding Business);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none of such rates for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if any of the aforesaid rates shall be less than zero, such rate shall be deemed to be zero for purposes of this Agreement.</w:t>
      </w:r>
    </w:p>
    <w:p>
      <w:pPr>
        <w:spacing w:after="0" w:line="110" w:lineRule="exact"/>
        <w:rPr>
          <w:sz w:val="20"/>
          <w:szCs w:val="20"/>
          <w:color w:val="auto"/>
        </w:rPr>
      </w:pPr>
    </w:p>
    <w:p>
      <w:pPr>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OFAC</w:t>
      </w:r>
      <w:r>
        <w:rPr>
          <w:rFonts w:ascii="Arial" w:cs="Arial" w:eastAsia="Arial" w:hAnsi="Arial"/>
          <w:sz w:val="21"/>
          <w:szCs w:val="21"/>
          <w:color w:val="auto"/>
        </w:rPr>
        <w:t>” has the meaning assigned to such term in Section 3.19(c). “</w:t>
      </w:r>
      <w:r>
        <w:rPr>
          <w:rFonts w:ascii="Arial" w:cs="Arial" w:eastAsia="Arial" w:hAnsi="Arial"/>
          <w:sz w:val="21"/>
          <w:szCs w:val="21"/>
          <w:b w:val="1"/>
          <w:bCs w:val="1"/>
          <w:color w:val="auto"/>
        </w:rPr>
        <w:t>OID</w:t>
      </w:r>
      <w:r>
        <w:rPr>
          <w:rFonts w:ascii="Arial" w:cs="Arial" w:eastAsia="Arial" w:hAnsi="Arial"/>
          <w:sz w:val="21"/>
          <w:szCs w:val="21"/>
          <w:color w:val="auto"/>
        </w:rPr>
        <w:t>” has the meaning assigned to such term in Section 2.18(a)(ii).</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Offered Amount</w:t>
      </w:r>
      <w:r>
        <w:rPr>
          <w:rFonts w:ascii="Arial" w:cs="Arial" w:eastAsia="Arial" w:hAnsi="Arial"/>
          <w:sz w:val="21"/>
          <w:szCs w:val="21"/>
          <w:color w:val="auto"/>
        </w:rPr>
        <w:t>” has the meaning assigned to such term in Section 2.09(a)(ii)(D).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Offered Discount</w:t>
      </w:r>
      <w:r>
        <w:rPr>
          <w:rFonts w:ascii="Arial" w:cs="Arial" w:eastAsia="Arial" w:hAnsi="Arial"/>
          <w:sz w:val="21"/>
          <w:szCs w:val="21"/>
          <w:color w:val="auto"/>
        </w:rPr>
        <w:t>” has the meaning assigned to such term in Section 2.09(a)(ii)(D).</w:t>
      </w:r>
    </w:p>
    <w:p>
      <w:pPr>
        <w:spacing w:after="0" w:line="169" w:lineRule="exact"/>
        <w:rPr>
          <w:sz w:val="20"/>
          <w:szCs w:val="20"/>
          <w:color w:val="auto"/>
        </w:rPr>
      </w:pPr>
    </w:p>
    <w:p>
      <w:pPr>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Organizational Documents</w:t>
      </w:r>
      <w:r>
        <w:rPr>
          <w:rFonts w:ascii="Arial" w:cs="Arial" w:eastAsia="Arial" w:hAnsi="Arial"/>
          <w:sz w:val="21"/>
          <w:szCs w:val="21"/>
          <w:color w:val="auto"/>
        </w:rPr>
        <w:t>” means, with respect to any Person, the charter, articles or certificate of organization or incorporation and bylaws or other organizational or governing documents of such Person.</w:t>
      </w:r>
    </w:p>
    <w:p>
      <w:pPr>
        <w:spacing w:after="0" w:line="120" w:lineRule="exact"/>
        <w:rPr>
          <w:sz w:val="20"/>
          <w:szCs w:val="20"/>
          <w:color w:val="auto"/>
        </w:rPr>
      </w:pPr>
    </w:p>
    <w:p>
      <w:pPr>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Term Lender</w:t>
      </w:r>
      <w:r>
        <w:rPr>
          <w:rFonts w:ascii="Arial" w:cs="Arial" w:eastAsia="Arial" w:hAnsi="Arial"/>
          <w:sz w:val="21"/>
          <w:szCs w:val="21"/>
          <w:color w:val="auto"/>
        </w:rPr>
        <w:t>” means a Lender that holds Original Term Loans immediately prior to the Restatement Effective Date.</w:t>
      </w:r>
    </w:p>
    <w:p>
      <w:pPr>
        <w:spacing w:after="0" w:line="107" w:lineRule="exact"/>
        <w:rPr>
          <w:sz w:val="20"/>
          <w:szCs w:val="20"/>
          <w:color w:val="auto"/>
        </w:rPr>
      </w:pPr>
    </w:p>
    <w:p>
      <w:pPr>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Term Loan</w:t>
      </w:r>
      <w:r>
        <w:rPr>
          <w:rFonts w:ascii="Arial" w:cs="Arial" w:eastAsia="Arial" w:hAnsi="Arial"/>
          <w:sz w:val="21"/>
          <w:szCs w:val="21"/>
          <w:color w:val="auto"/>
        </w:rPr>
        <w:t>” means each “Term Loan” as defined in the Existing Credit Agreement that is outstanding immediately prior to the Restatement Effective Date.</w:t>
      </w:r>
    </w:p>
    <w:p>
      <w:pPr>
        <w:spacing w:after="0" w:line="107" w:lineRule="exact"/>
        <w:rPr>
          <w:sz w:val="20"/>
          <w:szCs w:val="20"/>
          <w:color w:val="auto"/>
        </w:rPr>
      </w:pPr>
    </w:p>
    <w:p>
      <w:pPr>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Revolving Commitments</w:t>
      </w:r>
      <w:r>
        <w:rPr>
          <w:rFonts w:ascii="Arial" w:cs="Arial" w:eastAsia="Arial" w:hAnsi="Arial"/>
          <w:sz w:val="21"/>
          <w:szCs w:val="21"/>
          <w:color w:val="auto"/>
        </w:rPr>
        <w:t>” means one or more Classes of revolving credit commitments hereunder or extended Revolving Commitments that result from a Refinancing Amendment.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09" w:name="page210"/>
    <w:bookmarkEnd w:id="209"/>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Revolving Loans</w:t>
      </w:r>
      <w:r>
        <w:rPr>
          <w:rFonts w:ascii="Arial" w:cs="Arial" w:eastAsia="Arial" w:hAnsi="Arial"/>
          <w:sz w:val="20"/>
          <w:szCs w:val="20"/>
          <w:color w:val="auto"/>
        </w:rPr>
        <w:t>” means the Revolving Loans made pursuant to any Other Revolving Commitment.</w:t>
      </w:r>
    </w:p>
    <w:p>
      <w:pPr>
        <w:spacing w:after="0" w:line="181"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Taxes</w:t>
      </w:r>
      <w:r>
        <w:rPr>
          <w:rFonts w:ascii="Arial" w:cs="Arial" w:eastAsia="Arial" w:hAnsi="Arial"/>
          <w:sz w:val="21"/>
          <w:szCs w:val="21"/>
          <w:color w:val="auto"/>
        </w:rPr>
        <w:t>” means any and all present or future recording, stamp, documentary, excise, transfer, sales, property or similar Taxes, charges or levies arising from any payment made under any Loan Document or from the execution, delivery or enforcement of, or otherwise with respect to, any Loan Document.</w:t>
      </w:r>
    </w:p>
    <w:p>
      <w:pPr>
        <w:spacing w:after="0" w:line="136"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Term Commitments</w:t>
      </w:r>
      <w:r>
        <w:rPr>
          <w:rFonts w:ascii="Arial" w:cs="Arial" w:eastAsia="Arial" w:hAnsi="Arial"/>
          <w:sz w:val="21"/>
          <w:szCs w:val="21"/>
          <w:color w:val="auto"/>
        </w:rPr>
        <w:t>” means one or more Classes of term loan commitments hereunder that result from a Refinancing Amendment.</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Other Term Loans</w:t>
      </w:r>
      <w:r>
        <w:rPr>
          <w:rFonts w:ascii="Arial" w:cs="Arial" w:eastAsia="Arial" w:hAnsi="Arial"/>
          <w:sz w:val="20"/>
          <w:szCs w:val="20"/>
          <w:color w:val="auto"/>
        </w:rPr>
        <w:t>” means one or more Classes of Term Loans that result from a Refinancing Amendment.</w:t>
      </w:r>
    </w:p>
    <w:p>
      <w:pPr>
        <w:spacing w:after="0" w:line="180"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Overnight Bank Funding Rate</w:t>
      </w:r>
      <w:r>
        <w:rPr>
          <w:rFonts w:ascii="Arial" w:cs="Arial" w:eastAsia="Arial" w:hAnsi="Arial"/>
          <w:sz w:val="21"/>
          <w:szCs w:val="21"/>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w:t>
      </w:r>
      <w:r>
        <w:rPr>
          <w:rFonts w:ascii="Arial" w:cs="Arial" w:eastAsia="Arial" w:hAnsi="Arial"/>
          <w:sz w:val="21"/>
          <w:szCs w:val="21"/>
          <w:color w:val="auto"/>
        </w:rPr>
        <w:t>” has the meaning assigned to such term in Section 9.04(c).</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Participant Register</w:t>
      </w:r>
      <w:r>
        <w:rPr>
          <w:rFonts w:ascii="Arial" w:cs="Arial" w:eastAsia="Arial" w:hAnsi="Arial"/>
          <w:sz w:val="21"/>
          <w:szCs w:val="21"/>
          <w:color w:val="auto"/>
        </w:rPr>
        <w:t>” has the meaning assigned to such term in Section 9.04(c)(ii).</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Participating Lender</w:t>
      </w:r>
      <w:r>
        <w:rPr>
          <w:rFonts w:ascii="Arial" w:cs="Arial" w:eastAsia="Arial" w:hAnsi="Arial"/>
          <w:sz w:val="21"/>
          <w:szCs w:val="21"/>
          <w:color w:val="auto"/>
        </w:rPr>
        <w:t>” has the meaning assigned to such term in Section 2.09(a)(ii)(C).</w:t>
      </w:r>
    </w:p>
    <w:p>
      <w:pPr>
        <w:spacing w:after="0" w:line="182"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PBGC</w:t>
      </w:r>
      <w:r>
        <w:rPr>
          <w:rFonts w:ascii="Arial" w:cs="Arial" w:eastAsia="Arial" w:hAnsi="Arial"/>
          <w:sz w:val="21"/>
          <w:szCs w:val="21"/>
          <w:color w:val="auto"/>
        </w:rPr>
        <w:t>” means the Pension Benefit Guaranty Corporation referred to and defined in ERISA and any successor entity performing similar functions.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Perfection Certificate</w:t>
      </w:r>
      <w:r>
        <w:rPr>
          <w:rFonts w:ascii="Arial" w:cs="Arial" w:eastAsia="Arial" w:hAnsi="Arial"/>
          <w:sz w:val="21"/>
          <w:szCs w:val="21"/>
          <w:color w:val="auto"/>
        </w:rPr>
        <w:t>” means a certificate substantially in the form of Exhibit C.</w:t>
      </w:r>
    </w:p>
    <w:p>
      <w:pPr>
        <w:spacing w:after="0" w:line="169"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Acquisition</w:t>
      </w:r>
      <w:r>
        <w:rPr>
          <w:rFonts w:ascii="Arial" w:cs="Arial" w:eastAsia="Arial" w:hAnsi="Arial"/>
          <w:sz w:val="19"/>
          <w:szCs w:val="19"/>
          <w:color w:val="auto"/>
        </w:rPr>
        <w:t xml:space="preserve">” means the purchase or other acquisition, by merger or otherwise, by Holdings or any Restricted Subsidiary of Equity Interests in, or all or substantially all the assets of (or all or substantially all the assets constituting a business unit, division, product line or line of business of), any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in the case of any purchase or other acquisition of Equity Interests in a Person, such Person, upon the consummation of such acquisition, will be a Restricted Subsidiary (including as a result of a merger or consolidation between any Restricted Subsidiary and such Person), (b) all transactions related thereto are consummated in accordance with all Requirements of Law, (c) the business of such Person, or such assets, as the case may be, constitute a business permitted by Section 6.03(b), (d) with respect to each such purchase or other acquisition, all actions required to be taken with respect to such newly created or acquired Restricted Subsidiary (including each subsidiary thereof) or assets in order to satisfy the requirements set forth in clauses (a), (b), (c) and (d) of the definition of the term “Collateral and Guarantee Requirement” to the extent applicable shall have been taken (or arrangements for the taking of such actions reasonably satisfactory to the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210" w:name="page211"/>
    <w:bookmarkEnd w:id="210"/>
    <w:p>
      <w:pPr>
        <w:jc w:val="both"/>
        <w:spacing w:after="0" w:line="255" w:lineRule="auto"/>
        <w:rPr>
          <w:sz w:val="20"/>
          <w:szCs w:val="20"/>
          <w:color w:val="auto"/>
        </w:rPr>
      </w:pPr>
      <w:r>
        <w:rPr>
          <w:rFonts w:ascii="Arial" w:cs="Arial" w:eastAsia="Arial" w:hAnsi="Arial"/>
          <w:sz w:val="20"/>
          <w:szCs w:val="20"/>
          <w:color w:val="auto"/>
        </w:rPr>
        <w:t>Administrative Agent shall have been made), (e) after giving effect to any such purchase or other acquisition and any incurrence or assumption of Indebtedness in connection therewith, (A) no Event of Default shall have occurred and be continuing and (B) the Borrower shall be in compliance with the Financial Performance Covenants on a Pro Forma Basis as of the end of the most recent Test Period for which financial statements are available and (f) Holdings shall have delivered to the Administrative Agent a certificate of a Financial Officer certifying that all the requirements set forth in this definition have been satisfied with respect to such purchase or other acquisition, together with reasonably detailed calculations demonstrating satisfaction of the requirement set forth in clause (e) above.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Encumbrances</w:t>
      </w:r>
      <w:r>
        <w:rPr>
          <w:rFonts w:ascii="Arial" w:cs="Arial" w:eastAsia="Arial" w:hAnsi="Arial"/>
          <w:sz w:val="21"/>
          <w:szCs w:val="21"/>
          <w:color w:val="auto"/>
        </w:rPr>
        <w:t>” means:</w:t>
      </w:r>
    </w:p>
    <w:p>
      <w:pPr>
        <w:spacing w:after="0" w:line="188" w:lineRule="exact"/>
        <w:rPr>
          <w:sz w:val="20"/>
          <w:szCs w:val="20"/>
          <w:color w:val="auto"/>
        </w:rPr>
      </w:pPr>
    </w:p>
    <w:p>
      <w:pPr>
        <w:jc w:val="both"/>
        <w:ind w:firstLine="644"/>
        <w:spacing w:after="0" w:line="268" w:lineRule="auto"/>
        <w:tabs>
          <w:tab w:leader="none" w:pos="928" w:val="left"/>
        </w:tabs>
        <w:numPr>
          <w:ilvl w:val="0"/>
          <w:numId w:val="85"/>
        </w:numPr>
        <w:rPr>
          <w:rFonts w:ascii="Arial" w:cs="Arial" w:eastAsia="Arial" w:hAnsi="Arial"/>
          <w:sz w:val="20"/>
          <w:szCs w:val="20"/>
          <w:color w:val="auto"/>
        </w:rPr>
      </w:pPr>
      <w:r>
        <w:rPr>
          <w:rFonts w:ascii="Arial" w:cs="Arial" w:eastAsia="Arial" w:hAnsi="Arial"/>
          <w:sz w:val="20"/>
          <w:szCs w:val="20"/>
          <w:color w:val="auto"/>
        </w:rPr>
        <w:t>Liens for taxes, assessments or governmental charges that are not overdue for a period of more than 30 days or that are being contested in good faith and by appropriate proceedings diligently conducted, if adequate reserves with respect thereto are maintained on the books of the applicable Person in accordance with GAAP;</w:t>
      </w:r>
    </w:p>
    <w:p>
      <w:pPr>
        <w:spacing w:after="0" w:line="115" w:lineRule="exact"/>
        <w:rPr>
          <w:rFonts w:ascii="Arial" w:cs="Arial" w:eastAsia="Arial" w:hAnsi="Arial"/>
          <w:sz w:val="20"/>
          <w:szCs w:val="20"/>
          <w:color w:val="auto"/>
        </w:rPr>
      </w:pPr>
    </w:p>
    <w:p>
      <w:pPr>
        <w:jc w:val="both"/>
        <w:ind w:firstLine="644"/>
        <w:spacing w:after="0" w:line="272" w:lineRule="auto"/>
        <w:tabs>
          <w:tab w:leader="none" w:pos="1011" w:val="left"/>
        </w:tabs>
        <w:numPr>
          <w:ilvl w:val="0"/>
          <w:numId w:val="85"/>
        </w:numPr>
        <w:rPr>
          <w:rFonts w:ascii="Arial" w:cs="Arial" w:eastAsia="Arial" w:hAnsi="Arial"/>
          <w:sz w:val="19"/>
          <w:szCs w:val="19"/>
          <w:color w:val="auto"/>
        </w:rPr>
      </w:pPr>
      <w:r>
        <w:rPr>
          <w:rFonts w:ascii="Arial" w:cs="Arial" w:eastAsia="Arial" w:hAnsi="Arial"/>
          <w:sz w:val="19"/>
          <w:szCs w:val="19"/>
          <w:color w:val="auto"/>
        </w:rPr>
        <w:t>Liens imposed by law, such as carriers’, warehousemen’s, mechanics’, materialmen’s, repairmen’s or construction contractors’ Liens and other similar Liens, in each case arising in the ordinary course of business that secure amounts not overdue for a period of more than 30 days or, if more than 30 days overdue, are unfiled and no other action has been taken to enforce such Lien or that are being contested in good faith and by appropriate proceedings diligently conducted, if adequate reserves with respect thereto are maintained on the books of the applicable Person in accordance with GAAP, in each case so long as such Liens do not individually or in the aggregate have a Material Adverse Effect;</w:t>
      </w:r>
    </w:p>
    <w:p>
      <w:pPr>
        <w:spacing w:after="0" w:line="114" w:lineRule="exact"/>
        <w:rPr>
          <w:rFonts w:ascii="Arial" w:cs="Arial" w:eastAsia="Arial" w:hAnsi="Arial"/>
          <w:sz w:val="19"/>
          <w:szCs w:val="19"/>
          <w:color w:val="auto"/>
        </w:rPr>
      </w:pPr>
    </w:p>
    <w:p>
      <w:pPr>
        <w:jc w:val="both"/>
        <w:ind w:firstLine="644"/>
        <w:spacing w:after="0" w:line="279" w:lineRule="auto"/>
        <w:tabs>
          <w:tab w:leader="none" w:pos="996" w:val="left"/>
        </w:tabs>
        <w:numPr>
          <w:ilvl w:val="0"/>
          <w:numId w:val="85"/>
        </w:numPr>
        <w:rPr>
          <w:rFonts w:ascii="Arial" w:cs="Arial" w:eastAsia="Arial" w:hAnsi="Arial"/>
          <w:sz w:val="19"/>
          <w:szCs w:val="19"/>
          <w:color w:val="auto"/>
        </w:rPr>
      </w:pPr>
      <w:r>
        <w:rPr>
          <w:rFonts w:ascii="Arial" w:cs="Arial" w:eastAsia="Arial" w:hAnsi="Arial"/>
          <w:sz w:val="19"/>
          <w:szCs w:val="19"/>
          <w:color w:val="auto"/>
        </w:rPr>
        <w:t>Liens incurred or deposits made in the ordinary course of business (i) in connection with workers’ compensation, unemployment insurance and other social security legislation and (ii) securing liability for reimbursement or indemnification obligations of (including obligations in respect of letters of credit or bank guarantees for the benefit of) insurance carriers providing property, casualty or liability insurance to Holdings or any Restricted Subsidiary;</w:t>
      </w:r>
    </w:p>
    <w:p>
      <w:pPr>
        <w:spacing w:after="0" w:line="121" w:lineRule="exact"/>
        <w:rPr>
          <w:rFonts w:ascii="Arial" w:cs="Arial" w:eastAsia="Arial" w:hAnsi="Arial"/>
          <w:sz w:val="19"/>
          <w:szCs w:val="19"/>
          <w:color w:val="auto"/>
        </w:rPr>
      </w:pPr>
    </w:p>
    <w:p>
      <w:pPr>
        <w:jc w:val="both"/>
        <w:ind w:firstLine="644"/>
        <w:spacing w:after="0" w:line="245" w:lineRule="auto"/>
        <w:tabs>
          <w:tab w:leader="none" w:pos="940" w:val="left"/>
        </w:tabs>
        <w:numPr>
          <w:ilvl w:val="0"/>
          <w:numId w:val="85"/>
        </w:numPr>
        <w:rPr>
          <w:rFonts w:ascii="Arial" w:cs="Arial" w:eastAsia="Arial" w:hAnsi="Arial"/>
          <w:sz w:val="21"/>
          <w:szCs w:val="21"/>
          <w:color w:val="auto"/>
        </w:rPr>
      </w:pPr>
      <w:r>
        <w:rPr>
          <w:rFonts w:ascii="Arial" w:cs="Arial" w:eastAsia="Arial" w:hAnsi="Arial"/>
          <w:sz w:val="21"/>
          <w:szCs w:val="21"/>
          <w:color w:val="auto"/>
        </w:rPr>
        <w:t>Liens incurred or deposits made to secure the performance of bids, trade contracts, governmental contracts and leases, statutory obligations, surety, stay, customs and appeal bonds, performance bonds and other obligations of a like nature (including those to secure health, safety and environmental obligations), in each case incurred in the ordinary course of business;</w:t>
      </w:r>
    </w:p>
    <w:p>
      <w:pPr>
        <w:spacing w:after="0" w:line="138" w:lineRule="exact"/>
        <w:rPr>
          <w:rFonts w:ascii="Arial" w:cs="Arial" w:eastAsia="Arial" w:hAnsi="Arial"/>
          <w:sz w:val="21"/>
          <w:szCs w:val="21"/>
          <w:color w:val="auto"/>
        </w:rPr>
      </w:pPr>
    </w:p>
    <w:p>
      <w:pPr>
        <w:jc w:val="both"/>
        <w:ind w:firstLine="644"/>
        <w:spacing w:after="0" w:line="250" w:lineRule="auto"/>
        <w:tabs>
          <w:tab w:leader="none" w:pos="943" w:val="left"/>
        </w:tabs>
        <w:numPr>
          <w:ilvl w:val="0"/>
          <w:numId w:val="85"/>
        </w:numPr>
        <w:rPr>
          <w:rFonts w:ascii="Arial" w:cs="Arial" w:eastAsia="Arial" w:hAnsi="Arial"/>
          <w:sz w:val="21"/>
          <w:szCs w:val="21"/>
          <w:color w:val="auto"/>
        </w:rPr>
      </w:pPr>
      <w:r>
        <w:rPr>
          <w:rFonts w:ascii="Arial" w:cs="Arial" w:eastAsia="Arial" w:hAnsi="Arial"/>
          <w:sz w:val="21"/>
          <w:szCs w:val="21"/>
          <w:color w:val="auto"/>
        </w:rPr>
        <w:t>easements, rights-of-way, restrictions, encroachments, protrusions and other similar encumbrances and minor title defects affecting real property that, in the aggregate, do not in any case materially interfere with the ordinary conduct of the business of Holdings and its Restricted Subsidiaries, taken as a whole;</w:t>
      </w:r>
    </w:p>
    <w:p>
      <w:pPr>
        <w:spacing w:after="0" w:line="131" w:lineRule="exact"/>
        <w:rPr>
          <w:rFonts w:ascii="Arial" w:cs="Arial" w:eastAsia="Arial" w:hAnsi="Arial"/>
          <w:sz w:val="21"/>
          <w:szCs w:val="21"/>
          <w:color w:val="auto"/>
        </w:rPr>
      </w:pPr>
    </w:p>
    <w:p>
      <w:pPr>
        <w:ind w:left="920" w:hanging="276"/>
        <w:spacing w:after="0"/>
        <w:tabs>
          <w:tab w:leader="none" w:pos="920" w:val="left"/>
        </w:tabs>
        <w:numPr>
          <w:ilvl w:val="0"/>
          <w:numId w:val="85"/>
        </w:numPr>
        <w:rPr>
          <w:rFonts w:ascii="Arial" w:cs="Arial" w:eastAsia="Arial" w:hAnsi="Arial"/>
          <w:sz w:val="19"/>
          <w:szCs w:val="19"/>
          <w:color w:val="auto"/>
        </w:rPr>
      </w:pPr>
      <w:r>
        <w:rPr>
          <w:rFonts w:ascii="Arial" w:cs="Arial" w:eastAsia="Arial" w:hAnsi="Arial"/>
          <w:sz w:val="19"/>
          <w:szCs w:val="19"/>
          <w:color w:val="auto"/>
        </w:rPr>
        <w:t>Liens securing, or otherwise arising from, judgments not constituting an Event of Default under Section 7.01(j);</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11" w:name="page212"/>
    <w:bookmarkEnd w:id="211"/>
    <w:p>
      <w:pPr>
        <w:jc w:val="both"/>
        <w:ind w:right="20" w:firstLine="644"/>
        <w:spacing w:after="0" w:line="289" w:lineRule="auto"/>
        <w:tabs>
          <w:tab w:leader="none" w:pos="93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Liens on goods the purchase price of which is financed by a documentary letter of credit issued for the account of Holdings or any of its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Lien secures only the obligations of Holdings or such Restricted Subsidiaries in respect of such letter of credit to the extent such obligations are permitted by Section 6.01; and</w:t>
      </w:r>
    </w:p>
    <w:p>
      <w:pPr>
        <w:spacing w:after="0" w:line="97" w:lineRule="exact"/>
        <w:rPr>
          <w:rFonts w:ascii="Arial" w:cs="Arial" w:eastAsia="Arial" w:hAnsi="Arial"/>
          <w:sz w:val="19"/>
          <w:szCs w:val="19"/>
          <w:color w:val="auto"/>
        </w:rPr>
      </w:pPr>
    </w:p>
    <w:p>
      <w:pPr>
        <w:ind w:firstLine="644"/>
        <w:spacing w:after="0" w:line="263" w:lineRule="auto"/>
        <w:tabs>
          <w:tab w:leader="none" w:pos="957" w:val="left"/>
        </w:tabs>
        <w:numPr>
          <w:ilvl w:val="0"/>
          <w:numId w:val="86"/>
        </w:numPr>
        <w:rPr>
          <w:rFonts w:ascii="Arial" w:cs="Arial" w:eastAsia="Arial" w:hAnsi="Arial"/>
          <w:sz w:val="21"/>
          <w:szCs w:val="21"/>
          <w:color w:val="auto"/>
        </w:rPr>
      </w:pPr>
      <w:r>
        <w:rPr>
          <w:rFonts w:ascii="Arial" w:cs="Arial" w:eastAsia="Arial" w:hAnsi="Arial"/>
          <w:sz w:val="21"/>
          <w:szCs w:val="21"/>
          <w:color w:val="auto"/>
        </w:rPr>
        <w:t>Liens arising from precautionary Uniform Commercial Code financing statements or similar filings made in respect of operating leases entered into by Holdings or any of its Restricted Subsidiaries;</w:t>
      </w:r>
    </w:p>
    <w:p>
      <w:pPr>
        <w:spacing w:after="0" w:line="13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term “Permitted Encumbrances” shall not include any Lien securing Indebtedness other than Liens</w:t>
      </w:r>
      <w:r>
        <w:rPr>
          <w:rFonts w:ascii="Arial" w:cs="Arial" w:eastAsia="Arial" w:hAnsi="Arial"/>
          <w:sz w:val="20"/>
          <w:szCs w:val="20"/>
          <w:i w:val="1"/>
          <w:iCs w:val="1"/>
          <w:color w:val="auto"/>
        </w:rPr>
        <w:t xml:space="preserve"> </w:t>
      </w:r>
      <w:r>
        <w:rPr>
          <w:rFonts w:ascii="Arial" w:cs="Arial" w:eastAsia="Arial" w:hAnsi="Arial"/>
          <w:sz w:val="20"/>
          <w:szCs w:val="20"/>
          <w:color w:val="auto"/>
        </w:rPr>
        <w:t>referred to in clause (c) above securing obligations under letters of credit or bank guarantees and in clause (g) above.</w:t>
      </w:r>
    </w:p>
    <w:p>
      <w:pPr>
        <w:spacing w:after="0" w:line="90"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First Priority Refinancing Debt</w:t>
      </w:r>
      <w:r>
        <w:rPr>
          <w:rFonts w:ascii="Arial" w:cs="Arial" w:eastAsia="Arial" w:hAnsi="Arial"/>
          <w:sz w:val="19"/>
          <w:szCs w:val="19"/>
          <w:color w:val="auto"/>
        </w:rPr>
        <w:t xml:space="preserve">” means any secured Indebtedness incurred by the Borrower in the form of one or more series of senior secured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Indebtedness is secured by the Collateral on a pari passu basis (but without regard to the control of remedies) with the Loan Document Obligations and is not secured by any property or assets of Holdings, any Intermediate Parent, the Borrower or any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are substantially the same as the Security Documents (with such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First Lien Intercreditor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the initial Permitted First Priority Refinancing Debt incurred by the Borrower, then the Loan Parties, the Administrative Agent and the Senior Representative for such Indebtedness shall have executed and delivered the First Lien Intercreditor Agreement. Permitted First Priority Refinancing Debt will include any Registered Equivalent Notes issued in exchange therefor.</w:t>
      </w:r>
    </w:p>
    <w:p>
      <w:pPr>
        <w:spacing w:after="0" w:line="125"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Holders</w:t>
      </w:r>
      <w:r>
        <w:rPr>
          <w:rFonts w:ascii="Arial" w:cs="Arial" w:eastAsia="Arial" w:hAnsi="Arial"/>
          <w:sz w:val="20"/>
          <w:szCs w:val="20"/>
          <w:color w:val="auto"/>
        </w:rPr>
        <w:t>” means (i) the VV Holders, (ii) North Island Holdings I, LP and any Affiliate thereof, (iii) Aranda Investments Pte. Ltd. and any Affiliate thereof, (iv) any group (within the meaning of Section 13(d)(3) or Section 14(d)(2) of the Exchange Act or any successor provision) the members of which include any of the foregoing, so long as no Person or other “group” (other than Permitted Holders specified in clauses (i) through (iii) above) beneficially owns more than 50% on a fully diluted basis of the voting power held by such Permitted Holder group and (v) Virtu Financial, Inc. and its Subsidiaries, so long as no “person” or “group” (as each such term is used in Section 13(d) of the Exchange Act)) other than one or more Permitted Holders specified in clauses (i) through (iv) above is or becomes the Beneficial Owner, directly or indirectly, of more than 50% of the Voting Stock of Virtu Financial, Inc. or any such Subsidiary, measured by voting power rather than number of shares, units or the like.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12" w:name="page213"/>
    <w:bookmarkEnd w:id="212"/>
    <w:p>
      <w:pPr>
        <w:ind w:right="20" w:firstLine="635"/>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Investments</w:t>
      </w:r>
      <w:r>
        <w:rPr>
          <w:rFonts w:ascii="Arial" w:cs="Arial" w:eastAsia="Arial" w:hAnsi="Arial"/>
          <w:sz w:val="21"/>
          <w:szCs w:val="21"/>
          <w:color w:val="auto"/>
        </w:rPr>
        <w:t>” means any of the following, to the extent owned by Holdings or any Restricted Subsidiary:</w:t>
      </w:r>
    </w:p>
    <w:p>
      <w:pPr>
        <w:spacing w:after="0" w:line="111" w:lineRule="exact"/>
        <w:rPr>
          <w:sz w:val="20"/>
          <w:szCs w:val="20"/>
          <w:color w:val="auto"/>
        </w:rPr>
      </w:pPr>
    </w:p>
    <w:p>
      <w:pPr>
        <w:ind w:left="940" w:hanging="296"/>
        <w:spacing w:after="0"/>
        <w:tabs>
          <w:tab w:leader="none" w:pos="940" w:val="left"/>
        </w:tabs>
        <w:numPr>
          <w:ilvl w:val="1"/>
          <w:numId w:val="87"/>
        </w:numPr>
        <w:rPr>
          <w:rFonts w:ascii="Arial" w:cs="Arial" w:eastAsia="Arial" w:hAnsi="Arial"/>
          <w:sz w:val="21"/>
          <w:szCs w:val="21"/>
          <w:color w:val="auto"/>
        </w:rPr>
      </w:pPr>
      <w:r>
        <w:rPr>
          <w:rFonts w:ascii="Arial" w:cs="Arial" w:eastAsia="Arial" w:hAnsi="Arial"/>
          <w:sz w:val="21"/>
          <w:szCs w:val="21"/>
          <w:color w:val="auto"/>
        </w:rPr>
        <w:t>dollars, euro or such other currencies held by it from time to time in the ordinary course of business;</w:t>
      </w:r>
    </w:p>
    <w:p>
      <w:pPr>
        <w:spacing w:after="0" w:line="181" w:lineRule="exact"/>
        <w:rPr>
          <w:rFonts w:ascii="Arial" w:cs="Arial" w:eastAsia="Arial" w:hAnsi="Arial"/>
          <w:sz w:val="21"/>
          <w:szCs w:val="21"/>
          <w:color w:val="auto"/>
        </w:rPr>
      </w:pPr>
    </w:p>
    <w:p>
      <w:pPr>
        <w:jc w:val="both"/>
        <w:ind w:firstLine="644"/>
        <w:spacing w:after="0" w:line="245" w:lineRule="auto"/>
        <w:tabs>
          <w:tab w:leader="none" w:pos="964" w:val="left"/>
        </w:tabs>
        <w:numPr>
          <w:ilvl w:val="1"/>
          <w:numId w:val="87"/>
        </w:numPr>
        <w:rPr>
          <w:rFonts w:ascii="Arial" w:cs="Arial" w:eastAsia="Arial" w:hAnsi="Arial"/>
          <w:sz w:val="21"/>
          <w:szCs w:val="21"/>
          <w:color w:val="auto"/>
        </w:rPr>
      </w:pPr>
      <w:r>
        <w:rPr>
          <w:rFonts w:ascii="Arial" w:cs="Arial" w:eastAsia="Arial" w:hAnsi="Arial"/>
          <w:sz w:val="21"/>
          <w:szCs w:val="21"/>
          <w:color w:val="auto"/>
        </w:rPr>
        <w:t xml:space="preserve">readily marketable obligations issued or directly and fully guaranteed or insured by the government or any agency or instrumentality of (i) the United States or (ii) any member nation of the European Union, having average maturities of not more than 12 months from the date of acquisition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full faith and credit of the United States or a member nation of the European Union is pledged in support thereof;</w:t>
      </w:r>
    </w:p>
    <w:p>
      <w:pPr>
        <w:spacing w:after="0" w:line="138" w:lineRule="exact"/>
        <w:rPr>
          <w:rFonts w:ascii="Arial" w:cs="Arial" w:eastAsia="Arial" w:hAnsi="Arial"/>
          <w:sz w:val="21"/>
          <w:szCs w:val="21"/>
          <w:color w:val="auto"/>
        </w:rPr>
      </w:pPr>
    </w:p>
    <w:p>
      <w:pPr>
        <w:jc w:val="both"/>
        <w:ind w:firstLine="644"/>
        <w:spacing w:after="0" w:line="271" w:lineRule="auto"/>
        <w:tabs>
          <w:tab w:leader="none" w:pos="926" w:val="left"/>
        </w:tabs>
        <w:numPr>
          <w:ilvl w:val="1"/>
          <w:numId w:val="87"/>
        </w:numPr>
        <w:rPr>
          <w:rFonts w:ascii="Arial" w:cs="Arial" w:eastAsia="Arial" w:hAnsi="Arial"/>
          <w:sz w:val="19"/>
          <w:szCs w:val="19"/>
          <w:color w:val="auto"/>
        </w:rPr>
      </w:pPr>
      <w:r>
        <w:rPr>
          <w:rFonts w:ascii="Arial" w:cs="Arial" w:eastAsia="Arial" w:hAnsi="Arial"/>
          <w:sz w:val="19"/>
          <w:szCs w:val="19"/>
          <w:color w:val="auto"/>
        </w:rPr>
        <w:t>time deposits with, or insured certificates of deposit or bankers’ acceptances of, any commercial bank that (i) is a Lender or (ii) has combined capital and surplus of at least $250,000,000 (any such bank in the foregoing clauses (i) or</w:t>
      </w:r>
    </w:p>
    <w:p>
      <w:pPr>
        <w:ind w:firstLine="9"/>
        <w:spacing w:after="0" w:line="245" w:lineRule="auto"/>
        <w:tabs>
          <w:tab w:leader="none" w:pos="342" w:val="left"/>
        </w:tabs>
        <w:numPr>
          <w:ilvl w:val="0"/>
          <w:numId w:val="88"/>
        </w:numPr>
        <w:rPr>
          <w:rFonts w:ascii="Arial" w:cs="Arial" w:eastAsia="Arial" w:hAnsi="Arial"/>
          <w:sz w:val="21"/>
          <w:szCs w:val="21"/>
          <w:color w:val="auto"/>
        </w:rPr>
      </w:pPr>
      <w:r>
        <w:rPr>
          <w:rFonts w:ascii="Arial" w:cs="Arial" w:eastAsia="Arial" w:hAnsi="Arial"/>
          <w:sz w:val="21"/>
          <w:szCs w:val="21"/>
          <w:color w:val="auto"/>
        </w:rPr>
        <w:t>being an “</w:t>
      </w:r>
      <w:r>
        <w:rPr>
          <w:rFonts w:ascii="Arial" w:cs="Arial" w:eastAsia="Arial" w:hAnsi="Arial"/>
          <w:sz w:val="21"/>
          <w:szCs w:val="21"/>
          <w:b w:val="1"/>
          <w:bCs w:val="1"/>
          <w:color w:val="auto"/>
        </w:rPr>
        <w:t>Approved Bank</w:t>
      </w:r>
      <w:r>
        <w:rPr>
          <w:rFonts w:ascii="Arial" w:cs="Arial" w:eastAsia="Arial" w:hAnsi="Arial"/>
          <w:sz w:val="21"/>
          <w:szCs w:val="21"/>
          <w:color w:val="auto"/>
        </w:rPr>
        <w:t>”), in each case with average maturities of not more than 12 months from the date of acquisition thereof;</w:t>
      </w:r>
    </w:p>
    <w:p>
      <w:pPr>
        <w:spacing w:after="0" w:line="137" w:lineRule="exact"/>
        <w:rPr>
          <w:rFonts w:ascii="Arial" w:cs="Arial" w:eastAsia="Arial" w:hAnsi="Arial"/>
          <w:sz w:val="21"/>
          <w:szCs w:val="21"/>
          <w:color w:val="auto"/>
        </w:rPr>
      </w:pPr>
    </w:p>
    <w:p>
      <w:pPr>
        <w:jc w:val="both"/>
        <w:ind w:firstLine="644"/>
        <w:spacing w:after="0" w:line="245" w:lineRule="auto"/>
        <w:tabs>
          <w:tab w:leader="none" w:pos="961" w:val="left"/>
        </w:tabs>
        <w:numPr>
          <w:ilvl w:val="1"/>
          <w:numId w:val="88"/>
        </w:numPr>
        <w:rPr>
          <w:rFonts w:ascii="Arial" w:cs="Arial" w:eastAsia="Arial" w:hAnsi="Arial"/>
          <w:sz w:val="21"/>
          <w:szCs w:val="21"/>
          <w:color w:val="auto"/>
        </w:rPr>
      </w:pPr>
      <w:r>
        <w:rPr>
          <w:rFonts w:ascii="Arial" w:cs="Arial" w:eastAsia="Arial" w:hAnsi="Arial"/>
          <w:sz w:val="21"/>
          <w:szCs w:val="21"/>
          <w:color w:val="auto"/>
        </w:rPr>
        <w:t>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12 months from the date of acquisition thereof;</w:t>
      </w:r>
    </w:p>
    <w:p>
      <w:pPr>
        <w:spacing w:after="0" w:line="151" w:lineRule="exact"/>
        <w:rPr>
          <w:rFonts w:ascii="Arial" w:cs="Arial" w:eastAsia="Arial" w:hAnsi="Arial"/>
          <w:sz w:val="21"/>
          <w:szCs w:val="21"/>
          <w:color w:val="auto"/>
        </w:rPr>
      </w:pPr>
    </w:p>
    <w:p>
      <w:pPr>
        <w:jc w:val="both"/>
        <w:ind w:firstLine="644"/>
        <w:spacing w:after="0" w:line="256" w:lineRule="auto"/>
        <w:tabs>
          <w:tab w:leader="none" w:pos="927" w:val="left"/>
        </w:tabs>
        <w:numPr>
          <w:ilvl w:val="1"/>
          <w:numId w:val="88"/>
        </w:numPr>
        <w:rPr>
          <w:rFonts w:ascii="Arial" w:cs="Arial" w:eastAsia="Arial" w:hAnsi="Arial"/>
          <w:sz w:val="20"/>
          <w:szCs w:val="20"/>
          <w:color w:val="auto"/>
        </w:rPr>
      </w:pPr>
      <w:r>
        <w:rPr>
          <w:rFonts w:ascii="Arial" w:cs="Arial" w:eastAsia="Arial" w:hAnsi="Arial"/>
          <w:sz w:val="20"/>
          <w:szCs w:val="20"/>
          <w:color w:val="auto"/>
        </w:rPr>
        <w:t>repurchase agreements entered into by any Person with an Approved Bank, a bank or trust company (including any of the Lenders) or recognized securities dealer, in each case, having capital and surplus in excess of $250,000,000 for direct obligations issued by or fully guaranteed or insured by the government or any agency or instrumentality of (i) the United States or (ii) any member nation of the European Union (other than Greece), in which such Person shall have a perfected first priority security interest (subject to no other Liens) and having, on the date of purchase thereof, a fair market value of at least 100% of the amount of the repurchase obligations;</w:t>
      </w:r>
    </w:p>
    <w:p>
      <w:pPr>
        <w:spacing w:after="0" w:line="128" w:lineRule="exact"/>
        <w:rPr>
          <w:rFonts w:ascii="Arial" w:cs="Arial" w:eastAsia="Arial" w:hAnsi="Arial"/>
          <w:sz w:val="20"/>
          <w:szCs w:val="20"/>
          <w:color w:val="auto"/>
        </w:rPr>
      </w:pPr>
    </w:p>
    <w:p>
      <w:pPr>
        <w:jc w:val="both"/>
        <w:ind w:firstLine="644"/>
        <w:spacing w:after="0" w:line="268" w:lineRule="auto"/>
        <w:tabs>
          <w:tab w:leader="none" w:pos="941" w:val="left"/>
        </w:tabs>
        <w:numPr>
          <w:ilvl w:val="1"/>
          <w:numId w:val="88"/>
        </w:numPr>
        <w:rPr>
          <w:rFonts w:ascii="Arial" w:cs="Arial" w:eastAsia="Arial" w:hAnsi="Arial"/>
          <w:sz w:val="20"/>
          <w:szCs w:val="20"/>
          <w:color w:val="auto"/>
        </w:rPr>
      </w:pPr>
      <w:r>
        <w:rPr>
          <w:rFonts w:ascii="Arial" w:cs="Arial" w:eastAsia="Arial" w:hAnsi="Arial"/>
          <w:sz w:val="20"/>
          <w:szCs w:val="20"/>
          <w:color w:val="auto"/>
        </w:rPr>
        <w:t>marketable short-term money market and similar highly liquid funds either (i) having assets in excess of $250,000,000 or (ii) having a rating of at least A-2 or P-2 from either S&amp;P or Moody’s (or, if at any time neither S&amp;P nor Moody’s shall be rating such obligations, an equivalent rating from another nationally recognized rating service);</w:t>
      </w:r>
    </w:p>
    <w:p>
      <w:pPr>
        <w:spacing w:after="0" w:line="115" w:lineRule="exact"/>
        <w:rPr>
          <w:rFonts w:ascii="Arial" w:cs="Arial" w:eastAsia="Arial" w:hAnsi="Arial"/>
          <w:sz w:val="20"/>
          <w:szCs w:val="20"/>
          <w:color w:val="auto"/>
        </w:rPr>
      </w:pPr>
    </w:p>
    <w:p>
      <w:pPr>
        <w:jc w:val="both"/>
        <w:ind w:firstLine="644"/>
        <w:spacing w:after="0" w:line="245" w:lineRule="auto"/>
        <w:tabs>
          <w:tab w:leader="none" w:pos="947" w:val="left"/>
        </w:tabs>
        <w:numPr>
          <w:ilvl w:val="1"/>
          <w:numId w:val="88"/>
        </w:numPr>
        <w:rPr>
          <w:rFonts w:ascii="Arial" w:cs="Arial" w:eastAsia="Arial" w:hAnsi="Arial"/>
          <w:sz w:val="21"/>
          <w:szCs w:val="21"/>
          <w:color w:val="auto"/>
        </w:rPr>
      </w:pPr>
      <w:r>
        <w:rPr>
          <w:rFonts w:ascii="Arial" w:cs="Arial" w:eastAsia="Arial" w:hAnsi="Arial"/>
          <w:sz w:val="21"/>
          <w:szCs w:val="21"/>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in each case having an investment grade rating from either S&amp;P or Moody’s (or the equivalent thereof);</w:t>
      </w:r>
    </w:p>
    <w:p>
      <w:pPr>
        <w:spacing w:after="0" w:line="151" w:lineRule="exact"/>
        <w:rPr>
          <w:rFonts w:ascii="Arial" w:cs="Arial" w:eastAsia="Arial" w:hAnsi="Arial"/>
          <w:sz w:val="21"/>
          <w:szCs w:val="21"/>
          <w:color w:val="auto"/>
        </w:rPr>
      </w:pPr>
    </w:p>
    <w:p>
      <w:pPr>
        <w:ind w:firstLine="644"/>
        <w:spacing w:after="0" w:line="263" w:lineRule="auto"/>
        <w:tabs>
          <w:tab w:leader="none" w:pos="957" w:val="left"/>
        </w:tabs>
        <w:numPr>
          <w:ilvl w:val="1"/>
          <w:numId w:val="88"/>
        </w:numPr>
        <w:rPr>
          <w:rFonts w:ascii="Arial" w:cs="Arial" w:eastAsia="Arial" w:hAnsi="Arial"/>
          <w:sz w:val="21"/>
          <w:szCs w:val="21"/>
          <w:color w:val="auto"/>
        </w:rPr>
      </w:pPr>
      <w:r>
        <w:rPr>
          <w:rFonts w:ascii="Arial" w:cs="Arial" w:eastAsia="Arial" w:hAnsi="Arial"/>
          <w:sz w:val="21"/>
          <w:szCs w:val="21"/>
          <w:color w:val="auto"/>
        </w:rPr>
        <w:t>investments with average maturities of 12 months or less from the date of acquisition in mutual funds rated AAA- (or the equivalent thereof) or better by S&amp;P or Aaa3 (or the equivalent thereof) or better by Moody’s;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213" w:name="page214"/>
    <w:bookmarkEnd w:id="213"/>
    <w:p>
      <w:pPr>
        <w:jc w:val="both"/>
        <w:ind w:firstLine="644"/>
        <w:spacing w:after="0" w:line="262" w:lineRule="auto"/>
        <w:tabs>
          <w:tab w:leader="none" w:pos="902"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Restricted Subsidiary organized in such jurisdiction; and</w:t>
      </w:r>
    </w:p>
    <w:p>
      <w:pPr>
        <w:spacing w:after="0" w:line="120" w:lineRule="exact"/>
        <w:rPr>
          <w:rFonts w:ascii="Arial" w:cs="Arial" w:eastAsia="Arial" w:hAnsi="Arial"/>
          <w:sz w:val="20"/>
          <w:szCs w:val="20"/>
          <w:color w:val="auto"/>
        </w:rPr>
      </w:pPr>
    </w:p>
    <w:p>
      <w:pPr>
        <w:jc w:val="both"/>
        <w:ind w:firstLine="644"/>
        <w:spacing w:after="0" w:line="243" w:lineRule="auto"/>
        <w:tabs>
          <w:tab w:leader="none" w:pos="895" w:val="left"/>
        </w:tabs>
        <w:numPr>
          <w:ilvl w:val="0"/>
          <w:numId w:val="89"/>
        </w:numPr>
        <w:rPr>
          <w:rFonts w:ascii="Arial" w:cs="Arial" w:eastAsia="Arial" w:hAnsi="Arial"/>
          <w:sz w:val="21"/>
          <w:szCs w:val="21"/>
          <w:color w:val="auto"/>
        </w:rPr>
      </w:pPr>
      <w:r>
        <w:rPr>
          <w:rFonts w:ascii="Arial" w:cs="Arial" w:eastAsia="Arial" w:hAnsi="Arial"/>
          <w:sz w:val="21"/>
          <w:szCs w:val="21"/>
          <w:color w:val="auto"/>
        </w:rPr>
        <w:t>investments, classified in accordance with GAAP as current assets of Holdings or any Restricted Subsidiary,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w:t>
      </w:r>
    </w:p>
    <w:p>
      <w:pPr>
        <w:spacing w:after="0" w:line="147"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Junior Lien Refinancing Debt</w:t>
      </w:r>
      <w:r>
        <w:rPr>
          <w:rFonts w:ascii="Arial" w:cs="Arial" w:eastAsia="Arial" w:hAnsi="Arial"/>
          <w:sz w:val="19"/>
          <w:szCs w:val="19"/>
          <w:color w:val="auto"/>
        </w:rPr>
        <w:t xml:space="preserve">” means secured Indebtedness incurred by the Borrower in the form of one or more series of junior lien secured notes or junior lien secured loans;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Indebtedness is secured by the Collateral and the obligations in respect of any Permitted First Priority Refinancing Debt and is not secured by any property or assets of Holdings, any Intermediate Parent, the Borrower or any Restricted Subsidiary other than the Collateral, (ii) such Indebtedness constitutes Credit Agreement Refinancing Indebtedness, (iii)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(iv) the security agreements relating to such Indebtedness reflect the “silent” junior lien nature of the security interests securing such Indebtedness consistent with the terms of the Junior Lien Intercreditor Agreement and are otherwise substantially the same as the Security Documents (with such differences as are reasonably satisfactory to the Administrative Agent), (v) such Indebtedness is not at any time guaranteed by any Subsidiaries other than the Subsidiary Loan Parties and (vi) a Senior Representative acting on behalf of the holders of such Indebtedness shall have become party to the Junior Lien Intercreditor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the initial Permitted Junior Lien Refinancing Debt incurred by the Borrower, then the Loan Parties, the Administrative Agent and the Senior Representatives for such Indebtedness shall have executed and delivered the Junior Lien Intercreditor Agreement. Permitted Junior Lien Refinancing Debt will include any Registered Equivalent Notes issued in exchange therefor.</w:t>
      </w:r>
    </w:p>
    <w:p>
      <w:pPr>
        <w:spacing w:after="0" w:line="119" w:lineRule="exact"/>
        <w:rPr>
          <w:sz w:val="20"/>
          <w:szCs w:val="20"/>
          <w:color w:val="auto"/>
        </w:rPr>
      </w:pPr>
    </w:p>
    <w:p>
      <w:pPr>
        <w:jc w:val="both"/>
        <w:ind w:firstLine="63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Refinancing</w:t>
      </w:r>
      <w:r>
        <w:rPr>
          <w:rFonts w:ascii="Arial" w:cs="Arial" w:eastAsia="Arial" w:hAnsi="Arial"/>
          <w:sz w:val="19"/>
          <w:szCs w:val="19"/>
          <w:color w:val="auto"/>
        </w:rPr>
        <w:t xml:space="preserve">” means, with respect to any Person, any modification, refinancing, refunding, renewal or extension of any Indebtedness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amounts paid, and fees and expenses incurred, in connection with such modification, refinancing, refunding, renewal or extension and by an amount equal to any existing commitments unutilized thereunder, (b) other than with respect to a Permitted Refinancing in respect of Indebtedness permitted pursuant to Section 6.01(a)(v), Indebtedness resulting from such modification, refinancing, refunding, renewal or extension has a final maturity date equal to or later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14" w:name="page215"/>
    <w:bookmarkEnd w:id="214"/>
    <w:p>
      <w:pPr>
        <w:jc w:val="both"/>
        <w:spacing w:after="0" w:line="263" w:lineRule="auto"/>
        <w:rPr>
          <w:sz w:val="20"/>
          <w:szCs w:val="20"/>
          <w:color w:val="auto"/>
        </w:rPr>
      </w:pPr>
      <w:r>
        <w:rPr>
          <w:rFonts w:ascii="Arial" w:cs="Arial" w:eastAsia="Arial" w:hAnsi="Arial"/>
          <w:sz w:val="19"/>
          <w:szCs w:val="19"/>
          <w:color w:val="auto"/>
        </w:rPr>
        <w:t>than the final maturity date of, and has a Weighted Average Life to Maturity equal to or greater than the Weighted Average Life to Maturity of, the Indebtedness being modified, refinanced, refunded, renewed or extended, (c) immediately after giving effect thereto, no Event of Default shall have occurred and be continuing, (d) if the Indebtedness being modified, refinanced, refunded, renewed or extended is subordinated in right of payment or lien priority to the Loan Document Obligations, Indebtedness resulting from such modification, refinancing, refunding, renewal or extension is subordinated in right of payment or lien priority, as applicable, to the Loan Document Obligations on terms at least as favorable to the Lenders as those contained in the documentation governing the Indebtedness being modified, refinanced, refunded, renewed or extended and (e) if the Indebtedness being modified, refinanced, refunded, renewed or extended is the Second Lien Notes or Indebtedness permitted pursuant to Section 6.01(a)(ii), (a)(xx) or (a)(xxi) or is otherwise a Junior Financing,</w:t>
      </w:r>
    </w:p>
    <w:p>
      <w:pPr>
        <w:spacing w:after="0" w:line="7" w:lineRule="exact"/>
        <w:rPr>
          <w:sz w:val="20"/>
          <w:szCs w:val="20"/>
          <w:color w:val="auto"/>
        </w:rPr>
      </w:pPr>
    </w:p>
    <w:p>
      <w:pPr>
        <w:jc w:val="both"/>
        <w:ind w:firstLine="9"/>
        <w:spacing w:after="0" w:line="250" w:lineRule="auto"/>
        <w:tabs>
          <w:tab w:leader="none" w:pos="292"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terms and conditions (including, if applicable, as to collateral but excluding as to subordination, interest rate (including whether such interest is payable in cash or in kind) and redemption premium) of Indebtedness resulting from such modification, refinancing, refunding, renewal or extension are not, taken as a whole, materially less favorable to the Loan Parties or the Lenders than the terms and conditions of the Indebtedness being modified, refinanced, refunded, renewed or extended;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certificate of a Responsible Officer shall be delivered to the Administrative Agent at least five Business Days prior to such modification, refinancing, refunding, renewal or extension, together with a reasonably detailed description of the material terms and conditions of such resulting Indebtedness or drafts of the documentation relating thereto, stating that the Borrower has determined in good faith that such terms and conditions satisfy the foregoing requirements and (ii) the primary obligor in respect of, and the Persons (if any) that Guarantee, Indebtedness resulting from such modification, refinancing, refunding, renewal or extension are the primary obligor in respect of, and Persons (if any) that Guaranteed, respectively, the Indebtedness being modified, refinanced, refunded, renewed or extended. For the avoidance of doubt, it is understood that a Permitted Refinancing may constitute a portion of an issuance of Indebtedness in excess of the amount of such Permitted Refinancing;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excess amount is otherwise permitted to be incurred under Section 6.01.</w:t>
      </w:r>
    </w:p>
    <w:p>
      <w:pPr>
        <w:spacing w:after="0" w:line="128"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Tax Distributions</w:t>
      </w:r>
      <w:r>
        <w:rPr>
          <w:rFonts w:ascii="Arial" w:cs="Arial" w:eastAsia="Arial" w:hAnsi="Arial"/>
          <w:sz w:val="20"/>
          <w:szCs w:val="20"/>
          <w:color w:val="auto"/>
        </w:rPr>
        <w:t>” means, collectively distributions to the members of Holdings in cash in an amount up to (i) in the case of payments in respect of a Tax Estimation Period, the excess of (A)(I) the Company Income Amount for the Tax Estimation Period in question and for all preceding Tax Estimation Periods, if any, within the Taxable Year containing such Tax Estimation Period multiplied by (II) the Assumed Tax Rate over (B) the aggregate amount of any distributions made with respect to any previous Tax Estimation Period falling in the Taxable Year containing the applicable Tax Estimation Period referred to in (A)(I), and (ii) after the end of a Taxable Year, the excess, if any, of (A)(I) the Taxable Year Income Amount for the Taxable Year in question multiplied by (II) the Assumed Tax Rate over (B) the aggregate amount of any Permitted Tax Distributions under clause (i) made with respect to the Tax Estimation Periods in such Taxable Year; provided that if the amount payable in connection with a Tax Estimation Period under clause (i) is less than the aggregate required annualized installment for all members of Holdings for the estimated payment date for such Tax Estimation Period under Section 6655(e) of the Code (calculated assuming (x) all such members are corporations (other than with respect to the Assumed Tax Rate) and Section 6655(e)(2)(C)(ii) is in effect, (y) such members’ only income is from Holdings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15" w:name="page216"/>
    <w:bookmarkEnd w:id="215"/>
    <w:p>
      <w:pPr>
        <w:jc w:val="both"/>
        <w:spacing w:after="0" w:line="268" w:lineRule="auto"/>
        <w:rPr>
          <w:sz w:val="20"/>
          <w:szCs w:val="20"/>
          <w:color w:val="auto"/>
        </w:rPr>
      </w:pPr>
      <w:r>
        <w:rPr>
          <w:rFonts w:ascii="Arial" w:cs="Arial" w:eastAsia="Arial" w:hAnsi="Arial"/>
          <w:sz w:val="20"/>
          <w:szCs w:val="20"/>
          <w:color w:val="auto"/>
        </w:rPr>
        <w:t>(determined without regard to any adjustments under Code Sections 743(b) or 704(c)) and (z) the Assumed Tax Rate applies), Holdings shall be permitted to pay an additional amount with respect to such estimated payment date equal to the excess of such aggregate required annualized installment over the amount permitted under clause (i).</w:t>
      </w:r>
    </w:p>
    <w:p>
      <w:pPr>
        <w:spacing w:after="0" w:line="110"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Unsecured Refinancing Debt</w:t>
      </w:r>
      <w:r>
        <w:rPr>
          <w:rFonts w:ascii="Arial" w:cs="Arial" w:eastAsia="Arial" w:hAnsi="Arial"/>
          <w:sz w:val="20"/>
          <w:szCs w:val="20"/>
          <w:color w:val="auto"/>
        </w:rPr>
        <w:t xml:space="preserve">” means unsecured Indebtedness incurred by any Loan Party in the form of one or more series of senior unsecured notes or loans;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such Indebtedness constitutes Credit Agreement Refinancing Indebtedness, (ii) such Indebtedness does not mature or have scheduled amortization or payments of principal and is not subject to mandatory redemption, repurchase, prepayment or sinking fund obligation (except customary asset sale or change of control provisions), in each case prior to the date that is 91 days after the Latest Maturity Date at the time such Indebtedness is incurred, (iii) such Indebtedness is not at any time guaranteed by any Subsidiaries other than Loan Parties and (iv) such Indebtedness (including any Guarantee thereof) is not secured by any Lien on any property or assets of Holdings or any Restricted Subsidiary. Permitted Unsecured Refinancing Debt will include any Registered Equivalent Notes issued in exchange therefor.</w:t>
      </w:r>
    </w:p>
    <w:p>
      <w:pPr>
        <w:spacing w:after="0" w:line="138"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natural person, corporation, limited liability company, trust, joint venture, association, company, partnership, Governmental Authority or other entity.</w:t>
      </w:r>
    </w:p>
    <w:p>
      <w:pPr>
        <w:spacing w:after="0" w:line="107"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Plan</w:t>
      </w:r>
      <w:r>
        <w:rPr>
          <w:rFonts w:ascii="Arial" w:cs="Arial" w:eastAsia="Arial" w:hAnsi="Arial"/>
          <w:sz w:val="21"/>
          <w:szCs w:val="21"/>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Platform</w:t>
      </w:r>
      <w:r>
        <w:rPr>
          <w:rFonts w:ascii="Arial" w:cs="Arial" w:eastAsia="Arial" w:hAnsi="Arial"/>
          <w:sz w:val="21"/>
          <w:szCs w:val="21"/>
          <w:color w:val="auto"/>
        </w:rPr>
        <w:t>” has the meaning assigned to such term in Section 5.01.</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Post-Transaction Period</w:t>
      </w:r>
      <w:r>
        <w:rPr>
          <w:rFonts w:ascii="Arial" w:cs="Arial" w:eastAsia="Arial" w:hAnsi="Arial"/>
          <w:sz w:val="19"/>
          <w:szCs w:val="19"/>
          <w:color w:val="auto"/>
        </w:rPr>
        <w:t>” has the meaning assigned to such term in the definition of “Pro Forma Adjustment.”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Prepayment Event</w:t>
      </w:r>
      <w:r>
        <w:rPr>
          <w:rFonts w:ascii="Arial" w:cs="Arial" w:eastAsia="Arial" w:hAnsi="Arial"/>
          <w:sz w:val="21"/>
          <w:szCs w:val="21"/>
          <w:color w:val="auto"/>
        </w:rPr>
        <w:t>” means:</w:t>
      </w:r>
    </w:p>
    <w:p>
      <w:pPr>
        <w:spacing w:after="0" w:line="175" w:lineRule="exact"/>
        <w:rPr>
          <w:sz w:val="20"/>
          <w:szCs w:val="20"/>
          <w:color w:val="auto"/>
        </w:rPr>
      </w:pPr>
    </w:p>
    <w:p>
      <w:pPr>
        <w:jc w:val="both"/>
        <w:ind w:firstLine="644"/>
        <w:spacing w:after="0" w:line="266" w:lineRule="auto"/>
        <w:tabs>
          <w:tab w:leader="none" w:pos="929" w:val="left"/>
        </w:tabs>
        <w:numPr>
          <w:ilvl w:val="1"/>
          <w:numId w:val="91"/>
        </w:numPr>
        <w:rPr>
          <w:rFonts w:ascii="Arial" w:cs="Arial" w:eastAsia="Arial" w:hAnsi="Arial"/>
          <w:sz w:val="19"/>
          <w:szCs w:val="19"/>
          <w:color w:val="auto"/>
        </w:rPr>
      </w:pPr>
      <w:r>
        <w:rPr>
          <w:rFonts w:ascii="Arial" w:cs="Arial" w:eastAsia="Arial" w:hAnsi="Arial"/>
          <w:sz w:val="19"/>
          <w:szCs w:val="19"/>
          <w:color w:val="auto"/>
        </w:rPr>
        <w:t>any sale, transfer or other disposition (including (x) pursuant to a sale and leaseback transaction, (y) by way of merger or consolidation and (z) any casualty or other insured damage to, or any taking under power of eminent domain or by condemnation or similar proceeding) of any property or asset of Holdings or any of its Restricted Subsidiaries permitted by Section 6.05(f), (j), (k), (m) or (n) other than dispositions resulting in aggregate Net Proceeds not exceeding</w:t>
      </w:r>
    </w:p>
    <w:p>
      <w:pPr>
        <w:spacing w:after="0" w:line="1" w:lineRule="exact"/>
        <w:rPr>
          <w:rFonts w:ascii="Arial" w:cs="Arial" w:eastAsia="Arial" w:hAnsi="Arial"/>
          <w:sz w:val="19"/>
          <w:szCs w:val="19"/>
          <w:color w:val="auto"/>
        </w:rPr>
      </w:pPr>
    </w:p>
    <w:p>
      <w:pPr>
        <w:ind w:right="20" w:firstLine="9"/>
        <w:spacing w:after="0" w:line="245" w:lineRule="auto"/>
        <w:tabs>
          <w:tab w:leader="none" w:pos="375" w:val="left"/>
        </w:tabs>
        <w:numPr>
          <w:ilvl w:val="0"/>
          <w:numId w:val="92"/>
        </w:numPr>
        <w:rPr>
          <w:rFonts w:ascii="Arial" w:cs="Arial" w:eastAsia="Arial" w:hAnsi="Arial"/>
          <w:sz w:val="21"/>
          <w:szCs w:val="21"/>
          <w:color w:val="auto"/>
        </w:rPr>
      </w:pPr>
      <w:r>
        <w:rPr>
          <w:rFonts w:ascii="Arial" w:cs="Arial" w:eastAsia="Arial" w:hAnsi="Arial"/>
          <w:sz w:val="21"/>
          <w:szCs w:val="21"/>
          <w:color w:val="auto"/>
        </w:rPr>
        <w:t>$5,000,000 in the case of any single transaction or series of related transactions and (B) $10,000,000 for all such transactions during any fiscal year of Holdings; or</w:t>
      </w:r>
    </w:p>
    <w:p>
      <w:pPr>
        <w:spacing w:after="0" w:line="150" w:lineRule="exact"/>
        <w:rPr>
          <w:rFonts w:ascii="Arial" w:cs="Arial" w:eastAsia="Arial" w:hAnsi="Arial"/>
          <w:sz w:val="21"/>
          <w:szCs w:val="21"/>
          <w:color w:val="auto"/>
        </w:rPr>
      </w:pPr>
    </w:p>
    <w:p>
      <w:pPr>
        <w:jc w:val="both"/>
        <w:ind w:firstLine="644"/>
        <w:spacing w:after="0" w:line="245" w:lineRule="auto"/>
        <w:tabs>
          <w:tab w:leader="none" w:pos="1000" w:val="left"/>
        </w:tabs>
        <w:numPr>
          <w:ilvl w:val="1"/>
          <w:numId w:val="92"/>
        </w:numPr>
        <w:rPr>
          <w:rFonts w:ascii="Arial" w:cs="Arial" w:eastAsia="Arial" w:hAnsi="Arial"/>
          <w:sz w:val="21"/>
          <w:szCs w:val="21"/>
          <w:color w:val="auto"/>
        </w:rPr>
      </w:pPr>
      <w:r>
        <w:rPr>
          <w:rFonts w:ascii="Arial" w:cs="Arial" w:eastAsia="Arial" w:hAnsi="Arial"/>
          <w:sz w:val="21"/>
          <w:szCs w:val="21"/>
          <w:color w:val="auto"/>
        </w:rPr>
        <w:t>the incurrence by the Borrower or any of its Restricted Subsidiaries of any Indebtedness, other than Indebtedness permitted under Section 6.01 (other than Permitted Unsecured Refinancing Debt, Permitted First Priority Refinancing Debt, Permitted Junior Lien Refinancing Debt and Other Term Loans which shall constitute a Prepayment Event to the extent required by the definition of “Credit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16" w:name="page217"/>
    <w:bookmarkEnd w:id="216"/>
    <w:p>
      <w:pPr>
        <w:spacing w:after="0"/>
        <w:rPr>
          <w:sz w:val="20"/>
          <w:szCs w:val="20"/>
          <w:color w:val="auto"/>
        </w:rPr>
      </w:pPr>
      <w:r>
        <w:rPr>
          <w:rFonts w:ascii="Arial" w:cs="Arial" w:eastAsia="Arial" w:hAnsi="Arial"/>
          <w:sz w:val="21"/>
          <w:szCs w:val="21"/>
          <w:color w:val="auto"/>
        </w:rPr>
        <w:t>Refinancing Indebtedness”) or permitted by the Required Lenders pursuant to Section 9.02.</w:t>
      </w:r>
    </w:p>
    <w:p>
      <w:pPr>
        <w:spacing w:after="0" w:line="163"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Prime Rate</w:t>
      </w:r>
      <w:r>
        <w:rPr>
          <w:rFonts w:ascii="Arial" w:cs="Arial" w:eastAsia="Arial" w:hAnsi="Arial"/>
          <w:sz w:val="21"/>
          <w:szCs w:val="21"/>
          <w:color w:val="auto"/>
        </w:rPr>
        <w:t>” means the rate of interest per annum determined by the Administrative Agent as its prime rate in effect at its principal office in New York City and notified to the Borrower, as in effect from time to time. The Prime Rate is a reference rate and does not necessarily represent the lowest or best rate actually charged to any customer. The Administrative Agent or any Lender may make commercial loans or other loans at rates of interest at, above or below the Prime Rate.</w:t>
      </w:r>
    </w:p>
    <w:p>
      <w:pPr>
        <w:spacing w:after="0" w:line="148"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Adjustment</w:t>
      </w:r>
      <w:r>
        <w:rPr>
          <w:rFonts w:ascii="Arial" w:cs="Arial" w:eastAsia="Arial" w:hAnsi="Arial"/>
          <w:sz w:val="19"/>
          <w:szCs w:val="19"/>
          <w:color w:val="auto"/>
        </w:rPr>
        <w:t>” means, for any Test Period, the amount of “run rate” net cost savings, synergies and operating expense reductions projected by Holdings in good faith to result from the Transactions or other acquisitions or dispositions, in each case no later than 18 months after the Escrow Assumption Date or the date of such other acquisition or disposition (the “</w:t>
      </w:r>
      <w:r>
        <w:rPr>
          <w:rFonts w:ascii="Arial" w:cs="Arial" w:eastAsia="Arial" w:hAnsi="Arial"/>
          <w:sz w:val="19"/>
          <w:szCs w:val="19"/>
          <w:b w:val="1"/>
          <w:bCs w:val="1"/>
          <w:color w:val="auto"/>
        </w:rPr>
        <w:t>Post-Transaction Period</w:t>
      </w:r>
      <w:r>
        <w:rPr>
          <w:rFonts w:ascii="Arial" w:cs="Arial" w:eastAsia="Arial" w:hAnsi="Arial"/>
          <w:sz w:val="19"/>
          <w:szCs w:val="19"/>
          <w:color w:val="auto"/>
        </w:rPr>
        <w:t xml:space="preserve">”) (calculated on a Pro Forma Basis as though such cost savings, operating expense reductions and synergies had been realized on the first day of the period for which Consolidated EBITDA is being determined and if such cost savings, operating expense reductions and synergies were realized during the entirety of such period), net of the amount of actual benefits realized during such period from such actions (and reflected in Consolidated Net Income for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cost savings, operating expense reductions and synergies (a) are reasonably identifiable and factually supportable and described in reasonable detail by a Financial Officer in an officer’s certificate delivered to the Administrative Agent (it being understood and agreed that “run rate” means the full recurring benefit for a period that is associated with any action taken, committed to be taken or with respect to which substantial steps have been taken or are expected to be taken), (b) in the case of the Transactions, shall not exceed for any four quarter period (which aggregated with any such “run rate” cost savings pursuant to clause (c) below) $185 million (provided that for any four quarter period ending after (w) the six month anniversary of the Escrow Assumption Date, no more than 75% of such maximum amount may be attributable to cost savings expected to be realized based on actions that have not yet been taken, (x) the nine month anniversary of the Escrow Assumption Date, no more than 50% of such maximum amount may be attributable to cost savings expected to be realized based on actions that have not yet been taken, (y) the one year anniversary of the Escrow Assumption Date, no more than 25% of such maximum amount may be attributable to cost savings expected to be realized based on actions that have not yet been taken and (z) the fifteen month anniversary of the Escrow Assumption Date, none of such amount may be attributable to cost savings expected to be realized based on actions that have not yet been taken) and (c) in the case of acquisitions and dispositions other than in connection with the Transactions, shall not exceed an amount for any four quarter period greater than 15% of Consolidated EBITDA for such four quarter period (calculated prior to giving effect to such add-backs).</w:t>
      </w:r>
    </w:p>
    <w:p>
      <w:pPr>
        <w:spacing w:after="0" w:line="121"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 Forma Basis</w:t>
      </w:r>
      <w:r>
        <w:rPr>
          <w:rFonts w:ascii="Arial" w:cs="Arial" w:eastAsia="Arial" w:hAnsi="Arial"/>
          <w:sz w:val="21"/>
          <w:szCs w:val="21"/>
          <w:color w:val="auto"/>
        </w:rPr>
        <w:t>,” “</w:t>
      </w:r>
      <w:r>
        <w:rPr>
          <w:rFonts w:ascii="Arial" w:cs="Arial" w:eastAsia="Arial" w:hAnsi="Arial"/>
          <w:sz w:val="21"/>
          <w:szCs w:val="21"/>
          <w:b w:val="1"/>
          <w:bCs w:val="1"/>
          <w:color w:val="auto"/>
        </w:rPr>
        <w:t>Pro Forma Compliance</w:t>
      </w:r>
      <w:r>
        <w:rPr>
          <w:rFonts w:ascii="Arial" w:cs="Arial" w:eastAsia="Arial" w:hAnsi="Arial"/>
          <w:sz w:val="21"/>
          <w:szCs w:val="21"/>
          <w:color w:val="auto"/>
        </w:rPr>
        <w:t>” and “</w:t>
      </w:r>
      <w:r>
        <w:rPr>
          <w:rFonts w:ascii="Arial" w:cs="Arial" w:eastAsia="Arial" w:hAnsi="Arial"/>
          <w:sz w:val="21"/>
          <w:szCs w:val="21"/>
          <w:b w:val="1"/>
          <w:bCs w:val="1"/>
          <w:color w:val="auto"/>
        </w:rPr>
        <w:t>Pro Forma Effect</w:t>
      </w:r>
      <w:r>
        <w:rPr>
          <w:rFonts w:ascii="Arial" w:cs="Arial" w:eastAsia="Arial" w:hAnsi="Arial"/>
          <w:sz w:val="21"/>
          <w:szCs w:val="21"/>
          <w:color w:val="auto"/>
        </w:rPr>
        <w:t>” means, with respect to compliance with any test or covenant hereunder required by the terms of this Agreement to be made on a Pro Forma Basis, that (a) to the extent applicable, the Pro Forma Adjustment shall have been made and (b) all Specified Transactions and the following transactions in connection therewith shall be deemed to have occurred as of the first day of the applicable period of measurement in such test or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17" w:name="page218"/>
    <w:bookmarkEnd w:id="217"/>
    <w:p>
      <w:pPr>
        <w:jc w:val="both"/>
        <w:spacing w:after="0" w:line="251" w:lineRule="auto"/>
        <w:rPr>
          <w:sz w:val="20"/>
          <w:szCs w:val="20"/>
          <w:color w:val="auto"/>
        </w:rPr>
      </w:pPr>
      <w:r>
        <w:rPr>
          <w:rFonts w:ascii="Arial" w:cs="Arial" w:eastAsia="Arial" w:hAnsi="Arial"/>
          <w:sz w:val="20"/>
          <w:szCs w:val="20"/>
          <w:color w:val="auto"/>
        </w:rPr>
        <w:t xml:space="preserve">covenant: (i) income statement items (whether positive or negative) attributable to the property or Person subject to such Specified Transaction, (A) in the case of a Disposition of all or substantially all Equity Interests in any subsidiary of Holdings or any division, product line, or facility used for operations of Holdings or any of its Restricted Subsidiaries, shall be excluded and (B) in the case of a Permitted Acquisition or Investment described in the definition of “Specified Transaction,” shall be included, (ii) any retirement of Indebtedness, and (iii) any Indebtedness incurred or assumed by Holdings, the Borrower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without limiting the application of the Pro Forma Adjustment pursuant to clause (a) above, the foregoing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Holdings or any of its Restricted Subsidiaries and (z) factually supportable or (ii) otherwise consistent with the definition of Pro Forma Adjustment,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all pro forma adjustments made pursuant to this definition (including the Pro Forma Adjustment) with respect to the Transactions shall be consistent in character and amount with the adjustments reflected in the Pro Forma Financial Statements.</w:t>
      </w:r>
    </w:p>
    <w:p>
      <w:pPr>
        <w:spacing w:after="0" w:line="128"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 Forma Disposal Adjustment</w:t>
      </w:r>
      <w:r>
        <w:rPr>
          <w:rFonts w:ascii="Arial" w:cs="Arial" w:eastAsia="Arial" w:hAnsi="Arial"/>
          <w:sz w:val="19"/>
          <w:szCs w:val="19"/>
          <w:color w:val="auto"/>
        </w:rPr>
        <w:t>” means, for any Test Period that includes all or a portion of a fiscal quarter included in any Post-Transaction Period with respect to any Sold Entity or Business or Converted Unrestricted Subsidiary, the pro forma increase or decrease in Consolidated EBITDA projected by Holdings in good faith as a result of contractual arrangements between Holdings or any Restricted Subsidiary entered into with such Sold Entity or Business or Converted Unrestricted Subsidiary at the time of its disposal or conversion within the Post-Transaction Period and which represent an increase or decrease in Consolidated EBITDA which is incremental to the Disposed EBITDA of such Sold Entity or Business or Converted Unrestricted Subsidiary for the most recent four quarter period prior to its disposal or conversion.</w:t>
      </w:r>
    </w:p>
    <w:p>
      <w:pPr>
        <w:spacing w:after="0" w:line="125" w:lineRule="exact"/>
        <w:rPr>
          <w:sz w:val="20"/>
          <w:szCs w:val="20"/>
          <w:color w:val="auto"/>
        </w:rPr>
      </w:pPr>
    </w:p>
    <w:p>
      <w:pPr>
        <w:ind w:left="640" w:right="1380"/>
        <w:spacing w:after="0" w:line="41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 Forma Entity</w:t>
      </w:r>
      <w:r>
        <w:rPr>
          <w:rFonts w:ascii="Arial" w:cs="Arial" w:eastAsia="Arial" w:hAnsi="Arial"/>
          <w:sz w:val="21"/>
          <w:szCs w:val="21"/>
          <w:color w:val="auto"/>
        </w:rPr>
        <w:t>” has the meaning given to such term in the definition of “Acquired EBITDA.” “</w:t>
      </w:r>
      <w:r>
        <w:rPr>
          <w:rFonts w:ascii="Arial" w:cs="Arial" w:eastAsia="Arial" w:hAnsi="Arial"/>
          <w:sz w:val="21"/>
          <w:szCs w:val="21"/>
          <w:b w:val="1"/>
          <w:bCs w:val="1"/>
          <w:color w:val="auto"/>
        </w:rPr>
        <w:t>Pro Forma Financial Statements</w:t>
      </w:r>
      <w:r>
        <w:rPr>
          <w:rFonts w:ascii="Arial" w:cs="Arial" w:eastAsia="Arial" w:hAnsi="Arial"/>
          <w:sz w:val="21"/>
          <w:szCs w:val="21"/>
          <w:color w:val="auto"/>
        </w:rPr>
        <w:t xml:space="preserve">” shall have the meaning set forth in Section </w:t>
      </w:r>
      <w:r>
        <w:rPr>
          <w:rFonts w:ascii="Arial" w:cs="Arial" w:eastAsia="Arial" w:hAnsi="Arial"/>
          <w:sz w:val="21"/>
          <w:szCs w:val="21"/>
          <w:u w:val="single" w:color="auto"/>
          <w:color w:val="auto"/>
        </w:rPr>
        <w:t>4.03(m).</w:t>
      </w:r>
      <w:r>
        <w:rPr>
          <w:rFonts w:ascii="Arial" w:cs="Arial" w:eastAsia="Arial" w:hAnsi="Arial"/>
          <w:sz w:val="21"/>
          <w:szCs w:val="21"/>
          <w:color w:val="auto"/>
        </w:rPr>
        <w:t xml:space="preserve"> “</w:t>
      </w:r>
      <w:r>
        <w:rPr>
          <w:rFonts w:ascii="Arial" w:cs="Arial" w:eastAsia="Arial" w:hAnsi="Arial"/>
          <w:sz w:val="21"/>
          <w:szCs w:val="21"/>
          <w:b w:val="1"/>
          <w:bCs w:val="1"/>
          <w:color w:val="auto"/>
        </w:rPr>
        <w:t>Proposed Change</w:t>
      </w:r>
      <w:r>
        <w:rPr>
          <w:rFonts w:ascii="Arial" w:cs="Arial" w:eastAsia="Arial" w:hAnsi="Arial"/>
          <w:sz w:val="21"/>
          <w:szCs w:val="21"/>
          <w:color w:val="auto"/>
        </w:rPr>
        <w:t>” has the meaning assigned to such term in Section 9.02(c).</w:t>
      </w:r>
    </w:p>
    <w:p>
      <w:pPr>
        <w:spacing w:after="0" w:line="3"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PTE</w:t>
      </w:r>
      <w:r>
        <w:rPr>
          <w:rFonts w:ascii="Arial" w:cs="Arial" w:eastAsia="Arial" w:hAnsi="Arial"/>
          <w:sz w:val="21"/>
          <w:szCs w:val="21"/>
          <w:u w:val="single" w:color="auto"/>
          <w:color w:val="0000FF"/>
        </w:rPr>
        <w:t>” means a prohibited transaction class exemption issued by the U.S. Department of Labor, as any such exemption may be amended from time to time.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Public Lender</w:t>
      </w:r>
      <w:r>
        <w:rPr>
          <w:rFonts w:ascii="Arial" w:cs="Arial" w:eastAsia="Arial" w:hAnsi="Arial"/>
          <w:sz w:val="21"/>
          <w:szCs w:val="21"/>
          <w:color w:val="auto"/>
        </w:rPr>
        <w:t>” has the meaning assigned to such term in Section 5.01.</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Qualified Equity Interests</w:t>
      </w:r>
      <w:r>
        <w:rPr>
          <w:rFonts w:ascii="Arial" w:cs="Arial" w:eastAsia="Arial" w:hAnsi="Arial"/>
          <w:sz w:val="19"/>
          <w:szCs w:val="19"/>
          <w:color w:val="auto"/>
        </w:rPr>
        <w:t>” means Equity Interests of a Person other than Disqualified Equity Interests of such</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Person.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18" w:name="page219"/>
    <w:bookmarkEnd w:id="218"/>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Qualifying Lender</w:t>
      </w:r>
      <w:r>
        <w:rPr>
          <w:rFonts w:ascii="Arial" w:cs="Arial" w:eastAsia="Arial" w:hAnsi="Arial"/>
          <w:sz w:val="21"/>
          <w:szCs w:val="21"/>
          <w:color w:val="auto"/>
        </w:rPr>
        <w:t>” has the meaning assigned to such term in Section 2.09(a)(ii)(D)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Reaffirmation Agreement</w:t>
      </w:r>
      <w:r>
        <w:rPr>
          <w:rFonts w:ascii="Arial" w:cs="Arial" w:eastAsia="Arial" w:hAnsi="Arial"/>
          <w:sz w:val="21"/>
          <w:szCs w:val="21"/>
          <w:color w:val="auto"/>
        </w:rPr>
        <w:t>” means an agreement substantially in the form of Exhibit B.</w:t>
      </w:r>
    </w:p>
    <w:p>
      <w:pPr>
        <w:spacing w:after="0" w:line="18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Refinanced Debt</w:t>
      </w:r>
      <w:r>
        <w:rPr>
          <w:rFonts w:ascii="Arial" w:cs="Arial" w:eastAsia="Arial" w:hAnsi="Arial"/>
          <w:sz w:val="21"/>
          <w:szCs w:val="21"/>
          <w:color w:val="auto"/>
        </w:rPr>
        <w:t>” has the meaning assigned to such term in the definition of “Credit Agreement Refinancing Indebtedness.”</w:t>
      </w:r>
    </w:p>
    <w:p>
      <w:pPr>
        <w:spacing w:after="0" w:line="107"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Refinancing Amendment</w:t>
      </w:r>
      <w:r>
        <w:rPr>
          <w:rFonts w:ascii="Arial" w:cs="Arial" w:eastAsia="Arial" w:hAnsi="Arial"/>
          <w:sz w:val="21"/>
          <w:szCs w:val="21"/>
          <w:color w:val="auto"/>
        </w:rPr>
        <w:t>” means an amendment to this Agreement in form and substance reasonably satisfactory to the Administrative Agent and the Borrower executed by each of (a) the Borrower and Holdings, (b) the Administrative Agent and (c) each Additional Lender and Lender that agrees to provide any portion of the Credit Agreement Refinancing Indebtedness being incurred pursuant thereto, in accordance with Section 2.19.</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w:t>
      </w:r>
      <w:r>
        <w:rPr>
          <w:rFonts w:ascii="Arial" w:cs="Arial" w:eastAsia="Arial" w:hAnsi="Arial"/>
          <w:sz w:val="21"/>
          <w:szCs w:val="21"/>
          <w:color w:val="auto"/>
        </w:rPr>
        <w:t>” has the meaning assigned to such term in Section 9.04(b).</w:t>
      </w:r>
    </w:p>
    <w:p>
      <w:pPr>
        <w:spacing w:after="0" w:line="182"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Equivalent Notes</w:t>
      </w:r>
      <w:r>
        <w:rPr>
          <w:rFonts w:ascii="Arial" w:cs="Arial" w:eastAsia="Arial" w:hAnsi="Arial"/>
          <w:sz w:val="20"/>
          <w:szCs w:val="20"/>
          <w:color w:val="auto"/>
        </w:rPr>
        <w:t>”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w:t>
      </w:r>
    </w:p>
    <w:p>
      <w:pPr>
        <w:spacing w:after="0" w:line="107"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Regulated Subsidiary</w:t>
      </w:r>
      <w:r>
        <w:rPr>
          <w:rFonts w:ascii="Arial" w:cs="Arial" w:eastAsia="Arial" w:hAnsi="Arial"/>
          <w:sz w:val="21"/>
          <w:szCs w:val="21"/>
          <w:color w:val="auto"/>
        </w:rPr>
        <w:t>” means any Broker-Dealer Subsidiary, any subsidiary of a Broker-Dealer Subsidiary or other Subsidiary subject to regulation of capital adequacy.</w:t>
      </w:r>
    </w:p>
    <w:p>
      <w:pPr>
        <w:spacing w:after="0" w:line="107"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Supervising Organization</w:t>
      </w:r>
      <w:r>
        <w:rPr>
          <w:rFonts w:ascii="Arial" w:cs="Arial" w:eastAsia="Arial" w:hAnsi="Arial"/>
          <w:sz w:val="21"/>
          <w:szCs w:val="21"/>
          <w:color w:val="auto"/>
        </w:rPr>
        <w:t>” means any of (a) the SEC, (b) the Financial Industry Regulatory Authority, (c) the Chicago Stock Exchange, (d) the Commodity Futures Trading Commission, (e) state securities commissions, (f) the Irish Financial Regulator and (g) any other U.S. or foreign governmental or self-regulatory organization, exchange, clearing house or financial regulatory authority of which any Subsidiary is a member or to whose rules it is subject.</w:t>
      </w:r>
    </w:p>
    <w:p>
      <w:pPr>
        <w:spacing w:after="0" w:line="148"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Reimbursement Obligation</w:t>
      </w:r>
      <w:r>
        <w:rPr>
          <w:rFonts w:ascii="Arial" w:cs="Arial" w:eastAsia="Arial" w:hAnsi="Arial"/>
          <w:sz w:val="21"/>
          <w:szCs w:val="21"/>
          <w:color w:val="auto"/>
        </w:rPr>
        <w:t>” means the obligation of the Borrower to reimburse the Issuing Bank pursuant to Section 2.22(d) for amounts drawn under Letters of Credit.</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Related Parties</w:t>
      </w:r>
      <w:r>
        <w:rPr>
          <w:rFonts w:ascii="Arial" w:cs="Arial" w:eastAsia="Arial" w:hAnsi="Arial"/>
          <w:sz w:val="21"/>
          <w:szCs w:val="21"/>
          <w:color w:val="auto"/>
        </w:rPr>
        <w:t>” means, with respect to any specified Person, such Person’s Affiliates and the partners, directors, officers, employees, trustees, agents, controlling persons, advisors and other representatives of such Person and of each of such Person’s Affiliates and permitted successors and assigns.</w:t>
      </w:r>
    </w:p>
    <w:p>
      <w:pPr>
        <w:spacing w:after="0" w:line="123"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Release</w:t>
      </w:r>
      <w:r>
        <w:rPr>
          <w:rFonts w:ascii="Arial" w:cs="Arial" w:eastAsia="Arial" w:hAnsi="Arial"/>
          <w:sz w:val="21"/>
          <w:szCs w:val="21"/>
          <w:color w:val="auto"/>
        </w:rPr>
        <w:t>” means any release, spill, emission, leaking, dumping, injection, pouring, deposit, disposal, discharge, dispersal, leaching or migration into or through the environment (including ambient air, surface water, groundwater, land surface or subsurface strata) and including the environment within any building, or any occupied structure, facility or fixture.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219" w:name="page220"/>
    <w:bookmarkEnd w:id="219"/>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Released Subsidiary</w:t>
      </w:r>
      <w:r>
        <w:rPr>
          <w:rFonts w:ascii="Arial" w:cs="Arial" w:eastAsia="Arial" w:hAnsi="Arial"/>
          <w:sz w:val="21"/>
          <w:szCs w:val="21"/>
          <w:color w:val="auto"/>
        </w:rPr>
        <w:t>” has the meaning assigned to such term in Section 6.14(b).</w:t>
      </w:r>
    </w:p>
    <w:p>
      <w:pPr>
        <w:spacing w:after="0" w:line="169"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Repo Agreement</w:t>
      </w:r>
      <w:r>
        <w:rPr>
          <w:rFonts w:ascii="Arial" w:cs="Arial" w:eastAsia="Arial" w:hAnsi="Arial"/>
          <w:sz w:val="21"/>
          <w:szCs w:val="21"/>
          <w:color w:val="auto"/>
        </w:rPr>
        <w:t>” means any of the following: repurchase agreements, reverse repurchase agreements, sell buy backs and buy sell backs agreements, securities lending and borrowing agreements and any other agreement or transaction similar to those referred to above in this definition.</w:t>
      </w:r>
    </w:p>
    <w:p>
      <w:pPr>
        <w:spacing w:after="0" w:line="136" w:lineRule="exact"/>
        <w:rPr>
          <w:sz w:val="20"/>
          <w:szCs w:val="20"/>
          <w:color w:val="auto"/>
        </w:rPr>
      </w:pPr>
    </w:p>
    <w:p>
      <w:pPr>
        <w:jc w:val="both"/>
        <w:ind w:firstLine="635"/>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Repricing Transaction</w:t>
      </w:r>
      <w:r>
        <w:rPr>
          <w:rFonts w:ascii="Arial" w:cs="Arial" w:eastAsia="Arial" w:hAnsi="Arial"/>
          <w:sz w:val="20"/>
          <w:szCs w:val="20"/>
          <w:color w:val="auto"/>
        </w:rPr>
        <w:t xml:space="preserve">” means the prepayment or refinancing of all or a portion of the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with the incurrence by any Loan Party of any long term bank debt financing incurred for the primary purpose of repaying, refinancing, substituting or replacing the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and having an effective interest cost or weighted average yield (as determined by the Administrative Agent consistent with generally accepted financial practice and, in any event, excluding any arrangement or commitment fees in connection therewith) that is less than the interest rate for or weighted average yield (as determined by the Administrative Agent on the same basis) of the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including without limitation, as may be effected through any amendment to this Agreement relating to the interest rate for, or weighted average yield of, the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-1089025</wp:posOffset>
            </wp:positionV>
            <wp:extent cx="25209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252095" cy="25400"/>
                    </a:xfrm>
                    <a:prstGeom prst="rect">
                      <a:avLst/>
                    </a:prstGeom>
                    <a:noFill/>
                  </pic:spPr>
                </pic:pic>
              </a:graphicData>
            </a:graphic>
          </wp:anchor>
        </w:drawing>
        <w:drawing>
          <wp:anchor simplePos="0" relativeHeight="251657728" behindDoc="1" locked="0" layoutInCell="0" allowOverlap="1">
            <wp:simplePos x="0" y="0"/>
            <wp:positionH relativeFrom="column">
              <wp:posOffset>2836545</wp:posOffset>
            </wp:positionH>
            <wp:positionV relativeFrom="paragraph">
              <wp:posOffset>-786765</wp:posOffset>
            </wp:positionV>
            <wp:extent cx="24384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243840" cy="2540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-332740</wp:posOffset>
            </wp:positionV>
            <wp:extent cx="25209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252095" cy="2540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-30480</wp:posOffset>
            </wp:positionV>
            <wp:extent cx="234950"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234950" cy="25400"/>
                    </a:xfrm>
                    <a:prstGeom prst="rect">
                      <a:avLst/>
                    </a:prstGeom>
                    <a:noFill/>
                  </pic:spPr>
                </pic:pic>
              </a:graphicData>
            </a:graphic>
          </wp:anchor>
        </w:drawing>
      </w:r>
    </w:p>
    <w:p>
      <w:pPr>
        <w:spacing w:after="0" w:line="102"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Required Lenders</w:t>
      </w:r>
      <w:r>
        <w:rPr>
          <w:rFonts w:ascii="Arial" w:cs="Arial" w:eastAsia="Arial" w:hAnsi="Arial"/>
          <w:sz w:val="20"/>
          <w:szCs w:val="20"/>
          <w:color w:val="auto"/>
        </w:rPr>
        <w:t xml:space="preserve">” means, at any time, Lenders having Revolving Exposures, Term Loans and unused Commitments representing more than 50% of the aggregate Revolving Exposures, outstanding Term Loans and unused Commitments at such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to the extent set forth in Section 9.02, (a) the Revolving Exposures, Term Loans and unused Commitments of the Borrower or any Affiliate thereof and (b) whenever there are one or more Defaulting Lenders, the total outstanding Revolving Exposures of, and the unused Revolving Commitments of, each Defaulting Lender shall in each case be excluded for purposes of making a determination of Required Lenders.</w:t>
      </w:r>
    </w:p>
    <w:p>
      <w:pPr>
        <w:spacing w:after="0" w:line="123" w:lineRule="exact"/>
        <w:rPr>
          <w:sz w:val="20"/>
          <w:szCs w:val="20"/>
          <w:color w:val="auto"/>
        </w:rPr>
      </w:pPr>
    </w:p>
    <w:p>
      <w:pPr>
        <w:jc w:val="both"/>
        <w:ind w:firstLine="635"/>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Requirements of Law</w:t>
      </w:r>
      <w:r>
        <w:rPr>
          <w:rFonts w:ascii="Arial" w:cs="Arial" w:eastAsia="Arial" w:hAnsi="Arial"/>
          <w:sz w:val="21"/>
          <w:szCs w:val="21"/>
          <w:color w:val="auto"/>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 binding upon such Person or any of its property or to which such Person or any of its property is subject.</w:t>
      </w:r>
    </w:p>
    <w:p>
      <w:pPr>
        <w:spacing w:after="0" w:line="148" w:lineRule="exact"/>
        <w:rPr>
          <w:sz w:val="20"/>
          <w:szCs w:val="20"/>
          <w:color w:val="auto"/>
        </w:rPr>
      </w:pPr>
    </w:p>
    <w:p>
      <w:pPr>
        <w:jc w:val="both"/>
        <w:ind w:firstLine="635"/>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means the chief executive officer, chief operating officer, president, vice president, chief financial officer, treasurer or assistant treasurer, or other similar officer, manager or a director of a Loan Party and with respect to certain limited liability companies or partnerships that do not have officers, any manager, sole member, managing member or general partner thereof, and as to any document delivered on the Restatement Effective Date or thereafter pursuant to paragraph (a)(i) of the definition of the term “Collateral and Guarantee Requirement,”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220" w:name="page221"/>
    <w:bookmarkEnd w:id="220"/>
    <w:p>
      <w:pPr>
        <w:jc w:val="both"/>
        <w:ind w:firstLine="635"/>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Restatement Agreement</w:t>
      </w:r>
      <w:r>
        <w:rPr>
          <w:rFonts w:ascii="Arial" w:cs="Arial" w:eastAsia="Arial" w:hAnsi="Arial"/>
          <w:sz w:val="19"/>
          <w:szCs w:val="19"/>
          <w:color w:val="auto"/>
        </w:rPr>
        <w:t>” means the Restatement Agreement to the Existing Credit Agreement dated as of June 30, 2017 by and among each of the Loan Parties party thereto, the Administrative Agent and the Lenders party thereto.</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Restatement Effective Date</w:t>
      </w:r>
      <w:r>
        <w:rPr>
          <w:rFonts w:ascii="Arial" w:cs="Arial" w:eastAsia="Arial" w:hAnsi="Arial"/>
          <w:sz w:val="21"/>
          <w:szCs w:val="21"/>
          <w:color w:val="auto"/>
        </w:rPr>
        <w:t>” has the meaning given to such term in the Restatement Agreement.</w:t>
      </w:r>
    </w:p>
    <w:p>
      <w:pPr>
        <w:spacing w:after="0" w:line="18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Restatement Effective Date Certificate</w:t>
      </w:r>
      <w:r>
        <w:rPr>
          <w:rFonts w:ascii="Arial" w:cs="Arial" w:eastAsia="Arial" w:hAnsi="Arial"/>
          <w:sz w:val="21"/>
          <w:szCs w:val="21"/>
          <w:color w:val="auto"/>
        </w:rPr>
        <w:t>” means a Restatement Effective Date Certificate substantially in the form of Exhibit G.</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Restatement Effective Date Refinancing</w:t>
      </w:r>
      <w:r>
        <w:rPr>
          <w:rFonts w:ascii="Arial" w:cs="Arial" w:eastAsia="Arial" w:hAnsi="Arial"/>
          <w:sz w:val="21"/>
          <w:szCs w:val="21"/>
          <w:color w:val="auto"/>
        </w:rPr>
        <w:t>” means the repayment of the Non-Converting Term Loans.</w:t>
      </w:r>
    </w:p>
    <w:p>
      <w:pPr>
        <w:spacing w:after="0" w:line="169"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Interests in Holdings, the Borrower or any Restricted Subsidiary or any Intermediate Parent, or any payment (whether in cash, securities or other property), including any sinking fund or similar deposit, on account of the purchase, redemption, retirement, acquisition, cancellation or termination of any Equity Interests in Holdings, any Intermediate Parent, the Borrower or any Restricted Subsidiary or any option, warrant or other right to acquire any such Equity Interests in Holdings, any Intermediate Parent, the Borrower or any Restricted Subsidiary.</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Subsidiary</w:t>
      </w:r>
      <w:r>
        <w:rPr>
          <w:rFonts w:ascii="Arial" w:cs="Arial" w:eastAsia="Arial" w:hAnsi="Arial"/>
          <w:sz w:val="21"/>
          <w:szCs w:val="21"/>
          <w:color w:val="auto"/>
        </w:rPr>
        <w:t>” means any Subsidiary other than an Unrestricted Subsidiary.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Availability Date</w:t>
      </w:r>
      <w:r>
        <w:rPr>
          <w:rFonts w:ascii="Arial" w:cs="Arial" w:eastAsia="Arial" w:hAnsi="Arial"/>
          <w:sz w:val="21"/>
          <w:szCs w:val="21"/>
          <w:color w:val="auto"/>
        </w:rPr>
        <w:t>” means April 21, 2015.</w:t>
      </w:r>
    </w:p>
    <w:p>
      <w:pPr>
        <w:spacing w:after="0" w:line="169"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Availability Period</w:t>
      </w:r>
      <w:r>
        <w:rPr>
          <w:rFonts w:ascii="Arial" w:cs="Arial" w:eastAsia="Arial" w:hAnsi="Arial"/>
          <w:sz w:val="21"/>
          <w:szCs w:val="21"/>
          <w:color w:val="auto"/>
        </w:rPr>
        <w:t>” means the period from and including the Revolving Availability Date to but excluding the earlier of (a) the Revolving Maturity Date and (b) the date of the termination of the Revolving Commitments.</w:t>
      </w:r>
    </w:p>
    <w:p>
      <w:pPr>
        <w:spacing w:after="0" w:line="136"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Revolving Commitment</w:t>
      </w:r>
      <w:r>
        <w:rPr>
          <w:rFonts w:ascii="Arial" w:cs="Arial" w:eastAsia="Arial" w:hAnsi="Arial"/>
          <w:sz w:val="19"/>
          <w:szCs w:val="19"/>
          <w:color w:val="auto"/>
        </w:rPr>
        <w:t xml:space="preserve">” means, with respect to each Lender, the commitment, if any, of such Lender to make Revolving Loans and to acquire participations in Letters of Credit hereunder, expressed as an amount representing the maximum possible aggregate amount of such Lender’s Revolving Exposure hereunder, as such commitment may be (a) reduced from time to time pursuant to Section 2.06 and (b) reduced or increased from time to time pursuant to (i) assignments by or to such Lender pursuant to an Assignment and Assumption or (ii) a Refinancing Amendment. The initial amount of each Lender’s Revolving Commitment is set forth on Schedule 2.01, in the Assignment and Assumption or in the Refinancing Amendment pursuant to which such Lender shall have assumed its Revolving Commitment, as the case may be. The initial aggregate amount of the Lenders’ Revolving Commitments </w:t>
      </w:r>
      <w:r>
        <w:rPr>
          <w:rFonts w:ascii="Arial" w:cs="Arial" w:eastAsia="Arial" w:hAnsi="Arial"/>
          <w:sz w:val="19"/>
          <w:szCs w:val="19"/>
          <w:u w:val="single" w:color="auto"/>
          <w:color w:val="FF0000"/>
        </w:rPr>
        <w:t>is</w:t>
      </w:r>
      <w:r>
        <w:rPr>
          <w:rFonts w:ascii="Arial" w:cs="Arial" w:eastAsia="Arial" w:hAnsi="Arial"/>
          <w:sz w:val="19"/>
          <w:szCs w:val="19"/>
          <w:u w:val="single" w:color="auto"/>
          <w:color w:val="0000FF"/>
        </w:rPr>
        <w:t>was</w:t>
      </w:r>
      <w:r>
        <w:rPr>
          <w:rFonts w:ascii="Arial" w:cs="Arial" w:eastAsia="Arial" w:hAnsi="Arial"/>
          <w:sz w:val="19"/>
          <w:szCs w:val="19"/>
          <w:color w:val="auto"/>
        </w:rPr>
        <w:t xml:space="preserve"> $100,000,000</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color w:val="0000FF"/>
        </w:rPr>
        <w:t>it being</w:t>
      </w:r>
      <w:r>
        <w:rPr>
          <w:rFonts w:ascii="Arial" w:cs="Arial" w:eastAsia="Arial" w:hAnsi="Arial"/>
          <w:sz w:val="19"/>
          <w:szCs w:val="19"/>
          <w:color w:val="auto"/>
        </w:rPr>
        <w:t xml:space="preserve"> </w:t>
      </w:r>
      <w:r>
        <w:rPr>
          <w:rFonts w:ascii="Arial" w:cs="Arial" w:eastAsia="Arial" w:hAnsi="Arial"/>
          <w:sz w:val="19"/>
          <w:szCs w:val="19"/>
          <w:u w:val="single" w:color="auto"/>
          <w:color w:val="0000FF"/>
        </w:rPr>
        <w:t>understood that such Revolving Commitments terminated in full on the Escrow Assumption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-188595</wp:posOffset>
            </wp:positionV>
            <wp:extent cx="5905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59055" cy="2540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-188595</wp:posOffset>
            </wp:positionV>
            <wp:extent cx="50419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504190" cy="25400"/>
                    </a:xfrm>
                    <a:prstGeom prst="rect">
                      <a:avLst/>
                    </a:prstGeom>
                    <a:noFill/>
                  </pic:spPr>
                </pic:pic>
              </a:graphicData>
            </a:graphic>
          </wp:anchor>
        </w:drawing>
      </w:r>
    </w:p>
    <w:p>
      <w:pPr>
        <w:spacing w:after="0" w:line="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Commitment Increase</w:t>
      </w:r>
      <w:r>
        <w:rPr>
          <w:rFonts w:ascii="Arial" w:cs="Arial" w:eastAsia="Arial" w:hAnsi="Arial"/>
          <w:sz w:val="21"/>
          <w:szCs w:val="21"/>
          <w:color w:val="auto"/>
        </w:rPr>
        <w:t>” has the meaning assigned to such term in Section 2.18(c).</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221" w:name="page222"/>
    <w:bookmarkEnd w:id="221"/>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Commitment Letter</w:t>
      </w:r>
      <w:r>
        <w:rPr>
          <w:rFonts w:ascii="Arial" w:cs="Arial" w:eastAsia="Arial" w:hAnsi="Arial"/>
          <w:sz w:val="21"/>
          <w:szCs w:val="21"/>
          <w:color w:val="auto"/>
        </w:rPr>
        <w:t>” means, with respect to the Revolving Lenders party to Amendment No. 1 to the Existing Credit Agreement, the Commitment Letter dated on or about February 19, 2015 among Holdings and the Revolving Lenders.</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Commitment Termination Date</w:t>
      </w:r>
      <w:r>
        <w:rPr>
          <w:rFonts w:ascii="Arial" w:cs="Arial" w:eastAsia="Arial" w:hAnsi="Arial"/>
          <w:sz w:val="21"/>
          <w:szCs w:val="21"/>
          <w:color w:val="auto"/>
        </w:rPr>
        <w:t>” means the Revolving Maturity Date.</w:t>
      </w:r>
    </w:p>
    <w:p>
      <w:pPr>
        <w:spacing w:after="0" w:line="182"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Exposure</w:t>
      </w:r>
      <w:r>
        <w:rPr>
          <w:rFonts w:ascii="Arial" w:cs="Arial" w:eastAsia="Arial" w:hAnsi="Arial"/>
          <w:sz w:val="21"/>
          <w:szCs w:val="21"/>
          <w:color w:val="auto"/>
        </w:rPr>
        <w:t>” means, with respect to any Revolving Lender at any time, the sum of the outstanding principal amount of such Revolving Lender’s Revolving Loans and its LC Exposure at such time.</w:t>
      </w:r>
    </w:p>
    <w:p>
      <w:pPr>
        <w:spacing w:after="0" w:line="107"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Lender</w:t>
      </w:r>
      <w:r>
        <w:rPr>
          <w:rFonts w:ascii="Arial" w:cs="Arial" w:eastAsia="Arial" w:hAnsi="Arial"/>
          <w:sz w:val="21"/>
          <w:szCs w:val="21"/>
          <w:color w:val="auto"/>
        </w:rPr>
        <w:t>” means a Lender with a Revolving Commitment or, if the Revolving Commitments have terminated or expired, a Lender with Revolving Exposure.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Loan</w:t>
      </w:r>
      <w:r>
        <w:rPr>
          <w:rFonts w:ascii="Arial" w:cs="Arial" w:eastAsia="Arial" w:hAnsi="Arial"/>
          <w:sz w:val="21"/>
          <w:szCs w:val="21"/>
          <w:color w:val="auto"/>
        </w:rPr>
        <w:t>” means a Loan made pursuant to clause (</w:t>
      </w:r>
      <w:r>
        <w:rPr>
          <w:rFonts w:ascii="Arial" w:cs="Arial" w:eastAsia="Arial" w:hAnsi="Arial"/>
          <w:sz w:val="21"/>
          <w:szCs w:val="21"/>
          <w:color w:val="FF0000"/>
          <w:strike w:val="1"/>
        </w:rPr>
        <w:t>b</w:t>
      </w:r>
      <w:r>
        <w:rPr>
          <w:rFonts w:ascii="Arial" w:cs="Arial" w:eastAsia="Arial" w:hAnsi="Arial"/>
          <w:sz w:val="21"/>
          <w:szCs w:val="21"/>
          <w:u w:val="single" w:color="auto"/>
          <w:color w:val="0000FF"/>
        </w:rPr>
        <w:t>c</w:t>
      </w:r>
      <w:r>
        <w:rPr>
          <w:rFonts w:ascii="Arial" w:cs="Arial" w:eastAsia="Arial" w:hAnsi="Arial"/>
          <w:sz w:val="21"/>
          <w:szCs w:val="21"/>
          <w:color w:val="auto"/>
        </w:rPr>
        <w:t>) of Section 2.01.</w:t>
      </w:r>
    </w:p>
    <w:p>
      <w:pPr>
        <w:spacing w:after="0" w:line="182"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Revolving Maturity Date</w:t>
      </w:r>
      <w:r>
        <w:rPr>
          <w:rFonts w:ascii="Arial" w:cs="Arial" w:eastAsia="Arial" w:hAnsi="Arial"/>
          <w:sz w:val="21"/>
          <w:szCs w:val="21"/>
          <w:color w:val="auto"/>
        </w:rPr>
        <w:t>” means the earlier of (x) April 15, 2018 (or, with respect to any Revolving Lender that has extended its Revolving Commitment pursuant to Section 2.19(b), the extended maturity date set forth in the Extension Notice delivered by the Borrower and such Revolving Lender to the Administrative Agent pursuant to Section 2.19(b)) and (y) the Escrow Assumption Date.</w:t>
      </w:r>
    </w:p>
    <w:p>
      <w:pPr>
        <w:spacing w:after="0" w:line="130"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S&amp;P</w:t>
      </w:r>
      <w:r>
        <w:rPr>
          <w:rFonts w:ascii="Arial" w:cs="Arial" w:eastAsia="Arial" w:hAnsi="Arial"/>
          <w:sz w:val="21"/>
          <w:szCs w:val="21"/>
          <w:color w:val="auto"/>
        </w:rPr>
        <w:t>” means Standard &amp; Poor’s Ratings Services, a division of The McGraw-Hill Companies, Inc., and any successor to its rating agency business.</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Sanctions</w:t>
      </w:r>
      <w:r>
        <w:rPr>
          <w:rFonts w:ascii="Arial" w:cs="Arial" w:eastAsia="Arial" w:hAnsi="Arial"/>
          <w:sz w:val="21"/>
          <w:szCs w:val="21"/>
          <w:color w:val="auto"/>
        </w:rPr>
        <w:t>” means economic sanctions administered or enforced by the United States Government (including without limitation, sanctions enforced by OFAC), the United Nations Security Council, the European Union or Her Majesty’s Treasury.</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SDN List</w:t>
      </w:r>
      <w:r>
        <w:rPr>
          <w:rFonts w:ascii="Arial" w:cs="Arial" w:eastAsia="Arial" w:hAnsi="Arial"/>
          <w:sz w:val="21"/>
          <w:szCs w:val="21"/>
          <w:color w:val="auto"/>
        </w:rPr>
        <w:t>” has the meaning assigned to such term in Section 3.19(d).</w:t>
      </w:r>
    </w:p>
    <w:p>
      <w:pPr>
        <w:spacing w:after="0" w:line="169"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w:t>
      </w:r>
      <w:r>
        <w:rPr>
          <w:rFonts w:ascii="Arial" w:cs="Arial" w:eastAsia="Arial" w:hAnsi="Arial"/>
          <w:sz w:val="21"/>
          <w:szCs w:val="21"/>
          <w:color w:val="auto"/>
        </w:rPr>
        <w:t>” means the Securities and Exchange Commission or any Governmental Authority succeeding to any of its principal functions.</w:t>
      </w:r>
    </w:p>
    <w:p>
      <w:pPr>
        <w:spacing w:after="0" w:line="107"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Lien Notes</w:t>
      </w:r>
      <w:r>
        <w:rPr>
          <w:rFonts w:ascii="Arial" w:cs="Arial" w:eastAsia="Arial" w:hAnsi="Arial"/>
          <w:sz w:val="21"/>
          <w:szCs w:val="21"/>
          <w:color w:val="auto"/>
        </w:rPr>
        <w:t>” means up to $500,000,000 in aggregate principal amount of Senior Secured Second Lien Notes due 2022 to be initially issued by the Escrow Borrower and the Notes Co-Issuer on or prior to the Escrow Assumption Date and the Escrow Borrower’s obligations with respect to which shall be assumed by the Borrower on the Escrow Assumption Date.</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Secured Obligations</w:t>
      </w:r>
      <w:r>
        <w:rPr>
          <w:rFonts w:ascii="Arial" w:cs="Arial" w:eastAsia="Arial" w:hAnsi="Arial"/>
          <w:sz w:val="21"/>
          <w:szCs w:val="21"/>
          <w:color w:val="auto"/>
        </w:rPr>
        <w:t>” has the meaning assigned to such term in the Collateral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Secured Parties</w:t>
      </w:r>
      <w:r>
        <w:rPr>
          <w:rFonts w:ascii="Arial" w:cs="Arial" w:eastAsia="Arial" w:hAnsi="Arial"/>
          <w:sz w:val="21"/>
          <w:szCs w:val="21"/>
          <w:color w:val="auto"/>
        </w:rPr>
        <w:t>” has the meaning assigned to such term in the Collateral Agreement.</w:t>
      </w:r>
    </w:p>
    <w:p>
      <w:pPr>
        <w:spacing w:after="0" w:line="169"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 Documents</w:t>
      </w:r>
      <w:r>
        <w:rPr>
          <w:rFonts w:ascii="Arial" w:cs="Arial" w:eastAsia="Arial" w:hAnsi="Arial"/>
          <w:sz w:val="21"/>
          <w:szCs w:val="21"/>
          <w:color w:val="auto"/>
        </w:rPr>
        <w:t>” means the Collateral Agreement, the Mortgages and each other security agreement or pledge agreement executed and delivered pursuant to</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222" w:name="page223"/>
    <w:bookmarkEnd w:id="222"/>
    <w:p>
      <w:pPr>
        <w:spacing w:after="0"/>
        <w:rPr>
          <w:sz w:val="20"/>
          <w:szCs w:val="20"/>
          <w:color w:val="auto"/>
        </w:rPr>
      </w:pPr>
      <w:r>
        <w:rPr>
          <w:rFonts w:ascii="Arial" w:cs="Arial" w:eastAsia="Arial" w:hAnsi="Arial"/>
          <w:sz w:val="21"/>
          <w:szCs w:val="21"/>
          <w:color w:val="auto"/>
        </w:rPr>
        <w:t>the Collateral and Guarantee Requirement, Section 5.11 or 5.12 to secure any of the Secured Obligations.</w:t>
      </w:r>
    </w:p>
    <w:p>
      <w:pPr>
        <w:spacing w:after="0" w:line="163" w:lineRule="exact"/>
        <w:rPr>
          <w:sz w:val="20"/>
          <w:szCs w:val="20"/>
          <w:color w:val="auto"/>
        </w:rPr>
      </w:pPr>
    </w:p>
    <w:p>
      <w:pPr>
        <w:jc w:val="both"/>
        <w:ind w:firstLine="635"/>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Senior Representative</w:t>
      </w:r>
      <w:r>
        <w:rPr>
          <w:rFonts w:ascii="Arial" w:cs="Arial" w:eastAsia="Arial" w:hAnsi="Arial"/>
          <w:sz w:val="19"/>
          <w:szCs w:val="19"/>
          <w:color w:val="auto"/>
        </w:rPr>
        <w:t>” means, with respect to the Second Lien Notes or any series of Permitted First Priority Refinancing Debt, Permitted Junior Lien Refinancing Debt, secured Indebtedness incurred pursuant to Section 6.01(a)</w:t>
      </w:r>
    </w:p>
    <w:p>
      <w:pPr>
        <w:spacing w:after="0" w:line="1" w:lineRule="exact"/>
        <w:rPr>
          <w:sz w:val="20"/>
          <w:szCs w:val="20"/>
          <w:color w:val="auto"/>
        </w:rPr>
      </w:pPr>
    </w:p>
    <w:p>
      <w:pPr>
        <w:jc w:val="both"/>
        <w:ind w:firstLine="9"/>
        <w:spacing w:after="0" w:line="259" w:lineRule="auto"/>
        <w:tabs>
          <w:tab w:leader="none" w:pos="508" w:val="left"/>
        </w:tabs>
        <w:numPr>
          <w:ilvl w:val="0"/>
          <w:numId w:val="93"/>
        </w:numPr>
        <w:rPr>
          <w:rFonts w:ascii="Arial" w:cs="Arial" w:eastAsia="Arial" w:hAnsi="Arial"/>
          <w:sz w:val="20"/>
          <w:szCs w:val="20"/>
          <w:color w:val="auto"/>
        </w:rPr>
      </w:pPr>
      <w:r>
        <w:rPr>
          <w:rFonts w:ascii="Arial" w:cs="Arial" w:eastAsia="Arial" w:hAnsi="Arial"/>
          <w:sz w:val="20"/>
          <w:szCs w:val="20"/>
          <w:color w:val="auto"/>
        </w:rPr>
        <w:t>or secured Additional Notes issued pursuant to Section 6.01(a)(xxii),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31"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Sold Entity or Business</w:t>
      </w:r>
      <w:r>
        <w:rPr>
          <w:rFonts w:ascii="Arial" w:cs="Arial" w:eastAsia="Arial" w:hAnsi="Arial"/>
          <w:sz w:val="21"/>
          <w:szCs w:val="21"/>
          <w:color w:val="auto"/>
        </w:rPr>
        <w:t>” has the meaning assigned to such term in the definition of the term “Consolidated EBITDA.”</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Solicited Discount Proration</w:t>
      </w:r>
      <w:r>
        <w:rPr>
          <w:rFonts w:ascii="Arial" w:cs="Arial" w:eastAsia="Arial" w:hAnsi="Arial"/>
          <w:sz w:val="21"/>
          <w:szCs w:val="21"/>
          <w:color w:val="auto"/>
        </w:rPr>
        <w:t>” has the meaning assigned to such term in Section 2.09(a)(ii)(D).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Amount</w:t>
      </w:r>
      <w:r>
        <w:rPr>
          <w:rFonts w:ascii="Arial" w:cs="Arial" w:eastAsia="Arial" w:hAnsi="Arial"/>
          <w:sz w:val="19"/>
          <w:szCs w:val="19"/>
          <w:color w:val="auto"/>
        </w:rPr>
        <w:t>” has the meaning assigned to such term in Section 2.09(a)(ii)(D).</w:t>
      </w:r>
    </w:p>
    <w:p>
      <w:pPr>
        <w:spacing w:after="0" w:line="205" w:lineRule="exact"/>
        <w:rPr>
          <w:sz w:val="20"/>
          <w:szCs w:val="20"/>
          <w:color w:val="auto"/>
        </w:rPr>
      </w:pPr>
    </w:p>
    <w:p>
      <w:pPr>
        <w:jc w:val="both"/>
        <w:ind w:firstLine="635"/>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Solicited Discounted Prepayment Notice</w:t>
      </w:r>
      <w:r>
        <w:rPr>
          <w:rFonts w:ascii="Arial" w:cs="Arial" w:eastAsia="Arial" w:hAnsi="Arial"/>
          <w:sz w:val="20"/>
          <w:szCs w:val="20"/>
          <w:color w:val="auto"/>
        </w:rPr>
        <w:t>” means an irrevocable written notice of a Borrower Solicitation of Discounted Prepayment Offers made pursuant to Section 2.09(a)(ii)(D) substantially in the form of Exhibit M.</w:t>
      </w:r>
    </w:p>
    <w:p>
      <w:pPr>
        <w:spacing w:after="0" w:line="83"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Solicited Discounted Prepayment Offer</w:t>
      </w:r>
      <w:r>
        <w:rPr>
          <w:rFonts w:ascii="Arial" w:cs="Arial" w:eastAsia="Arial" w:hAnsi="Arial"/>
          <w:sz w:val="21"/>
          <w:szCs w:val="21"/>
          <w:color w:val="auto"/>
        </w:rPr>
        <w:t>” means the irrevocable written offer by each Term Lender, substantially in the form of Exhibit N, submitted following the Administrative Agent’s receipt of a Solicited Discounted Prepayment Notice.</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Solicited Discounted Prepayment Response Date</w:t>
      </w:r>
      <w:r>
        <w:rPr>
          <w:rFonts w:ascii="Arial" w:cs="Arial" w:eastAsia="Arial" w:hAnsi="Arial"/>
          <w:sz w:val="19"/>
          <w:szCs w:val="19"/>
          <w:color w:val="auto"/>
        </w:rPr>
        <w:t>” has the meaning assigned to such term in Section 2.09(a)(ii)</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w:t>
      </w:r>
      <w:r>
        <w:rPr>
          <w:rFonts w:ascii="Arial" w:cs="Arial" w:eastAsia="Arial" w:hAnsi="Arial"/>
          <w:sz w:val="21"/>
          <w:szCs w:val="21"/>
          <w:color w:val="auto"/>
        </w:rPr>
        <w:t>” has the meaning assigned to such term in Section 2.09(a)(ii)(B).</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Discount Prepayment Amount</w:t>
      </w:r>
      <w:r>
        <w:rPr>
          <w:rFonts w:ascii="Arial" w:cs="Arial" w:eastAsia="Arial" w:hAnsi="Arial"/>
          <w:sz w:val="20"/>
          <w:szCs w:val="20"/>
          <w:color w:val="auto"/>
        </w:rPr>
        <w:t>” has the meaning assigned to such term in Section 2.09(a)(ii)(B).</w:t>
      </w:r>
    </w:p>
    <w:p>
      <w:pPr>
        <w:spacing w:after="0" w:line="180"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Prepayment Notice</w:t>
      </w:r>
      <w:r>
        <w:rPr>
          <w:rFonts w:ascii="Arial" w:cs="Arial" w:eastAsia="Arial" w:hAnsi="Arial"/>
          <w:sz w:val="21"/>
          <w:szCs w:val="21"/>
          <w:color w:val="auto"/>
        </w:rPr>
        <w:t>” means an irrevocable written notice of a Borrower Offer of Specified Discount Prepayment made pursuant to Section 2.09(a)(ii)(B) substantially in the form of Exhibit I.</w:t>
      </w:r>
    </w:p>
    <w:p>
      <w:pPr>
        <w:spacing w:after="0" w:line="120"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Prepayment Response</w:t>
      </w:r>
      <w:r>
        <w:rPr>
          <w:rFonts w:ascii="Arial" w:cs="Arial" w:eastAsia="Arial" w:hAnsi="Arial"/>
          <w:sz w:val="21"/>
          <w:szCs w:val="21"/>
          <w:color w:val="auto"/>
        </w:rPr>
        <w:t>” means the irrevocable written response by each Term Lender, substantially in the form of Exhibit J, to a Specified Discount Prepayment Notice.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Specified Discount Prepayment Response Date</w:t>
      </w:r>
      <w:r>
        <w:rPr>
          <w:rFonts w:ascii="Arial" w:cs="Arial" w:eastAsia="Arial" w:hAnsi="Arial"/>
          <w:sz w:val="19"/>
          <w:szCs w:val="19"/>
          <w:color w:val="auto"/>
        </w:rPr>
        <w:t>” has the meaning assigned to such term in Section 2.09(a)(ii)</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(B).</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23" w:name="page224"/>
    <w:bookmarkEnd w:id="223"/>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Discount Proration</w:t>
      </w:r>
      <w:r>
        <w:rPr>
          <w:rFonts w:ascii="Arial" w:cs="Arial" w:eastAsia="Arial" w:hAnsi="Arial"/>
          <w:sz w:val="21"/>
          <w:szCs w:val="21"/>
          <w:color w:val="auto"/>
        </w:rPr>
        <w:t>” has the meaning assigned to such term in Section 2.09(a)(ii)(B).</w:t>
      </w:r>
    </w:p>
    <w:p>
      <w:pPr>
        <w:spacing w:after="0" w:line="169"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Transaction</w:t>
      </w:r>
      <w:r>
        <w:rPr>
          <w:rFonts w:ascii="Arial" w:cs="Arial" w:eastAsia="Arial" w:hAnsi="Arial"/>
          <w:sz w:val="20"/>
          <w:szCs w:val="20"/>
          <w:color w:val="auto"/>
        </w:rPr>
        <w:t>” means, with respect to any period, the Merger and Contribution,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w:t>
      </w:r>
    </w:p>
    <w:p>
      <w:pPr>
        <w:spacing w:after="0" w:line="126"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and any other banking authority, domestic or foreign, to which the Administrative Agent or any Lender (including any branch, Affiliate or other fronting office making or holding a Loan) is subject for Eurocurrency Liabilities (as defined in Regulation D of the Board). Eurodollar Loans shall be deemed to constitute Eurocurrency Liabilities (as defined in Regulation D of the Board) and to be subject to such reserve requirements without benefit of or credit for proration, exemptions or offsets that may be available from time to time to any Lender under such Regulation D. Statutory Reserve Rates shall be adjusted automatically on and as of the effective date of any change in any reserve percentage.</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Submitted Amount</w:t>
      </w:r>
      <w:r>
        <w:rPr>
          <w:rFonts w:ascii="Arial" w:cs="Arial" w:eastAsia="Arial" w:hAnsi="Arial"/>
          <w:sz w:val="21"/>
          <w:szCs w:val="21"/>
          <w:color w:val="auto"/>
        </w:rPr>
        <w:t>” has the meaning assigned to such term in Section 2.09(a)(ii)(C).</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Submitted Discount</w:t>
      </w:r>
      <w:r>
        <w:rPr>
          <w:rFonts w:ascii="Arial" w:cs="Arial" w:eastAsia="Arial" w:hAnsi="Arial"/>
          <w:sz w:val="21"/>
          <w:szCs w:val="21"/>
          <w:color w:val="auto"/>
        </w:rPr>
        <w:t>” has the meaning assigned to such term in Section 2.09(a)(ii)(C).</w:t>
      </w:r>
    </w:p>
    <w:p>
      <w:pPr>
        <w:spacing w:after="0" w:line="182"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Subordinated Indebtedness</w:t>
      </w:r>
      <w:r>
        <w:rPr>
          <w:rFonts w:ascii="Arial" w:cs="Arial" w:eastAsia="Arial" w:hAnsi="Arial"/>
          <w:sz w:val="21"/>
          <w:szCs w:val="21"/>
          <w:color w:val="auto"/>
        </w:rPr>
        <w:t>” means any Indebtedness that is subordinated in right of payment to the Loan Document Obligations.</w:t>
      </w:r>
    </w:p>
    <w:p>
      <w:pPr>
        <w:spacing w:after="0" w:line="107" w:lineRule="exact"/>
        <w:rPr>
          <w:sz w:val="20"/>
          <w:szCs w:val="20"/>
          <w:color w:val="auto"/>
        </w:rPr>
      </w:pPr>
    </w:p>
    <w:p>
      <w:pPr>
        <w:jc w:val="both"/>
        <w:ind w:firstLine="635"/>
        <w:spacing w:after="0" w:line="2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(the “</w:t>
      </w:r>
      <w:r>
        <w:rPr>
          <w:rFonts w:ascii="Arial" w:cs="Arial" w:eastAsia="Arial" w:hAnsi="Arial"/>
          <w:sz w:val="20"/>
          <w:szCs w:val="20"/>
          <w:b w:val="1"/>
          <w:bCs w:val="1"/>
          <w:color w:val="auto"/>
        </w:rPr>
        <w:t>parent</w:t>
      </w:r>
      <w:r>
        <w:rPr>
          <w:rFonts w:ascii="Arial" w:cs="Arial" w:eastAsia="Arial" w:hAnsi="Arial"/>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unless otherwise specified, any subsidiary of Holdings.</w:t>
      </w:r>
    </w:p>
    <w:p>
      <w:pPr>
        <w:spacing w:after="0" w:line="182"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 Loan Party</w:t>
      </w:r>
      <w:r>
        <w:rPr>
          <w:rFonts w:ascii="Arial" w:cs="Arial" w:eastAsia="Arial" w:hAnsi="Arial"/>
          <w:sz w:val="21"/>
          <w:szCs w:val="21"/>
          <w:color w:val="auto"/>
        </w:rPr>
        <w:t>” means each Subsidiary of Holdings that is a party to the Guarantee Agreement (other than any Intermediate Parent, the Borrower or VFGM).</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224" w:name="page225"/>
    <w:bookmarkEnd w:id="224"/>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Successor Borrower</w:t>
      </w:r>
      <w:r>
        <w:rPr>
          <w:rFonts w:ascii="Arial" w:cs="Arial" w:eastAsia="Arial" w:hAnsi="Arial"/>
          <w:sz w:val="21"/>
          <w:szCs w:val="21"/>
          <w:color w:val="auto"/>
        </w:rPr>
        <w:t>” has the meaning assigned to such term in Section 6.03(a)(iv).</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Successor Holdings</w:t>
      </w:r>
      <w:r>
        <w:rPr>
          <w:rFonts w:ascii="Arial" w:cs="Arial" w:eastAsia="Arial" w:hAnsi="Arial"/>
          <w:sz w:val="21"/>
          <w:szCs w:val="21"/>
          <w:color w:val="auto"/>
        </w:rPr>
        <w:t>” has the meaning assigned to such term in Section 6.03(a)(v).</w:t>
      </w:r>
    </w:p>
    <w:p>
      <w:pPr>
        <w:spacing w:after="0" w:line="182"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Swap Agreement</w:t>
      </w:r>
      <w:r>
        <w:rPr>
          <w:rFonts w:ascii="Arial" w:cs="Arial" w:eastAsia="Arial" w:hAnsi="Arial"/>
          <w:sz w:val="21"/>
          <w:szCs w:val="21"/>
          <w:color w:val="auto"/>
        </w:rPr>
        <w:t xml:space="preserve">” means any agreement with respect to any swap, forward, future or derivative transaction or option or similar agreement or contract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phantom stock or similar plan providing for payments only on account of services provided by current or former directors, officers, employees or consultants of Holdings, any Intermediate Parent, the Borrower or the other Subsidiaries shall be a Swap Agreement.</w:t>
      </w:r>
    </w:p>
    <w:p>
      <w:pPr>
        <w:spacing w:after="0" w:line="134"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Estimation Period</w:t>
      </w:r>
      <w:r>
        <w:rPr>
          <w:rFonts w:ascii="Arial" w:cs="Arial" w:eastAsia="Arial" w:hAnsi="Arial"/>
          <w:sz w:val="21"/>
          <w:szCs w:val="21"/>
          <w:color w:val="auto"/>
        </w:rPr>
        <w:t>” means each period (determined without regard to any prior periods) for which an estimate of corporate federal income tax liability is required to be made under the Code.</w:t>
      </w:r>
    </w:p>
    <w:p>
      <w:pPr>
        <w:spacing w:after="0" w:line="107"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Taxable Year</w:t>
      </w:r>
      <w:r>
        <w:rPr>
          <w:rFonts w:ascii="Arial" w:cs="Arial" w:eastAsia="Arial" w:hAnsi="Arial"/>
          <w:sz w:val="21"/>
          <w:szCs w:val="21"/>
          <w:color w:val="auto"/>
        </w:rPr>
        <w:t>” means Holdings' taxable year ending on the last day of each calendar year (or part thereof, in the case of Holdings' last taxable year), or such other year as is (i) required by Section 706 of the Code or (ii) determined by the Board of Managers of Holdings.</w:t>
      </w:r>
    </w:p>
    <w:p>
      <w:pPr>
        <w:spacing w:after="0" w:line="136"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Taxable Year Income Amount</w:t>
      </w:r>
      <w:r>
        <w:rPr>
          <w:rFonts w:ascii="Arial" w:cs="Arial" w:eastAsia="Arial" w:hAnsi="Arial"/>
          <w:sz w:val="21"/>
          <w:szCs w:val="21"/>
          <w:color w:val="auto"/>
        </w:rPr>
        <w:t>” means, for a Taxable Year, an amount equal to the net taxable income of Holdings for such Taxable Year. For purposes of calculating the Taxable Year Income Amount, items of income, gain, loss and deduction resulting from adjustments to the tax basis of Holdings' assets pursuant to Code Section 743(b) and adjustments pursuant to Code Section 704(c) shall not be taken into account.</w:t>
      </w:r>
    </w:p>
    <w:p>
      <w:pPr>
        <w:spacing w:after="0" w:line="130" w:lineRule="exact"/>
        <w:rPr>
          <w:sz w:val="20"/>
          <w:szCs w:val="20"/>
          <w:color w:val="auto"/>
        </w:rPr>
      </w:pPr>
    </w:p>
    <w:p>
      <w:pPr>
        <w:jc w:val="both"/>
        <w:ind w:firstLine="635"/>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 including any interest, additions to tax or penalties applicable thereto.</w:t>
      </w:r>
    </w:p>
    <w:p>
      <w:pPr>
        <w:spacing w:after="0" w:line="60"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Term B-1 Commitment</w:t>
      </w:r>
      <w:r>
        <w:rPr>
          <w:rFonts w:ascii="Arial" w:cs="Arial" w:eastAsia="Arial" w:hAnsi="Arial"/>
          <w:sz w:val="21"/>
          <w:szCs w:val="21"/>
          <w:u w:val="single" w:color="auto"/>
          <w:color w:val="0000FF"/>
        </w:rPr>
        <w:t>” means the obligation of the Term B-1 Lender to make a Term B-1 Loan on the Amendment No. 1 Effective Date</w:t>
      </w:r>
      <w:r>
        <w:rPr>
          <w:rFonts w:ascii="Arial" w:cs="Arial" w:eastAsia="Arial" w:hAnsi="Arial"/>
          <w:sz w:val="21"/>
          <w:szCs w:val="21"/>
          <w:color w:val="0000FF"/>
        </w:rPr>
        <w:t xml:space="preserve"> </w:t>
      </w:r>
      <w:r>
        <w:rPr>
          <w:rFonts w:ascii="Arial" w:cs="Arial" w:eastAsia="Arial" w:hAnsi="Arial"/>
          <w:sz w:val="21"/>
          <w:szCs w:val="21"/>
          <w:color w:val="00BF00"/>
        </w:rPr>
        <w:t>in an aggregate principal amount equal to</w:t>
      </w:r>
      <w:r>
        <w:rPr>
          <w:rFonts w:ascii="Arial" w:cs="Arial" w:eastAsia="Arial" w:hAnsi="Arial"/>
          <w:sz w:val="21"/>
          <w:szCs w:val="21"/>
          <w:color w:val="0000FF"/>
        </w:rPr>
        <w:t xml:space="preserve"> the excess of $650,000,000 over the aggregate </w:t>
      </w:r>
      <w:r>
        <w:rPr>
          <w:rFonts w:ascii="Arial" w:cs="Arial" w:eastAsia="Arial" w:hAnsi="Arial"/>
          <w:sz w:val="21"/>
          <w:szCs w:val="21"/>
          <w:u w:val="single" w:color="auto"/>
          <w:color w:val="0000FF"/>
        </w:rPr>
        <w:t>principal amount of Converted New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-189865</wp:posOffset>
            </wp:positionV>
            <wp:extent cx="226504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2265045" cy="8255"/>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-172720</wp:posOffset>
            </wp:positionV>
            <wp:extent cx="253682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2536825" cy="25400"/>
                    </a:xfrm>
                    <a:prstGeom prst="rect">
                      <a:avLst/>
                    </a:prstGeom>
                    <a:noFill/>
                  </pic:spPr>
                </pic:pic>
              </a:graphicData>
            </a:graphic>
          </wp:anchor>
        </w:drawing>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Term B-1 Lender</w:t>
      </w:r>
      <w:r>
        <w:rPr>
          <w:rFonts w:ascii="Arial" w:cs="Arial" w:eastAsia="Arial" w:hAnsi="Arial"/>
          <w:sz w:val="21"/>
          <w:szCs w:val="21"/>
          <w:u w:val="single" w:color="auto"/>
          <w:color w:val="0000FF"/>
        </w:rPr>
        <w:t>” means the Lender identified as such in Amendment No. 1.</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w:t>
      </w:r>
      <w:r>
        <w:rPr>
          <w:rFonts w:ascii="Arial" w:cs="Arial" w:eastAsia="Arial" w:hAnsi="Arial"/>
          <w:sz w:val="21"/>
          <w:szCs w:val="21"/>
          <w:b w:val="1"/>
          <w:bCs w:val="1"/>
          <w:u w:val="single" w:color="auto"/>
          <w:color w:val="0000FF"/>
        </w:rPr>
        <w:t>Term B-1 Loan</w:t>
      </w:r>
      <w:r>
        <w:rPr>
          <w:rFonts w:ascii="Arial" w:cs="Arial" w:eastAsia="Arial" w:hAnsi="Arial"/>
          <w:sz w:val="21"/>
          <w:szCs w:val="21"/>
          <w:u w:val="single" w:color="auto"/>
          <w:color w:val="0000FF"/>
        </w:rPr>
        <w:t>” has the meaning assigned to such term in Section 2.01(b).</w:t>
      </w:r>
    </w:p>
    <w:p>
      <w:pPr>
        <w:spacing w:after="0" w:line="169"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Commitment</w:t>
      </w:r>
      <w:r>
        <w:rPr>
          <w:rFonts w:ascii="Arial" w:cs="Arial" w:eastAsia="Arial" w:hAnsi="Arial"/>
          <w:sz w:val="21"/>
          <w:szCs w:val="21"/>
          <w:color w:val="auto"/>
        </w:rPr>
        <w:t>” means</w:t>
      </w:r>
      <w:r>
        <w:rPr>
          <w:rFonts w:ascii="Arial" w:cs="Arial" w:eastAsia="Arial" w:hAnsi="Arial"/>
          <w:sz w:val="21"/>
          <w:szCs w:val="21"/>
          <w:color w:val="FF0000"/>
          <w:strike w:val="1"/>
        </w:rPr>
        <w:t>, with respect to each Lender, the commitment, if any, of such Lender to make an</w:t>
      </w:r>
      <w:r>
        <w:rPr>
          <w:rFonts w:ascii="Arial" w:cs="Arial" w:eastAsia="Arial" w:hAnsi="Arial"/>
          <w:sz w:val="21"/>
          <w:szCs w:val="21"/>
          <w:color w:val="auto"/>
        </w:rPr>
        <w:t xml:space="preserve"> </w:t>
      </w:r>
      <w:r>
        <w:rPr>
          <w:rFonts w:ascii="Arial" w:cs="Arial" w:eastAsia="Arial" w:hAnsi="Arial"/>
          <w:sz w:val="21"/>
          <w:szCs w:val="21"/>
          <w:color w:val="FF0000"/>
          <w:strike w:val="1"/>
        </w:rPr>
        <w:t>Initial Term Loan hereunder on the Restatement Effective Date, expressed as an amount representing the maximum principal amount of the Initial Term Loan to be made by such Lender hereunder, as such commitment may be (a) reduced from time to time pursuant to Section 2.06 and (b) reduced or increased from</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225" w:name="page226"/>
    <w:bookmarkEnd w:id="225"/>
    <w:p>
      <w:pPr>
        <w:jc w:val="both"/>
        <w:spacing w:after="0" w:line="243" w:lineRule="auto"/>
        <w:rPr>
          <w:sz w:val="20"/>
          <w:szCs w:val="20"/>
          <w:color w:val="auto"/>
        </w:rPr>
      </w:pPr>
      <w:r>
        <w:rPr>
          <w:rFonts w:ascii="Arial" w:cs="Arial" w:eastAsia="Arial" w:hAnsi="Arial"/>
          <w:sz w:val="21"/>
          <w:szCs w:val="21"/>
          <w:color w:val="FF0000"/>
          <w:strike w:val="1"/>
        </w:rPr>
        <w:t xml:space="preserve">time to time pursuant to assignments by or to such Lender pursuant to an Assignment and Assumption. The amount of each Lender’s Term Commitment as of the Restatement Effective Date is set forth on Schedule 2.01(b) or in the Assignment and Assumption pursuant to which such Lender shall have assumed its Term Commitment, as the case may be. </w:t>
      </w:r>
      <w:r>
        <w:rPr>
          <w:rFonts w:ascii="Arial" w:cs="Arial" w:eastAsia="Arial" w:hAnsi="Arial"/>
          <w:sz w:val="21"/>
          <w:szCs w:val="21"/>
          <w:color w:val="0000FF"/>
          <w:strike w:val="1"/>
        </w:rPr>
        <w:t>the Term B-1 Commitment and the obligation of any other Term Lender with respect to any other series of Term Loans</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to make a Term Loan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-165100</wp:posOffset>
            </wp:positionV>
            <wp:extent cx="645160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6451600" cy="25400"/>
                    </a:xfrm>
                    <a:prstGeom prst="rect">
                      <a:avLst/>
                    </a:prstGeom>
                    <a:noFill/>
                  </pic:spPr>
                </pic:pic>
              </a:graphicData>
            </a:graphic>
          </wp:anchor>
        </w:drawing>
      </w:r>
    </w:p>
    <w:p>
      <w:pPr>
        <w:spacing w:after="0" w:line="115"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Lender</w:t>
      </w:r>
      <w:r>
        <w:rPr>
          <w:rFonts w:ascii="Arial" w:cs="Arial" w:eastAsia="Arial" w:hAnsi="Arial"/>
          <w:sz w:val="21"/>
          <w:szCs w:val="21"/>
          <w:color w:val="auto"/>
        </w:rPr>
        <w:t xml:space="preserve">” means </w:t>
      </w:r>
      <w:r>
        <w:rPr>
          <w:rFonts w:ascii="Arial" w:cs="Arial" w:eastAsia="Arial" w:hAnsi="Arial"/>
          <w:sz w:val="21"/>
          <w:szCs w:val="21"/>
          <w:u w:val="single" w:color="auto"/>
          <w:color w:val="FF0000"/>
        </w:rPr>
        <w:t>a</w:t>
      </w:r>
      <w:r>
        <w:rPr>
          <w:rFonts w:ascii="Arial" w:cs="Arial" w:eastAsia="Arial" w:hAnsi="Arial"/>
          <w:sz w:val="21"/>
          <w:szCs w:val="21"/>
          <w:u w:val="single" w:color="auto"/>
          <w:color w:val="0000FF"/>
        </w:rPr>
        <w:t>, at any time, the Term B-1 Lender, each Amendment No. 1 Consenting Lender, and any</w:t>
      </w:r>
      <w:r>
        <w:rPr>
          <w:rFonts w:ascii="Arial" w:cs="Arial" w:eastAsia="Arial" w:hAnsi="Arial"/>
          <w:sz w:val="21"/>
          <w:szCs w:val="21"/>
          <w:color w:val="auto"/>
        </w:rPr>
        <w:t xml:space="preserve"> </w:t>
      </w:r>
      <w:r>
        <w:rPr>
          <w:rFonts w:ascii="Arial" w:cs="Arial" w:eastAsia="Arial" w:hAnsi="Arial"/>
          <w:sz w:val="21"/>
          <w:szCs w:val="21"/>
          <w:u w:val="single" w:color="auto"/>
          <w:color w:val="0000FF"/>
        </w:rPr>
        <w:t>other</w:t>
      </w:r>
      <w:r>
        <w:rPr>
          <w:rFonts w:ascii="Arial" w:cs="Arial" w:eastAsia="Arial" w:hAnsi="Arial"/>
          <w:sz w:val="21"/>
          <w:szCs w:val="21"/>
          <w:color w:val="0000FF"/>
        </w:rPr>
        <w:t xml:space="preserve"> </w:t>
      </w:r>
      <w:r>
        <w:rPr>
          <w:rFonts w:ascii="Arial" w:cs="Arial" w:eastAsia="Arial" w:hAnsi="Arial"/>
          <w:sz w:val="21"/>
          <w:szCs w:val="21"/>
          <w:color w:val="000000"/>
        </w:rPr>
        <w:t>Lender with a Term Commitment or</w:t>
      </w:r>
      <w:r>
        <w:rPr>
          <w:rFonts w:ascii="Arial" w:cs="Arial" w:eastAsia="Arial" w:hAnsi="Arial"/>
          <w:sz w:val="21"/>
          <w:szCs w:val="21"/>
          <w:color w:val="0000FF"/>
        </w:rPr>
        <w:t xml:space="preserve"> </w:t>
      </w:r>
      <w:r>
        <w:rPr>
          <w:rFonts w:ascii="Arial" w:cs="Arial" w:eastAsia="Arial" w:hAnsi="Arial"/>
          <w:sz w:val="21"/>
          <w:szCs w:val="21"/>
          <w:color w:val="FF0000"/>
          <w:strike w:val="1"/>
        </w:rPr>
        <w:t>an outstanding</w:t>
      </w:r>
      <w:r>
        <w:rPr>
          <w:rFonts w:ascii="Arial" w:cs="Arial" w:eastAsia="Arial" w:hAnsi="Arial"/>
          <w:sz w:val="21"/>
          <w:szCs w:val="21"/>
          <w:u w:val="single" w:color="auto"/>
          <w:color w:val="0000FF"/>
        </w:rPr>
        <w:t>a</w:t>
      </w:r>
      <w:r>
        <w:rPr>
          <w:rFonts w:ascii="Arial" w:cs="Arial" w:eastAsia="Arial" w:hAnsi="Arial"/>
          <w:sz w:val="21"/>
          <w:szCs w:val="21"/>
          <w:color w:val="0000FF"/>
        </w:rPr>
        <w:t xml:space="preserve"> </w:t>
      </w:r>
      <w:r>
        <w:rPr>
          <w:rFonts w:ascii="Arial" w:cs="Arial" w:eastAsia="Arial" w:hAnsi="Arial"/>
          <w:sz w:val="21"/>
          <w:szCs w:val="21"/>
          <w:color w:val="000000"/>
        </w:rPr>
        <w:t>Term Loan</w:t>
      </w:r>
      <w:r>
        <w:rPr>
          <w:rFonts w:ascii="Arial" w:cs="Arial" w:eastAsia="Arial" w:hAnsi="Arial"/>
          <w:sz w:val="21"/>
          <w:szCs w:val="21"/>
          <w:color w:val="0000FF"/>
        </w:rPr>
        <w:t xml:space="preserve">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-31750</wp:posOffset>
            </wp:positionV>
            <wp:extent cx="72263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722630" cy="25400"/>
                    </a:xfrm>
                    <a:prstGeom prst="rect">
                      <a:avLst/>
                    </a:prstGeom>
                    <a:noFill/>
                  </pic:spPr>
                </pic:pic>
              </a:graphicData>
            </a:graphic>
          </wp:anchor>
        </w:drawing>
      </w:r>
    </w:p>
    <w:p>
      <w:pPr>
        <w:spacing w:after="0" w:line="100"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Loans</w:t>
      </w:r>
      <w:r>
        <w:rPr>
          <w:rFonts w:ascii="Arial" w:cs="Arial" w:eastAsia="Arial" w:hAnsi="Arial"/>
          <w:sz w:val="21"/>
          <w:szCs w:val="21"/>
          <w:color w:val="auto"/>
        </w:rPr>
        <w:t xml:space="preserve">” means the </w:t>
      </w:r>
      <w:r>
        <w:rPr>
          <w:rFonts w:ascii="Arial" w:cs="Arial" w:eastAsia="Arial" w:hAnsi="Arial"/>
          <w:sz w:val="21"/>
          <w:szCs w:val="21"/>
          <w:u w:val="single" w:color="auto"/>
          <w:color w:val="FF0000"/>
        </w:rPr>
        <w:t>Initial</w:t>
      </w:r>
      <w:r>
        <w:rPr>
          <w:rFonts w:ascii="Arial" w:cs="Arial" w:eastAsia="Arial" w:hAnsi="Arial"/>
          <w:sz w:val="21"/>
          <w:szCs w:val="21"/>
          <w:color w:val="auto"/>
        </w:rPr>
        <w:t xml:space="preserve"> Term </w:t>
      </w:r>
      <w:r>
        <w:rPr>
          <w:rFonts w:ascii="Arial" w:cs="Arial" w:eastAsia="Arial" w:hAnsi="Arial"/>
          <w:sz w:val="21"/>
          <w:szCs w:val="21"/>
          <w:color w:val="0000FF"/>
        </w:rPr>
        <w:t>B-1</w:t>
      </w:r>
      <w:r>
        <w:rPr>
          <w:rFonts w:ascii="Arial" w:cs="Arial" w:eastAsia="Arial" w:hAnsi="Arial"/>
          <w:sz w:val="21"/>
          <w:szCs w:val="21"/>
          <w:color w:val="auto"/>
        </w:rPr>
        <w:t xml:space="preserve"> Loans</w:t>
      </w:r>
      <w:r>
        <w:rPr>
          <w:rFonts w:ascii="Arial" w:cs="Arial" w:eastAsia="Arial" w:hAnsi="Arial"/>
          <w:sz w:val="21"/>
          <w:szCs w:val="21"/>
          <w:color w:val="FF0000"/>
          <w:strike w:val="1"/>
        </w:rPr>
        <w:t>, the Escrow Term Loans (</w:t>
      </w:r>
      <w:r>
        <w:rPr>
          <w:rFonts w:ascii="Arial" w:cs="Arial" w:eastAsia="Arial" w:hAnsi="Arial"/>
          <w:sz w:val="21"/>
          <w:szCs w:val="21"/>
          <w:i w:val="1"/>
          <w:iCs w:val="1"/>
          <w:color w:val="FF0000"/>
          <w:strike w:val="1"/>
        </w:rPr>
        <w:t>provided</w:t>
      </w:r>
      <w:r>
        <w:rPr>
          <w:rFonts w:ascii="Arial" w:cs="Arial" w:eastAsia="Arial" w:hAnsi="Arial"/>
          <w:sz w:val="21"/>
          <w:szCs w:val="21"/>
          <w:color w:val="auto"/>
        </w:rPr>
        <w:t xml:space="preserve"> </w:t>
      </w:r>
      <w:r>
        <w:rPr>
          <w:rFonts w:ascii="Arial" w:cs="Arial" w:eastAsia="Arial" w:hAnsi="Arial"/>
          <w:sz w:val="21"/>
          <w:szCs w:val="21"/>
          <w:color w:val="FF0000"/>
          <w:strike w:val="1"/>
        </w:rPr>
        <w:t>that no Escrow Term Loans</w:t>
      </w:r>
      <w:r>
        <w:rPr>
          <w:rFonts w:ascii="Arial" w:cs="Arial" w:eastAsia="Arial" w:hAnsi="Arial"/>
          <w:sz w:val="21"/>
          <w:szCs w:val="21"/>
          <w:color w:val="auto"/>
        </w:rPr>
        <w:t xml:space="preserve"> </w:t>
      </w:r>
      <w:r>
        <w:rPr>
          <w:rFonts w:ascii="Arial" w:cs="Arial" w:eastAsia="Arial" w:hAnsi="Arial"/>
          <w:sz w:val="21"/>
          <w:szCs w:val="21"/>
          <w:color w:val="FF0000"/>
          <w:strike w:val="1"/>
        </w:rPr>
        <w:t>shall be Term Loans hereunder until the Escrow Assumption shall have occurred)</w:t>
      </w:r>
      <w:r>
        <w:rPr>
          <w:rFonts w:ascii="Arial" w:cs="Arial" w:eastAsia="Arial" w:hAnsi="Arial"/>
          <w:sz w:val="21"/>
          <w:szCs w:val="21"/>
          <w:color w:val="000000"/>
        </w:rPr>
        <w:t>, Other Term Loans and loans made</w:t>
      </w:r>
      <w:r>
        <w:rPr>
          <w:rFonts w:ascii="Arial" w:cs="Arial" w:eastAsia="Arial" w:hAnsi="Arial"/>
          <w:sz w:val="21"/>
          <w:szCs w:val="21"/>
          <w:color w:val="FF0000"/>
        </w:rPr>
        <w:t xml:space="preserve"> </w:t>
      </w:r>
      <w:r>
        <w:rPr>
          <w:rFonts w:ascii="Arial" w:cs="Arial" w:eastAsia="Arial" w:hAnsi="Arial"/>
          <w:sz w:val="21"/>
          <w:szCs w:val="21"/>
          <w:color w:val="000000"/>
        </w:rPr>
        <w:t>pursuant to an Incremental Term Facility,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2499995</wp:posOffset>
            </wp:positionH>
            <wp:positionV relativeFrom="paragraph">
              <wp:posOffset>-332740</wp:posOffset>
            </wp:positionV>
            <wp:extent cx="24384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243840" cy="25400"/>
                    </a:xfrm>
                    <a:prstGeom prst="rect">
                      <a:avLst/>
                    </a:prstGeom>
                    <a:noFill/>
                  </pic:spPr>
                </pic:pic>
              </a:graphicData>
            </a:graphic>
          </wp:anchor>
        </w:drawing>
      </w:r>
    </w:p>
    <w:p>
      <w:pPr>
        <w:spacing w:after="0" w:line="103" w:lineRule="exact"/>
        <w:rPr>
          <w:sz w:val="20"/>
          <w:szCs w:val="20"/>
          <w:color w:val="auto"/>
        </w:rPr>
      </w:pPr>
    </w:p>
    <w:p>
      <w:pPr>
        <w:jc w:val="both"/>
        <w:ind w:firstLine="635"/>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 Maturity Date</w:t>
      </w:r>
      <w:r>
        <w:rPr>
          <w:rFonts w:ascii="Arial" w:cs="Arial" w:eastAsia="Arial" w:hAnsi="Arial"/>
          <w:sz w:val="20"/>
          <w:szCs w:val="20"/>
          <w:color w:val="auto"/>
        </w:rPr>
        <w:t>” means December 30, 2021 (or, with respect to any Term Lender that has extended the maturity date of its Term Loans pursuant to Section 2.19(b), the extended maturity date set forth in the Extension Notice delivered by the Borrower and such Term Lender to the Administrative Agent pursuant to Section 2.19(b)).</w:t>
      </w:r>
    </w:p>
    <w:p>
      <w:pPr>
        <w:spacing w:after="0" w:line="107"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Test Period</w:t>
      </w:r>
      <w:r>
        <w:rPr>
          <w:rFonts w:ascii="Arial" w:cs="Arial" w:eastAsia="Arial" w:hAnsi="Arial"/>
          <w:sz w:val="21"/>
          <w:szCs w:val="21"/>
          <w:color w:val="auto"/>
        </w:rPr>
        <w:t>” means, as of any date of determination, the period of four consecutive fiscal quarters of the Borrower then most recently ended.</w:t>
      </w:r>
    </w:p>
    <w:p>
      <w:pPr>
        <w:spacing w:after="0" w:line="120"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Net Leverage Ratio</w:t>
      </w:r>
      <w:r>
        <w:rPr>
          <w:rFonts w:ascii="Arial" w:cs="Arial" w:eastAsia="Arial" w:hAnsi="Arial"/>
          <w:sz w:val="21"/>
          <w:szCs w:val="21"/>
          <w:color w:val="auto"/>
        </w:rPr>
        <w:t>” means, on any date, the ratio of (a) Consolidated Total Net Debt as of such date to (b) Consolidated EBITDA for the Test Period most recently ended.</w:t>
      </w:r>
    </w:p>
    <w:p>
      <w:pPr>
        <w:spacing w:after="0" w:line="107"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Leverage Ratio</w:t>
      </w:r>
      <w:r>
        <w:rPr>
          <w:rFonts w:ascii="Arial" w:cs="Arial" w:eastAsia="Arial" w:hAnsi="Arial"/>
          <w:sz w:val="21"/>
          <w:szCs w:val="21"/>
          <w:color w:val="auto"/>
        </w:rPr>
        <w:t>” means, on any date, the ratio of (a) Consolidated Total Debt as of such date to (b) Consolidated EBITDA for the Test Period most recently ended.</w:t>
      </w:r>
    </w:p>
    <w:p>
      <w:pPr>
        <w:spacing w:after="0" w:line="107"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Revolving Commitments</w:t>
      </w:r>
      <w:r>
        <w:rPr>
          <w:rFonts w:ascii="Arial" w:cs="Arial" w:eastAsia="Arial" w:hAnsi="Arial"/>
          <w:sz w:val="21"/>
          <w:szCs w:val="21"/>
          <w:color w:val="auto"/>
        </w:rPr>
        <w:t>” means, at any time, the aggregate amount of the Revolving Commitments then in effect.</w:t>
      </w:r>
    </w:p>
    <w:p>
      <w:pPr>
        <w:spacing w:after="0" w:line="120" w:lineRule="exact"/>
        <w:rPr>
          <w:sz w:val="20"/>
          <w:szCs w:val="20"/>
          <w:color w:val="auto"/>
        </w:rPr>
      </w:pPr>
    </w:p>
    <w:p>
      <w:pPr>
        <w:jc w:val="both"/>
        <w:ind w:firstLine="635"/>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Debt</w:t>
      </w:r>
      <w:r>
        <w:rPr>
          <w:rFonts w:ascii="Arial" w:cs="Arial" w:eastAsia="Arial" w:hAnsi="Arial"/>
          <w:sz w:val="19"/>
          <w:szCs w:val="19"/>
          <w:color w:val="auto"/>
        </w:rPr>
        <w:t>” means any margin facility or other margin-related Indebtedness or any other Indebtedness incurred exclusively to finance the securities, derivatives, commodities or futures trading positions and related assets and liabilities of Holdings and its Restricted Subsidiaries, including, without limitation, any collateralized loan, any obligations under any securities lending and/or borrowing facility and any day loans and overnight loans with settlement banks and prime brokers to finance securities, derivatives, commodities or futures trading positions and margin loans.</w:t>
      </w:r>
    </w:p>
    <w:p>
      <w:pPr>
        <w:spacing w:after="0" w:line="106"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 Costs</w:t>
      </w:r>
      <w:r>
        <w:rPr>
          <w:rFonts w:ascii="Arial" w:cs="Arial" w:eastAsia="Arial" w:hAnsi="Arial"/>
          <w:sz w:val="21"/>
          <w:szCs w:val="21"/>
          <w:color w:val="auto"/>
        </w:rPr>
        <w:t>” means all fees, costs and expenses incurred or payable by Holdings, the Borrower or any other Subsidiary in connection with the Transactions.</w:t>
      </w:r>
    </w:p>
    <w:p>
      <w:pPr>
        <w:spacing w:after="0" w:line="107"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Transactions</w:t>
      </w:r>
      <w:r>
        <w:rPr>
          <w:rFonts w:ascii="Arial" w:cs="Arial" w:eastAsia="Arial" w:hAnsi="Arial"/>
          <w:sz w:val="21"/>
          <w:szCs w:val="21"/>
          <w:color w:val="auto"/>
        </w:rPr>
        <w:t>” means, collectively, (i) the Financing Transactions, (iii) the Restatement Effective Date Refinancing, (iv) the consummation of the Merger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26" w:name="page227"/>
    <w:bookmarkEnd w:id="226"/>
    <w:p>
      <w:pPr>
        <w:jc w:val="both"/>
        <w:spacing w:after="0" w:line="250" w:lineRule="auto"/>
        <w:rPr>
          <w:sz w:val="20"/>
          <w:szCs w:val="20"/>
          <w:color w:val="auto"/>
        </w:rPr>
      </w:pPr>
      <w:r>
        <w:rPr>
          <w:rFonts w:ascii="Arial" w:cs="Arial" w:eastAsia="Arial" w:hAnsi="Arial"/>
          <w:sz w:val="21"/>
          <w:szCs w:val="21"/>
          <w:color w:val="auto"/>
        </w:rPr>
        <w:t>Contribution pursuant to the terms of the Merger Agreement, (v) the KCG Refinancing, (vi) the assumption by the Borrower of the Escrow Borrower’s obligations in respect of the Second Lien Notes, and (vii) the payment of the Transaction Costs in connection with the foregoing.</w:t>
      </w:r>
    </w:p>
    <w:p>
      <w:pPr>
        <w:spacing w:after="0" w:line="126"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Type</w:t>
      </w:r>
      <w:r>
        <w:rPr>
          <w:rFonts w:ascii="Arial" w:cs="Arial" w:eastAsia="Arial" w:hAnsi="Arial"/>
          <w:sz w:val="21"/>
          <w:szCs w:val="21"/>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36" w:lineRule="exact"/>
        <w:rPr>
          <w:sz w:val="20"/>
          <w:szCs w:val="20"/>
          <w:color w:val="auto"/>
        </w:rPr>
      </w:pPr>
    </w:p>
    <w:p>
      <w:pPr>
        <w:jc w:val="both"/>
        <w:ind w:firstLine="635"/>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Unrestricted Subsidiary</w:t>
      </w:r>
      <w:r>
        <w:rPr>
          <w:rFonts w:ascii="Arial" w:cs="Arial" w:eastAsia="Arial" w:hAnsi="Arial"/>
          <w:sz w:val="19"/>
          <w:szCs w:val="19"/>
          <w:color w:val="auto"/>
        </w:rPr>
        <w:t>” means any Subsidiary (other than an Intermediate Parent or the Borrower) designated by the Borrower as an Unrestricted Subsidiary pursuant to Section 5.13 subsequent to the Restatement Effective Date.</w:t>
      </w:r>
    </w:p>
    <w:p>
      <w:pPr>
        <w:spacing w:after="0" w:line="60"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USA Patriot Act</w:t>
      </w:r>
      <w:r>
        <w:rPr>
          <w:rFonts w:ascii="Arial" w:cs="Arial" w:eastAsia="Arial" w:hAnsi="Arial"/>
          <w:sz w:val="21"/>
          <w:szCs w:val="21"/>
          <w:color w:val="auto"/>
        </w:rPr>
        <w:t>” means the Uniting and Strengthening America by Providing Appropriate Tools Required to Intercept and Obstruct Terrorism Act of 2001, as amended from time to time.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VFGM</w:t>
      </w:r>
      <w:r>
        <w:rPr>
          <w:rFonts w:ascii="Arial" w:cs="Arial" w:eastAsia="Arial" w:hAnsi="Arial"/>
          <w:sz w:val="21"/>
          <w:szCs w:val="21"/>
          <w:color w:val="auto"/>
        </w:rPr>
        <w:t>” means Virtu Financial Global Markets LLC, a Delaware limited liability company.</w:t>
      </w:r>
    </w:p>
    <w:p>
      <w:pPr>
        <w:spacing w:after="0" w:line="182"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Voting Stock</w:t>
      </w:r>
      <w:r>
        <w:rPr>
          <w:rFonts w:ascii="Arial" w:cs="Arial" w:eastAsia="Arial" w:hAnsi="Arial"/>
          <w:sz w:val="21"/>
          <w:szCs w:val="21"/>
          <w:color w:val="auto"/>
        </w:rPr>
        <w:t>” of any specified Person as of any date means the Equity Interests of such Person that is at the time entitled to vote in an election of the Board of Directors of Holdings or such Person.</w:t>
      </w:r>
    </w:p>
    <w:p>
      <w:pPr>
        <w:spacing w:after="0" w:line="107"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VV Holders</w:t>
      </w:r>
      <w:r>
        <w:rPr>
          <w:rFonts w:ascii="Arial" w:cs="Arial" w:eastAsia="Arial" w:hAnsi="Arial"/>
          <w:sz w:val="21"/>
          <w:szCs w:val="21"/>
          <w:color w:val="auto"/>
        </w:rPr>
        <w:t>” means (i) Vincent Viola, (ii) TJMT Holdings LLC (f/k/a Virtu Holdings LLC), (iii) any immediate family member of Vincent Viola, a trust, family-partnership or estate-planning vehicle solely for the benefit of Vincent Viola and/or any of his immediate family members (including siblings of Vincent Viola and Teresa Viola), (iv) Virtu Employee Holdco LLC and (v) any other Affiliate of any of the foregoing.</w:t>
      </w:r>
    </w:p>
    <w:p>
      <w:pPr>
        <w:spacing w:after="0" w:line="130" w:lineRule="exact"/>
        <w:rPr>
          <w:sz w:val="20"/>
          <w:szCs w:val="20"/>
          <w:color w:val="auto"/>
        </w:rPr>
      </w:pPr>
    </w:p>
    <w:p>
      <w:pPr>
        <w:jc w:val="both"/>
        <w:ind w:firstLine="63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Weighted Average Life to Maturity</w:t>
      </w:r>
      <w:r>
        <w:rPr>
          <w:rFonts w:ascii="Arial" w:cs="Arial" w:eastAsia="Arial" w:hAnsi="Arial"/>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30" w:lineRule="exact"/>
        <w:rPr>
          <w:sz w:val="20"/>
          <w:szCs w:val="20"/>
          <w:color w:val="auto"/>
        </w:rPr>
      </w:pPr>
    </w:p>
    <w:p>
      <w:pPr>
        <w:jc w:val="both"/>
        <w:ind w:right="20" w:firstLine="635"/>
        <w:spacing w:after="0" w:line="26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Wholly Owned Restricted Subsidiary</w:t>
      </w:r>
      <w:r>
        <w:rPr>
          <w:rFonts w:ascii="Arial" w:cs="Arial" w:eastAsia="Arial" w:hAnsi="Arial"/>
          <w:sz w:val="21"/>
          <w:szCs w:val="21"/>
          <w:color w:val="auto"/>
        </w:rPr>
        <w:t>” means any Restricted Subsidiary that is a Wholly Owned Subsidiary of Holdings.</w:t>
      </w:r>
    </w:p>
    <w:p>
      <w:pPr>
        <w:spacing w:after="0" w:line="107" w:lineRule="exact"/>
        <w:rPr>
          <w:sz w:val="20"/>
          <w:szCs w:val="20"/>
          <w:color w:val="auto"/>
        </w:rPr>
      </w:pPr>
    </w:p>
    <w:p>
      <w:pPr>
        <w:jc w:val="both"/>
        <w:ind w:firstLine="63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Wholly Owned Subsidiary</w:t>
      </w:r>
      <w:r>
        <w:rPr>
          <w:rFonts w:ascii="Arial" w:cs="Arial" w:eastAsia="Arial" w:hAnsi="Arial"/>
          <w:sz w:val="20"/>
          <w:szCs w:val="20"/>
          <w:color w:val="auto"/>
        </w:rPr>
        <w:t>”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27" w:name="page228"/>
    <w:bookmarkEnd w:id="227"/>
    <w:p>
      <w:pPr>
        <w:jc w:val="both"/>
        <w:ind w:right="20" w:firstLine="635"/>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Withdrawal Liability</w:t>
      </w:r>
      <w:r>
        <w:rPr>
          <w:rFonts w:ascii="Arial" w:cs="Arial" w:eastAsia="Arial" w:hAnsi="Arial"/>
          <w:sz w:val="21"/>
          <w:szCs w:val="21"/>
          <w:color w:val="auto"/>
        </w:rPr>
        <w:t>” means liability to a Multiemployer Plan as a result of a complete or partial withdrawal from such Multiemployer Plan, as such terms are defined in Part I of Subtitle E of Title IV of ERISA.</w:t>
      </w:r>
    </w:p>
    <w:p>
      <w:pPr>
        <w:spacing w:after="0" w:line="105" w:lineRule="exact"/>
        <w:rPr>
          <w:sz w:val="20"/>
          <w:szCs w:val="20"/>
          <w:color w:val="auto"/>
        </w:rPr>
      </w:pPr>
    </w:p>
    <w:p>
      <w:pPr>
        <w:jc w:val="both"/>
        <w:ind w:firstLine="635"/>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50"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i w:val="1"/>
          <w:iCs w:val="1"/>
          <w:color w:val="auto"/>
        </w:rPr>
        <w:t>Classification of Loans and Borrowings.</w:t>
      </w:r>
      <w:r>
        <w:rPr>
          <w:rFonts w:ascii="Arial" w:cs="Arial" w:eastAsia="Arial" w:hAnsi="Arial"/>
          <w:sz w:val="21"/>
          <w:szCs w:val="21"/>
          <w:color w:val="auto"/>
        </w:rPr>
        <w:t xml:space="preserve"> For purposes of this Agreement, Loans and Borrowings may be classified and referred to by Class (e.g., a “</w:t>
      </w:r>
      <w:r>
        <w:rPr>
          <w:rFonts w:ascii="Arial" w:cs="Arial" w:eastAsia="Arial" w:hAnsi="Arial"/>
          <w:sz w:val="21"/>
          <w:szCs w:val="21"/>
          <w:b w:val="1"/>
          <w:bCs w:val="1"/>
          <w:color w:val="auto"/>
        </w:rPr>
        <w:t>Term Loan</w:t>
      </w:r>
      <w:r>
        <w:rPr>
          <w:rFonts w:ascii="Arial" w:cs="Arial" w:eastAsia="Arial" w:hAnsi="Arial"/>
          <w:sz w:val="21"/>
          <w:szCs w:val="21"/>
          <w:color w:val="auto"/>
        </w:rPr>
        <w:t>” or “</w:t>
      </w:r>
      <w:r>
        <w:rPr>
          <w:rFonts w:ascii="Arial" w:cs="Arial" w:eastAsia="Arial" w:hAnsi="Arial"/>
          <w:sz w:val="21"/>
          <w:szCs w:val="21"/>
          <w:b w:val="1"/>
          <w:bCs w:val="1"/>
          <w:color w:val="auto"/>
        </w:rPr>
        <w:t>Revolving Loan</w:t>
      </w:r>
      <w:r>
        <w:rPr>
          <w:rFonts w:ascii="Arial" w:cs="Arial" w:eastAsia="Arial" w:hAnsi="Arial"/>
          <w:sz w:val="21"/>
          <w:szCs w:val="21"/>
          <w:color w:val="auto"/>
        </w:rPr>
        <w:t>”) or by Type (e.g., a “</w:t>
      </w:r>
      <w:r>
        <w:rPr>
          <w:rFonts w:ascii="Arial" w:cs="Arial" w:eastAsia="Arial" w:hAnsi="Arial"/>
          <w:sz w:val="21"/>
          <w:szCs w:val="21"/>
          <w:b w:val="1"/>
          <w:bCs w:val="1"/>
          <w:color w:val="auto"/>
        </w:rPr>
        <w:t>Eurodollar</w:t>
      </w:r>
      <w:r>
        <w:rPr>
          <w:rFonts w:ascii="Arial" w:cs="Arial" w:eastAsia="Arial" w:hAnsi="Arial"/>
          <w:sz w:val="21"/>
          <w:szCs w:val="21"/>
          <w:color w:val="auto"/>
        </w:rPr>
        <w:t xml:space="preserve"> </w:t>
      </w:r>
      <w:r>
        <w:rPr>
          <w:rFonts w:ascii="Arial" w:cs="Arial" w:eastAsia="Arial" w:hAnsi="Arial"/>
          <w:sz w:val="21"/>
          <w:szCs w:val="21"/>
          <w:b w:val="1"/>
          <w:bCs w:val="1"/>
          <w:color w:val="auto"/>
        </w:rPr>
        <w:t>Loan</w:t>
      </w:r>
      <w:r>
        <w:rPr>
          <w:rFonts w:ascii="Arial" w:cs="Arial" w:eastAsia="Arial" w:hAnsi="Arial"/>
          <w:sz w:val="21"/>
          <w:szCs w:val="21"/>
          <w:color w:val="auto"/>
        </w:rPr>
        <w:t>”) or by Class and Type (e.g., a “</w:t>
      </w:r>
      <w:r>
        <w:rPr>
          <w:rFonts w:ascii="Arial" w:cs="Arial" w:eastAsia="Arial" w:hAnsi="Arial"/>
          <w:sz w:val="21"/>
          <w:szCs w:val="21"/>
          <w:b w:val="1"/>
          <w:bCs w:val="1"/>
          <w:color w:val="auto"/>
        </w:rPr>
        <w:t>Eurodollar Term Loan</w:t>
      </w:r>
      <w:r>
        <w:rPr>
          <w:rFonts w:ascii="Arial" w:cs="Arial" w:eastAsia="Arial" w:hAnsi="Arial"/>
          <w:sz w:val="21"/>
          <w:szCs w:val="21"/>
          <w:color w:val="auto"/>
        </w:rPr>
        <w:t>” or “</w:t>
      </w:r>
      <w:r>
        <w:rPr>
          <w:rFonts w:ascii="Arial" w:cs="Arial" w:eastAsia="Arial" w:hAnsi="Arial"/>
          <w:sz w:val="21"/>
          <w:szCs w:val="21"/>
          <w:b w:val="1"/>
          <w:bCs w:val="1"/>
          <w:color w:val="auto"/>
        </w:rPr>
        <w:t>ABR Revolving Loan</w:t>
      </w:r>
      <w:r>
        <w:rPr>
          <w:rFonts w:ascii="Arial" w:cs="Arial" w:eastAsia="Arial" w:hAnsi="Arial"/>
          <w:sz w:val="21"/>
          <w:szCs w:val="21"/>
          <w:color w:val="auto"/>
        </w:rPr>
        <w:t>”). Borrowings also may be</w:t>
      </w:r>
      <w:r>
        <w:rPr>
          <w:rFonts w:ascii="Arial" w:cs="Arial" w:eastAsia="Arial" w:hAnsi="Arial"/>
          <w:sz w:val="21"/>
          <w:szCs w:val="21"/>
          <w:b w:val="1"/>
          <w:bCs w:val="1"/>
          <w:color w:val="auto"/>
        </w:rPr>
        <w:t xml:space="preserve"> </w:t>
      </w:r>
      <w:r>
        <w:rPr>
          <w:rFonts w:ascii="Arial" w:cs="Arial" w:eastAsia="Arial" w:hAnsi="Arial"/>
          <w:sz w:val="21"/>
          <w:szCs w:val="21"/>
          <w:color w:val="auto"/>
        </w:rPr>
        <w:t>classified and referred to by Class (e.g., a “</w:t>
      </w:r>
      <w:r>
        <w:rPr>
          <w:rFonts w:ascii="Arial" w:cs="Arial" w:eastAsia="Arial" w:hAnsi="Arial"/>
          <w:sz w:val="21"/>
          <w:szCs w:val="21"/>
          <w:b w:val="1"/>
          <w:bCs w:val="1"/>
          <w:color w:val="auto"/>
        </w:rPr>
        <w:t>Term Borrowing</w:t>
      </w:r>
      <w:r>
        <w:rPr>
          <w:rFonts w:ascii="Arial" w:cs="Arial" w:eastAsia="Arial" w:hAnsi="Arial"/>
          <w:sz w:val="21"/>
          <w:szCs w:val="21"/>
          <w:color w:val="auto"/>
        </w:rPr>
        <w:t>” or “</w:t>
      </w:r>
      <w:r>
        <w:rPr>
          <w:rFonts w:ascii="Arial" w:cs="Arial" w:eastAsia="Arial" w:hAnsi="Arial"/>
          <w:sz w:val="21"/>
          <w:szCs w:val="21"/>
          <w:b w:val="1"/>
          <w:bCs w:val="1"/>
          <w:color w:val="auto"/>
        </w:rPr>
        <w:t>Revolving Borrowing</w:t>
      </w:r>
      <w:r>
        <w:rPr>
          <w:rFonts w:ascii="Arial" w:cs="Arial" w:eastAsia="Arial" w:hAnsi="Arial"/>
          <w:sz w:val="21"/>
          <w:szCs w:val="21"/>
          <w:color w:val="auto"/>
        </w:rPr>
        <w:t>”) or by Type (e.g., a “</w:t>
      </w:r>
      <w:r>
        <w:rPr>
          <w:rFonts w:ascii="Arial" w:cs="Arial" w:eastAsia="Arial" w:hAnsi="Arial"/>
          <w:sz w:val="21"/>
          <w:szCs w:val="21"/>
          <w:b w:val="1"/>
          <w:bCs w:val="1"/>
          <w:color w:val="auto"/>
        </w:rPr>
        <w:t>Eurodollar Borrowing</w:t>
      </w:r>
      <w:r>
        <w:rPr>
          <w:rFonts w:ascii="Arial" w:cs="Arial" w:eastAsia="Arial" w:hAnsi="Arial"/>
          <w:sz w:val="21"/>
          <w:szCs w:val="21"/>
          <w:color w:val="auto"/>
        </w:rPr>
        <w:t>”) or by Class and Type (e.g., a “</w:t>
      </w:r>
      <w:r>
        <w:rPr>
          <w:rFonts w:ascii="Arial" w:cs="Arial" w:eastAsia="Arial" w:hAnsi="Arial"/>
          <w:sz w:val="21"/>
          <w:szCs w:val="21"/>
          <w:b w:val="1"/>
          <w:bCs w:val="1"/>
          <w:color w:val="auto"/>
        </w:rPr>
        <w:t>Eurodollar Term Borrowing</w:t>
      </w:r>
      <w:r>
        <w:rPr>
          <w:rFonts w:ascii="Arial" w:cs="Arial" w:eastAsia="Arial" w:hAnsi="Arial"/>
          <w:sz w:val="21"/>
          <w:szCs w:val="21"/>
          <w:color w:val="auto"/>
        </w:rPr>
        <w:t>” or “</w:t>
      </w:r>
      <w:r>
        <w:rPr>
          <w:rFonts w:ascii="Arial" w:cs="Arial" w:eastAsia="Arial" w:hAnsi="Arial"/>
          <w:sz w:val="21"/>
          <w:szCs w:val="21"/>
          <w:b w:val="1"/>
          <w:bCs w:val="1"/>
          <w:color w:val="auto"/>
        </w:rPr>
        <w:t>ABR Revolving</w:t>
      </w:r>
      <w:r>
        <w:rPr>
          <w:rFonts w:ascii="Arial" w:cs="Arial" w:eastAsia="Arial" w:hAnsi="Arial"/>
          <w:sz w:val="21"/>
          <w:szCs w:val="21"/>
          <w:color w:val="auto"/>
        </w:rPr>
        <w:t xml:space="preserve"> </w:t>
      </w:r>
      <w:r>
        <w:rPr>
          <w:rFonts w:ascii="Arial" w:cs="Arial" w:eastAsia="Arial" w:hAnsi="Arial"/>
          <w:sz w:val="21"/>
          <w:szCs w:val="21"/>
          <w:b w:val="1"/>
          <w:bCs w:val="1"/>
          <w:color w:val="auto"/>
        </w:rPr>
        <w:t>Borrowing</w:t>
      </w:r>
      <w:r>
        <w:rPr>
          <w:rFonts w:ascii="Arial" w:cs="Arial" w:eastAsia="Arial" w:hAnsi="Arial"/>
          <w:sz w:val="21"/>
          <w:szCs w:val="21"/>
          <w:color w:val="auto"/>
        </w:rPr>
        <w:t>”).</w:t>
      </w:r>
    </w:p>
    <w:p>
      <w:pPr>
        <w:spacing w:after="0" w:line="140"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Terms Generally.</w:t>
      </w:r>
      <w:r>
        <w:rPr>
          <w:rFonts w:ascii="Arial" w:cs="Arial" w:eastAsia="Arial" w:hAnsi="Arial"/>
          <w:sz w:val="19"/>
          <w:szCs w:val="19"/>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or Regulatory Supervising Organization, any other Governmental Authority or Regulatory Supervising Organization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22"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i w:val="1"/>
          <w:iCs w:val="1"/>
          <w:color w:val="auto"/>
        </w:rPr>
        <w:t>Accounting Terms</w:t>
      </w:r>
      <w:r>
        <w:rPr>
          <w:rFonts w:ascii="Arial" w:cs="Arial" w:eastAsia="Arial" w:hAnsi="Arial"/>
          <w:sz w:val="20"/>
          <w:szCs w:val="20"/>
          <w:color w:val="auto"/>
        </w:rPr>
        <w:t xml:space="preserve">; </w:t>
      </w:r>
      <w:r>
        <w:rPr>
          <w:rFonts w:ascii="Arial" w:cs="Arial" w:eastAsia="Arial" w:hAnsi="Arial"/>
          <w:sz w:val="20"/>
          <w:szCs w:val="20"/>
          <w:i w:val="1"/>
          <w:iCs w:val="1"/>
          <w:color w:val="auto"/>
        </w:rPr>
        <w:t>GAAP.</w:t>
      </w:r>
      <w:r>
        <w:rPr>
          <w:rFonts w:ascii="Arial" w:cs="Arial" w:eastAsia="Arial" w:hAnsi="Arial"/>
          <w:sz w:val="20"/>
          <w:szCs w:val="20"/>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 Borrower notifies the Administrative Agent that the Borrower requests an amendment to any provision (including any definitions) hereof to eliminate the effect of any change occurring after the Restatement Effective Date in GAAP or in the application thereof on the operation of such provision (or if the Administrative Agent notifies the Borrower that the Required Lenders request an amendment to any provision hereof for such purpose),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2" w:right="739" w:bottom="1440" w:gutter="0" w:footer="0" w:header="0"/>
        </w:sectPr>
      </w:pPr>
    </w:p>
    <w:bookmarkStart w:id="228" w:name="page229"/>
    <w:bookmarkEnd w:id="228"/>
    <w:p>
      <w:pPr>
        <w:jc w:val="both"/>
        <w:spacing w:after="0" w:line="254" w:lineRule="auto"/>
        <w:rPr>
          <w:sz w:val="20"/>
          <w:szCs w:val="20"/>
          <w:color w:val="auto"/>
        </w:rPr>
      </w:pPr>
      <w:r>
        <w:rPr>
          <w:rFonts w:ascii="Arial" w:cs="Arial" w:eastAsia="Arial" w:hAnsi="Arial"/>
          <w:sz w:val="20"/>
          <w:szCs w:val="20"/>
          <w:color w:val="auto"/>
        </w:rPr>
        <w:t>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any election under Financial Accounting Standards Accounting Standards Codification No. 825, “Financial Instruments”, or any successor thereto (including pursuant to the Accounting Standards Codification), to value any Indebtedness of Holdings, the Borrower or any Subsidiary at “fair value”, as defined therein.</w:t>
      </w:r>
    </w:p>
    <w:p>
      <w:pPr>
        <w:spacing w:after="0" w:line="130"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1.05. </w:t>
      </w:r>
      <w:r>
        <w:rPr>
          <w:rFonts w:ascii="Arial" w:cs="Arial" w:eastAsia="Arial" w:hAnsi="Arial"/>
          <w:sz w:val="21"/>
          <w:szCs w:val="21"/>
          <w:i w:val="1"/>
          <w:iCs w:val="1"/>
          <w:color w:val="auto"/>
        </w:rPr>
        <w:t>Effectuation of Transactions.</w:t>
      </w:r>
      <w:r>
        <w:rPr>
          <w:rFonts w:ascii="Arial" w:cs="Arial" w:eastAsia="Arial" w:hAnsi="Arial"/>
          <w:sz w:val="21"/>
          <w:szCs w:val="21"/>
          <w:color w:val="auto"/>
        </w:rPr>
        <w:t xml:space="preserve"> All references herein to Holdings, the Borrower and the other Subsidiaries shall be deemed to be references to such Persons, and all the representations and warranties of Holdings, the Borrower and the other Loan Parties contained in this Agreement and the other Loan Documents shall be deemed made, in each case, after giving effect to the portion of the Transactions to occur on the Restatement Effective Date, unless the context otherwise requires.</w:t>
      </w:r>
    </w:p>
    <w:p>
      <w:pPr>
        <w:spacing w:after="0" w:line="153"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i w:val="1"/>
          <w:iCs w:val="1"/>
          <w:color w:val="auto"/>
        </w:rPr>
        <w:t>Currency Translation</w:t>
      </w:r>
      <w:r>
        <w:rPr>
          <w:rFonts w:ascii="Arial" w:cs="Arial" w:eastAsia="Arial" w:hAnsi="Arial"/>
          <w:sz w:val="19"/>
          <w:szCs w:val="19"/>
          <w:color w:val="auto"/>
        </w:rPr>
        <w:t xml:space="preserve">. Notwithstanding the foregoing, for purposes of any determination under Article 5, Article 6 (other than the Financial Performance Covenants) or Article 7 or any determination under any other provision of this Agreement expressly requiring the use of a current exchange rate, all amounts incurred, outstanding or proposed to be incurred or outstanding in currencies other than dollars shall be translated into dollars at currency exchange rates in effect on the date of such determination;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purposes of determining compliance with Article 6 with respect to the amount of any Indebtedness, Investment, Disposition or Restricted Payment in a currency other than dollars, no Default or Event of Default shall be deemed to have occurred solely as a result of changes in rates of exchange occurring after the time such Indebtedness or Investment is incurred or Disposition or Restricted Payment made;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w:t>
      </w:r>
      <w:r>
        <w:rPr>
          <w:rFonts w:ascii="Arial" w:cs="Arial" w:eastAsia="Arial" w:hAnsi="Arial"/>
          <w:sz w:val="19"/>
          <w:szCs w:val="19"/>
          <w:i w:val="1"/>
          <w:iCs w:val="1"/>
          <w:color w:val="auto"/>
        </w:rPr>
        <w:t xml:space="preserve">, </w:t>
      </w:r>
      <w:r>
        <w:rPr>
          <w:rFonts w:ascii="Arial" w:cs="Arial" w:eastAsia="Arial" w:hAnsi="Arial"/>
          <w:sz w:val="19"/>
          <w:szCs w:val="19"/>
          <w:color w:val="auto"/>
        </w:rPr>
        <w:t>for the avoidance of doubt, the foregoing provisions of this Section 1.06 shall otherwise apply to such</w:t>
      </w:r>
      <w:r>
        <w:rPr>
          <w:rFonts w:ascii="Arial" w:cs="Arial" w:eastAsia="Arial" w:hAnsi="Arial"/>
          <w:sz w:val="19"/>
          <w:szCs w:val="19"/>
          <w:i w:val="1"/>
          <w:iCs w:val="1"/>
          <w:color w:val="auto"/>
        </w:rPr>
        <w:t xml:space="preserve"> </w:t>
      </w:r>
      <w:r>
        <w:rPr>
          <w:rFonts w:ascii="Arial" w:cs="Arial" w:eastAsia="Arial" w:hAnsi="Arial"/>
          <w:sz w:val="19"/>
          <w:szCs w:val="19"/>
          <w:color w:val="auto"/>
        </w:rPr>
        <w:t>Sections, including with respect to determining whether any Indebtedness or Investment may be incurred or Disposition or Restricted Payment made at any time under such Sections. For purposes of the Financial Performance Covenants, amounts in currencies other than dollars shall be translated into dollars at the currency exchange rates used in preparing the most recently delivered financial statements pursuant to Section 5.01(a) or (b).</w:t>
      </w:r>
    </w:p>
    <w:p>
      <w:pPr>
        <w:spacing w:after="0" w:line="11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i w:val="1"/>
          <w:iCs w:val="1"/>
          <w:color w:val="auto"/>
        </w:rPr>
        <w:t>Effect of this Agreement on the Existing Credit Agreement and the Other Existing Loan Documents</w:t>
      </w:r>
      <w:r>
        <w:rPr>
          <w:rFonts w:ascii="Arial" w:cs="Arial" w:eastAsia="Arial" w:hAnsi="Arial"/>
          <w:sz w:val="19"/>
          <w:szCs w:val="19"/>
          <w:color w:val="auto"/>
        </w:rPr>
        <w:t xml:space="preserve">. Upon satisfaction of the conditions precedent to the effectiveness of this Agreement set forth in the Restatement Agreement, this Agreement shall be binding on Borrower, the other Loan Parties, the Administrative Agent, the Lenders and the other parties party hereto, and the Existing Credit Agreement and the provisions thereof shall be replaced in their entirety by this Agreement and the provisions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(a) the Obligations (as defined in the Existing Credit Agreement) of Borrower and the other Loan Parties under the Existing Credit Agreement that remain unpaid and outstanding as of the date of this Agreement shall continue to exist under and be evidenced by this Agreement and the other Loan Documents and (b) the Loan Documents shall continue to secure, guarantee,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29" w:name="page230"/>
    <w:bookmarkEnd w:id="229"/>
    <w:p>
      <w:pPr>
        <w:jc w:val="both"/>
        <w:spacing w:after="0" w:line="252" w:lineRule="auto"/>
        <w:rPr>
          <w:sz w:val="20"/>
          <w:szCs w:val="20"/>
          <w:color w:val="auto"/>
        </w:rPr>
      </w:pPr>
      <w:r>
        <w:rPr>
          <w:rFonts w:ascii="Arial" w:cs="Arial" w:eastAsia="Arial" w:hAnsi="Arial"/>
          <w:sz w:val="20"/>
          <w:szCs w:val="20"/>
          <w:color w:val="auto"/>
        </w:rPr>
        <w:t>support and otherwise benefit the Obligations on the same terms as prior to the effectiveness hereof. Upon the effectiveness of this Agreement, each Loan Document (other than the Existing Credit Agreement) that was in effect immediately prior to the date of this Agreement shall continue to be effective in accordance with its terms unless otherwise expressly stated herein or therein. Each Loan Party hereby reaffirms and confirms that as of the date hereof (i) the covenants, guarantees, pledges, grants of Liens and agreements or other commitments contained in each Loan Document to which it is a party, including, in each case, such covenants, guarantees, pledges, grants of Liens and agreements or other commitments as in effect immediately after giving effect to this Agreement and the transactions contemplated hereby, (ii) its guarantee of the Loan Document Obligations pursuant to the Guarantee Agreement, as applicable, and (iii) its grant of Liens on the Collateral to secure the Secured Obligations pursuant to the Security Documents and the effectiveness of this Agreement does not impair the validity, effectiveness or priority of Liens granted pursuant to any Security Document, and such Liens continue unimpaired with the same priority to secure repayment of all Secured Obligations, whether heretofore or hereafter incurred.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CREDITS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Commitments.</w:t>
      </w:r>
      <w:r>
        <w:rPr>
          <w:rFonts w:ascii="Arial" w:cs="Arial" w:eastAsia="Arial" w:hAnsi="Arial"/>
          <w:sz w:val="20"/>
          <w:szCs w:val="20"/>
          <w:color w:val="auto"/>
        </w:rPr>
        <w:t xml:space="preserve"> Subject to the terms and conditions set forth herein </w:t>
      </w:r>
      <w:r>
        <w:rPr>
          <w:rFonts w:ascii="Arial" w:cs="Arial" w:eastAsia="Arial" w:hAnsi="Arial"/>
          <w:sz w:val="20"/>
          <w:szCs w:val="20"/>
          <w:color w:val="0000FF"/>
        </w:rPr>
        <w:t>and in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1905</wp:posOffset>
            </wp:positionV>
            <wp:extent cx="1436370"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1436370" cy="25400"/>
                    </a:xfrm>
                    <a:prstGeom prst="rect">
                      <a:avLst/>
                    </a:prstGeom>
                    <a:noFill/>
                  </pic:spPr>
                </pic:pic>
              </a:graphicData>
            </a:graphic>
          </wp:anchor>
        </w:drawing>
      </w:r>
    </w:p>
    <w:p>
      <w:pPr>
        <w:spacing w:after="0" w:line="160" w:lineRule="exact"/>
        <w:rPr>
          <w:sz w:val="20"/>
          <w:szCs w:val="20"/>
          <w:color w:val="auto"/>
        </w:rPr>
      </w:pPr>
    </w:p>
    <w:p>
      <w:pPr>
        <w:jc w:val="both"/>
        <w:ind w:firstLine="708"/>
        <w:spacing w:after="0" w:line="242" w:lineRule="auto"/>
        <w:tabs>
          <w:tab w:leader="none" w:pos="986"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Each </w:t>
      </w:r>
      <w:r>
        <w:rPr>
          <w:rFonts w:ascii="Arial" w:cs="Arial" w:eastAsia="Arial" w:hAnsi="Arial"/>
          <w:sz w:val="21"/>
          <w:szCs w:val="21"/>
          <w:u w:val="single" w:color="auto"/>
          <w:color w:val="0000FF"/>
        </w:rPr>
        <w:t>Amendment No. 1</w:t>
      </w:r>
      <w:r>
        <w:rPr>
          <w:rFonts w:ascii="Arial" w:cs="Arial" w:eastAsia="Arial" w:hAnsi="Arial"/>
          <w:sz w:val="21"/>
          <w:szCs w:val="21"/>
          <w:color w:val="auto"/>
        </w:rPr>
        <w:t xml:space="preserve"> Converting </w:t>
      </w:r>
      <w:r>
        <w:rPr>
          <w:rFonts w:ascii="Arial" w:cs="Arial" w:eastAsia="Arial" w:hAnsi="Arial"/>
          <w:sz w:val="21"/>
          <w:szCs w:val="21"/>
          <w:color w:val="FF0000"/>
          <w:strike w:val="1"/>
        </w:rPr>
        <w:t>Term Loan of each Converting Term Lender shall automatically be</w:t>
      </w:r>
      <w:r>
        <w:rPr>
          <w:rFonts w:ascii="Arial" w:cs="Arial" w:eastAsia="Arial" w:hAnsi="Arial"/>
          <w:sz w:val="21"/>
          <w:szCs w:val="21"/>
          <w:u w:val="single" w:color="auto"/>
          <w:color w:val="0000FF"/>
        </w:rPr>
        <w:t>Lender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severally agrees that its Converted New Term Loans are</w:t>
      </w:r>
      <w:r>
        <w:rPr>
          <w:rFonts w:ascii="Arial" w:cs="Arial" w:eastAsia="Arial" w:hAnsi="Arial"/>
          <w:sz w:val="21"/>
          <w:szCs w:val="21"/>
          <w:color w:val="0000FF"/>
        </w:rPr>
        <w:t xml:space="preserve"> </w:t>
      </w:r>
      <w:r>
        <w:rPr>
          <w:rFonts w:ascii="Arial" w:cs="Arial" w:eastAsia="Arial" w:hAnsi="Arial"/>
          <w:sz w:val="21"/>
          <w:szCs w:val="21"/>
          <w:color w:val="000000"/>
        </w:rPr>
        <w:t>hereby converted to a like principal amount of</w:t>
      </w:r>
      <w:r>
        <w:rPr>
          <w:rFonts w:ascii="Arial" w:cs="Arial" w:eastAsia="Arial" w:hAnsi="Arial"/>
          <w:sz w:val="21"/>
          <w:szCs w:val="21"/>
          <w:color w:val="0000FF"/>
        </w:rPr>
        <w:t xml:space="preserve"> </w:t>
      </w:r>
      <w:r>
        <w:rPr>
          <w:rFonts w:ascii="Arial" w:cs="Arial" w:eastAsia="Arial" w:hAnsi="Arial"/>
          <w:sz w:val="21"/>
          <w:szCs w:val="21"/>
          <w:color w:val="FF0000"/>
          <w:strike w:val="1"/>
        </w:rPr>
        <w:t>Initial</w:t>
      </w:r>
      <w:r>
        <w:rPr>
          <w:rFonts w:ascii="Arial" w:cs="Arial" w:eastAsia="Arial" w:hAnsi="Arial"/>
          <w:sz w:val="21"/>
          <w:szCs w:val="21"/>
          <w:color w:val="0000FF"/>
        </w:rPr>
        <w:t xml:space="preserve"> </w:t>
      </w:r>
      <w:r>
        <w:rPr>
          <w:rFonts w:ascii="Arial" w:cs="Arial" w:eastAsia="Arial" w:hAnsi="Arial"/>
          <w:sz w:val="21"/>
          <w:szCs w:val="21"/>
          <w:color w:val="000000"/>
        </w:rPr>
        <w:t>Term</w:t>
      </w:r>
      <w:r>
        <w:rPr>
          <w:rFonts w:ascii="Arial" w:cs="Arial" w:eastAsia="Arial" w:hAnsi="Arial"/>
          <w:sz w:val="21"/>
          <w:szCs w:val="21"/>
          <w:color w:val="0000FF"/>
        </w:rPr>
        <w:t xml:space="preserve"> B-1 </w:t>
      </w:r>
      <w:r>
        <w:rPr>
          <w:rFonts w:ascii="Arial" w:cs="Arial" w:eastAsia="Arial" w:hAnsi="Arial"/>
          <w:sz w:val="21"/>
          <w:szCs w:val="21"/>
          <w:color w:val="000000"/>
        </w:rPr>
        <w:t xml:space="preserve">Loans on the </w:t>
      </w:r>
      <w:r>
        <w:rPr>
          <w:rFonts w:ascii="Arial" w:cs="Arial" w:eastAsia="Arial" w:hAnsi="Arial"/>
          <w:sz w:val="21"/>
          <w:szCs w:val="21"/>
          <w:color w:val="FF0000"/>
          <w:strike w:val="1"/>
        </w:rPr>
        <w:t>Restatement</w:t>
      </w:r>
      <w:r>
        <w:rPr>
          <w:rFonts w:ascii="Arial" w:cs="Arial" w:eastAsia="Arial" w:hAnsi="Arial"/>
          <w:sz w:val="21"/>
          <w:szCs w:val="21"/>
          <w:u w:val="single" w:color="auto"/>
          <w:color w:val="0000FF"/>
        </w:rPr>
        <w:t>Amendment No. 1</w:t>
      </w:r>
      <w:r>
        <w:rPr>
          <w:rFonts w:ascii="Arial" w:cs="Arial" w:eastAsia="Arial" w:hAnsi="Arial"/>
          <w:sz w:val="21"/>
          <w:szCs w:val="21"/>
          <w:color w:val="000000"/>
        </w:rPr>
        <w:t xml:space="preserve"> Effective Date. All accrued and unpaid interest on the </w:t>
      </w:r>
      <w:r>
        <w:rPr>
          <w:rFonts w:ascii="Arial" w:cs="Arial" w:eastAsia="Arial" w:hAnsi="Arial"/>
          <w:sz w:val="21"/>
          <w:szCs w:val="21"/>
          <w:color w:val="FF0000"/>
          <w:strike w:val="1"/>
        </w:rPr>
        <w:t>Converting</w:t>
      </w:r>
      <w:r>
        <w:rPr>
          <w:rFonts w:ascii="Arial" w:cs="Arial" w:eastAsia="Arial" w:hAnsi="Arial"/>
          <w:sz w:val="21"/>
          <w:szCs w:val="21"/>
          <w:u w:val="single" w:color="auto"/>
          <w:color w:val="0000FF"/>
        </w:rPr>
        <w:t>New</w:t>
      </w:r>
      <w:r>
        <w:rPr>
          <w:rFonts w:ascii="Arial" w:cs="Arial" w:eastAsia="Arial" w:hAnsi="Arial"/>
          <w:sz w:val="21"/>
          <w:szCs w:val="21"/>
          <w:color w:val="000000"/>
        </w:rPr>
        <w:t xml:space="preserve"> Term Loans to, but not including, the </w:t>
      </w:r>
      <w:r>
        <w:rPr>
          <w:rFonts w:ascii="Arial" w:cs="Arial" w:eastAsia="Arial" w:hAnsi="Arial"/>
          <w:sz w:val="21"/>
          <w:szCs w:val="21"/>
          <w:color w:val="FF0000"/>
          <w:strike w:val="1"/>
        </w:rPr>
        <w:t>Restatement</w:t>
      </w:r>
      <w:r>
        <w:rPr>
          <w:rFonts w:ascii="Arial" w:cs="Arial" w:eastAsia="Arial" w:hAnsi="Arial"/>
          <w:sz w:val="21"/>
          <w:szCs w:val="21"/>
          <w:u w:val="single" w:color="auto"/>
          <w:color w:val="0000FF"/>
        </w:rPr>
        <w:t>Amendment No. 1</w:t>
      </w:r>
      <w:r>
        <w:rPr>
          <w:rFonts w:ascii="Arial" w:cs="Arial" w:eastAsia="Arial" w:hAnsi="Arial"/>
          <w:sz w:val="21"/>
          <w:szCs w:val="21"/>
          <w:color w:val="000000"/>
        </w:rPr>
        <w:t xml:space="preserve"> Effective Date shall be payable on the </w:t>
      </w:r>
      <w:r>
        <w:rPr>
          <w:rFonts w:ascii="Arial" w:cs="Arial" w:eastAsia="Arial" w:hAnsi="Arial"/>
          <w:sz w:val="21"/>
          <w:szCs w:val="21"/>
          <w:color w:val="FF0000"/>
          <w:strike w:val="1"/>
        </w:rPr>
        <w:t>Restatement</w:t>
      </w:r>
      <w:r>
        <w:rPr>
          <w:rFonts w:ascii="Arial" w:cs="Arial" w:eastAsia="Arial" w:hAnsi="Arial"/>
          <w:sz w:val="21"/>
          <w:szCs w:val="21"/>
          <w:u w:val="single" w:color="auto"/>
          <w:color w:val="0000FF"/>
        </w:rPr>
        <w:t>Amendment No. 1</w:t>
      </w:r>
      <w:r>
        <w:rPr>
          <w:rFonts w:ascii="Arial" w:cs="Arial" w:eastAsia="Arial" w:hAnsi="Arial"/>
          <w:sz w:val="21"/>
          <w:szCs w:val="21"/>
          <w:color w:val="FF0000"/>
        </w:rPr>
        <w:t xml:space="preserve"> </w:t>
      </w:r>
      <w:r>
        <w:rPr>
          <w:rFonts w:ascii="Arial" w:cs="Arial" w:eastAsia="Arial" w:hAnsi="Arial"/>
          <w:sz w:val="21"/>
          <w:szCs w:val="21"/>
          <w:color w:val="000000"/>
        </w:rPr>
        <w:t>Effective Date, but no amounts under Section 2.14</w:t>
      </w:r>
      <w:r>
        <w:rPr>
          <w:rFonts w:ascii="Arial" w:cs="Arial" w:eastAsia="Arial" w:hAnsi="Arial"/>
          <w:sz w:val="21"/>
          <w:szCs w:val="21"/>
          <w:color w:val="FF0000"/>
        </w:rPr>
        <w:t xml:space="preserve"> </w:t>
      </w:r>
      <w:r>
        <w:rPr>
          <w:rFonts w:ascii="Arial" w:cs="Arial" w:eastAsia="Arial" w:hAnsi="Arial"/>
          <w:sz w:val="21"/>
          <w:szCs w:val="21"/>
          <w:color w:val="FF0000"/>
          <w:strike w:val="1"/>
        </w:rPr>
        <w:t>of the Existing Credit Agreement</w:t>
      </w:r>
      <w:r>
        <w:rPr>
          <w:rFonts w:ascii="Arial" w:cs="Arial" w:eastAsia="Arial" w:hAnsi="Arial"/>
          <w:sz w:val="21"/>
          <w:szCs w:val="21"/>
          <w:color w:val="FF0000"/>
        </w:rPr>
        <w:t xml:space="preserve"> </w:t>
      </w:r>
      <w:r>
        <w:rPr>
          <w:rFonts w:ascii="Arial" w:cs="Arial" w:eastAsia="Arial" w:hAnsi="Arial"/>
          <w:sz w:val="21"/>
          <w:szCs w:val="21"/>
          <w:color w:val="000000"/>
        </w:rPr>
        <w:t>shall</w:t>
      </w:r>
      <w:r>
        <w:rPr>
          <w:rFonts w:ascii="Arial" w:cs="Arial" w:eastAsia="Arial" w:hAnsi="Arial"/>
          <w:sz w:val="21"/>
          <w:szCs w:val="21"/>
          <w:color w:val="FF0000"/>
        </w:rPr>
        <w:t xml:space="preserve"> </w:t>
      </w:r>
      <w:r>
        <w:rPr>
          <w:rFonts w:ascii="Arial" w:cs="Arial" w:eastAsia="Arial" w:hAnsi="Arial"/>
          <w:sz w:val="21"/>
          <w:szCs w:val="21"/>
          <w:color w:val="000000"/>
        </w:rPr>
        <w:t>be payable in connection with such conversion.</w:t>
      </w:r>
    </w:p>
    <w:p>
      <w:pPr>
        <w:spacing w:after="0" w:line="133" w:lineRule="exact"/>
        <w:rPr>
          <w:rFonts w:ascii="Arial" w:cs="Arial" w:eastAsia="Arial" w:hAnsi="Arial"/>
          <w:sz w:val="21"/>
          <w:szCs w:val="21"/>
          <w:color w:val="auto"/>
        </w:rPr>
      </w:pPr>
    </w:p>
    <w:p>
      <w:pPr>
        <w:jc w:val="both"/>
        <w:ind w:firstLine="708"/>
        <w:spacing w:after="0" w:line="252" w:lineRule="auto"/>
        <w:tabs>
          <w:tab w:leader="none" w:pos="1011" w:val="left"/>
        </w:tabs>
        <w:numPr>
          <w:ilvl w:val="0"/>
          <w:numId w:val="94"/>
        </w:numPr>
        <w:rPr>
          <w:rFonts w:ascii="Arial" w:cs="Arial" w:eastAsia="Arial" w:hAnsi="Arial"/>
          <w:sz w:val="20"/>
          <w:szCs w:val="20"/>
          <w:color w:val="auto"/>
        </w:rPr>
      </w:pPr>
      <w:r>
        <w:rPr>
          <w:rFonts w:ascii="Arial" w:cs="Arial" w:eastAsia="Arial" w:hAnsi="Arial"/>
          <w:sz w:val="20"/>
          <w:szCs w:val="20"/>
          <w:color w:val="FF0000"/>
          <w:strike w:val="1"/>
        </w:rPr>
        <w:t>Each</w:t>
      </w:r>
      <w:r>
        <w:rPr>
          <w:rFonts w:ascii="Arial" w:cs="Arial" w:eastAsia="Arial" w:hAnsi="Arial"/>
          <w:sz w:val="20"/>
          <w:szCs w:val="20"/>
          <w:u w:val="single" w:color="auto"/>
          <w:color w:val="0000FF"/>
        </w:rPr>
        <w:t>The</w:t>
      </w:r>
      <w:r>
        <w:rPr>
          <w:rFonts w:ascii="Arial" w:cs="Arial" w:eastAsia="Arial" w:hAnsi="Arial"/>
          <w:sz w:val="20"/>
          <w:szCs w:val="20"/>
          <w:color w:val="FF0000"/>
        </w:rPr>
        <w:t xml:space="preserve"> </w:t>
      </w:r>
      <w:r>
        <w:rPr>
          <w:rFonts w:ascii="Arial" w:cs="Arial" w:eastAsia="Arial" w:hAnsi="Arial"/>
          <w:sz w:val="20"/>
          <w:szCs w:val="20"/>
          <w:color w:val="000000"/>
        </w:rPr>
        <w:t>Term</w:t>
      </w:r>
      <w:r>
        <w:rPr>
          <w:rFonts w:ascii="Arial" w:cs="Arial" w:eastAsia="Arial" w:hAnsi="Arial"/>
          <w:sz w:val="20"/>
          <w:szCs w:val="20"/>
          <w:color w:val="FF0000"/>
        </w:rPr>
        <w:t xml:space="preserve"> </w:t>
      </w:r>
      <w:r>
        <w:rPr>
          <w:rFonts w:ascii="Arial" w:cs="Arial" w:eastAsia="Arial" w:hAnsi="Arial"/>
          <w:sz w:val="20"/>
          <w:szCs w:val="20"/>
          <w:color w:val="0000FF"/>
        </w:rPr>
        <w:t>B-1</w:t>
      </w:r>
      <w:r>
        <w:rPr>
          <w:rFonts w:ascii="Arial" w:cs="Arial" w:eastAsia="Arial" w:hAnsi="Arial"/>
          <w:sz w:val="20"/>
          <w:szCs w:val="20"/>
          <w:color w:val="FF0000"/>
        </w:rPr>
        <w:t xml:space="preserve"> </w:t>
      </w:r>
      <w:r>
        <w:rPr>
          <w:rFonts w:ascii="Arial" w:cs="Arial" w:eastAsia="Arial" w:hAnsi="Arial"/>
          <w:sz w:val="20"/>
          <w:szCs w:val="20"/>
          <w:color w:val="000000"/>
        </w:rPr>
        <w:t>Lender</w:t>
      </w:r>
      <w:r>
        <w:rPr>
          <w:rFonts w:ascii="Arial" w:cs="Arial" w:eastAsia="Arial" w:hAnsi="Arial"/>
          <w:sz w:val="20"/>
          <w:szCs w:val="20"/>
          <w:color w:val="FF0000"/>
        </w:rPr>
        <w:t xml:space="preserve"> </w:t>
      </w:r>
      <w:r>
        <w:rPr>
          <w:rFonts w:ascii="Arial" w:cs="Arial" w:eastAsia="Arial" w:hAnsi="Arial"/>
          <w:sz w:val="20"/>
          <w:szCs w:val="20"/>
          <w:color w:val="FF0000"/>
          <w:strike w:val="1"/>
        </w:rPr>
        <w:t>severally agrees to make Initial Term Loans</w:t>
      </w:r>
      <w:r>
        <w:rPr>
          <w:rFonts w:ascii="Arial" w:cs="Arial" w:eastAsia="Arial" w:hAnsi="Arial"/>
          <w:sz w:val="20"/>
          <w:szCs w:val="20"/>
          <w:u w:val="single" w:color="auto"/>
          <w:color w:val="0000FF"/>
        </w:rPr>
        <w:t>agrees to make a Loan (a “</w:t>
      </w:r>
      <w:r>
        <w:rPr>
          <w:rFonts w:ascii="Arial" w:cs="Arial" w:eastAsia="Arial" w:hAnsi="Arial"/>
          <w:sz w:val="20"/>
          <w:szCs w:val="20"/>
          <w:b w:val="1"/>
          <w:bCs w:val="1"/>
          <w:u w:val="single" w:color="auto"/>
          <w:color w:val="0000FF"/>
        </w:rPr>
        <w:t>Term B-1</w:t>
      </w:r>
      <w:r>
        <w:rPr>
          <w:rFonts w:ascii="Arial" w:cs="Arial" w:eastAsia="Arial" w:hAnsi="Arial"/>
          <w:sz w:val="20"/>
          <w:szCs w:val="20"/>
          <w:color w:val="FF0000"/>
        </w:rPr>
        <w:t xml:space="preserve"> </w:t>
      </w:r>
      <w:r>
        <w:rPr>
          <w:rFonts w:ascii="Arial" w:cs="Arial" w:eastAsia="Arial" w:hAnsi="Arial"/>
          <w:sz w:val="20"/>
          <w:szCs w:val="20"/>
          <w:b w:val="1"/>
          <w:bCs w:val="1"/>
          <w:u w:val="single" w:color="auto"/>
          <w:color w:val="0000FF"/>
        </w:rPr>
        <w:t>Loan</w:t>
      </w:r>
      <w:r>
        <w:rPr>
          <w:rFonts w:ascii="Arial" w:cs="Arial" w:eastAsia="Arial" w:hAnsi="Arial"/>
          <w:sz w:val="20"/>
          <w:szCs w:val="20"/>
          <w:u w:val="single" w:color="auto"/>
          <w:color w:val="0000FF"/>
        </w:rPr>
        <w:t>”, which term shall include each Loan converted from a Converted New Term Loan pursuant to clause (a) above)</w:t>
      </w:r>
      <w:r>
        <w:rPr>
          <w:rFonts w:ascii="Arial" w:cs="Arial" w:eastAsia="Arial" w:hAnsi="Arial"/>
          <w:sz w:val="20"/>
          <w:szCs w:val="20"/>
          <w:b w:val="1"/>
          <w:bCs w:val="1"/>
          <w:color w:val="0000FF"/>
        </w:rPr>
        <w:t xml:space="preserve"> </w:t>
      </w:r>
      <w:r>
        <w:rPr>
          <w:rFonts w:ascii="Arial" w:cs="Arial" w:eastAsia="Arial" w:hAnsi="Arial"/>
          <w:sz w:val="20"/>
          <w:szCs w:val="20"/>
          <w:color w:val="000000"/>
        </w:rPr>
        <w:t>to</w:t>
      </w:r>
      <w:r>
        <w:rPr>
          <w:rFonts w:ascii="Arial" w:cs="Arial" w:eastAsia="Arial" w:hAnsi="Arial"/>
          <w:sz w:val="20"/>
          <w:szCs w:val="20"/>
          <w:b w:val="1"/>
          <w:bCs w:val="1"/>
          <w:color w:val="0000FF"/>
        </w:rPr>
        <w:t xml:space="preserve"> </w:t>
      </w:r>
      <w:r>
        <w:rPr>
          <w:rFonts w:ascii="Arial" w:cs="Arial" w:eastAsia="Arial" w:hAnsi="Arial"/>
          <w:sz w:val="20"/>
          <w:szCs w:val="20"/>
          <w:color w:val="000000"/>
        </w:rPr>
        <w:t xml:space="preserve">the Borrower on the </w:t>
      </w:r>
      <w:r>
        <w:rPr>
          <w:rFonts w:ascii="Arial" w:cs="Arial" w:eastAsia="Arial" w:hAnsi="Arial"/>
          <w:sz w:val="20"/>
          <w:szCs w:val="20"/>
          <w:color w:val="FF0000"/>
          <w:strike w:val="1"/>
        </w:rPr>
        <w:t>Restatement</w:t>
      </w:r>
      <w:r>
        <w:rPr>
          <w:rFonts w:ascii="Arial" w:cs="Arial" w:eastAsia="Arial" w:hAnsi="Arial"/>
          <w:sz w:val="20"/>
          <w:szCs w:val="20"/>
          <w:u w:val="single" w:color="auto"/>
          <w:color w:val="0000FF"/>
        </w:rPr>
        <w:t>Amendment No. 1</w:t>
      </w:r>
      <w:r>
        <w:rPr>
          <w:rFonts w:ascii="Arial" w:cs="Arial" w:eastAsia="Arial" w:hAnsi="Arial"/>
          <w:sz w:val="20"/>
          <w:szCs w:val="20"/>
          <w:color w:val="000000"/>
        </w:rPr>
        <w:t xml:space="preserve"> Effective Date in an aggregate principal amount equal to the </w:t>
      </w:r>
      <w:r>
        <w:rPr>
          <w:rFonts w:ascii="Arial" w:cs="Arial" w:eastAsia="Arial" w:hAnsi="Arial"/>
          <w:sz w:val="20"/>
          <w:szCs w:val="20"/>
          <w:color w:val="FF0000"/>
          <w:strike w:val="1"/>
        </w:rPr>
        <w:t>amount</w:t>
      </w:r>
      <w:r>
        <w:rPr>
          <w:rFonts w:ascii="Arial" w:cs="Arial" w:eastAsia="Arial" w:hAnsi="Arial"/>
          <w:sz w:val="20"/>
          <w:szCs w:val="20"/>
          <w:color w:val="000000"/>
        </w:rPr>
        <w:t xml:space="preserve"> </w:t>
      </w:r>
      <w:r>
        <w:rPr>
          <w:rFonts w:ascii="Arial" w:cs="Arial" w:eastAsia="Arial" w:hAnsi="Arial"/>
          <w:sz w:val="20"/>
          <w:szCs w:val="20"/>
          <w:color w:val="FF0000"/>
          <w:strike w:val="1"/>
        </w:rPr>
        <w:t>of such</w:t>
      </w:r>
      <w:r>
        <w:rPr>
          <w:rFonts w:ascii="Arial" w:cs="Arial" w:eastAsia="Arial" w:hAnsi="Arial"/>
          <w:sz w:val="20"/>
          <w:szCs w:val="20"/>
          <w:color w:val="FF0000"/>
        </w:rPr>
        <w:t xml:space="preserve"> </w:t>
      </w:r>
      <w:r>
        <w:rPr>
          <w:rFonts w:ascii="Arial" w:cs="Arial" w:eastAsia="Arial" w:hAnsi="Arial"/>
          <w:sz w:val="20"/>
          <w:szCs w:val="20"/>
          <w:color w:val="000000"/>
        </w:rPr>
        <w:t>Term</w:t>
      </w:r>
      <w:r>
        <w:rPr>
          <w:rFonts w:ascii="Arial" w:cs="Arial" w:eastAsia="Arial" w:hAnsi="Arial"/>
          <w:sz w:val="20"/>
          <w:szCs w:val="20"/>
          <w:color w:val="FF0000"/>
        </w:rPr>
        <w:t xml:space="preserve"> </w:t>
      </w:r>
      <w:r>
        <w:rPr>
          <w:rFonts w:ascii="Arial" w:cs="Arial" w:eastAsia="Arial" w:hAnsi="Arial"/>
          <w:sz w:val="20"/>
          <w:szCs w:val="20"/>
          <w:color w:val="FF0000"/>
          <w:strike w:val="1"/>
        </w:rPr>
        <w:t>Lender’s Term</w:t>
      </w:r>
      <w:r>
        <w:rPr>
          <w:rFonts w:ascii="Arial" w:cs="Arial" w:eastAsia="Arial" w:hAnsi="Arial"/>
          <w:sz w:val="20"/>
          <w:szCs w:val="20"/>
          <w:u w:val="single" w:color="auto"/>
          <w:color w:val="0000FF"/>
        </w:rPr>
        <w:t>B-1</w:t>
      </w:r>
      <w:r>
        <w:rPr>
          <w:rFonts w:ascii="Arial" w:cs="Arial" w:eastAsia="Arial" w:hAnsi="Arial"/>
          <w:sz w:val="20"/>
          <w:szCs w:val="20"/>
          <w:color w:val="FF0000"/>
        </w:rPr>
        <w:t xml:space="preserve"> </w:t>
      </w:r>
      <w:r>
        <w:rPr>
          <w:rFonts w:ascii="Arial" w:cs="Arial" w:eastAsia="Arial" w:hAnsi="Arial"/>
          <w:sz w:val="20"/>
          <w:szCs w:val="20"/>
          <w:color w:val="000000"/>
        </w:rPr>
        <w:t>Commitment. The Borrower shall prepay the aggregate principal amount of the Non-</w:t>
      </w:r>
      <w:r>
        <w:rPr>
          <w:rFonts w:ascii="Arial" w:cs="Arial" w:eastAsia="Arial" w:hAnsi="Arial"/>
          <w:sz w:val="20"/>
          <w:szCs w:val="20"/>
          <w:color w:val="FF0000"/>
          <w:strike w:val="1"/>
        </w:rPr>
        <w:t>Converting</w:t>
      </w:r>
      <w:r>
        <w:rPr>
          <w:rFonts w:ascii="Arial" w:cs="Arial" w:eastAsia="Arial" w:hAnsi="Arial"/>
          <w:sz w:val="20"/>
          <w:szCs w:val="20"/>
          <w:u w:val="single" w:color="auto"/>
          <w:color w:val="0000FF"/>
        </w:rPr>
        <w:t>Converted New</w:t>
      </w:r>
      <w:r>
        <w:rPr>
          <w:rFonts w:ascii="Arial" w:cs="Arial" w:eastAsia="Arial" w:hAnsi="Arial"/>
          <w:sz w:val="20"/>
          <w:szCs w:val="20"/>
          <w:color w:val="FF0000"/>
        </w:rPr>
        <w:t xml:space="preserve"> </w:t>
      </w:r>
      <w:r>
        <w:rPr>
          <w:rFonts w:ascii="Arial" w:cs="Arial" w:eastAsia="Arial" w:hAnsi="Arial"/>
          <w:sz w:val="20"/>
          <w:szCs w:val="20"/>
          <w:color w:val="000000"/>
        </w:rPr>
        <w:t>Term Loans substantially concurrently with the receipt of the proceeds of the</w:t>
      </w:r>
      <w:r>
        <w:rPr>
          <w:rFonts w:ascii="Arial" w:cs="Arial" w:eastAsia="Arial" w:hAnsi="Arial"/>
          <w:sz w:val="20"/>
          <w:szCs w:val="20"/>
          <w:color w:val="FF0000"/>
        </w:rPr>
        <w:t xml:space="preserve"> </w:t>
      </w:r>
      <w:r>
        <w:rPr>
          <w:rFonts w:ascii="Arial" w:cs="Arial" w:eastAsia="Arial" w:hAnsi="Arial"/>
          <w:sz w:val="20"/>
          <w:szCs w:val="20"/>
          <w:color w:val="FF0000"/>
          <w:strike w:val="1"/>
        </w:rPr>
        <w:t>Initial</w:t>
      </w:r>
      <w:r>
        <w:rPr>
          <w:rFonts w:ascii="Arial" w:cs="Arial" w:eastAsia="Arial" w:hAnsi="Arial"/>
          <w:sz w:val="20"/>
          <w:szCs w:val="20"/>
          <w:color w:val="FF0000"/>
        </w:rPr>
        <w:t xml:space="preserve"> </w:t>
      </w:r>
      <w:r>
        <w:rPr>
          <w:rFonts w:ascii="Arial" w:cs="Arial" w:eastAsia="Arial" w:hAnsi="Arial"/>
          <w:sz w:val="20"/>
          <w:szCs w:val="20"/>
          <w:color w:val="000000"/>
        </w:rPr>
        <w:t>Term</w:t>
      </w:r>
      <w:r>
        <w:rPr>
          <w:rFonts w:ascii="Arial" w:cs="Arial" w:eastAsia="Arial" w:hAnsi="Arial"/>
          <w:sz w:val="20"/>
          <w:szCs w:val="20"/>
          <w:color w:val="FF0000"/>
        </w:rPr>
        <w:t xml:space="preserve"> </w:t>
      </w:r>
      <w:r>
        <w:rPr>
          <w:rFonts w:ascii="Arial" w:cs="Arial" w:eastAsia="Arial" w:hAnsi="Arial"/>
          <w:sz w:val="20"/>
          <w:szCs w:val="20"/>
          <w:color w:val="0000FF"/>
        </w:rPr>
        <w:t>B-1</w:t>
      </w:r>
      <w:r>
        <w:rPr>
          <w:rFonts w:ascii="Arial" w:cs="Arial" w:eastAsia="Arial" w:hAnsi="Arial"/>
          <w:sz w:val="20"/>
          <w:szCs w:val="20"/>
          <w:color w:val="FF0000"/>
        </w:rPr>
        <w:t xml:space="preserve"> </w:t>
      </w:r>
      <w:r>
        <w:rPr>
          <w:rFonts w:ascii="Arial" w:cs="Arial" w:eastAsia="Arial" w:hAnsi="Arial"/>
          <w:sz w:val="20"/>
          <w:szCs w:val="20"/>
          <w:color w:val="000000"/>
        </w:rPr>
        <w:t>Loans. All accrued and unpaid interest on the Non-</w:t>
      </w:r>
      <w:r>
        <w:rPr>
          <w:rFonts w:ascii="Arial" w:cs="Arial" w:eastAsia="Arial" w:hAnsi="Arial"/>
          <w:sz w:val="20"/>
          <w:szCs w:val="20"/>
          <w:color w:val="FF0000"/>
          <w:strike w:val="1"/>
        </w:rPr>
        <w:t>Converting</w:t>
      </w:r>
      <w:r>
        <w:rPr>
          <w:rFonts w:ascii="Arial" w:cs="Arial" w:eastAsia="Arial" w:hAnsi="Arial"/>
          <w:sz w:val="20"/>
          <w:szCs w:val="20"/>
          <w:u w:val="single" w:color="auto"/>
          <w:color w:val="0000FF"/>
        </w:rPr>
        <w:t>Converted New</w:t>
      </w:r>
      <w:r>
        <w:rPr>
          <w:rFonts w:ascii="Arial" w:cs="Arial" w:eastAsia="Arial" w:hAnsi="Arial"/>
          <w:sz w:val="20"/>
          <w:szCs w:val="20"/>
          <w:color w:val="000000"/>
        </w:rPr>
        <w:t xml:space="preserve"> Term Loans to, but not including, the </w:t>
      </w:r>
      <w:r>
        <w:rPr>
          <w:rFonts w:ascii="Arial" w:cs="Arial" w:eastAsia="Arial" w:hAnsi="Arial"/>
          <w:sz w:val="20"/>
          <w:szCs w:val="20"/>
          <w:color w:val="FF0000"/>
          <w:strike w:val="1"/>
        </w:rPr>
        <w:t>Restatement</w:t>
      </w:r>
      <w:r>
        <w:rPr>
          <w:rFonts w:ascii="Arial" w:cs="Arial" w:eastAsia="Arial" w:hAnsi="Arial"/>
          <w:sz w:val="20"/>
          <w:szCs w:val="20"/>
          <w:u w:val="single" w:color="auto"/>
          <w:color w:val="0000FF"/>
        </w:rPr>
        <w:t>Amendment No. 1</w:t>
      </w:r>
      <w:r>
        <w:rPr>
          <w:rFonts w:ascii="Arial" w:cs="Arial" w:eastAsia="Arial" w:hAnsi="Arial"/>
          <w:sz w:val="20"/>
          <w:szCs w:val="20"/>
          <w:color w:val="FF0000"/>
        </w:rPr>
        <w:t xml:space="preserve"> </w:t>
      </w:r>
      <w:r>
        <w:rPr>
          <w:rFonts w:ascii="Arial" w:cs="Arial" w:eastAsia="Arial" w:hAnsi="Arial"/>
          <w:sz w:val="20"/>
          <w:szCs w:val="20"/>
          <w:color w:val="000000"/>
        </w:rPr>
        <w:t>Effective Date shall be payable on the</w:t>
      </w:r>
      <w:r>
        <w:rPr>
          <w:rFonts w:ascii="Arial" w:cs="Arial" w:eastAsia="Arial" w:hAnsi="Arial"/>
          <w:sz w:val="20"/>
          <w:szCs w:val="20"/>
          <w:color w:val="FF0000"/>
        </w:rPr>
        <w:t xml:space="preserve"> </w:t>
      </w:r>
      <w:r>
        <w:rPr>
          <w:rFonts w:ascii="Arial" w:cs="Arial" w:eastAsia="Arial" w:hAnsi="Arial"/>
          <w:sz w:val="20"/>
          <w:szCs w:val="20"/>
          <w:color w:val="FF0000"/>
          <w:strike w:val="1"/>
        </w:rPr>
        <w:t>Restatement</w:t>
      </w:r>
      <w:r>
        <w:rPr>
          <w:rFonts w:ascii="Arial" w:cs="Arial" w:eastAsia="Arial" w:hAnsi="Arial"/>
          <w:sz w:val="20"/>
          <w:szCs w:val="20"/>
          <w:u w:val="single" w:color="auto"/>
          <w:color w:val="0000FF"/>
        </w:rPr>
        <w:t>Amendment No. 1</w:t>
      </w:r>
      <w:r>
        <w:rPr>
          <w:rFonts w:ascii="Arial" w:cs="Arial" w:eastAsia="Arial" w:hAnsi="Arial"/>
          <w:sz w:val="20"/>
          <w:szCs w:val="20"/>
          <w:color w:val="FF0000"/>
        </w:rPr>
        <w:t xml:space="preserve"> </w:t>
      </w:r>
      <w:r>
        <w:rPr>
          <w:rFonts w:ascii="Arial" w:cs="Arial" w:eastAsia="Arial" w:hAnsi="Arial"/>
          <w:sz w:val="20"/>
          <w:szCs w:val="20"/>
          <w:color w:val="000000"/>
        </w:rPr>
        <w:t>Effective Date, and</w:t>
      </w:r>
      <w:r>
        <w:rPr>
          <w:rFonts w:ascii="Arial" w:cs="Arial" w:eastAsia="Arial" w:hAnsi="Arial"/>
          <w:sz w:val="20"/>
          <w:szCs w:val="20"/>
          <w:color w:val="FF0000"/>
        </w:rPr>
        <w:t xml:space="preserve"> </w:t>
      </w:r>
      <w:r>
        <w:rPr>
          <w:rFonts w:ascii="Arial" w:cs="Arial" w:eastAsia="Arial" w:hAnsi="Arial"/>
          <w:sz w:val="20"/>
          <w:szCs w:val="20"/>
          <w:color w:val="000000"/>
        </w:rPr>
        <w:t xml:space="preserve">the Borrower will make any payments required under </w:t>
      </w:r>
      <w:r>
        <w:rPr>
          <w:rFonts w:ascii="Arial" w:cs="Arial" w:eastAsia="Arial" w:hAnsi="Arial"/>
          <w:sz w:val="20"/>
          <w:szCs w:val="20"/>
          <w:u w:val="single" w:color="auto"/>
          <w:color w:val="0000FF"/>
        </w:rPr>
        <w:t>Section</w:t>
      </w:r>
      <w:r>
        <w:rPr>
          <w:rFonts w:ascii="Arial" w:cs="Arial" w:eastAsia="Arial" w:hAnsi="Arial"/>
          <w:sz w:val="20"/>
          <w:szCs w:val="20"/>
          <w:color w:val="000000"/>
        </w:rPr>
        <w:t xml:space="preserve"> 2.14 </w:t>
      </w:r>
      <w:r>
        <w:rPr>
          <w:rFonts w:ascii="Arial" w:cs="Arial" w:eastAsia="Arial" w:hAnsi="Arial"/>
          <w:sz w:val="20"/>
          <w:szCs w:val="20"/>
          <w:color w:val="FF0000"/>
          <w:strike w:val="1"/>
        </w:rPr>
        <w:t>of the Existing Credit Agreement</w:t>
      </w:r>
      <w:r>
        <w:rPr>
          <w:rFonts w:ascii="Arial" w:cs="Arial" w:eastAsia="Arial" w:hAnsi="Arial"/>
          <w:sz w:val="20"/>
          <w:szCs w:val="20"/>
          <w:color w:val="000000"/>
        </w:rPr>
        <w:t xml:space="preserve"> with respect to Non-</w:t>
      </w:r>
      <w:r>
        <w:rPr>
          <w:rFonts w:ascii="Arial" w:cs="Arial" w:eastAsia="Arial" w:hAnsi="Arial"/>
          <w:sz w:val="20"/>
          <w:szCs w:val="20"/>
          <w:color w:val="FF0000"/>
          <w:strike w:val="1"/>
        </w:rPr>
        <w:t>Converting</w:t>
      </w:r>
      <w:r>
        <w:rPr>
          <w:rFonts w:ascii="Arial" w:cs="Arial" w:eastAsia="Arial" w:hAnsi="Arial"/>
          <w:sz w:val="20"/>
          <w:szCs w:val="20"/>
          <w:u w:val="single" w:color="auto"/>
          <w:color w:val="0000FF"/>
        </w:rPr>
        <w:t>Converted New</w:t>
      </w:r>
      <w:r>
        <w:rPr>
          <w:rFonts w:ascii="Arial" w:cs="Arial" w:eastAsia="Arial" w:hAnsi="Arial"/>
          <w:sz w:val="20"/>
          <w:szCs w:val="20"/>
          <w:color w:val="FF0000"/>
        </w:rPr>
        <w:t xml:space="preserve"> </w:t>
      </w:r>
      <w:r>
        <w:rPr>
          <w:rFonts w:ascii="Arial" w:cs="Arial" w:eastAsia="Arial" w:hAnsi="Arial"/>
          <w:sz w:val="20"/>
          <w:szCs w:val="20"/>
          <w:color w:val="000000"/>
        </w:rPr>
        <w:t>Term Loan</w:t>
      </w:r>
      <w:r>
        <w:rPr>
          <w:rFonts w:ascii="Arial" w:cs="Arial" w:eastAsia="Arial" w:hAnsi="Arial"/>
          <w:sz w:val="20"/>
          <w:szCs w:val="20"/>
          <w:u w:val="single" w:color="auto"/>
          <w:color w:val="0000FF"/>
        </w:rPr>
        <w:t>s</w:t>
      </w:r>
      <w:r>
        <w:rPr>
          <w:rFonts w:ascii="Arial" w:cs="Arial" w:eastAsia="Arial" w:hAnsi="Arial"/>
          <w:sz w:val="20"/>
          <w:szCs w:val="20"/>
          <w:color w:val="FF0000"/>
        </w:rPr>
        <w:t xml:space="preserve"> </w:t>
      </w:r>
      <w:r>
        <w:rPr>
          <w:rFonts w:ascii="Arial" w:cs="Arial" w:eastAsia="Arial" w:hAnsi="Arial"/>
          <w:sz w:val="20"/>
          <w:szCs w:val="20"/>
          <w:color w:val="000000"/>
        </w:rPr>
        <w:t>in accordance therewith.</w:t>
      </w:r>
      <w:r>
        <w:rPr>
          <w:rFonts w:ascii="Arial" w:cs="Arial" w:eastAsia="Arial" w:hAnsi="Arial"/>
          <w:sz w:val="20"/>
          <w:szCs w:val="20"/>
          <w:color w:val="FF0000"/>
        </w:rPr>
        <w:t xml:space="preserve"> On and as of the Restatement Effective Date, upon the </w:t>
      </w:r>
      <w:r>
        <w:rPr>
          <w:rFonts w:ascii="Arial" w:cs="Arial" w:eastAsia="Arial" w:hAnsi="Arial"/>
          <w:sz w:val="20"/>
          <w:szCs w:val="20"/>
          <w:color w:val="FF0000"/>
          <w:strike w:val="1"/>
        </w:rPr>
        <w:t>repayment of the Non-Converting Term Loans of such Original Term Lender, accrued and unpaid interest thereon and any other amounts due and owing thereto pursuant to the Existing Credit Agreement, such Original Lender shall cease to be a Lender hereunder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5676900</wp:posOffset>
            </wp:positionH>
            <wp:positionV relativeFrom="paragraph">
              <wp:posOffset>-2560955</wp:posOffset>
            </wp:positionV>
            <wp:extent cx="419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41910" cy="8255"/>
                    </a:xfrm>
                    <a:prstGeom prst="rect">
                      <a:avLst/>
                    </a:prstGeom>
                    <a:noFill/>
                  </pic:spPr>
                </pic:pic>
              </a:graphicData>
            </a:graphic>
          </wp:anchor>
        </w:drawing>
        <w:drawing>
          <wp:anchor simplePos="0" relativeHeight="251657728" behindDoc="1" locked="0" layoutInCell="0" allowOverlap="1">
            <wp:simplePos x="0" y="0"/>
            <wp:positionH relativeFrom="column">
              <wp:posOffset>6364605</wp:posOffset>
            </wp:positionH>
            <wp:positionV relativeFrom="paragraph">
              <wp:posOffset>-2544445</wp:posOffset>
            </wp:positionV>
            <wp:extent cx="25209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252095" cy="2540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-1678940</wp:posOffset>
            </wp:positionV>
            <wp:extent cx="24384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243840" cy="25400"/>
                    </a:xfrm>
                    <a:prstGeom prst="rect">
                      <a:avLst/>
                    </a:prstGeom>
                    <a:noFill/>
                  </pic:spPr>
                </pic:pic>
              </a:graphicData>
            </a:graphic>
          </wp:anchor>
        </w:drawing>
        <w:drawing>
          <wp:anchor simplePos="0" relativeHeight="251657728" behindDoc="1" locked="0" layoutInCell="0" allowOverlap="1">
            <wp:simplePos x="0" y="0"/>
            <wp:positionH relativeFrom="column">
              <wp:posOffset>6364605</wp:posOffset>
            </wp:positionH>
            <wp:positionV relativeFrom="paragraph">
              <wp:posOffset>-1074420</wp:posOffset>
            </wp:positionV>
            <wp:extent cx="24384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243840" cy="2540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-536575</wp:posOffset>
            </wp:positionV>
            <wp:extent cx="30664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0" w:name="page231"/>
    <w:bookmarkEnd w:id="230"/>
    <w:p>
      <w:pPr>
        <w:jc w:val="both"/>
        <w:ind w:firstLine="644"/>
        <w:spacing w:after="0" w:line="250" w:lineRule="auto"/>
        <w:tabs>
          <w:tab w:leader="none" w:pos="969" w:val="left"/>
        </w:tabs>
        <w:numPr>
          <w:ilvl w:val="0"/>
          <w:numId w:val="95"/>
        </w:numPr>
        <w:rPr>
          <w:rFonts w:ascii="Arial" w:cs="Arial" w:eastAsia="Arial" w:hAnsi="Arial"/>
          <w:sz w:val="21"/>
          <w:szCs w:val="21"/>
          <w:color w:val="auto"/>
        </w:rPr>
      </w:pPr>
      <w:r>
        <w:rPr>
          <w:rFonts w:ascii="Arial" w:cs="Arial" w:eastAsia="Arial" w:hAnsi="Arial"/>
          <w:sz w:val="21"/>
          <w:szCs w:val="21"/>
          <w:color w:val="auto"/>
        </w:rPr>
        <w:t>Each Revolving Lender agrees to make Revolving Loans to the Borrower from time to time during the Revolving Availability Period in an aggregate principal amount which will not result in such Lender’s Revolving Exposure exceeding such Lender’s Revolving Commitment.</w:t>
      </w:r>
    </w:p>
    <w:p>
      <w:pPr>
        <w:spacing w:after="0" w:line="132" w:lineRule="exact"/>
        <w:rPr>
          <w:rFonts w:ascii="Arial" w:cs="Arial" w:eastAsia="Arial" w:hAnsi="Arial"/>
          <w:sz w:val="21"/>
          <w:szCs w:val="21"/>
          <w:color w:val="auto"/>
        </w:rPr>
      </w:pPr>
    </w:p>
    <w:p>
      <w:pPr>
        <w:jc w:val="both"/>
        <w:ind w:firstLine="644"/>
        <w:spacing w:after="0" w:line="272" w:lineRule="auto"/>
        <w:tabs>
          <w:tab w:leader="none" w:pos="961" w:val="left"/>
        </w:tabs>
        <w:numPr>
          <w:ilvl w:val="0"/>
          <w:numId w:val="95"/>
        </w:numPr>
        <w:rPr>
          <w:rFonts w:ascii="Arial" w:cs="Arial" w:eastAsia="Arial" w:hAnsi="Arial"/>
          <w:sz w:val="19"/>
          <w:szCs w:val="19"/>
          <w:color w:val="FF0000"/>
          <w:strike w:val="1"/>
        </w:rPr>
      </w:pPr>
      <w:r>
        <w:rPr>
          <w:rFonts w:ascii="Arial" w:cs="Arial" w:eastAsia="Arial" w:hAnsi="Arial"/>
          <w:sz w:val="19"/>
          <w:szCs w:val="19"/>
          <w:color w:val="FF0000"/>
          <w:strike w:val="1"/>
        </w:rPr>
        <w:t>Subject to the terms and conditions set forth in Section 4.03 and Section 2.23, effective as of the Escrow Assumption Date, the Borrower hereby assumes all obligations of the Escrow Borrower with respect to the Escrow Term Loans outstanding under the Escrow Term Loan Credit Agreement on the Escrow Assumption Date and each such Escrow Term Loan shall thereafter be deemed to be outstanding under this Agreement as a New Term Loan. If the Escrow Assumption Date occurs, the New Term Loans assumed on the Escrow Assumption Date shall initially take the form of a pro rata increase in each then outstanding Borrowing of New Term Loans on the Escrow Assumption Date.</w:t>
      </w:r>
    </w:p>
    <w:p>
      <w:pPr>
        <w:spacing w:after="0" w:line="12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Within the foregoing limits and subject to the terms and conditions set forth herein, the Borrower may borrow, prepay and reborrow Revolving Loans. Amounts repaid or prepaid in respect of Term Loans may not be reborrowed.</w:t>
      </w:r>
    </w:p>
    <w:p>
      <w:pPr>
        <w:spacing w:after="0" w:line="96"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i w:val="1"/>
          <w:iCs w:val="1"/>
          <w:color w:val="auto"/>
        </w:rPr>
        <w:t>Loans and Borrowings</w:t>
      </w:r>
      <w:r>
        <w:rPr>
          <w:rFonts w:ascii="Arial" w:cs="Arial" w:eastAsia="Arial" w:hAnsi="Arial"/>
          <w:sz w:val="21"/>
          <w:szCs w:val="21"/>
          <w:color w:val="auto"/>
        </w:rPr>
        <w:t xml:space="preserve">. (a)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 hereby.</w:t>
      </w:r>
    </w:p>
    <w:p>
      <w:pPr>
        <w:spacing w:after="0" w:line="140" w:lineRule="exact"/>
        <w:rPr>
          <w:sz w:val="20"/>
          <w:szCs w:val="20"/>
          <w:color w:val="auto"/>
        </w:rPr>
      </w:pPr>
    </w:p>
    <w:p>
      <w:pPr>
        <w:jc w:val="both"/>
        <w:ind w:firstLine="644"/>
        <w:spacing w:after="0" w:line="261" w:lineRule="auto"/>
        <w:tabs>
          <w:tab w:leader="none" w:pos="941" w:val="left"/>
        </w:tabs>
        <w:numPr>
          <w:ilvl w:val="0"/>
          <w:numId w:val="96"/>
        </w:numPr>
        <w:rPr>
          <w:rFonts w:ascii="Arial" w:cs="Arial" w:eastAsia="Arial" w:hAnsi="Arial"/>
          <w:sz w:val="20"/>
          <w:szCs w:val="20"/>
          <w:color w:val="auto"/>
        </w:rPr>
      </w:pPr>
      <w:r>
        <w:rPr>
          <w:rFonts w:ascii="Arial" w:cs="Arial" w:eastAsia="Arial" w:hAnsi="Arial"/>
          <w:sz w:val="20"/>
          <w:szCs w:val="20"/>
          <w:color w:val="auto"/>
        </w:rPr>
        <w:t>Subject to Section 2.12, each Borrowing shall be comprised entirely of ABR Loans or Eurodollar Loans as the Borrower may request in accordance herewith. Each Lender at its option may make any Loan by causing any domestic or foreign branch or Affiliate of such Lender to make such Loan; provided that any exercise of such option shall not affect the obligation of the Borrower to repay such Loan in accordance with the terms of this Agreement.</w:t>
      </w:r>
    </w:p>
    <w:p>
      <w:pPr>
        <w:spacing w:after="0" w:line="137" w:lineRule="exact"/>
        <w:rPr>
          <w:rFonts w:ascii="Arial" w:cs="Arial" w:eastAsia="Arial" w:hAnsi="Arial"/>
          <w:sz w:val="20"/>
          <w:szCs w:val="20"/>
          <w:color w:val="auto"/>
        </w:rPr>
      </w:pPr>
    </w:p>
    <w:p>
      <w:pPr>
        <w:jc w:val="both"/>
        <w:ind w:firstLine="644"/>
        <w:spacing w:after="0" w:line="268" w:lineRule="auto"/>
        <w:tabs>
          <w:tab w:leader="none" w:pos="934"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Eurodollar Borrowing, such Borrowing shall be in an aggregate amount that is an integral multiple of $1,000,000 and not less than $5,000,000;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Eurodollar Borrowing that results from a continuation of an outstanding Eurodollar Borrowing may be in an aggregate amount that is equal to such outstanding Borrowing. At the time that each ABR Borrowing is made, such Borrowing shall be in an aggregate amount that is an integral multiple of $1,000,000 and not less than $5,000,000. Borrowings of more than one Type and Class may be outstanding at the same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there shall not at any time be more than a total of six Eurodollar Borrowings outstanding. Notwithstanding anything to the contrary herein, an ABR Revolving Borrowing may be in an aggregate amount which is equal to the entire unused balance of the Total Revolving Commitments or that is required to finance the reimbursement of an LC Disbursement as contemplated by Section 2.22.</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1" w:name="page232"/>
    <w:bookmarkEnd w:id="231"/>
    <w:p>
      <w:pPr>
        <w:jc w:val="both"/>
        <w:ind w:firstLine="698"/>
        <w:spacing w:after="0" w:line="239"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Requests for Borrowings.</w:t>
      </w:r>
      <w:r>
        <w:rPr>
          <w:rFonts w:ascii="Arial" w:cs="Arial" w:eastAsia="Arial" w:hAnsi="Arial"/>
          <w:sz w:val="21"/>
          <w:szCs w:val="21"/>
          <w:color w:val="auto"/>
        </w:rPr>
        <w:t xml:space="preserve"> To request a Borrowing, the Borrower shall notify the Administrative Agent of such request by telephone (a) in the case of a Eurodollar Borrowing, not later than 2:00 p.m., New York City time, three Business Days before the date of the proposed Borrowing (or, in the case of any Eurodollar Borrowing to be made on the </w:t>
      </w:r>
      <w:r>
        <w:rPr>
          <w:rFonts w:ascii="Arial" w:cs="Arial" w:eastAsia="Arial" w:hAnsi="Arial"/>
          <w:sz w:val="21"/>
          <w:szCs w:val="21"/>
          <w:color w:val="FF0000"/>
          <w:strike w:val="1"/>
        </w:rPr>
        <w:t>Restatement</w:t>
      </w:r>
      <w:r>
        <w:rPr>
          <w:rFonts w:ascii="Arial" w:cs="Arial" w:eastAsia="Arial" w:hAnsi="Arial"/>
          <w:sz w:val="21"/>
          <w:szCs w:val="21"/>
          <w:u w:val="single" w:color="auto"/>
          <w:color w:val="0000FF"/>
        </w:rPr>
        <w:t>Amendment No. 1</w:t>
      </w:r>
      <w:r>
        <w:rPr>
          <w:rFonts w:ascii="Arial" w:cs="Arial" w:eastAsia="Arial" w:hAnsi="Arial"/>
          <w:sz w:val="21"/>
          <w:szCs w:val="21"/>
          <w:color w:val="auto"/>
        </w:rPr>
        <w:t xml:space="preserve"> Effective Date, such shorter period of time as may be agreed to by the Administrative Agent) or (b) (i) in the case of an ABR Term Borrowing, not later than 2:00 p.m., New York City time, one Business Day before the date of the proposed Borrowing and (ii) in the case of an ABR Revolving Borrowing, not later than 2:00 p.m., New York City time, on the date of the proposed Borrowing. Each such telephonic Borrowing Request shall be irrevocable and shall be confirmed promptly by hand delivery or facsimile to the Administrative Agent of a written Borrowing Request signed by the Borrower. Each such telephonic and written Borrowing Request shall specify the following information:</w:t>
      </w:r>
    </w:p>
    <w:p>
      <w:pPr>
        <w:spacing w:after="0" w:line="149" w:lineRule="exact"/>
        <w:rPr>
          <w:sz w:val="20"/>
          <w:szCs w:val="20"/>
          <w:color w:val="auto"/>
        </w:rPr>
      </w:pPr>
    </w:p>
    <w:p>
      <w:pPr>
        <w:ind w:left="1540" w:hanging="261"/>
        <w:spacing w:after="0"/>
        <w:tabs>
          <w:tab w:leader="none" w:pos="15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Class of such Borrowing;</w:t>
      </w:r>
    </w:p>
    <w:p>
      <w:pPr>
        <w:spacing w:after="0" w:line="181" w:lineRule="exact"/>
        <w:rPr>
          <w:rFonts w:ascii="Arial" w:cs="Arial" w:eastAsia="Arial" w:hAnsi="Arial"/>
          <w:sz w:val="21"/>
          <w:szCs w:val="21"/>
          <w:color w:val="auto"/>
        </w:rPr>
      </w:pPr>
    </w:p>
    <w:p>
      <w:pPr>
        <w:ind w:left="1600" w:hanging="321"/>
        <w:spacing w:after="0"/>
        <w:tabs>
          <w:tab w:leader="none" w:pos="16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aggregate amount of such Borrowing;</w:t>
      </w:r>
    </w:p>
    <w:p>
      <w:pPr>
        <w:spacing w:after="0" w:line="168" w:lineRule="exact"/>
        <w:rPr>
          <w:rFonts w:ascii="Arial" w:cs="Arial" w:eastAsia="Arial" w:hAnsi="Arial"/>
          <w:sz w:val="21"/>
          <w:szCs w:val="21"/>
          <w:color w:val="auto"/>
        </w:rPr>
      </w:pPr>
    </w:p>
    <w:p>
      <w:pPr>
        <w:ind w:left="1640" w:hanging="361"/>
        <w:spacing w:after="0"/>
        <w:tabs>
          <w:tab w:leader="none" w:pos="16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date of such Borrowing, which shall be a Business Day;</w:t>
      </w:r>
    </w:p>
    <w:p>
      <w:pPr>
        <w:spacing w:after="0" w:line="168" w:lineRule="exact"/>
        <w:rPr>
          <w:rFonts w:ascii="Arial" w:cs="Arial" w:eastAsia="Arial" w:hAnsi="Arial"/>
          <w:sz w:val="21"/>
          <w:szCs w:val="21"/>
          <w:color w:val="auto"/>
        </w:rPr>
      </w:pPr>
    </w:p>
    <w:p>
      <w:pPr>
        <w:ind w:left="1640" w:hanging="361"/>
        <w:spacing w:after="0"/>
        <w:tabs>
          <w:tab w:leader="none" w:pos="1640" w:val="left"/>
        </w:tabs>
        <w:numPr>
          <w:ilvl w:val="0"/>
          <w:numId w:val="97"/>
        </w:numPr>
        <w:rPr>
          <w:rFonts w:ascii="Arial" w:cs="Arial" w:eastAsia="Arial" w:hAnsi="Arial"/>
          <w:sz w:val="21"/>
          <w:szCs w:val="21"/>
          <w:color w:val="auto"/>
        </w:rPr>
      </w:pPr>
      <w:r>
        <w:rPr>
          <w:rFonts w:ascii="Arial" w:cs="Arial" w:eastAsia="Arial" w:hAnsi="Arial"/>
          <w:sz w:val="21"/>
          <w:szCs w:val="21"/>
          <w:color w:val="auto"/>
        </w:rPr>
        <w:t>whether such Borrowing is to be an ABR Borrowing or a Eurodollar Borrowing;</w:t>
      </w:r>
    </w:p>
    <w:p>
      <w:pPr>
        <w:spacing w:after="0" w:line="181" w:lineRule="exact"/>
        <w:rPr>
          <w:rFonts w:ascii="Arial" w:cs="Arial" w:eastAsia="Arial" w:hAnsi="Arial"/>
          <w:sz w:val="21"/>
          <w:szCs w:val="21"/>
          <w:color w:val="auto"/>
        </w:rPr>
      </w:pPr>
    </w:p>
    <w:p>
      <w:pPr>
        <w:ind w:left="640" w:right="20" w:firstLine="639"/>
        <w:spacing w:after="0" w:line="263" w:lineRule="auto"/>
        <w:tabs>
          <w:tab w:leader="none" w:pos="1578" w:val="left"/>
        </w:tabs>
        <w:numPr>
          <w:ilvl w:val="0"/>
          <w:numId w:val="97"/>
        </w:numPr>
        <w:rPr>
          <w:rFonts w:ascii="Arial" w:cs="Arial" w:eastAsia="Arial" w:hAnsi="Arial"/>
          <w:sz w:val="21"/>
          <w:szCs w:val="21"/>
          <w:color w:val="auto"/>
        </w:rPr>
      </w:pPr>
      <w:r>
        <w:rPr>
          <w:rFonts w:ascii="Arial" w:cs="Arial" w:eastAsia="Arial" w:hAnsi="Arial"/>
          <w:sz w:val="21"/>
          <w:szCs w:val="21"/>
          <w:color w:val="auto"/>
        </w:rPr>
        <w:t>in the case of a Eurodollar Borrowing, the initial Interest Period to be applicable thereto, which shall be a period contemplated by the definition of the term “Interest Period”;</w:t>
      </w:r>
    </w:p>
    <w:p>
      <w:pPr>
        <w:spacing w:after="0" w:line="118" w:lineRule="exact"/>
        <w:rPr>
          <w:rFonts w:ascii="Arial" w:cs="Arial" w:eastAsia="Arial" w:hAnsi="Arial"/>
          <w:sz w:val="21"/>
          <w:szCs w:val="21"/>
          <w:color w:val="auto"/>
        </w:rPr>
      </w:pPr>
    </w:p>
    <w:p>
      <w:pPr>
        <w:jc w:val="both"/>
        <w:ind w:left="640" w:firstLine="639"/>
        <w:spacing w:after="0" w:line="245" w:lineRule="auto"/>
        <w:tabs>
          <w:tab w:leader="none" w:pos="1658"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the location and number of the Borrower’s account to which funds are to be disbursed, which shall comply with the requirements of Section 2.04, or, in the case of any ABR Revolving Borrowing requested to finance the reimbursement of an LC Disbursement as provided in Section 2.22, the identity of the Issuing Bank that made such LC Disbursement; and</w:t>
      </w:r>
    </w:p>
    <w:p>
      <w:pPr>
        <w:spacing w:after="0" w:line="138" w:lineRule="exact"/>
        <w:rPr>
          <w:rFonts w:ascii="Arial" w:cs="Arial" w:eastAsia="Arial" w:hAnsi="Arial"/>
          <w:sz w:val="21"/>
          <w:szCs w:val="21"/>
          <w:color w:val="auto"/>
        </w:rPr>
      </w:pPr>
    </w:p>
    <w:p>
      <w:pPr>
        <w:ind w:left="640" w:firstLine="639"/>
        <w:spacing w:after="0" w:line="263" w:lineRule="auto"/>
        <w:tabs>
          <w:tab w:leader="none" w:pos="1758" w:val="left"/>
        </w:tabs>
        <w:numPr>
          <w:ilvl w:val="0"/>
          <w:numId w:val="97"/>
        </w:numPr>
        <w:rPr>
          <w:rFonts w:ascii="Arial" w:cs="Arial" w:eastAsia="Arial" w:hAnsi="Arial"/>
          <w:sz w:val="21"/>
          <w:szCs w:val="21"/>
          <w:color w:val="auto"/>
        </w:rPr>
      </w:pPr>
      <w:r>
        <w:rPr>
          <w:rFonts w:ascii="Arial" w:cs="Arial" w:eastAsia="Arial" w:hAnsi="Arial"/>
          <w:sz w:val="21"/>
          <w:szCs w:val="21"/>
          <w:color w:val="auto"/>
        </w:rPr>
        <w:t>that as of the date of such Borrowing, all applicable conditions set forth in Section 4.02(a), Section 4.02(b) and, if applicable, Section 4.02(c) are satisfied.</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no election as to the Type of Borrowing is specified as to any Borrowing,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spacing w:after="0" w:line="111"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i w:val="1"/>
          <w:iCs w:val="1"/>
          <w:color w:val="auto"/>
        </w:rPr>
        <w:t>Funding of Borrowings</w:t>
      </w:r>
      <w:r>
        <w:rPr>
          <w:rFonts w:ascii="Arial" w:cs="Arial" w:eastAsia="Arial" w:hAnsi="Arial"/>
          <w:sz w:val="20"/>
          <w:szCs w:val="20"/>
          <w:color w:val="auto"/>
        </w:rPr>
        <w:t>. (a) Each Lender shall make each Loan to be made by it hereunder on the proposed date thereof by wire transfer of immediately available funds in dollars by 12:00 p.m., New York City time or, solely in the case of an ABR Revolving Borrowing with respect to which the Borrowing Request is made on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2" w:name="page233"/>
    <w:bookmarkEnd w:id="232"/>
    <w:p>
      <w:pPr>
        <w:jc w:val="both"/>
        <w:spacing w:after="0" w:line="254" w:lineRule="auto"/>
        <w:rPr>
          <w:sz w:val="20"/>
          <w:szCs w:val="20"/>
          <w:color w:val="auto"/>
        </w:rPr>
      </w:pPr>
      <w:r>
        <w:rPr>
          <w:rFonts w:ascii="Arial" w:cs="Arial" w:eastAsia="Arial" w:hAnsi="Arial"/>
          <w:sz w:val="20"/>
          <w:szCs w:val="20"/>
          <w:color w:val="auto"/>
        </w:rPr>
        <w:t xml:space="preserve">date of the proposed Borrowing, 4:00 p.m., New York City time, to the Applicable Account of the Administrative Agent most recently designated by it for such purpose by notice to the Lenders. The Administrative Agent will make such Loans available to the Borrower by promptly crediting the amounts so received, in like funds, to an account of the Borrower maintained with the Administrative Agent in New York City and designated by the Borrower in the applicable Borrowing Request;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ABR Revolving Loans made to finance the reimbursement of an LC Disbursement as provided in Section 2.22 shall be remitted by the Administrative Agent to the applicable Issuing Bank or, to the extent that Revolving Lenders have made payments pursuant to Section 2.22 to reimburse such Issuing Bank, then to such Lenders and such Issuing Bank as their interests may appear.</w:t>
      </w:r>
    </w:p>
    <w:p>
      <w:pPr>
        <w:spacing w:after="0" w:line="130" w:lineRule="exact"/>
        <w:rPr>
          <w:sz w:val="20"/>
          <w:szCs w:val="20"/>
          <w:color w:val="auto"/>
        </w:rPr>
      </w:pPr>
    </w:p>
    <w:p>
      <w:pPr>
        <w:jc w:val="both"/>
        <w:ind w:firstLine="644"/>
        <w:spacing w:after="0" w:line="251" w:lineRule="auto"/>
        <w:tabs>
          <w:tab w:leader="none" w:pos="955" w:val="left"/>
        </w:tabs>
        <w:numPr>
          <w:ilvl w:val="0"/>
          <w:numId w:val="98"/>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2.11. If such Lender pays such amount to the Administrative Agent, then such amount shall constitute such Lender’s Loan included in such Borrowing.</w:t>
      </w:r>
    </w:p>
    <w:p>
      <w:pPr>
        <w:spacing w:after="0" w:line="146" w:lineRule="exact"/>
        <w:rPr>
          <w:rFonts w:ascii="Arial" w:cs="Arial" w:eastAsia="Arial" w:hAnsi="Arial"/>
          <w:sz w:val="20"/>
          <w:szCs w:val="20"/>
          <w:color w:val="auto"/>
        </w:rPr>
      </w:pPr>
    </w:p>
    <w:p>
      <w:pPr>
        <w:jc w:val="both"/>
        <w:ind w:firstLine="644"/>
        <w:spacing w:after="0" w:line="275" w:lineRule="auto"/>
        <w:tabs>
          <w:tab w:leader="none" w:pos="92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obligations of the Lenders hereunder to make Loans, to fund participations in Letters of Credit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9.03(c).</w:t>
      </w:r>
    </w:p>
    <w:p>
      <w:pPr>
        <w:spacing w:after="0" w:line="110" w:lineRule="exact"/>
        <w:rPr>
          <w:rFonts w:ascii="Arial" w:cs="Arial" w:eastAsia="Arial" w:hAnsi="Arial"/>
          <w:sz w:val="19"/>
          <w:szCs w:val="19"/>
          <w:color w:val="auto"/>
        </w:rPr>
      </w:pPr>
    </w:p>
    <w:p>
      <w:pPr>
        <w:jc w:val="both"/>
        <w:ind w:firstLine="644"/>
        <w:spacing w:after="0" w:line="245" w:lineRule="auto"/>
        <w:tabs>
          <w:tab w:leader="none" w:pos="967" w:val="left"/>
        </w:tabs>
        <w:numPr>
          <w:ilvl w:val="0"/>
          <w:numId w:val="98"/>
        </w:numPr>
        <w:rPr>
          <w:rFonts w:ascii="Arial" w:cs="Arial" w:eastAsia="Arial" w:hAnsi="Arial"/>
          <w:sz w:val="21"/>
          <w:szCs w:val="21"/>
          <w:color w:val="auto"/>
        </w:rPr>
      </w:pPr>
      <w:r>
        <w:rPr>
          <w:rFonts w:ascii="Arial" w:cs="Arial" w:eastAsia="Arial" w:hAnsi="Arial"/>
          <w:sz w:val="21"/>
          <w:szCs w:val="21"/>
          <w:color w:val="auto"/>
        </w:rPr>
        <w:t>Notwithstanding any other provision contained herein, the obligations of the Term Lenders to make Initial Term Loans to the Borrower on the Restatement Effective Date and the obligations of the Administrative Agent to make such Initial Term Loans available to the Borrower shall be subject to the terms and conditions set forth in the Restatement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3" w:name="page234"/>
    <w:bookmarkEnd w:id="233"/>
    <w:p>
      <w:pPr>
        <w:jc w:val="both"/>
        <w:ind w:firstLine="635"/>
        <w:spacing w:after="0"/>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i w:val="1"/>
          <w:iCs w:val="1"/>
          <w:color w:val="auto"/>
        </w:rPr>
        <w:t>Interest Elections.</w:t>
      </w:r>
      <w:r>
        <w:rPr>
          <w:rFonts w:ascii="Arial" w:cs="Arial" w:eastAsia="Arial" w:hAnsi="Arial"/>
          <w:sz w:val="21"/>
          <w:szCs w:val="21"/>
          <w:color w:val="auto"/>
        </w:rPr>
        <w:t xml:space="preserve"> (a) Each Borrowing initially shall be of the Type specified in the applicable Borrowing Request or designated by Section 2.03 and, in the case of a Eurodollar Borrowing, shall have an initial Interest Period as specified in such Borrowing Request or designated by Section 2.03.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46" w:lineRule="exact"/>
        <w:rPr>
          <w:sz w:val="20"/>
          <w:szCs w:val="20"/>
          <w:color w:val="auto"/>
        </w:rPr>
      </w:pPr>
    </w:p>
    <w:p>
      <w:pPr>
        <w:jc w:val="both"/>
        <w:ind w:firstLine="644"/>
        <w:spacing w:after="0" w:line="275" w:lineRule="auto"/>
        <w:tabs>
          <w:tab w:leader="none" w:pos="9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To make an election pursuant to this Section, the Borrower shall notify the Administrative Agent of such election by telephone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facsimile or other electronic transmission to the Administrative Agent of a written Interest Election Request signed by the Borrower.</w:t>
      </w:r>
    </w:p>
    <w:p>
      <w:pPr>
        <w:spacing w:after="0" w:line="124" w:lineRule="exact"/>
        <w:rPr>
          <w:rFonts w:ascii="Arial" w:cs="Arial" w:eastAsia="Arial" w:hAnsi="Arial"/>
          <w:sz w:val="19"/>
          <w:szCs w:val="19"/>
          <w:color w:val="auto"/>
        </w:rPr>
      </w:pPr>
    </w:p>
    <w:p>
      <w:pPr>
        <w:ind w:firstLine="644"/>
        <w:spacing w:after="0" w:line="263" w:lineRule="auto"/>
        <w:tabs>
          <w:tab w:leader="none" w:pos="946" w:val="left"/>
        </w:tabs>
        <w:numPr>
          <w:ilvl w:val="0"/>
          <w:numId w:val="99"/>
        </w:numPr>
        <w:rPr>
          <w:rFonts w:ascii="Arial" w:cs="Arial" w:eastAsia="Arial" w:hAnsi="Arial"/>
          <w:sz w:val="21"/>
          <w:szCs w:val="21"/>
          <w:color w:val="auto"/>
        </w:rPr>
      </w:pPr>
      <w:r>
        <w:rPr>
          <w:rFonts w:ascii="Arial" w:cs="Arial" w:eastAsia="Arial" w:hAnsi="Arial"/>
          <w:sz w:val="21"/>
          <w:szCs w:val="21"/>
          <w:color w:val="auto"/>
        </w:rPr>
        <w:t>Each telephonic and written Interest Election Request shall specify the following information in compliance with Section 2.03:</w:t>
      </w:r>
    </w:p>
    <w:p>
      <w:pPr>
        <w:spacing w:after="0" w:line="118" w:lineRule="exact"/>
        <w:rPr>
          <w:rFonts w:ascii="Arial" w:cs="Arial" w:eastAsia="Arial" w:hAnsi="Arial"/>
          <w:sz w:val="21"/>
          <w:szCs w:val="21"/>
          <w:color w:val="auto"/>
        </w:rPr>
      </w:pPr>
    </w:p>
    <w:p>
      <w:pPr>
        <w:jc w:val="both"/>
        <w:ind w:left="640" w:firstLine="639"/>
        <w:spacing w:after="0" w:line="245" w:lineRule="auto"/>
        <w:tabs>
          <w:tab w:leader="none" w:pos="1531"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38" w:lineRule="exact"/>
        <w:rPr>
          <w:rFonts w:ascii="Arial" w:cs="Arial" w:eastAsia="Arial" w:hAnsi="Arial"/>
          <w:sz w:val="21"/>
          <w:szCs w:val="21"/>
          <w:color w:val="auto"/>
        </w:rPr>
      </w:pPr>
    </w:p>
    <w:p>
      <w:pPr>
        <w:ind w:left="640" w:firstLine="639"/>
        <w:spacing w:after="0" w:line="263" w:lineRule="auto"/>
        <w:tabs>
          <w:tab w:leader="none" w:pos="1616"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effective date of the election made pursuant to such Interest Election Request, which shall be a Business Day;</w:t>
      </w:r>
    </w:p>
    <w:p>
      <w:pPr>
        <w:spacing w:after="0" w:line="132" w:lineRule="exact"/>
        <w:rPr>
          <w:rFonts w:ascii="Arial" w:cs="Arial" w:eastAsia="Arial" w:hAnsi="Arial"/>
          <w:sz w:val="21"/>
          <w:szCs w:val="21"/>
          <w:color w:val="auto"/>
        </w:rPr>
      </w:pPr>
    </w:p>
    <w:p>
      <w:pPr>
        <w:ind w:left="1640" w:hanging="361"/>
        <w:spacing w:after="0"/>
        <w:tabs>
          <w:tab w:leader="none" w:pos="1640" w:val="left"/>
        </w:tabs>
        <w:numPr>
          <w:ilvl w:val="1"/>
          <w:numId w:val="99"/>
        </w:numPr>
        <w:rPr>
          <w:rFonts w:ascii="Arial" w:cs="Arial" w:eastAsia="Arial" w:hAnsi="Arial"/>
          <w:sz w:val="21"/>
          <w:szCs w:val="21"/>
          <w:color w:val="auto"/>
        </w:rPr>
      </w:pPr>
      <w:r>
        <w:rPr>
          <w:rFonts w:ascii="Arial" w:cs="Arial" w:eastAsia="Arial" w:hAnsi="Arial"/>
          <w:sz w:val="21"/>
          <w:szCs w:val="21"/>
          <w:color w:val="auto"/>
        </w:rPr>
        <w:t>whether the resulting Borrowing is to be an ABR Borrowing or a Eurodollar Borrowing; and</w:t>
      </w:r>
    </w:p>
    <w:p>
      <w:pPr>
        <w:spacing w:after="0" w:line="168" w:lineRule="exact"/>
        <w:rPr>
          <w:rFonts w:ascii="Arial" w:cs="Arial" w:eastAsia="Arial" w:hAnsi="Arial"/>
          <w:sz w:val="21"/>
          <w:szCs w:val="21"/>
          <w:color w:val="auto"/>
        </w:rPr>
      </w:pPr>
    </w:p>
    <w:p>
      <w:pPr>
        <w:jc w:val="both"/>
        <w:ind w:left="640" w:firstLine="639"/>
        <w:spacing w:after="0" w:line="250" w:lineRule="auto"/>
        <w:tabs>
          <w:tab w:leader="none" w:pos="1642" w:val="left"/>
        </w:tabs>
        <w:numPr>
          <w:ilvl w:val="1"/>
          <w:numId w:val="99"/>
        </w:numPr>
        <w:rPr>
          <w:rFonts w:ascii="Arial" w:cs="Arial" w:eastAsia="Arial" w:hAnsi="Arial"/>
          <w:sz w:val="21"/>
          <w:szCs w:val="21"/>
          <w:color w:val="auto"/>
        </w:rPr>
      </w:pPr>
      <w:r>
        <w:rPr>
          <w:rFonts w:ascii="Arial" w:cs="Arial" w:eastAsia="Arial" w:hAnsi="Arial"/>
          <w:sz w:val="21"/>
          <w:szCs w:val="21"/>
          <w:color w:val="auto"/>
        </w:rPr>
        <w:t>if the resulting Borrowing is to be a Eurodollar Borrowing, the Interest Period to be applicable thereto after giving effect to such election, which shall be a period contemplated by the definition of the term “Interest Period.”</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If any such Interest Election Request requests a Eurodollar Borrowing but does not specify an Interest Period, then the Borrower shall be deemed to have selected an Interest Period of one month’s duration.</w:t>
      </w:r>
    </w:p>
    <w:p>
      <w:pPr>
        <w:spacing w:after="0" w:line="132" w:lineRule="exact"/>
        <w:rPr>
          <w:sz w:val="20"/>
          <w:szCs w:val="20"/>
          <w:color w:val="auto"/>
        </w:rPr>
      </w:pPr>
    </w:p>
    <w:p>
      <w:pPr>
        <w:jc w:val="both"/>
        <w:ind w:firstLine="644"/>
        <w:spacing w:after="0" w:line="250" w:lineRule="auto"/>
        <w:tabs>
          <w:tab w:leader="none" w:pos="94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Promptly following receipt of an Interest Election Request in accordance with this Section, the Administrative Agent shall advise each Lender of the applicable Class of the details thereof and of such Lender’s portion of each resulting Borrowing.</w:t>
      </w:r>
    </w:p>
    <w:p>
      <w:pPr>
        <w:spacing w:after="0" w:line="131" w:lineRule="exact"/>
        <w:rPr>
          <w:rFonts w:ascii="Arial" w:cs="Arial" w:eastAsia="Arial" w:hAnsi="Arial"/>
          <w:sz w:val="21"/>
          <w:szCs w:val="21"/>
          <w:color w:val="auto"/>
        </w:rPr>
      </w:pPr>
    </w:p>
    <w:p>
      <w:pPr>
        <w:ind w:firstLine="644"/>
        <w:spacing w:after="0" w:line="263" w:lineRule="auto"/>
        <w:tabs>
          <w:tab w:leader="none" w:pos="93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If the Borrower fails to deliver a timely Interest Election Request with respect to a Eurodollar Borrowing prior to the end of the Interest Period applicable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4" w:name="page235"/>
    <w:bookmarkEnd w:id="234"/>
    <w:p>
      <w:pPr>
        <w:jc w:val="both"/>
        <w:spacing w:after="0" w:line="242" w:lineRule="auto"/>
        <w:rPr>
          <w:sz w:val="20"/>
          <w:szCs w:val="20"/>
          <w:color w:val="auto"/>
        </w:rPr>
      </w:pPr>
      <w:r>
        <w:rPr>
          <w:rFonts w:ascii="Arial" w:cs="Arial" w:eastAsia="Arial" w:hAnsi="Arial"/>
          <w:sz w:val="21"/>
          <w:szCs w:val="21"/>
          <w:color w:val="auto"/>
        </w:rPr>
        <w:t>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40" w:lineRule="exact"/>
        <w:rPr>
          <w:sz w:val="20"/>
          <w:szCs w:val="20"/>
          <w:color w:val="auto"/>
        </w:rPr>
      </w:pPr>
    </w:p>
    <w:p>
      <w:pPr>
        <w:jc w:val="both"/>
        <w:ind w:firstLine="635"/>
        <w:spacing w:after="0" w:line="247" w:lineRule="exact"/>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i w:val="1"/>
          <w:iCs w:val="1"/>
          <w:color w:val="auto"/>
        </w:rPr>
        <w:t>Termination and Reduction of Commitments</w:t>
      </w:r>
      <w:r>
        <w:rPr>
          <w:rFonts w:ascii="Arial" w:cs="Arial" w:eastAsia="Arial" w:hAnsi="Arial"/>
          <w:sz w:val="19"/>
          <w:szCs w:val="19"/>
          <w:color w:val="auto"/>
        </w:rPr>
        <w:t xml:space="preserve">. (a) Unless previously terminated, (i) the Term </w:t>
      </w:r>
      <w:r>
        <w:rPr>
          <w:rFonts w:ascii="Arial" w:cs="Arial" w:eastAsia="Arial" w:hAnsi="Arial"/>
          <w:sz w:val="19"/>
          <w:szCs w:val="19"/>
          <w:u w:val="single" w:color="auto"/>
          <w:color w:val="0000FF"/>
        </w:rPr>
        <w:t>B</w:t>
      </w:r>
      <w:r>
        <w:rPr>
          <w:rFonts w:ascii="MS PGothic" w:cs="MS PGothic" w:eastAsia="MS PGothic" w:hAnsi="MS PGothic"/>
          <w:sz w:val="19"/>
          <w:szCs w:val="19"/>
          <w:u w:val="single" w:color="auto"/>
          <w:color w:val="0000FF"/>
        </w:rPr>
        <w:t>‑</w:t>
      </w:r>
      <w:r>
        <w:rPr>
          <w:rFonts w:ascii="Arial" w:cs="Arial" w:eastAsia="Arial" w:hAnsi="Arial"/>
          <w:sz w:val="19"/>
          <w:szCs w:val="19"/>
          <w:u w:val="single" w:color="auto"/>
          <w:color w:val="0000FF"/>
        </w:rPr>
        <w:t>1</w:t>
      </w:r>
      <w:r>
        <w:rPr>
          <w:rFonts w:ascii="Arial" w:cs="Arial" w:eastAsia="Arial" w:hAnsi="Arial"/>
          <w:sz w:val="19"/>
          <w:szCs w:val="19"/>
          <w:color w:val="auto"/>
        </w:rPr>
        <w:t xml:space="preserve"> Commitments shall terminate at 5:00 p.m., New York City time, on the </w:t>
      </w:r>
      <w:r>
        <w:rPr>
          <w:rFonts w:ascii="Arial" w:cs="Arial" w:eastAsia="Arial" w:hAnsi="Arial"/>
          <w:sz w:val="19"/>
          <w:szCs w:val="19"/>
          <w:color w:val="FF0000"/>
          <w:strike w:val="1"/>
        </w:rPr>
        <w:t>Restatement</w:t>
      </w:r>
      <w:r>
        <w:rPr>
          <w:rFonts w:ascii="Arial" w:cs="Arial" w:eastAsia="Arial" w:hAnsi="Arial"/>
          <w:sz w:val="19"/>
          <w:szCs w:val="19"/>
          <w:u w:val="single" w:color="auto"/>
          <w:color w:val="0000FF"/>
        </w:rPr>
        <w:t>Amendment No. 1</w:t>
      </w:r>
      <w:r>
        <w:rPr>
          <w:rFonts w:ascii="Arial" w:cs="Arial" w:eastAsia="Arial" w:hAnsi="Arial"/>
          <w:sz w:val="19"/>
          <w:szCs w:val="19"/>
          <w:color w:val="auto"/>
        </w:rPr>
        <w:t xml:space="preserve"> Effective Date and</w:t>
      </w:r>
    </w:p>
    <w:p>
      <w:pPr>
        <w:spacing w:after="0" w:line="1" w:lineRule="exact"/>
        <w:rPr>
          <w:sz w:val="20"/>
          <w:szCs w:val="20"/>
          <w:color w:val="auto"/>
        </w:rPr>
      </w:pPr>
    </w:p>
    <w:p>
      <w:pPr>
        <w:ind w:left="320" w:hanging="311"/>
        <w:spacing w:after="0"/>
        <w:tabs>
          <w:tab w:leader="none" w:pos="32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Revolving Commitments shall automatically terminate on the Revolving Commitment Termination Date.</w:t>
      </w:r>
    </w:p>
    <w:p>
      <w:pPr>
        <w:spacing w:after="0" w:line="163" w:lineRule="exact"/>
        <w:rPr>
          <w:rFonts w:ascii="Arial" w:cs="Arial" w:eastAsia="Arial" w:hAnsi="Arial"/>
          <w:sz w:val="21"/>
          <w:szCs w:val="21"/>
          <w:color w:val="auto"/>
        </w:rPr>
      </w:pPr>
    </w:p>
    <w:p>
      <w:pPr>
        <w:jc w:val="both"/>
        <w:ind w:firstLine="644"/>
        <w:spacing w:after="0" w:line="258" w:lineRule="auto"/>
        <w:tabs>
          <w:tab w:leader="none" w:pos="93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 xml:space="preserve">The Borrower may at any time terminate, or from time to time reduce, the Commitments of any Class,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each reduction of the Commitments of any Class shall be in an amount that is an integral multiple of $500,000 and not less than $1,000,000 and (ii) the Borrower shall not terminate or reduce the Revolving Commitments if, after giving effect to any concurrent prepayment of the Revolving Loans in accordance with Section 2.11, the aggregate Revolving Exposures would exceed the Total Revolving Commitments.</w:t>
      </w:r>
    </w:p>
    <w:p>
      <w:pPr>
        <w:spacing w:after="0" w:line="126" w:lineRule="exact"/>
        <w:rPr>
          <w:rFonts w:ascii="Arial" w:cs="Arial" w:eastAsia="Arial" w:hAnsi="Arial"/>
          <w:sz w:val="20"/>
          <w:szCs w:val="20"/>
          <w:color w:val="auto"/>
        </w:rPr>
      </w:pPr>
    </w:p>
    <w:p>
      <w:pPr>
        <w:jc w:val="both"/>
        <w:ind w:firstLine="644"/>
        <w:spacing w:after="0" w:line="252" w:lineRule="auto"/>
        <w:tabs>
          <w:tab w:leader="none" w:pos="937" w:val="left"/>
        </w:tabs>
        <w:numPr>
          <w:ilvl w:val="1"/>
          <w:numId w:val="101"/>
        </w:numPr>
        <w:rPr>
          <w:rFonts w:ascii="Arial" w:cs="Arial" w:eastAsia="Arial" w:hAnsi="Arial"/>
          <w:sz w:val="20"/>
          <w:szCs w:val="20"/>
          <w:color w:val="auto"/>
        </w:rPr>
      </w:pPr>
      <w:r>
        <w:rPr>
          <w:rFonts w:ascii="Arial" w:cs="Arial" w:eastAsia="Arial" w:hAnsi="Arial"/>
          <w:sz w:val="20"/>
          <w:szCs w:val="20"/>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notice of termination of the Revolving Commitments delivered by the Borrower may state that such notice is conditioned upon the effectiveness of other credit facilities or the receipt of the proceeds from the issuance of other Indebtedness or the occurrence of some other identifiable event or condition, in which case such notice may be revoked by the Borrower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35" w:lineRule="exact"/>
        <w:rPr>
          <w:sz w:val="20"/>
          <w:szCs w:val="20"/>
          <w:color w:val="auto"/>
        </w:rPr>
      </w:pPr>
    </w:p>
    <w:p>
      <w:pPr>
        <w:jc w:val="both"/>
        <w:ind w:firstLine="635"/>
        <w:spacing w:after="0" w:line="261" w:lineRule="auto"/>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i w:val="1"/>
          <w:iCs w:val="1"/>
          <w:color w:val="auto"/>
        </w:rPr>
        <w:t>Repayment of Loans; Evidence of Debt.</w:t>
      </w:r>
      <w:r>
        <w:rPr>
          <w:rFonts w:ascii="Arial" w:cs="Arial" w:eastAsia="Arial" w:hAnsi="Arial"/>
          <w:sz w:val="20"/>
          <w:szCs w:val="20"/>
          <w:color w:val="auto"/>
        </w:rPr>
        <w:t xml:space="preserve"> (a) The Borrower hereby unconditionally promises to pay (i) to the Administrative Agent for the account of each Lender the then unpaid principal amount of each Revolving Loan of such Lender on the Revolving Maturity Date and (ii) to the Administrative Agent for the account of each Lender the then unpaid principal amount of each Term Loan of such Lender as provided in Section 2.08.</w:t>
      </w:r>
    </w:p>
    <w:p>
      <w:pPr>
        <w:spacing w:after="0" w:line="137" w:lineRule="exact"/>
        <w:rPr>
          <w:sz w:val="20"/>
          <w:szCs w:val="20"/>
          <w:color w:val="auto"/>
        </w:rPr>
      </w:pPr>
    </w:p>
    <w:p>
      <w:pPr>
        <w:ind w:firstLine="644"/>
        <w:spacing w:after="0" w:line="263" w:lineRule="auto"/>
        <w:tabs>
          <w:tab w:leader="none" w:pos="981"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5" w:name="page236"/>
    <w:bookmarkEnd w:id="235"/>
    <w:p>
      <w:pPr>
        <w:spacing w:after="0" w:line="263" w:lineRule="auto"/>
        <w:rPr>
          <w:sz w:val="20"/>
          <w:szCs w:val="20"/>
          <w:color w:val="auto"/>
        </w:rPr>
      </w:pPr>
      <w:r>
        <w:rPr>
          <w:rFonts w:ascii="Arial" w:cs="Arial" w:eastAsia="Arial" w:hAnsi="Arial"/>
          <w:sz w:val="21"/>
          <w:szCs w:val="21"/>
          <w:color w:val="auto"/>
        </w:rPr>
        <w:t>resulting from each Loan made by such Lender, including the amounts of principal and interest payable and paid to such Lender from time to time hereunder.</w:t>
      </w:r>
    </w:p>
    <w:p>
      <w:pPr>
        <w:spacing w:after="0" w:line="119" w:lineRule="exact"/>
        <w:rPr>
          <w:sz w:val="20"/>
          <w:szCs w:val="20"/>
          <w:color w:val="auto"/>
        </w:rPr>
      </w:pPr>
    </w:p>
    <w:p>
      <w:pPr>
        <w:jc w:val="both"/>
        <w:ind w:firstLine="644"/>
        <w:spacing w:after="0" w:line="279" w:lineRule="auto"/>
        <w:tabs>
          <w:tab w:leader="none" w:pos="93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21" w:lineRule="exact"/>
        <w:rPr>
          <w:rFonts w:ascii="Arial" w:cs="Arial" w:eastAsia="Arial" w:hAnsi="Arial"/>
          <w:sz w:val="19"/>
          <w:szCs w:val="19"/>
          <w:color w:val="auto"/>
        </w:rPr>
      </w:pPr>
    </w:p>
    <w:p>
      <w:pPr>
        <w:jc w:val="both"/>
        <w:ind w:firstLine="644"/>
        <w:spacing w:after="0" w:line="256" w:lineRule="auto"/>
        <w:tabs>
          <w:tab w:leader="none" w:pos="95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the accounts maintained by the Administrative Agent pursuant to paragraph (c) of this Section shall control.</w:t>
      </w:r>
    </w:p>
    <w:p>
      <w:pPr>
        <w:spacing w:after="0" w:line="128" w:lineRule="exact"/>
        <w:rPr>
          <w:rFonts w:ascii="Arial" w:cs="Arial" w:eastAsia="Arial" w:hAnsi="Arial"/>
          <w:sz w:val="20"/>
          <w:szCs w:val="20"/>
          <w:color w:val="auto"/>
        </w:rPr>
      </w:pPr>
    </w:p>
    <w:p>
      <w:pPr>
        <w:jc w:val="both"/>
        <w:ind w:firstLine="644"/>
        <w:spacing w:after="0" w:line="245" w:lineRule="auto"/>
        <w:tabs>
          <w:tab w:leader="none" w:pos="91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Any Lender may request through the Administrative Agent that Loans of any Class made by it be evidenced by a promissory note. In such event, the Borrower shall execute and deliver to such Lender a promissory note payable to the order of such Lender (or, if requested by such Lender, to such Lender and its registered assigns) and in a form provided by the Administrative Agent and approved by the Borrower.</w:t>
      </w:r>
    </w:p>
    <w:p>
      <w:pPr>
        <w:spacing w:after="0" w:line="138" w:lineRule="exact"/>
        <w:rPr>
          <w:rFonts w:ascii="Arial" w:cs="Arial" w:eastAsia="Arial" w:hAnsi="Arial"/>
          <w:sz w:val="21"/>
          <w:szCs w:val="21"/>
          <w:color w:val="auto"/>
        </w:rPr>
      </w:pPr>
    </w:p>
    <w:p>
      <w:pPr>
        <w:jc w:val="both"/>
        <w:ind w:firstLine="644"/>
        <w:spacing w:after="0" w:line="250" w:lineRule="auto"/>
        <w:tabs>
          <w:tab w:leader="none" w:pos="899" w:val="left"/>
        </w:tabs>
        <w:numPr>
          <w:ilvl w:val="0"/>
          <w:numId w:val="103"/>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Borrower shall repay to the Administrative Agent for the ratable account of each Term Lender with Non-Converted New Term Loans the full amount of Non-Converted New Term Loans substantially concurrently with the receipt of the proceeds of the Term B-1 Loans on the Amendment No. 1 Effective Date.</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i w:val="1"/>
          <w:iCs w:val="1"/>
          <w:color w:val="auto"/>
        </w:rPr>
        <w:t>Amortization of Term Loans.</w:t>
      </w:r>
    </w:p>
    <w:p>
      <w:pPr>
        <w:spacing w:after="0" w:line="169"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0"/>
          <w:szCs w:val="20"/>
          <w:color w:val="auto"/>
        </w:rPr>
        <w:t>(a)</w:t>
      </w:r>
      <w:r>
        <w:rPr>
          <w:rFonts w:ascii="Arial" w:cs="Arial" w:eastAsia="Arial" w:hAnsi="Arial"/>
          <w:sz w:val="20"/>
          <w:szCs w:val="20"/>
          <w:color w:val="FF0000"/>
          <w:strike w:val="1"/>
        </w:rPr>
        <w:t>(i) Prior to the Escrow Assumption Date, subject to adjustment pursuant to paragraph (c) of this Section, the</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Borrower shall repay the Initial Term Loans on the last day of each September, December, March and June (commencing on December 31, 2017) </w:t>
      </w:r>
      <w:r>
        <w:rPr>
          <w:rFonts w:ascii="Arial" w:cs="Arial" w:eastAsia="Arial" w:hAnsi="Arial"/>
          <w:sz w:val="20"/>
          <w:szCs w:val="20"/>
          <w:color w:val="00BF00"/>
          <w:strike w:val="1"/>
        </w:rPr>
        <w:t>in an aggregate principal amount equal to</w:t>
      </w:r>
      <w:r>
        <w:rPr>
          <w:rFonts w:ascii="Arial" w:cs="Arial" w:eastAsia="Arial" w:hAnsi="Arial"/>
          <w:sz w:val="20"/>
          <w:szCs w:val="20"/>
          <w:color w:val="FF0000"/>
          <w:strike w:val="1"/>
        </w:rPr>
        <w:t xml:space="preserve"> (i) the aggregate outstanding principal amount of Initial Term Loans immediately after closing on the Restatement Effective Date multiplied by (ii) 0.25%; </w:t>
      </w:r>
      <w:r>
        <w:rPr>
          <w:rFonts w:ascii="Arial" w:cs="Arial" w:eastAsia="Arial" w:hAnsi="Arial"/>
          <w:sz w:val="20"/>
          <w:szCs w:val="20"/>
          <w:i w:val="1"/>
          <w:iCs w:val="1"/>
          <w:color w:val="FF0000"/>
          <w:strike w:val="1"/>
        </w:rPr>
        <w:t>provided</w:t>
      </w:r>
      <w:r>
        <w:rPr>
          <w:rFonts w:ascii="Arial" w:cs="Arial" w:eastAsia="Arial" w:hAnsi="Arial"/>
          <w:sz w:val="20"/>
          <w:szCs w:val="20"/>
          <w:color w:val="FF0000"/>
          <w:strike w:val="1"/>
        </w:rPr>
        <w:t xml:space="preserve"> that if any such date is not a Business Day, such payment shall be due on the next preceding Business Day.(ii) If the Escrow Assumption Date shall have occurred, subject </w:t>
      </w:r>
      <w:r>
        <w:rPr>
          <w:rFonts w:ascii="Arial" w:cs="Arial" w:eastAsia="Arial" w:hAnsi="Arial"/>
          <w:sz w:val="20"/>
          <w:szCs w:val="20"/>
          <w:color w:val="0000FF"/>
          <w:strike w:val="1"/>
        </w:rPr>
        <w:t>Subject</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to adjustment pursuant to paragraph (c) of this Section, the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Borrower shall repay the </w:t>
      </w:r>
      <w:r>
        <w:rPr>
          <w:rFonts w:ascii="Arial" w:cs="Arial" w:eastAsia="Arial" w:hAnsi="Arial"/>
          <w:sz w:val="20"/>
          <w:szCs w:val="20"/>
          <w:color w:val="FF0000"/>
          <w:strike w:val="1"/>
        </w:rPr>
        <w:t>New</w:t>
      </w:r>
      <w:r>
        <w:rPr>
          <w:rFonts w:ascii="Arial" w:cs="Arial" w:eastAsia="Arial" w:hAnsi="Arial"/>
          <w:sz w:val="20"/>
          <w:szCs w:val="20"/>
          <w:color w:val="000000"/>
          <w:strike w:val="1"/>
        </w:rPr>
        <w:t xml:space="preserve"> Term </w:t>
      </w:r>
      <w:r>
        <w:rPr>
          <w:rFonts w:ascii="Arial" w:cs="Arial" w:eastAsia="Arial" w:hAnsi="Arial"/>
          <w:sz w:val="20"/>
          <w:szCs w:val="20"/>
          <w:color w:val="0000FF"/>
          <w:strike w:val="1"/>
        </w:rPr>
        <w:t>B-1</w:t>
      </w:r>
      <w:r>
        <w:rPr>
          <w:rFonts w:ascii="Arial" w:cs="Arial" w:eastAsia="Arial" w:hAnsi="Arial"/>
          <w:sz w:val="20"/>
          <w:szCs w:val="20"/>
          <w:color w:val="000000"/>
          <w:strike w:val="1"/>
        </w:rPr>
        <w:t xml:space="preserve"> Loans on each anniversary of the </w:t>
      </w:r>
      <w:r>
        <w:rPr>
          <w:rFonts w:ascii="Arial" w:cs="Arial" w:eastAsia="Arial" w:hAnsi="Arial"/>
          <w:sz w:val="20"/>
          <w:szCs w:val="20"/>
          <w:color w:val="FF0000"/>
          <w:strike w:val="1"/>
        </w:rPr>
        <w:t>Escrow Assumption</w:t>
      </w:r>
      <w:r>
        <w:rPr>
          <w:rFonts w:ascii="Arial" w:cs="Arial" w:eastAsia="Arial" w:hAnsi="Arial"/>
          <w:sz w:val="20"/>
          <w:szCs w:val="20"/>
          <w:u w:val="single" w:color="auto"/>
          <w:color w:val="0000FF"/>
          <w:strike w:val="1"/>
        </w:rPr>
        <w:t>Amendment No. 1</w:t>
      </w:r>
      <w:r>
        <w:rPr>
          <w:rFonts w:ascii="Arial" w:cs="Arial" w:eastAsia="Arial" w:hAnsi="Arial"/>
          <w:sz w:val="20"/>
          <w:szCs w:val="20"/>
          <w:color w:val="000000"/>
          <w:strike w:val="1"/>
        </w:rPr>
        <w:t xml:space="preserve"> </w:t>
      </w:r>
      <w:r>
        <w:rPr>
          <w:rFonts w:ascii="Arial" w:cs="Arial" w:eastAsia="Arial" w:hAnsi="Arial"/>
          <w:sz w:val="20"/>
          <w:szCs w:val="20"/>
          <w:u w:val="single" w:color="auto"/>
          <w:color w:val="0000FF"/>
          <w:strike w:val="1"/>
        </w:rPr>
        <w:t>Effective</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Date in an aggregate principal amount equal to the</w:t>
      </w:r>
      <w:r>
        <w:rPr>
          <w:rFonts w:ascii="Arial" w:cs="Arial" w:eastAsia="Arial" w:hAnsi="Arial"/>
          <w:sz w:val="20"/>
          <w:szCs w:val="20"/>
          <w:color w:val="0000FF"/>
          <w:strike w:val="1"/>
        </w:rPr>
        <w:t xml:space="preserve"> </w:t>
      </w:r>
      <w:r>
        <w:rPr>
          <w:rFonts w:ascii="Arial" w:cs="Arial" w:eastAsia="Arial" w:hAnsi="Arial"/>
          <w:sz w:val="20"/>
          <w:szCs w:val="20"/>
          <w:color w:val="FF0000"/>
          <w:strike w:val="1"/>
        </w:rPr>
        <w:t>sum of (i) the</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aggregate outstanding principal amount of</w:t>
      </w:r>
      <w:r>
        <w:rPr>
          <w:rFonts w:ascii="Arial" w:cs="Arial" w:eastAsia="Arial" w:hAnsi="Arial"/>
          <w:sz w:val="20"/>
          <w:szCs w:val="20"/>
          <w:color w:val="0000FF"/>
          <w:strike w:val="1"/>
        </w:rPr>
        <w:t xml:space="preserve"> </w:t>
      </w:r>
      <w:r>
        <w:rPr>
          <w:rFonts w:ascii="Arial" w:cs="Arial" w:eastAsia="Arial" w:hAnsi="Arial"/>
          <w:sz w:val="20"/>
          <w:szCs w:val="20"/>
          <w:color w:val="FF0000"/>
          <w:strike w:val="1"/>
        </w:rPr>
        <w:t xml:space="preserve">Initial </w:t>
      </w:r>
      <w:r>
        <w:rPr>
          <w:rFonts w:ascii="Arial" w:cs="Arial" w:eastAsia="Arial" w:hAnsi="Arial"/>
          <w:sz w:val="20"/>
          <w:szCs w:val="20"/>
          <w:color w:val="000000"/>
          <w:strike w:val="1"/>
        </w:rPr>
        <w:t>Term</w:t>
      </w:r>
      <w:r>
        <w:rPr>
          <w:rFonts w:ascii="Arial" w:cs="Arial" w:eastAsia="Arial" w:hAnsi="Arial"/>
          <w:sz w:val="20"/>
          <w:szCs w:val="20"/>
          <w:color w:val="FF0000"/>
          <w:strike w:val="1"/>
        </w:rPr>
        <w:t xml:space="preserve"> </w:t>
      </w:r>
      <w:r>
        <w:rPr>
          <w:rFonts w:ascii="Arial" w:cs="Arial" w:eastAsia="Arial" w:hAnsi="Arial"/>
          <w:sz w:val="20"/>
          <w:szCs w:val="20"/>
          <w:color w:val="0000FF"/>
          <w:strike w:val="1"/>
        </w:rPr>
        <w:t>B-1</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Loans immediately after closing on the</w:t>
      </w:r>
      <w:r>
        <w:rPr>
          <w:rFonts w:ascii="Arial" w:cs="Arial" w:eastAsia="Arial" w:hAnsi="Arial"/>
          <w:sz w:val="20"/>
          <w:szCs w:val="20"/>
          <w:color w:val="FF0000"/>
          <w:strike w:val="1"/>
        </w:rPr>
        <w:t xml:space="preserve"> Restatement Effective Date multiplied by 7.50% and (ii) the aggregate outstanding principal amount of the Escrow Term Loans on the Escrow Assumption</w:t>
      </w:r>
      <w:r>
        <w:rPr>
          <w:rFonts w:ascii="Arial" w:cs="Arial" w:eastAsia="Arial" w:hAnsi="Arial"/>
          <w:sz w:val="20"/>
          <w:szCs w:val="20"/>
          <w:u w:val="single" w:color="auto"/>
          <w:color w:val="0000FF"/>
          <w:strike w:val="1"/>
        </w:rPr>
        <w:t>Amendment No. 1 Effective</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 xml:space="preserve">Date multiplied by 7.50%; </w:t>
      </w:r>
      <w:r>
        <w:rPr>
          <w:rFonts w:ascii="Arial" w:cs="Arial" w:eastAsia="Arial" w:hAnsi="Arial"/>
          <w:sz w:val="20"/>
          <w:szCs w:val="20"/>
          <w:i w:val="1"/>
          <w:iCs w:val="1"/>
          <w:color w:val="000000"/>
          <w:strike w:val="1"/>
        </w:rPr>
        <w:t>provided</w:t>
      </w:r>
      <w:r>
        <w:rPr>
          <w:rFonts w:ascii="Arial" w:cs="Arial" w:eastAsia="Arial" w:hAnsi="Arial"/>
          <w:sz w:val="20"/>
          <w:szCs w:val="20"/>
          <w:color w:val="000000"/>
          <w:strike w:val="1"/>
        </w:rPr>
        <w:t xml:space="preserve"> that if any such date is not a Business Day, such payment shall be due on the next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-1447800</wp:posOffset>
            </wp:positionV>
            <wp:extent cx="53301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5330190" cy="8255"/>
                    </a:xfrm>
                    <a:prstGeom prst="rect">
                      <a:avLst/>
                    </a:prstGeom>
                    <a:noFill/>
                  </pic:spPr>
                </pic:pic>
              </a:graphicData>
            </a:graphic>
          </wp:anchor>
        </w:drawing>
        <w:drawing>
          <wp:anchor simplePos="0" relativeHeight="251657728" behindDoc="1" locked="0" layoutInCell="0" allowOverlap="1">
            <wp:simplePos x="0" y="0"/>
            <wp:positionH relativeFrom="column">
              <wp:posOffset>2626360</wp:posOffset>
            </wp:positionH>
            <wp:positionV relativeFrom="paragraph">
              <wp:posOffset>-927100</wp:posOffset>
            </wp:positionV>
            <wp:extent cx="46228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462280" cy="25400"/>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-775970</wp:posOffset>
            </wp:positionV>
            <wp:extent cx="26035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260350" cy="2540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-473710</wp:posOffset>
            </wp:positionV>
            <wp:extent cx="25209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252095" cy="2540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6" w:name="page237"/>
    <w:bookmarkEnd w:id="236"/>
    <w:p>
      <w:pPr>
        <w:ind w:left="640"/>
        <w:spacing w:after="0"/>
        <w:rPr>
          <w:sz w:val="20"/>
          <w:szCs w:val="20"/>
          <w:color w:val="auto"/>
        </w:rPr>
      </w:pPr>
      <w:r>
        <w:rPr>
          <w:rFonts w:ascii="Arial" w:cs="Arial" w:eastAsia="Arial" w:hAnsi="Arial"/>
          <w:sz w:val="20"/>
          <w:szCs w:val="20"/>
          <w:color w:val="auto"/>
        </w:rPr>
        <w:t xml:space="preserve">(b) To the extent not previously paid, all </w:t>
      </w:r>
      <w:r>
        <w:rPr>
          <w:rFonts w:ascii="Arial" w:cs="Arial" w:eastAsia="Arial" w:hAnsi="Arial"/>
          <w:sz w:val="20"/>
          <w:szCs w:val="20"/>
          <w:color w:val="FF0000"/>
          <w:strike w:val="1"/>
        </w:rPr>
        <w:t>New</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shall be due and payable on the Term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10795</wp:posOffset>
            </wp:positionV>
            <wp:extent cx="24384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243840" cy="254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151" w:lineRule="exact"/>
        <w:rPr>
          <w:sz w:val="20"/>
          <w:szCs w:val="20"/>
          <w:color w:val="auto"/>
        </w:rPr>
      </w:pPr>
    </w:p>
    <w:p>
      <w:pPr>
        <w:jc w:val="both"/>
        <w:ind w:firstLine="644"/>
        <w:spacing w:after="0" w:line="268" w:lineRule="auto"/>
        <w:tabs>
          <w:tab w:leader="none" w:pos="91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Any prepayment of a Term Borrowing of any Class (i) pursuant to Section 2.09(a)(i) shall be applied to reduce the subsequent scheduled and outstanding repayments of the Term Borrowing of such Class to be made pursuant to this Section as directed by the Borrower (and absent such direction in direct order of maturity), (ii) pursuant to Section 2.09(a)</w:t>
      </w:r>
    </w:p>
    <w:p>
      <w:pPr>
        <w:jc w:val="both"/>
        <w:ind w:firstLine="9"/>
        <w:spacing w:after="0" w:line="267" w:lineRule="auto"/>
        <w:tabs>
          <w:tab w:leader="none" w:pos="31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shall be applied as set forth in Section 2.09(a)(ii)(F) and (iii) pursuant to Section 2.09(b) or 2.09(c) shall be applied to reduce the subsequent scheduled and outstanding repayments of the Term Borrowings of such Class to be made pursuant to this Section, or, except as otherwise provided in any Refinancing Amendment, pursuant to the corresponding section of such Refinancing Amendment, in direct order of maturity</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0000FF"/>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that any such prepayments of New Term Loans made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prior to the Amendment No. 1 Effective Date shall be applied to reduce the scheduled and outstanding repayments of the Term Borrowings of Term B-1 Loans to be made pursuant to this Section (x) as directed by the Borrower (and absent such direction in direct order of maturity), in the case of clause (i) and (y) in direct order of maturity, in the case of clause (iii).</w:t>
      </w:r>
    </w:p>
    <w:p>
      <w:pPr>
        <w:spacing w:after="0" w:line="132" w:lineRule="exact"/>
        <w:rPr>
          <w:rFonts w:ascii="Arial" w:cs="Arial" w:eastAsia="Arial" w:hAnsi="Arial"/>
          <w:sz w:val="19"/>
          <w:szCs w:val="19"/>
          <w:color w:val="auto"/>
        </w:rPr>
      </w:pPr>
    </w:p>
    <w:p>
      <w:pPr>
        <w:jc w:val="both"/>
        <w:ind w:firstLine="644"/>
        <w:spacing w:after="0"/>
        <w:tabs>
          <w:tab w:leader="none" w:pos="986" w:val="left"/>
        </w:tabs>
        <w:numPr>
          <w:ilvl w:val="1"/>
          <w:numId w:val="105"/>
        </w:numPr>
        <w:rPr>
          <w:rFonts w:ascii="Arial" w:cs="Arial" w:eastAsia="Arial" w:hAnsi="Arial"/>
          <w:sz w:val="21"/>
          <w:szCs w:val="21"/>
          <w:color w:val="auto"/>
        </w:rPr>
      </w:pPr>
      <w:r>
        <w:rPr>
          <w:rFonts w:ascii="Arial" w:cs="Arial" w:eastAsia="Arial" w:hAnsi="Arial"/>
          <w:sz w:val="21"/>
          <w:szCs w:val="21"/>
          <w:color w:val="auto"/>
        </w:rPr>
        <w:t>Prior to any repayment of any Term Borrowings of any Class hereunder, the Borrower shall select the Borrowing or Borrowings of the applicable Class to be repaid and shall notify the Administrative Agent by telephone (confirmed by hand delivery or facsimile) of such election not later than 2:00 p.m., New York City time, three Business Day before the scheduled date of such repayment. In the absence of a designation by the Borrower as described in the preceding sentence, the Administrative Agent shall make such designation in its reasonable discretion with a view, but no obligation, to minimize breakage costs owing under Section 2.14. Each repayment of a Borrowing shall be applied ratably to the Loans included in the repaid Borrowing. Repayments of Term Borrowings shall be accompanied by accrued interest on the amount repaid.</w:t>
      </w:r>
    </w:p>
    <w:p>
      <w:pPr>
        <w:spacing w:after="0" w:line="145"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i w:val="1"/>
          <w:iCs w:val="1"/>
          <w:color w:val="auto"/>
        </w:rPr>
        <w:t>Prepayment of Loans</w:t>
      </w:r>
      <w:r>
        <w:rPr>
          <w:rFonts w:ascii="Arial" w:cs="Arial" w:eastAsia="Arial" w:hAnsi="Arial"/>
          <w:sz w:val="19"/>
          <w:szCs w:val="19"/>
          <w:color w:val="auto"/>
        </w:rPr>
        <w:t xml:space="preserve">. (a) (i) The Borrower shall have the right at any time and from time to time to prepay any Borrowing in whole or in part, subject to the requirements of this Section;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that, on or prior to the six-month anniversary of the </w:t>
      </w:r>
      <w:r>
        <w:rPr>
          <w:rFonts w:ascii="Arial" w:cs="Arial" w:eastAsia="Arial" w:hAnsi="Arial"/>
          <w:sz w:val="19"/>
          <w:szCs w:val="19"/>
          <w:color w:val="FF0000"/>
          <w:strike w:val="1"/>
        </w:rPr>
        <w:t>Restatement</w:t>
      </w:r>
      <w:r>
        <w:rPr>
          <w:rFonts w:ascii="Arial" w:cs="Arial" w:eastAsia="Arial" w:hAnsi="Arial"/>
          <w:sz w:val="19"/>
          <w:szCs w:val="19"/>
          <w:u w:val="single" w:color="auto"/>
          <w:color w:val="0000FF"/>
        </w:rPr>
        <w:t>Amendment No. 1</w:t>
      </w:r>
      <w:r>
        <w:rPr>
          <w:rFonts w:ascii="Arial" w:cs="Arial" w:eastAsia="Arial" w:hAnsi="Arial"/>
          <w:sz w:val="19"/>
          <w:szCs w:val="19"/>
          <w:color w:val="auto"/>
        </w:rPr>
        <w:t xml:space="preserve"> Effective Date, the Borrower (x) makes any prepayment of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color w:val="0000FF"/>
        </w:rPr>
        <w:t>B-1</w:t>
      </w:r>
      <w:r>
        <w:rPr>
          <w:rFonts w:ascii="Arial" w:cs="Arial" w:eastAsia="Arial" w:hAnsi="Arial"/>
          <w:sz w:val="19"/>
          <w:szCs w:val="19"/>
          <w:color w:val="auto"/>
        </w:rPr>
        <w:t xml:space="preserve"> Loans in connection with any Repricing Transaction, or (y) effects any amendment of this Agreement resulting in a Repricing Transaction, the Borrower shall pay to the Administrative Agent, for the ratable account of each of the applicable Term Lenders, (I) in the case of clause (x), a prepayment premium of 1% of the amount of the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color w:val="0000FF"/>
        </w:rPr>
        <w:t>B-1</w:t>
      </w:r>
      <w:r>
        <w:rPr>
          <w:rFonts w:ascii="Arial" w:cs="Arial" w:eastAsia="Arial" w:hAnsi="Arial"/>
          <w:sz w:val="19"/>
          <w:szCs w:val="19"/>
          <w:color w:val="auto"/>
        </w:rPr>
        <w:t xml:space="preserve"> Loans being prepaid and (II) in the case of clause (y), a payment equal to 1% of the aggregate principal amount of the applicable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color w:val="0000FF"/>
        </w:rPr>
        <w:t>B-1</w:t>
      </w:r>
      <w:r>
        <w:rPr>
          <w:rFonts w:ascii="Arial" w:cs="Arial" w:eastAsia="Arial" w:hAnsi="Arial"/>
          <w:sz w:val="19"/>
          <w:szCs w:val="19"/>
          <w:color w:val="auto"/>
        </w:rPr>
        <w:t xml:space="preserve"> Loans outstanding immediately prior to such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-633095</wp:posOffset>
            </wp:positionV>
            <wp:extent cx="23495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234950" cy="2540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-179705</wp:posOffset>
            </wp:positionV>
            <wp:extent cx="25209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252095" cy="25400"/>
                    </a:xfrm>
                    <a:prstGeom prst="rect">
                      <a:avLst/>
                    </a:prstGeom>
                    <a:noFill/>
                  </pic:spPr>
                </pic:pic>
              </a:graphicData>
            </a:graphic>
          </wp:anchor>
        </w:drawing>
        <w:drawing>
          <wp:anchor simplePos="0" relativeHeight="251657728" behindDoc="1" locked="0" layoutInCell="0" allowOverlap="1">
            <wp:simplePos x="0" y="0"/>
            <wp:positionH relativeFrom="column">
              <wp:posOffset>2449830</wp:posOffset>
            </wp:positionH>
            <wp:positionV relativeFrom="paragraph">
              <wp:posOffset>-28575</wp:posOffset>
            </wp:positionV>
            <wp:extent cx="23495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234950" cy="25400"/>
                    </a:xfrm>
                    <a:prstGeom prst="rect">
                      <a:avLst/>
                    </a:prstGeom>
                    <a:noFill/>
                  </pic:spPr>
                </pic:pic>
              </a:graphicData>
            </a:graphic>
          </wp:anchor>
        </w:drawing>
      </w:r>
    </w:p>
    <w:p>
      <w:pPr>
        <w:spacing w:after="0" w:line="98" w:lineRule="exact"/>
        <w:rPr>
          <w:sz w:val="20"/>
          <w:szCs w:val="20"/>
          <w:color w:val="auto"/>
        </w:rPr>
      </w:pPr>
    </w:p>
    <w:p>
      <w:pPr>
        <w:jc w:val="both"/>
        <w:ind w:left="640" w:firstLine="639"/>
        <w:spacing w:after="0" w:line="250" w:lineRule="auto"/>
        <w:tabs>
          <w:tab w:leader="none" w:pos="1612"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Notwithstanding anything in any Loan Document to the contrary, so long as no Default or Event of Default has occurred and is continuing, the Borrower may prepay the outstanding Term Loans on the following basis: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37" w:name="page238"/>
    <w:bookmarkEnd w:id="237"/>
    <w:p>
      <w:pPr>
        <w:jc w:val="both"/>
        <w:ind w:left="580" w:firstLine="634"/>
        <w:spacing w:after="0" w:line="265" w:lineRule="auto"/>
        <w:tabs>
          <w:tab w:leader="none" w:pos="156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Borrower shall have the right to make a voluntary prepayment of Term Loans at a discount to par (such prepayment, the “</w:t>
      </w:r>
      <w:r>
        <w:rPr>
          <w:rFonts w:ascii="Arial" w:cs="Arial" w:eastAsia="Arial" w:hAnsi="Arial"/>
          <w:sz w:val="19"/>
          <w:szCs w:val="19"/>
          <w:b w:val="1"/>
          <w:bCs w:val="1"/>
          <w:color w:val="auto"/>
        </w:rPr>
        <w:t>Discounted Term Loan Prepayment</w:t>
      </w:r>
      <w:r>
        <w:rPr>
          <w:rFonts w:ascii="Arial" w:cs="Arial" w:eastAsia="Arial" w:hAnsi="Arial"/>
          <w:sz w:val="19"/>
          <w:szCs w:val="19"/>
          <w:color w:val="auto"/>
        </w:rPr>
        <w:t xml:space="preserve">”) pursuant to a Borrower Offer of Specified Discount Prepayment, Borrower Solicitation of Discount Range Prepayment Offers or Borrower Solicitation of Discounted Prepayment Offers, in each case made in accordance with this Section 2.09(a) (ii);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the Borrower shall not make any Borrowing of Revolving Loans or borrowing of loans under any Incremental Revolving Facility to fund any Discounted Term Loan Prepayment and (y) the Borrower shall not initiate any action under this Section 2.09(a)(ii) in order to make a Discounted Term Loan Prepayment unless (I) at least ten (10) Business Days shall have passed since the consummation of the most recent Discounted Term Loan Prepayment as a result of a prepayment made by the Borrower on the applicable Discounted Prepayment Effective Date; or (II) at least three (3) Business Days shall have passed since the date the Borrower was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the Borrower’s election not to accept any Solicited Discounted Prepayment Offers.</w:t>
      </w:r>
    </w:p>
    <w:p>
      <w:pPr>
        <w:spacing w:after="0" w:line="128" w:lineRule="exact"/>
        <w:rPr>
          <w:rFonts w:ascii="Arial" w:cs="Arial" w:eastAsia="Arial" w:hAnsi="Arial"/>
          <w:sz w:val="19"/>
          <w:szCs w:val="19"/>
          <w:color w:val="auto"/>
        </w:rPr>
      </w:pPr>
    </w:p>
    <w:p>
      <w:pPr>
        <w:jc w:val="both"/>
        <w:ind w:left="580" w:firstLine="634"/>
        <w:spacing w:after="0" w:line="265" w:lineRule="auto"/>
        <w:tabs>
          <w:tab w:leader="none" w:pos="155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(1) Subject to the proviso to subsection (A) above, the Borrower may from time to time offer to make a Discounted Term Loan Prepayment by providing the Auction Agent with four (4) Business Days’ notice in the form of a Specified Discount Prepayment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offer shall be made available, at the sole discretion of the Borrower, to each Term Lender and/or each Lender with respect to any Class of Term Loans on an individual tranche basis, (II) any such offer shall specify the aggregate principal amount offered to be prepaid (the “</w:t>
      </w:r>
      <w:r>
        <w:rPr>
          <w:rFonts w:ascii="Arial" w:cs="Arial" w:eastAsia="Arial" w:hAnsi="Arial"/>
          <w:sz w:val="19"/>
          <w:szCs w:val="19"/>
          <w:b w:val="1"/>
          <w:bCs w:val="1"/>
          <w:color w:val="auto"/>
        </w:rPr>
        <w:t>Specified Discount Prepayment Amount</w:t>
      </w:r>
      <w:r>
        <w:rPr>
          <w:rFonts w:ascii="Arial" w:cs="Arial" w:eastAsia="Arial" w:hAnsi="Arial"/>
          <w:sz w:val="19"/>
          <w:szCs w:val="19"/>
          <w:color w:val="auto"/>
        </w:rPr>
        <w:t>”) with respect to each applicable tranche, the tranche or tranches of Term Loans subject to such offer and the specific percentage discount to par (the “</w:t>
      </w:r>
      <w:r>
        <w:rPr>
          <w:rFonts w:ascii="Arial" w:cs="Arial" w:eastAsia="Arial" w:hAnsi="Arial"/>
          <w:sz w:val="19"/>
          <w:szCs w:val="19"/>
          <w:b w:val="1"/>
          <w:bCs w:val="1"/>
          <w:color w:val="auto"/>
        </w:rPr>
        <w:t>Specified Discount</w:t>
      </w:r>
      <w:r>
        <w:rPr>
          <w:rFonts w:ascii="Arial" w:cs="Arial" w:eastAsia="Arial" w:hAnsi="Arial"/>
          <w:sz w:val="19"/>
          <w:szCs w:val="19"/>
          <w:color w:val="auto"/>
        </w:rPr>
        <w:t>”)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Section),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time, on the third Business Day after the date of</w:t>
      </w:r>
    </w:p>
    <w:p>
      <w:pPr>
        <w:spacing w:after="0" w:line="370"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238" w:name="page239"/>
    <w:bookmarkEnd w:id="238"/>
    <w:p>
      <w:pPr>
        <w:ind w:left="580"/>
        <w:spacing w:after="0" w:line="270" w:lineRule="auto"/>
        <w:rPr>
          <w:sz w:val="20"/>
          <w:szCs w:val="20"/>
          <w:color w:val="auto"/>
        </w:rPr>
      </w:pPr>
      <w:r>
        <w:rPr>
          <w:rFonts w:ascii="Arial" w:cs="Arial" w:eastAsia="Arial" w:hAnsi="Arial"/>
          <w:sz w:val="21"/>
          <w:szCs w:val="21"/>
          <w:color w:val="auto"/>
        </w:rPr>
        <w:t>delivery of such notice to the relevant Term Lenders (the “</w:t>
      </w:r>
      <w:r>
        <w:rPr>
          <w:rFonts w:ascii="Arial" w:cs="Arial" w:eastAsia="Arial" w:hAnsi="Arial"/>
          <w:sz w:val="21"/>
          <w:szCs w:val="21"/>
          <w:b w:val="1"/>
          <w:bCs w:val="1"/>
          <w:color w:val="auto"/>
        </w:rPr>
        <w:t>Specified Discount Prepayment Response</w:t>
      </w:r>
      <w:r>
        <w:rPr>
          <w:rFonts w:ascii="Arial" w:cs="Arial" w:eastAsia="Arial" w:hAnsi="Arial"/>
          <w:sz w:val="21"/>
          <w:szCs w:val="21"/>
          <w:color w:val="auto"/>
        </w:rPr>
        <w:t xml:space="preserve"> </w:t>
      </w:r>
      <w:r>
        <w:rPr>
          <w:rFonts w:ascii="Arial" w:cs="Arial" w:eastAsia="Arial" w:hAnsi="Arial"/>
          <w:sz w:val="21"/>
          <w:szCs w:val="21"/>
          <w:b w:val="1"/>
          <w:bCs w:val="1"/>
          <w:color w:val="auto"/>
        </w:rPr>
        <w:t>Date</w:t>
      </w:r>
      <w:r>
        <w:rPr>
          <w:rFonts w:ascii="Arial" w:cs="Arial" w:eastAsia="Arial" w:hAnsi="Arial"/>
          <w:sz w:val="21"/>
          <w:szCs w:val="21"/>
          <w:color w:val="auto"/>
        </w:rPr>
        <w:t>”).</w:t>
      </w:r>
    </w:p>
    <w:p>
      <w:pPr>
        <w:spacing w:after="0" w:line="111" w:lineRule="exact"/>
        <w:rPr>
          <w:sz w:val="20"/>
          <w:szCs w:val="20"/>
          <w:color w:val="auto"/>
        </w:rPr>
      </w:pPr>
    </w:p>
    <w:p>
      <w:pPr>
        <w:jc w:val="both"/>
        <w:ind w:left="1220" w:firstLine="629"/>
        <w:spacing w:after="0" w:line="268" w:lineRule="auto"/>
        <w:tabs>
          <w:tab w:leader="none" w:pos="217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cs="Arial" w:eastAsia="Arial" w:hAnsi="Arial"/>
          <w:sz w:val="19"/>
          <w:szCs w:val="19"/>
          <w:b w:val="1"/>
          <w:bCs w:val="1"/>
          <w:color w:val="auto"/>
        </w:rPr>
        <w:t>Discount Prepayment Accepting Lender</w:t>
      </w:r>
      <w:r>
        <w:rPr>
          <w:rFonts w:ascii="Arial" w:cs="Arial" w:eastAsia="Arial" w:hAnsi="Arial"/>
          <w:sz w:val="19"/>
          <w:szCs w:val="19"/>
          <w:color w:val="auto"/>
        </w:rPr>
        <w:t>”),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32" w:lineRule="exact"/>
        <w:rPr>
          <w:rFonts w:ascii="Arial" w:cs="Arial" w:eastAsia="Arial" w:hAnsi="Arial"/>
          <w:sz w:val="19"/>
          <w:szCs w:val="19"/>
          <w:color w:val="auto"/>
        </w:rPr>
      </w:pPr>
    </w:p>
    <w:p>
      <w:pPr>
        <w:jc w:val="both"/>
        <w:ind w:left="1220" w:firstLine="629"/>
        <w:spacing w:after="0" w:line="250" w:lineRule="auto"/>
        <w:tabs>
          <w:tab w:leader="none" w:pos="216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If there is at least one Discount Prepayment Accepting Lender, the Borrower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20"/>
          <w:szCs w:val="20"/>
          <w:b w:val="1"/>
          <w:bCs w:val="1"/>
          <w:color w:val="auto"/>
        </w:rPr>
        <w:t>Specified Discount Proration</w:t>
      </w:r>
      <w:r>
        <w:rPr>
          <w:rFonts w:ascii="Arial" w:cs="Arial" w:eastAsia="Arial" w:hAnsi="Arial"/>
          <w:sz w:val="20"/>
          <w:szCs w:val="20"/>
          <w:color w:val="auto"/>
        </w:rPr>
        <w:t>”). The Auction Agent shall promptly, and in any case within three (3) Business Days following the Specified Discount Prepayment Response Date, notify (I) the Borrower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9720"/>
          </w:cols>
          <w:pgMar w:left="1440" w:top="112" w:right="739" w:bottom="1440" w:gutter="0" w:footer="0" w:header="0"/>
        </w:sectPr>
      </w:pPr>
    </w:p>
    <w:bookmarkStart w:id="239" w:name="page240"/>
    <w:bookmarkEnd w:id="239"/>
    <w:p>
      <w:pPr>
        <w:jc w:val="both"/>
        <w:ind w:left="1220"/>
        <w:spacing w:after="0" w:line="242" w:lineRule="auto"/>
        <w:rPr>
          <w:sz w:val="20"/>
          <w:szCs w:val="20"/>
          <w:color w:val="auto"/>
        </w:rPr>
      </w:pPr>
      <w:r>
        <w:rPr>
          <w:rFonts w:ascii="Arial" w:cs="Arial" w:eastAsia="Arial" w:hAnsi="Arial"/>
          <w:sz w:val="21"/>
          <w:szCs w:val="21"/>
          <w:color w:val="auto"/>
        </w:rPr>
        <w:t>Lender to be prepaid at the Specified Discount on such date. Each determination by the Auction Agent of the amounts stated in the foregoing notices to the Borrower and Lenders shall be conclusive and binding for all purposes absent manifest error. The payment amount specified in such notice to the Borrower shall be due and payable by the Borrower on the Discounted Prepayment Effective Date in accordance with subsection (F) below (subject to subsection (J) below).</w:t>
      </w:r>
    </w:p>
    <w:p>
      <w:pPr>
        <w:spacing w:after="0" w:line="140" w:lineRule="exact"/>
        <w:rPr>
          <w:sz w:val="20"/>
          <w:szCs w:val="20"/>
          <w:color w:val="auto"/>
        </w:rPr>
      </w:pPr>
    </w:p>
    <w:p>
      <w:pPr>
        <w:jc w:val="both"/>
        <w:ind w:left="580" w:firstLine="634"/>
        <w:spacing w:after="0" w:line="263" w:lineRule="auto"/>
        <w:tabs>
          <w:tab w:leader="none" w:pos="156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(1) Subject to the proviso to subsection (A) above, the Borrower may from time to time solicit Discount Range Prepayment Offers by providing the Auction Agent with three (3) Business Days’ notice in the form of a Discount Range Prepayment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any such solicitation shall be extended, at the sole discretion of the Borrower, to each Term Lender and/or each Lender with respect to any Class of Loans on an individual tranche basis, (II) any such notice shall specify the maximum aggregate principal amount of the relevant Term Loans (the “</w:t>
      </w:r>
      <w:r>
        <w:rPr>
          <w:rFonts w:ascii="Arial" w:cs="Arial" w:eastAsia="Arial" w:hAnsi="Arial"/>
          <w:sz w:val="19"/>
          <w:szCs w:val="19"/>
          <w:b w:val="1"/>
          <w:bCs w:val="1"/>
          <w:color w:val="auto"/>
        </w:rPr>
        <w:t>Discount Range Prepayment Amount</w:t>
      </w:r>
      <w:r>
        <w:rPr>
          <w:rFonts w:ascii="Arial" w:cs="Arial" w:eastAsia="Arial" w:hAnsi="Arial"/>
          <w:sz w:val="19"/>
          <w:szCs w:val="19"/>
          <w:color w:val="auto"/>
        </w:rPr>
        <w:t>”), the tranche or tranches of Term Loans subject to such offer and the maximum and minimum percentage discounts to par (the “</w:t>
      </w:r>
      <w:r>
        <w:rPr>
          <w:rFonts w:ascii="Arial" w:cs="Arial" w:eastAsia="Arial" w:hAnsi="Arial"/>
          <w:sz w:val="19"/>
          <w:szCs w:val="19"/>
          <w:b w:val="1"/>
          <w:bCs w:val="1"/>
          <w:color w:val="auto"/>
        </w:rPr>
        <w:t>Discount Range</w:t>
      </w:r>
      <w:r>
        <w:rPr>
          <w:rFonts w:ascii="Arial" w:cs="Arial" w:eastAsia="Arial" w:hAnsi="Arial"/>
          <w:sz w:val="19"/>
          <w:szCs w:val="19"/>
          <w:color w:val="auto"/>
        </w:rPr>
        <w:t>”) of the principal amount of such Term Loans with respect to each relevant tranche of Term Loans willing to be prepaid by the Borrower (it being understood that different Discount Ranges and/or Discount Range Prepayment Amounts may be offered with respect to different tranches of Term Loans and, in such an event, each such offer will be treated as a separate offer pursuant to the terms of this Section), (III) the Discount Range Prepayment Amount shall be in an aggregate amount not less than $1,000,000 and whole increments of $500,000 in excess thereof and (IV) each such solicitation by the Borrower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time, on the third Business Day after the date of delivery of such notice to the relevant Term Lenders (the “</w:t>
      </w:r>
      <w:r>
        <w:rPr>
          <w:rFonts w:ascii="Arial" w:cs="Arial" w:eastAsia="Arial" w:hAnsi="Arial"/>
          <w:sz w:val="19"/>
          <w:szCs w:val="19"/>
          <w:b w:val="1"/>
          <w:bCs w:val="1"/>
          <w:color w:val="auto"/>
        </w:rPr>
        <w:t>Discount Range</w:t>
      </w:r>
      <w:r>
        <w:rPr>
          <w:rFonts w:ascii="Arial" w:cs="Arial" w:eastAsia="Arial" w:hAnsi="Arial"/>
          <w:sz w:val="19"/>
          <w:szCs w:val="19"/>
          <w:color w:val="auto"/>
        </w:rPr>
        <w:t xml:space="preserve"> </w:t>
      </w:r>
      <w:r>
        <w:rPr>
          <w:rFonts w:ascii="Arial" w:cs="Arial" w:eastAsia="Arial" w:hAnsi="Arial"/>
          <w:sz w:val="19"/>
          <w:szCs w:val="19"/>
          <w:b w:val="1"/>
          <w:bCs w:val="1"/>
          <w:color w:val="auto"/>
        </w:rPr>
        <w:t>Prepayment Response Date</w:t>
      </w:r>
      <w:r>
        <w:rPr>
          <w:rFonts w:ascii="Arial" w:cs="Arial" w:eastAsia="Arial" w:hAnsi="Arial"/>
          <w:sz w:val="19"/>
          <w:szCs w:val="19"/>
          <w:color w:val="auto"/>
        </w:rPr>
        <w:t>”). Each relevant Term Lender’s Discount Range Prepayment Offer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irrevocable and shall specify a discount to par within the Discount Range (the “</w:t>
      </w:r>
      <w:r>
        <w:rPr>
          <w:rFonts w:ascii="Arial" w:cs="Arial" w:eastAsia="Arial" w:hAnsi="Arial"/>
          <w:sz w:val="19"/>
          <w:szCs w:val="19"/>
          <w:b w:val="1"/>
          <w:bCs w:val="1"/>
          <w:color w:val="auto"/>
        </w:rPr>
        <w:t>Submitted Discount</w:t>
      </w:r>
      <w:r>
        <w:rPr>
          <w:rFonts w:ascii="Arial" w:cs="Arial" w:eastAsia="Arial" w:hAnsi="Arial"/>
          <w:sz w:val="19"/>
          <w:szCs w:val="19"/>
          <w:color w:val="auto"/>
        </w:rPr>
        <w:t>”) at which such Term Lender is willing to allow prepayment of any or all of its then outstanding Term Loans of the applicable tranche or tranches and the maximum aggregate principal amount and tranches of such Lender’s Term Loans (the “</w:t>
      </w:r>
      <w:r>
        <w:rPr>
          <w:rFonts w:ascii="Arial" w:cs="Arial" w:eastAsia="Arial" w:hAnsi="Arial"/>
          <w:sz w:val="19"/>
          <w:szCs w:val="19"/>
          <w:b w:val="1"/>
          <w:bCs w:val="1"/>
          <w:color w:val="auto"/>
        </w:rPr>
        <w:t>Submitted Amount</w:t>
      </w:r>
      <w:r>
        <w:rPr>
          <w:rFonts w:ascii="Arial" w:cs="Arial" w:eastAsia="Arial" w:hAnsi="Arial"/>
          <w:sz w:val="19"/>
          <w:szCs w:val="19"/>
          <w:color w:val="auto"/>
        </w:rPr>
        <w:t>”)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240" w:name="page241"/>
    <w:bookmarkEnd w:id="240"/>
    <w:p>
      <w:pPr>
        <w:jc w:val="both"/>
        <w:ind w:left="1220" w:firstLine="629"/>
        <w:spacing w:after="0" w:line="250" w:lineRule="auto"/>
        <w:tabs>
          <w:tab w:leader="none" w:pos="217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Term Loans to be prepaid at such Applicable Discount in accordance with this subsection (C). The Borrower agrees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20"/>
          <w:szCs w:val="20"/>
          <w:b w:val="1"/>
          <w:bCs w:val="1"/>
          <w:color w:val="auto"/>
        </w:rPr>
        <w:t>Applicable Discount</w:t>
      </w:r>
      <w:r>
        <w:rPr>
          <w:rFonts w:ascii="Arial" w:cs="Arial" w:eastAsia="Arial" w:hAnsi="Arial"/>
          <w:sz w:val="20"/>
          <w:szCs w:val="20"/>
          <w:color w:val="auto"/>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cs="Arial" w:eastAsia="Arial" w:hAnsi="Arial"/>
          <w:sz w:val="20"/>
          <w:szCs w:val="20"/>
          <w:b w:val="1"/>
          <w:bCs w:val="1"/>
          <w:color w:val="auto"/>
        </w:rPr>
        <w:t>Participating</w:t>
      </w:r>
      <w:r>
        <w:rPr>
          <w:rFonts w:ascii="Arial" w:cs="Arial" w:eastAsia="Arial" w:hAnsi="Arial"/>
          <w:sz w:val="20"/>
          <w:szCs w:val="20"/>
          <w:color w:val="auto"/>
        </w:rPr>
        <w:t xml:space="preserve"> </w:t>
      </w:r>
      <w:r>
        <w:rPr>
          <w:rFonts w:ascii="Arial" w:cs="Arial" w:eastAsia="Arial" w:hAnsi="Arial"/>
          <w:sz w:val="20"/>
          <w:szCs w:val="20"/>
          <w:b w:val="1"/>
          <w:bCs w:val="1"/>
          <w:color w:val="auto"/>
        </w:rPr>
        <w:t>Lender</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jc w:val="both"/>
        <w:ind w:left="1220" w:firstLine="629"/>
        <w:spacing w:after="0" w:line="251" w:lineRule="auto"/>
        <w:tabs>
          <w:tab w:leader="none" w:pos="2191"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If there is at least one Participating Lender, the Borrower will prepay the respective outstanding Term Loans of each Participating Lender in the aggregate principal amount and of the tranches specified in such Lender’s Discount Range Prepayment Offer at the Applicable Discount;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if the Submitted Amount by all Participating Lenders offered at a discount to par</w:t>
      </w:r>
      <w:r>
        <w:rPr>
          <w:rFonts w:ascii="Arial" w:cs="Arial" w:eastAsia="Arial" w:hAnsi="Arial"/>
          <w:sz w:val="20"/>
          <w:szCs w:val="20"/>
          <w:i w:val="1"/>
          <w:iCs w:val="1"/>
          <w:color w:val="auto"/>
        </w:rPr>
        <w:t xml:space="preserve"> </w:t>
      </w:r>
      <w:r>
        <w:rPr>
          <w:rFonts w:ascii="Arial" w:cs="Arial" w:eastAsia="Arial" w:hAnsi="Arial"/>
          <w:sz w:val="20"/>
          <w:szCs w:val="20"/>
          <w:color w:val="auto"/>
        </w:rPr>
        <w:t>greater than the Applicable Discount exceeds the Discounted Range Prepayment Amount, prepayment of the principal amount of the relevant Term Loans for those Participating Lenders whose Submitted Discount is a discount to par greater than or equal to the Applicable Discount (the “</w:t>
      </w:r>
      <w:r>
        <w:rPr>
          <w:rFonts w:ascii="Arial" w:cs="Arial" w:eastAsia="Arial" w:hAnsi="Arial"/>
          <w:sz w:val="20"/>
          <w:szCs w:val="20"/>
          <w:b w:val="1"/>
          <w:bCs w:val="1"/>
          <w:color w:val="auto"/>
        </w:rPr>
        <w:t>Identified Participating Lenders</w:t>
      </w:r>
      <w:r>
        <w:rPr>
          <w:rFonts w:ascii="Arial" w:cs="Arial" w:eastAsia="Arial" w:hAnsi="Arial"/>
          <w:sz w:val="20"/>
          <w:szCs w:val="20"/>
          <w:color w:val="auto"/>
        </w:rPr>
        <w:t>”) shall be made pro-rata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20"/>
          <w:szCs w:val="20"/>
          <w:b w:val="1"/>
          <w:bCs w:val="1"/>
          <w:color w:val="auto"/>
        </w:rPr>
        <w:t>Discount</w:t>
      </w:r>
      <w:r>
        <w:rPr>
          <w:rFonts w:ascii="Arial" w:cs="Arial" w:eastAsia="Arial" w:hAnsi="Arial"/>
          <w:sz w:val="20"/>
          <w:szCs w:val="20"/>
          <w:color w:val="auto"/>
        </w:rPr>
        <w:t xml:space="preserve"> </w:t>
      </w:r>
      <w:r>
        <w:rPr>
          <w:rFonts w:ascii="Arial" w:cs="Arial" w:eastAsia="Arial" w:hAnsi="Arial"/>
          <w:sz w:val="20"/>
          <w:szCs w:val="20"/>
          <w:b w:val="1"/>
          <w:bCs w:val="1"/>
          <w:color w:val="auto"/>
        </w:rPr>
        <w:t>Range Proration</w:t>
      </w:r>
      <w:r>
        <w:rPr>
          <w:rFonts w:ascii="Arial" w:cs="Arial" w:eastAsia="Arial" w:hAnsi="Arial"/>
          <w:sz w:val="20"/>
          <w:szCs w:val="20"/>
          <w:color w:val="auto"/>
        </w:rPr>
        <w:t>”). The Auction Agent shall promptly, and in any case within five (5) Business</w:t>
      </w:r>
      <w:r>
        <w:rPr>
          <w:rFonts w:ascii="Arial" w:cs="Arial" w:eastAsia="Arial" w:hAnsi="Arial"/>
          <w:sz w:val="20"/>
          <w:szCs w:val="20"/>
          <w:b w:val="1"/>
          <w:bCs w:val="1"/>
          <w:color w:val="auto"/>
        </w:rPr>
        <w:t xml:space="preserve"> </w:t>
      </w:r>
      <w:r>
        <w:rPr>
          <w:rFonts w:ascii="Arial" w:cs="Arial" w:eastAsia="Arial" w:hAnsi="Arial"/>
          <w:sz w:val="20"/>
          <w:szCs w:val="20"/>
          <w:color w:val="auto"/>
        </w:rPr>
        <w:t>Days following the Discount</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241" w:name="page242"/>
    <w:bookmarkEnd w:id="241"/>
    <w:p>
      <w:pPr>
        <w:jc w:val="both"/>
        <w:ind w:left="1220"/>
        <w:spacing w:after="0" w:line="251" w:lineRule="auto"/>
        <w:rPr>
          <w:sz w:val="20"/>
          <w:szCs w:val="20"/>
          <w:color w:val="auto"/>
        </w:rPr>
      </w:pPr>
      <w:r>
        <w:rPr>
          <w:rFonts w:ascii="Arial" w:cs="Arial" w:eastAsia="Arial" w:hAnsi="Arial"/>
          <w:sz w:val="20"/>
          <w:szCs w:val="20"/>
          <w:color w:val="auto"/>
        </w:rPr>
        <w:t>Range Prepayment Response Date, notify (I) the Borrower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and Lenders shall be conclusive and binding for all purposes absent manifest error. The payment amount specified in such notice to the Borrower shall be due and payable by such Borrower on the Discounted Prepayment Effective Date in accordance with subsection (F) below (subject to subsection (J) below).</w:t>
      </w:r>
    </w:p>
    <w:p>
      <w:pPr>
        <w:spacing w:after="0" w:line="141" w:lineRule="exact"/>
        <w:rPr>
          <w:sz w:val="20"/>
          <w:szCs w:val="20"/>
          <w:color w:val="auto"/>
        </w:rPr>
      </w:pPr>
    </w:p>
    <w:p>
      <w:pPr>
        <w:jc w:val="both"/>
        <w:ind w:left="580" w:firstLine="634"/>
        <w:spacing w:after="0" w:line="250" w:lineRule="auto"/>
        <w:tabs>
          <w:tab w:leader="none" w:pos="1572"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(1) Subject to the proviso to subsection (A) above, the Borrower may from time to time solicit Solicited Discounted Prepayment Offers by providing the Auction Agent with three (3) Business Days’ notice in the form of a Solicited Discounted Prepayment Notice;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any such solicitation shall be extended, at the sole discretion of the Borrower, to each Term Lender and/or each Lender with respect to any Class of Term Loans on an individual tranche basis, (II) any such notice shall specify the maximum aggregate dollar amount of the Term Loans (the “</w:t>
      </w:r>
      <w:r>
        <w:rPr>
          <w:rFonts w:ascii="Arial" w:cs="Arial" w:eastAsia="Arial" w:hAnsi="Arial"/>
          <w:sz w:val="20"/>
          <w:szCs w:val="20"/>
          <w:b w:val="1"/>
          <w:bCs w:val="1"/>
          <w:color w:val="auto"/>
        </w:rPr>
        <w:t>Solicited Discounted Prepayment Amount</w:t>
      </w:r>
      <w:r>
        <w:rPr>
          <w:rFonts w:ascii="Arial" w:cs="Arial" w:eastAsia="Arial" w:hAnsi="Arial"/>
          <w:sz w:val="20"/>
          <w:szCs w:val="20"/>
          <w:color w:val="auto"/>
        </w:rPr>
        <w:t>”) and the tranche or tranches of Term Loans the Borrower is willing to prepay at a discount (it being understood that different Solicited Discount Prepayment Amounts may be offered with respect to different tranches of Term Loans and, in such an event, each such offer will be treated as a separate offer pursuant to the terms of this Section), (III) the Solicited Discounted Prepayment Amount shall be in an aggregate amount not less than $1,000,000 and whole increments of $500,000 in excess thereof and (IV) each such solicitation by the Borrower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time on the third Business Day after the date of delivery of such notice to the relevant Term Lenders (the “</w:t>
      </w:r>
      <w:r>
        <w:rPr>
          <w:rFonts w:ascii="Arial" w:cs="Arial" w:eastAsia="Arial" w:hAnsi="Arial"/>
          <w:sz w:val="20"/>
          <w:szCs w:val="20"/>
          <w:b w:val="1"/>
          <w:bCs w:val="1"/>
          <w:color w:val="auto"/>
        </w:rPr>
        <w:t>Solicited Discounted Prepayment Response Date</w:t>
      </w:r>
      <w:r>
        <w:rPr>
          <w:rFonts w:ascii="Arial" w:cs="Arial" w:eastAsia="Arial" w:hAnsi="Arial"/>
          <w:sz w:val="20"/>
          <w:szCs w:val="20"/>
          <w:color w:val="auto"/>
        </w:rPr>
        <w:t>”). Each Term Lender’s Solicited Discounted Prepayment Offer shall (x) be irrevocable, (y) remain outstanding until the Acceptance Date, and (z) specify both a discount</w:t>
      </w:r>
    </w:p>
    <w:p>
      <w:pPr>
        <w:spacing w:after="0" w:line="396"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242" w:name="page243"/>
    <w:bookmarkEnd w:id="242"/>
    <w:p>
      <w:pPr>
        <w:jc w:val="both"/>
        <w:ind w:left="580"/>
        <w:spacing w:after="0" w:line="243" w:lineRule="auto"/>
        <w:rPr>
          <w:sz w:val="20"/>
          <w:szCs w:val="20"/>
          <w:color w:val="auto"/>
        </w:rPr>
      </w:pPr>
      <w:r>
        <w:rPr>
          <w:rFonts w:ascii="Arial" w:cs="Arial" w:eastAsia="Arial" w:hAnsi="Arial"/>
          <w:sz w:val="21"/>
          <w:szCs w:val="21"/>
          <w:color w:val="auto"/>
        </w:rPr>
        <w:t>to par (the “</w:t>
      </w:r>
      <w:r>
        <w:rPr>
          <w:rFonts w:ascii="Arial" w:cs="Arial" w:eastAsia="Arial" w:hAnsi="Arial"/>
          <w:sz w:val="21"/>
          <w:szCs w:val="21"/>
          <w:b w:val="1"/>
          <w:bCs w:val="1"/>
          <w:color w:val="auto"/>
        </w:rPr>
        <w:t>Offered Discount</w:t>
      </w:r>
      <w:r>
        <w:rPr>
          <w:rFonts w:ascii="Arial" w:cs="Arial" w:eastAsia="Arial" w:hAnsi="Arial"/>
          <w:sz w:val="21"/>
          <w:szCs w:val="21"/>
          <w:color w:val="auto"/>
        </w:rPr>
        <w:t>”) at which such Term Lender is willing to allow prepayment of its then outstanding Term Loan and the maximum aggregate principal amount and tranches of such Term Loans (the “</w:t>
      </w:r>
      <w:r>
        <w:rPr>
          <w:rFonts w:ascii="Arial" w:cs="Arial" w:eastAsia="Arial" w:hAnsi="Arial"/>
          <w:sz w:val="21"/>
          <w:szCs w:val="21"/>
          <w:b w:val="1"/>
          <w:bCs w:val="1"/>
          <w:color w:val="auto"/>
        </w:rPr>
        <w:t>Offered Amount</w:t>
      </w:r>
      <w:r>
        <w:rPr>
          <w:rFonts w:ascii="Arial" w:cs="Arial" w:eastAsia="Arial" w:hAnsi="Arial"/>
          <w:sz w:val="21"/>
          <w:szCs w:val="21"/>
          <w:color w:val="auto"/>
        </w:rPr>
        <w:t>”) such Lender is willing to have prepaid at the Offered Discount. Any Term Lender whose Solicited Discounted Prepayment Offer is not received by the Auction Agent by the Solicited Discounted Prepayment Response Date shall be deemed to have declined prepayment of any of its Term Loans at any discount.</w:t>
      </w:r>
    </w:p>
    <w:p>
      <w:pPr>
        <w:spacing w:after="0" w:line="140" w:lineRule="exact"/>
        <w:rPr>
          <w:sz w:val="20"/>
          <w:szCs w:val="20"/>
          <w:color w:val="auto"/>
        </w:rPr>
      </w:pPr>
    </w:p>
    <w:p>
      <w:pPr>
        <w:jc w:val="both"/>
        <w:ind w:left="1220" w:firstLine="629"/>
        <w:spacing w:after="0" w:line="266" w:lineRule="auto"/>
        <w:tabs>
          <w:tab w:leader="none" w:pos="218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Term Lenders in the Solicited Discounted Prepayment Offers that is acceptable to the Borrower (the “</w:t>
      </w:r>
      <w:r>
        <w:rPr>
          <w:rFonts w:ascii="Arial" w:cs="Arial" w:eastAsia="Arial" w:hAnsi="Arial"/>
          <w:sz w:val="19"/>
          <w:szCs w:val="19"/>
          <w:b w:val="1"/>
          <w:bCs w:val="1"/>
          <w:color w:val="auto"/>
        </w:rPr>
        <w:t>Acceptable</w:t>
      </w:r>
      <w:r>
        <w:rPr>
          <w:rFonts w:ascii="Arial" w:cs="Arial" w:eastAsia="Arial" w:hAnsi="Arial"/>
          <w:sz w:val="19"/>
          <w:szCs w:val="19"/>
          <w:color w:val="auto"/>
        </w:rPr>
        <w:t xml:space="preserve"> </w:t>
      </w:r>
      <w:r>
        <w:rPr>
          <w:rFonts w:ascii="Arial" w:cs="Arial" w:eastAsia="Arial" w:hAnsi="Arial"/>
          <w:sz w:val="19"/>
          <w:szCs w:val="19"/>
          <w:b w:val="1"/>
          <w:bCs w:val="1"/>
          <w:color w:val="auto"/>
        </w:rPr>
        <w:t>Discount</w:t>
      </w:r>
      <w:r>
        <w:rPr>
          <w:rFonts w:ascii="Arial" w:cs="Arial" w:eastAsia="Arial" w:hAnsi="Arial"/>
          <w:sz w:val="19"/>
          <w:szCs w:val="19"/>
          <w:color w:val="auto"/>
        </w:rPr>
        <w:t>”), if any. If the Borrower elects to accept any Offered Discount as the Acceptable</w:t>
      </w:r>
      <w:r>
        <w:rPr>
          <w:rFonts w:ascii="Arial" w:cs="Arial" w:eastAsia="Arial" w:hAnsi="Arial"/>
          <w:sz w:val="19"/>
          <w:szCs w:val="19"/>
          <w:b w:val="1"/>
          <w:bCs w:val="1"/>
          <w:color w:val="auto"/>
        </w:rPr>
        <w:t xml:space="preserve"> </w:t>
      </w:r>
      <w:r>
        <w:rPr>
          <w:rFonts w:ascii="Arial" w:cs="Arial" w:eastAsia="Arial" w:hAnsi="Arial"/>
          <w:sz w:val="19"/>
          <w:szCs w:val="19"/>
          <w:color w:val="auto"/>
        </w:rPr>
        <w:t>Discount, then as soon as practicable after the determination of the Acceptable Discount, but in no event later than the third Business Day after the date of receipt by the Borrower from the Auction Agent of a copy of all Solicited Discounted Prepayment Offers pursuant to the first sentence of this subsection (2) (the “</w:t>
      </w:r>
      <w:r>
        <w:rPr>
          <w:rFonts w:ascii="Arial" w:cs="Arial" w:eastAsia="Arial" w:hAnsi="Arial"/>
          <w:sz w:val="19"/>
          <w:szCs w:val="19"/>
          <w:b w:val="1"/>
          <w:bCs w:val="1"/>
          <w:color w:val="auto"/>
        </w:rPr>
        <w:t>Acceptance Date</w:t>
      </w:r>
      <w:r>
        <w:rPr>
          <w:rFonts w:ascii="Arial" w:cs="Arial" w:eastAsia="Arial" w:hAnsi="Arial"/>
          <w:sz w:val="19"/>
          <w:szCs w:val="19"/>
          <w:color w:val="auto"/>
        </w:rPr>
        <w:t>”), the Borrower shall submit an Acceptance and Prepayment Notice to the Auction Agent setting forth the Acceptable Discount. If the Auction Agent shall fail to receive an Acceptance and Prepayment Notice from the Borrower by the Acceptance Date, the Borrower shall be deemed to have rejected all Solicited Discounted Prepayment Offers.</w:t>
      </w:r>
    </w:p>
    <w:p>
      <w:pPr>
        <w:spacing w:after="0" w:line="132" w:lineRule="exact"/>
        <w:rPr>
          <w:rFonts w:ascii="Arial" w:cs="Arial" w:eastAsia="Arial" w:hAnsi="Arial"/>
          <w:sz w:val="19"/>
          <w:szCs w:val="19"/>
          <w:color w:val="auto"/>
        </w:rPr>
      </w:pPr>
    </w:p>
    <w:p>
      <w:pPr>
        <w:jc w:val="both"/>
        <w:ind w:left="1220" w:firstLine="629"/>
        <w:spacing w:after="0" w:line="271" w:lineRule="auto"/>
        <w:tabs>
          <w:tab w:leader="none" w:pos="2181" w:val="left"/>
        </w:tabs>
        <w:numPr>
          <w:ilvl w:val="1"/>
          <w:numId w:val="112"/>
        </w:numPr>
        <w:rPr>
          <w:rFonts w:ascii="Arial" w:cs="Arial" w:eastAsia="Arial" w:hAnsi="Arial"/>
          <w:sz w:val="19"/>
          <w:szCs w:val="19"/>
          <w:color w:val="auto"/>
        </w:rPr>
      </w:pPr>
      <w:r>
        <w:rPr>
          <w:rFonts w:ascii="Arial" w:cs="Arial" w:eastAsia="Arial" w:hAnsi="Arial"/>
          <w:sz w:val="19"/>
          <w:szCs w:val="19"/>
          <w:color w:val="auto"/>
        </w:rPr>
        <w:t>Based upon the Acceptable Discount and the Solicited Discounted Prepayment Offers received by the Auction Agent by the Solicited Discounted Prepayment Response Date, within three</w:t>
      </w:r>
    </w:p>
    <w:p>
      <w:pPr>
        <w:jc w:val="both"/>
        <w:ind w:left="1220" w:hanging="6"/>
        <w:spacing w:after="0" w:line="251" w:lineRule="auto"/>
        <w:tabs>
          <w:tab w:leader="none" w:pos="158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Business Days after receipt of an Acceptance and Prepayment Notice (the “</w:t>
      </w:r>
      <w:r>
        <w:rPr>
          <w:rFonts w:ascii="Arial" w:cs="Arial" w:eastAsia="Arial" w:hAnsi="Arial"/>
          <w:sz w:val="20"/>
          <w:szCs w:val="20"/>
          <w:b w:val="1"/>
          <w:bCs w:val="1"/>
          <w:color w:val="auto"/>
        </w:rPr>
        <w:t>Discounted</w:t>
      </w:r>
      <w:r>
        <w:rPr>
          <w:rFonts w:ascii="Arial" w:cs="Arial" w:eastAsia="Arial" w:hAnsi="Arial"/>
          <w:sz w:val="20"/>
          <w:szCs w:val="20"/>
          <w:color w:val="auto"/>
        </w:rPr>
        <w:t xml:space="preserve"> </w:t>
      </w:r>
      <w:r>
        <w:rPr>
          <w:rFonts w:ascii="Arial" w:cs="Arial" w:eastAsia="Arial" w:hAnsi="Arial"/>
          <w:sz w:val="20"/>
          <w:szCs w:val="20"/>
          <w:b w:val="1"/>
          <w:bCs w:val="1"/>
          <w:color w:val="auto"/>
        </w:rPr>
        <w:t>Prepayment Determination Date</w:t>
      </w:r>
      <w:r>
        <w:rPr>
          <w:rFonts w:ascii="Arial" w:cs="Arial" w:eastAsia="Arial" w:hAnsi="Arial"/>
          <w:sz w:val="20"/>
          <w:szCs w:val="20"/>
          <w:color w:val="auto"/>
        </w:rPr>
        <w:t>”), the Auction Agent will determine (in consultation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and subject to rounding requirements of the Auction Agent made in its sole reasonable discretion) the aggregate principal amount and the tranches of Term Loans (the “</w:t>
      </w:r>
      <w:r>
        <w:rPr>
          <w:rFonts w:ascii="Arial" w:cs="Arial" w:eastAsia="Arial" w:hAnsi="Arial"/>
          <w:sz w:val="20"/>
          <w:szCs w:val="20"/>
          <w:b w:val="1"/>
          <w:bCs w:val="1"/>
          <w:color w:val="auto"/>
        </w:rPr>
        <w:t>Acceptable</w:t>
      </w:r>
      <w:r>
        <w:rPr>
          <w:rFonts w:ascii="Arial" w:cs="Arial" w:eastAsia="Arial" w:hAnsi="Arial"/>
          <w:sz w:val="20"/>
          <w:szCs w:val="20"/>
          <w:color w:val="auto"/>
        </w:rPr>
        <w:t xml:space="preserve"> </w:t>
      </w:r>
      <w:r>
        <w:rPr>
          <w:rFonts w:ascii="Arial" w:cs="Arial" w:eastAsia="Arial" w:hAnsi="Arial"/>
          <w:sz w:val="20"/>
          <w:szCs w:val="20"/>
          <w:b w:val="1"/>
          <w:bCs w:val="1"/>
          <w:color w:val="auto"/>
        </w:rPr>
        <w:t>Prepayment Amount</w:t>
      </w:r>
      <w:r>
        <w:rPr>
          <w:rFonts w:ascii="Arial" w:cs="Arial" w:eastAsia="Arial" w:hAnsi="Arial"/>
          <w:sz w:val="20"/>
          <w:szCs w:val="20"/>
          <w:color w:val="auto"/>
        </w:rPr>
        <w:t>”) to be prepaid by the Borrower at the Acceptable Discount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this Section 2.09(a)(ii)(D).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w:t>
      </w: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9720"/>
          </w:cols>
          <w:pgMar w:left="1440" w:top="112" w:right="739" w:bottom="1440" w:gutter="0" w:footer="0" w:header="0"/>
        </w:sectPr>
      </w:pPr>
    </w:p>
    <w:bookmarkStart w:id="243" w:name="page244"/>
    <w:bookmarkEnd w:id="243"/>
    <w:p>
      <w:pPr>
        <w:jc w:val="both"/>
        <w:ind w:left="1220"/>
        <w:spacing w:after="0" w:line="263" w:lineRule="auto"/>
        <w:rPr>
          <w:sz w:val="20"/>
          <w:szCs w:val="20"/>
          <w:color w:val="auto"/>
        </w:rPr>
      </w:pPr>
      <w:r>
        <w:rPr>
          <w:rFonts w:ascii="Arial" w:cs="Arial" w:eastAsia="Arial" w:hAnsi="Arial"/>
          <w:sz w:val="19"/>
          <w:szCs w:val="19"/>
          <w:color w:val="auto"/>
        </w:rPr>
        <w:t>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the Acceptable Discount (each such Lender, a “</w:t>
      </w:r>
      <w:r>
        <w:rPr>
          <w:rFonts w:ascii="Arial" w:cs="Arial" w:eastAsia="Arial" w:hAnsi="Arial"/>
          <w:sz w:val="19"/>
          <w:szCs w:val="19"/>
          <w:b w:val="1"/>
          <w:bCs w:val="1"/>
          <w:color w:val="auto"/>
        </w:rPr>
        <w:t>Qualifying Lender</w:t>
      </w:r>
      <w:r>
        <w:rPr>
          <w:rFonts w:ascii="Arial" w:cs="Arial" w:eastAsia="Arial" w:hAnsi="Arial"/>
          <w:sz w:val="19"/>
          <w:szCs w:val="19"/>
          <w:color w:val="auto"/>
        </w:rPr>
        <w:t xml:space="preserve">”). The Borrower will prepay outstanding Term Loans pursuant to this subsection (D) to each Qualifying Lender in the aggregate principal amount and of the tranches specified in such Lender’s Solicited Discounted Prepayment Offer at the Acceptable Discount;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cs="Arial" w:eastAsia="Arial" w:hAnsi="Arial"/>
          <w:sz w:val="19"/>
          <w:szCs w:val="19"/>
          <w:b w:val="1"/>
          <w:bCs w:val="1"/>
          <w:color w:val="auto"/>
        </w:rPr>
        <w:t>Identified Qualifying Lenders</w:t>
      </w:r>
      <w:r>
        <w:rPr>
          <w:rFonts w:ascii="Arial" w:cs="Arial" w:eastAsia="Arial" w:hAnsi="Arial"/>
          <w:sz w:val="19"/>
          <w:szCs w:val="19"/>
          <w:color w:val="auto"/>
        </w:rPr>
        <w:t>”) shall be made pro-rata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9"/>
          <w:szCs w:val="19"/>
          <w:b w:val="1"/>
          <w:bCs w:val="1"/>
          <w:color w:val="auto"/>
        </w:rPr>
        <w:t>Solicited Discount</w:t>
      </w:r>
      <w:r>
        <w:rPr>
          <w:rFonts w:ascii="Arial" w:cs="Arial" w:eastAsia="Arial" w:hAnsi="Arial"/>
          <w:sz w:val="19"/>
          <w:szCs w:val="19"/>
          <w:color w:val="auto"/>
        </w:rPr>
        <w:t xml:space="preserve"> </w:t>
      </w:r>
      <w:r>
        <w:rPr>
          <w:rFonts w:ascii="Arial" w:cs="Arial" w:eastAsia="Arial" w:hAnsi="Arial"/>
          <w:sz w:val="19"/>
          <w:szCs w:val="19"/>
          <w:b w:val="1"/>
          <w:bCs w:val="1"/>
          <w:color w:val="auto"/>
        </w:rPr>
        <w:t>Proration</w:t>
      </w:r>
      <w:r>
        <w:rPr>
          <w:rFonts w:ascii="Arial" w:cs="Arial" w:eastAsia="Arial" w:hAnsi="Arial"/>
          <w:sz w:val="19"/>
          <w:szCs w:val="19"/>
          <w:color w:val="auto"/>
        </w:rPr>
        <w:t>”). On or prior to the Discounted Prepayment Determination Date, the Auction Agent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promptly notify (I) the Borrower of the Discounted Prepayment Effective Date and Acceptable Prepayment Amount comprising the Discounted Term Loan Prepayment and the tranches to be prepaid, (II) each Term Lender of the Discounted Prepayment Effective Date, the Acceptable Discount, and the Acceptable Prepayment Amount of all Term Loans and the tranches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such Borrower and Lenders shall be conclusive and binding for all purposes absent manifest error. The payment amount specified in such notice to such Borrower shall be due and payable by such Borrower on the Discounted Prepayment Effective Date in accordance with subsection (F) below (subject to subsection (J) below).</w:t>
      </w:r>
    </w:p>
    <w:p>
      <w:pPr>
        <w:spacing w:after="0" w:line="375" w:lineRule="exact"/>
        <w:rPr>
          <w:sz w:val="20"/>
          <w:szCs w:val="20"/>
          <w:color w:val="auto"/>
        </w:rPr>
      </w:pPr>
    </w:p>
    <w:p>
      <w:pPr>
        <w:ind w:left="580" w:firstLine="634"/>
        <w:spacing w:after="0" w:line="288" w:lineRule="auto"/>
        <w:tabs>
          <w:tab w:leader="none" w:pos="1579"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 connection with any Discounted Term Loan Prepayment, the Borrower and the Lenders acknowledge and agree that the Auction Agent may require as a condition to any Discounted Term</w:t>
      </w:r>
    </w:p>
    <w:p>
      <w:pPr>
        <w:spacing w:after="0" w:line="348"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244" w:name="page245"/>
    <w:bookmarkEnd w:id="244"/>
    <w:p>
      <w:pPr>
        <w:ind w:left="580"/>
        <w:spacing w:after="0"/>
        <w:rPr>
          <w:sz w:val="20"/>
          <w:szCs w:val="20"/>
          <w:color w:val="auto"/>
        </w:rPr>
      </w:pPr>
      <w:r>
        <w:rPr>
          <w:rFonts w:ascii="Arial" w:cs="Arial" w:eastAsia="Arial" w:hAnsi="Arial"/>
          <w:sz w:val="19"/>
          <w:szCs w:val="19"/>
          <w:color w:val="auto"/>
        </w:rPr>
        <w:t>Loan Prepayment, the payment of customary fees and expenses from the Borrower in connection therewith.</w:t>
      </w:r>
    </w:p>
    <w:p>
      <w:pPr>
        <w:spacing w:after="0" w:line="192" w:lineRule="exact"/>
        <w:rPr>
          <w:sz w:val="20"/>
          <w:szCs w:val="20"/>
          <w:color w:val="auto"/>
        </w:rPr>
      </w:pPr>
    </w:p>
    <w:p>
      <w:pPr>
        <w:jc w:val="both"/>
        <w:ind w:left="580" w:firstLine="634"/>
        <w:spacing w:after="0" w:line="265" w:lineRule="auto"/>
        <w:tabs>
          <w:tab w:leader="none" w:pos="155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any Term Loan is to be prepaid in accordance with paragraphs (B) through (D) above, the Borrower shall prepay such Term Loans on the Discounted Prepayment Effective Date. The Borrower shall make such prepayment to the Auction Agent, for the account of the Discount Prepayment Accepting Lenders, Participating Lenders, or Qualifying Lenders, as applicable, at the Administrative Agent’s Office in immediately available funds not later than 11:00 a.m. (New York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outstanding Term Loans pursuant to this Section 2.09(a)(ii) shall be paid to the Discount Prepayment Accepting Lenders, Participating Lenders, or Qualifying 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w:t>
      </w:r>
    </w:p>
    <w:p>
      <w:pPr>
        <w:spacing w:after="0" w:line="141" w:lineRule="exact"/>
        <w:rPr>
          <w:rFonts w:ascii="Arial" w:cs="Arial" w:eastAsia="Arial" w:hAnsi="Arial"/>
          <w:sz w:val="19"/>
          <w:szCs w:val="19"/>
          <w:color w:val="auto"/>
        </w:rPr>
      </w:pPr>
    </w:p>
    <w:p>
      <w:pPr>
        <w:jc w:val="both"/>
        <w:ind w:left="580" w:firstLine="634"/>
        <w:spacing w:after="0" w:line="245" w:lineRule="auto"/>
        <w:tabs>
          <w:tab w:leader="none" w:pos="1571" w:val="left"/>
        </w:tabs>
        <w:numPr>
          <w:ilvl w:val="0"/>
          <w:numId w:val="115"/>
        </w:numPr>
        <w:rPr>
          <w:rFonts w:ascii="Arial" w:cs="Arial" w:eastAsia="Arial" w:hAnsi="Arial"/>
          <w:sz w:val="21"/>
          <w:szCs w:val="21"/>
          <w:color w:val="auto"/>
        </w:rPr>
      </w:pPr>
      <w:r>
        <w:rPr>
          <w:rFonts w:ascii="Arial" w:cs="Arial" w:eastAsia="Arial" w:hAnsi="Arial"/>
          <w:sz w:val="21"/>
          <w:szCs w:val="21"/>
          <w:color w:val="auto"/>
        </w:rPr>
        <w:t>To the extent not expressly provided for herein, each Discounted Term Loan Prepayment shall be consummated pursuant to procedures consistent with the provisions in this Section 2.09(a)(ii), established by the Auction Agent acting in its reasonable discretion and as reasonably agreed by the Borrower.</w:t>
      </w:r>
    </w:p>
    <w:p>
      <w:pPr>
        <w:spacing w:after="0" w:line="138" w:lineRule="exact"/>
        <w:rPr>
          <w:rFonts w:ascii="Arial" w:cs="Arial" w:eastAsia="Arial" w:hAnsi="Arial"/>
          <w:sz w:val="21"/>
          <w:szCs w:val="21"/>
          <w:color w:val="auto"/>
        </w:rPr>
      </w:pPr>
    </w:p>
    <w:p>
      <w:pPr>
        <w:jc w:val="both"/>
        <w:ind w:left="580" w:firstLine="634"/>
        <w:spacing w:after="0" w:line="256" w:lineRule="auto"/>
        <w:tabs>
          <w:tab w:leader="none" w:pos="157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Notwithstanding anything in any Loan Document to the contrary, for purposes of this Section 2.09(a)(ii),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notice or communication actually received outside of normal business hours shall be deemed to have been given as of the opening of business on the next Business Day.</w:t>
      </w:r>
    </w:p>
    <w:p>
      <w:pPr>
        <w:spacing w:after="0" w:line="128" w:lineRule="exact"/>
        <w:rPr>
          <w:rFonts w:ascii="Arial" w:cs="Arial" w:eastAsia="Arial" w:hAnsi="Arial"/>
          <w:sz w:val="20"/>
          <w:szCs w:val="20"/>
          <w:color w:val="auto"/>
        </w:rPr>
      </w:pPr>
    </w:p>
    <w:p>
      <w:pPr>
        <w:jc w:val="both"/>
        <w:ind w:left="580" w:firstLine="634"/>
        <w:spacing w:after="0" w:line="242" w:lineRule="auto"/>
        <w:tabs>
          <w:tab w:leader="none" w:pos="1506" w:val="left"/>
        </w:tabs>
        <w:numPr>
          <w:ilvl w:val="0"/>
          <w:numId w:val="115"/>
        </w:numPr>
        <w:rPr>
          <w:rFonts w:ascii="Arial" w:cs="Arial" w:eastAsia="Arial" w:hAnsi="Arial"/>
          <w:sz w:val="21"/>
          <w:szCs w:val="21"/>
          <w:color w:val="auto"/>
        </w:rPr>
      </w:pPr>
      <w:r>
        <w:rPr>
          <w:rFonts w:ascii="Arial" w:cs="Arial" w:eastAsia="Arial" w:hAnsi="Arial"/>
          <w:sz w:val="21"/>
          <w:szCs w:val="21"/>
          <w:color w:val="auto"/>
        </w:rPr>
        <w:t>Each of the Borrower and the Lenders acknowledges and agrees that the Auction Agent may perform any and all of its duties under this Section 2.09(a)(ii)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w:t>
      </w:r>
    </w:p>
    <w:p>
      <w:pPr>
        <w:spacing w:after="0" w:line="391"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118" w:right="73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21"/>
          <w:szCs w:val="21"/>
          <w:color w:val="auto"/>
        </w:rPr>
        <w:t>Prepayment provided for in this Section 2.09(a)(ii) as well as activities of the Auction Agent.</w:t>
      </w:r>
    </w:p>
    <w:p>
      <w:pPr>
        <w:spacing w:after="0" w:line="169" w:lineRule="exact"/>
        <w:rPr>
          <w:sz w:val="20"/>
          <w:szCs w:val="20"/>
          <w:color w:val="auto"/>
        </w:rPr>
      </w:pPr>
    </w:p>
    <w:p>
      <w:pPr>
        <w:jc w:val="both"/>
        <w:ind w:left="1280" w:firstLine="634"/>
        <w:spacing w:after="0" w:line="255" w:lineRule="auto"/>
        <w:tabs>
          <w:tab w:leader="none" w:pos="2195"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Borrower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(and if such offer is revoked pursuant to the preceding clauses, any failure by such Borrower to make any prepayment to a Term Lender, as applicable, pursuant to this Section 2.09(a)(ii) shall not constitute a Default or Event of Default under Section 7.01 or otherwise).</w:t>
      </w:r>
    </w:p>
    <w:p>
      <w:pPr>
        <w:spacing w:after="0" w:line="141" w:lineRule="exact"/>
        <w:rPr>
          <w:rFonts w:ascii="Arial" w:cs="Arial" w:eastAsia="Arial" w:hAnsi="Arial"/>
          <w:sz w:val="20"/>
          <w:szCs w:val="20"/>
          <w:color w:val="auto"/>
        </w:rPr>
      </w:pPr>
    </w:p>
    <w:p>
      <w:pPr>
        <w:jc w:val="both"/>
        <w:ind w:firstLine="644"/>
        <w:spacing w:after="0" w:line="264" w:lineRule="auto"/>
        <w:tabs>
          <w:tab w:leader="none" w:pos="97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In the event and on each occasion that any Net Proceeds are received by or on behalf of Holdings, any Intermediate Parent, the Borrower or any of its Restricted Subsidiaries in respect of any Prepayment Event </w:t>
      </w:r>
      <w:r>
        <w:rPr>
          <w:rFonts w:ascii="Arial" w:cs="Arial" w:eastAsia="Arial" w:hAnsi="Arial"/>
          <w:sz w:val="19"/>
          <w:szCs w:val="19"/>
          <w:color w:val="0000FF"/>
        </w:rPr>
        <w:t>after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Amendment No. 1 Effective Date,</w:t>
      </w:r>
      <w:r>
        <w:rPr>
          <w:rFonts w:ascii="Arial" w:cs="Arial" w:eastAsia="Arial" w:hAnsi="Arial"/>
          <w:sz w:val="19"/>
          <w:szCs w:val="19"/>
          <w:color w:val="0000FF"/>
        </w:rPr>
        <w:t xml:space="preserve"> </w:t>
      </w:r>
      <w:r>
        <w:rPr>
          <w:rFonts w:ascii="Arial" w:cs="Arial" w:eastAsia="Arial" w:hAnsi="Arial"/>
          <w:sz w:val="19"/>
          <w:szCs w:val="19"/>
          <w:color w:val="000000"/>
        </w:rPr>
        <w:t>the Borrower shall, within three Business Days after such Net Proceeds are received</w:t>
      </w:r>
      <w:r>
        <w:rPr>
          <w:rFonts w:ascii="Arial" w:cs="Arial" w:eastAsia="Arial" w:hAnsi="Arial"/>
          <w:sz w:val="19"/>
          <w:szCs w:val="19"/>
          <w:color w:val="0000FF"/>
        </w:rPr>
        <w:t xml:space="preserve"> </w:t>
      </w:r>
      <w:r>
        <w:rPr>
          <w:rFonts w:ascii="Arial" w:cs="Arial" w:eastAsia="Arial" w:hAnsi="Arial"/>
          <w:sz w:val="19"/>
          <w:szCs w:val="19"/>
          <w:color w:val="000000"/>
        </w:rPr>
        <w:t xml:space="preserve">(or, in the case of a Prepayment Event described in clause (b) of the definition of the term “Prepayment Event,” on the date of such Prepayment Event), prepay Term Borrowings in an aggregate amount equal to 100% of the amount of such Net Proceeds;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in the case of any event described in clause (a) of the definition of the term “Prepayment Event”, if the Borrower and its Restricted Subsidiaries invest (or commit with a Person that is not Holdings, an Intermediate Parent, the Borrower or a Subsidiary to invest) the Net Proceeds from such event (or a portion thereof) within 12 months after receipt of such Net Proceeds in the business of the Borrower and its Restricted Subsidiaries (including in any acquisitions permitted under Section 6.04 and in working capital or trading activities),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12-month period (or if committed to be so invested within such 12-month period, have not been so invested within 18 months after receipt thereof), at which time a prepayment shall be required in an amount equal to such Net Proceeds that have not been so invested (or committed to be invested);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further</w:t>
      </w:r>
      <w:r>
        <w:rPr>
          <w:rFonts w:ascii="Arial" w:cs="Arial" w:eastAsia="Arial" w:hAnsi="Arial"/>
          <w:sz w:val="19"/>
          <w:szCs w:val="19"/>
          <w:color w:val="000000"/>
        </w:rPr>
        <w:t xml:space="preserve">, that if the Escrow Assumption Date shall have occurred, the immediately preceding proviso shall not apply unless the Total Leverage Ratio at the time such Net Proceeds are received is less than or equal to 2.25 to 1.00 on a pro forma basis for such event. </w:t>
      </w:r>
      <w:r>
        <w:rPr>
          <w:rFonts w:ascii="Arial" w:cs="Arial" w:eastAsia="Arial" w:hAnsi="Arial"/>
          <w:sz w:val="19"/>
          <w:szCs w:val="19"/>
          <w:color w:val="0000FF"/>
        </w:rPr>
        <w:t>For the avoidance of doubt, no prepayment shall be required to be made from the Net Proceeds of any</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Prepayment Event consummated on or prior to the Amendment No. 1 Effective Date pursuant to this Section 2.09.</w:t>
      </w:r>
    </w:p>
    <w:p>
      <w:pPr>
        <w:spacing w:after="0" w:line="129" w:lineRule="exact"/>
        <w:rPr>
          <w:rFonts w:ascii="Arial" w:cs="Arial" w:eastAsia="Arial" w:hAnsi="Arial"/>
          <w:sz w:val="19"/>
          <w:szCs w:val="19"/>
          <w:color w:val="auto"/>
        </w:rPr>
      </w:pPr>
    </w:p>
    <w:p>
      <w:pPr>
        <w:jc w:val="both"/>
        <w:ind w:firstLine="644"/>
        <w:spacing w:after="0" w:line="243" w:lineRule="auto"/>
        <w:tabs>
          <w:tab w:leader="none" w:pos="97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Commencing with the first fiscal quarter of Holdings commencing after the earliest of (x) the Escrow Assumption Date, (y) January 31, 2018 and (z) the date of the termination of the Merger Agreement in accordance with its terms occurs, the Borrower shall prepay Term Borrowings in an aggregate amount equal to the ECF Percentage of Excess Cash Flow for such fiscal quarter;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amount shall be reduced by the aggregate amount of prepayments of Term Loans made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6087110</wp:posOffset>
            </wp:positionH>
            <wp:positionV relativeFrom="paragraph">
              <wp:posOffset>-3458845</wp:posOffset>
            </wp:positionV>
            <wp:extent cx="52070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3">
                      <a:extLst>
                        <a:ext uri="{28A0092B-C50C-407E-A947-70E740481C1C}"/>
                      </a:extLst>
                    </a:blip>
                    <a:srcRect/>
                    <a:stretch>
                      <a:fillRect/>
                    </a:stretch>
                  </pic:blipFill>
                  <pic:spPr bwMode="auto">
                    <a:xfrm>
                      <a:off x="0" y="0"/>
                      <a:ext cx="520700" cy="2540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-1039495</wp:posOffset>
            </wp:positionV>
            <wp:extent cx="577913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4">
                      <a:extLst>
                        <a:ext uri="{28A0092B-C50C-407E-A947-70E740481C1C}"/>
                      </a:extLst>
                    </a:blip>
                    <a:srcRect/>
                    <a:stretch>
                      <a:fillRect/>
                    </a:stretch>
                  </pic:blipFill>
                  <pic:spPr bwMode="auto">
                    <a:xfrm>
                      <a:off x="0" y="0"/>
                      <a:ext cx="5779135" cy="2540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46" w:name="page247"/>
    <w:bookmarkEnd w:id="246"/>
    <w:p>
      <w:pPr>
        <w:jc w:val="both"/>
        <w:spacing w:after="0" w:line="252" w:lineRule="auto"/>
        <w:rPr>
          <w:sz w:val="20"/>
          <w:szCs w:val="20"/>
          <w:color w:val="auto"/>
        </w:rPr>
      </w:pPr>
      <w:r>
        <w:rPr>
          <w:rFonts w:ascii="Arial" w:cs="Arial" w:eastAsia="Arial" w:hAnsi="Arial"/>
          <w:sz w:val="20"/>
          <w:szCs w:val="20"/>
          <w:color w:val="auto"/>
        </w:rPr>
        <w:t>Section 2.09(a)(i) during such period (excluding all such prepayments funded with the proceeds of other Indebtedness, the issuance of Equity Interests or receipt of capital contributions or the proceeds of any sale or other disposition of assets outside the ordinary course of business). Each prepayment pursuant to this paragraph shall be made on or before the date that is five days after the date on which financial statements are required to be delivered pursuant to Section 5.01(b) with respect to the fiscal quarter for which Excess Cash Flow is being calculated (or, in the case of any prepayment with respect to the fourth fiscal quarter of any fiscal year, the date that is five days after the date on which financial statements are required to be delivered pursuant to Section 5.01(a) with respect to the fiscal year of which such quarter is the fourth fiscal quarter). For the avoidance of doubt, the first such prepayment shall be with respect to the fiscal quarter of the Borrower during which the earliest of (x) the Escrow Assumption Date, (y) January 31, 2018 and (z) the date of the termination of the Merger Agreement in accordance with its terms occurs, and such prepayment shall be made on or before the date that is five days after the date on which financial statements are required to be delivered pursuant to Section 5.01(b) with respect to such period.</w:t>
      </w:r>
    </w:p>
    <w:p>
      <w:pPr>
        <w:spacing w:after="0" w:line="132" w:lineRule="exact"/>
        <w:rPr>
          <w:sz w:val="20"/>
          <w:szCs w:val="20"/>
          <w:color w:val="auto"/>
        </w:rPr>
      </w:pPr>
    </w:p>
    <w:p>
      <w:pPr>
        <w:jc w:val="both"/>
        <w:ind w:firstLine="644"/>
        <w:spacing w:after="0" w:line="265" w:lineRule="auto"/>
        <w:tabs>
          <w:tab w:leader="none" w:pos="95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Prior to any optional prepayment of Borrowings pursuant to Section 2.09(a)(i), the Borrower shall select the Borrowing or Borrowings to be prepaid and shall specify such selection in the notice of such prepayment pursuant to paragraph (e) of this Section. In the event of any mandatory prepayment of Term Borrowings made at a time when Term Borrowings of more than one Class remain outstanding, the Borrower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Term Lender (and, to the extent provided in the Refinancing Amendment for any Class of Other Term Loans, any Lender that holds Other Term Loans of such Class) may elect, by notice to the Administrative Agent by telephone (confirmed by facsimile) at least one Business Day prior to the prepayment date, to decline all or any portion of any prepayment of its Term Loans or Other Term Loans of any such Class pursuant to this Section (other than an optional prepayment pursuant to paragraph (a)(i) of this Section, which may not be declined), in which case the aggregate amount of the prepayment that would have been applied to prepay Term Loans or Other Term Loans of any such Class but was so declined shall be retained by the Borrower. Optional prepayments of Term Borrowings shall be allocated among the Classes of Term Borrowings as directed by the Borrower. In the absence of a designation by the Borrower as described in the preceding provisions of this paragraph of the Type of Borrowing of any Class, the Administrative Agent shall make such designation in its reasonable discretion with a view, but no obligation, to minimize breakage costs owing under Section 2.14.</w:t>
      </w:r>
    </w:p>
    <w:p>
      <w:pPr>
        <w:spacing w:after="0" w:line="131" w:lineRule="exact"/>
        <w:rPr>
          <w:rFonts w:ascii="Arial" w:cs="Arial" w:eastAsia="Arial" w:hAnsi="Arial"/>
          <w:sz w:val="19"/>
          <w:szCs w:val="19"/>
          <w:color w:val="auto"/>
        </w:rPr>
      </w:pPr>
    </w:p>
    <w:p>
      <w:pPr>
        <w:jc w:val="both"/>
        <w:ind w:firstLine="644"/>
        <w:spacing w:after="0" w:line="275" w:lineRule="auto"/>
        <w:tabs>
          <w:tab w:leader="none" w:pos="92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Borrower shall notify the Administrative Agent by telephone (confirmed by facsimile) of any prepayment hereunder (i) in the case of prepayment of a Eurodollar Borrowing, not later than 11:00 a.m., New York City time, three Business Days before the date of prepayment and (ii) in the case of prepayment of an ABR Borrowing, not later than 11:00 a.m., New York City time, one Business Day before the date of prepayment. Each such notice shall be irrevocable and shall specify the prepayment date and principal amount of each Borrowing or portion thereof to be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47" w:name="page248"/>
    <w:bookmarkEnd w:id="247"/>
    <w:p>
      <w:pPr>
        <w:jc w:val="both"/>
        <w:spacing w:after="0" w:line="267" w:lineRule="auto"/>
        <w:rPr>
          <w:sz w:val="20"/>
          <w:szCs w:val="20"/>
          <w:color w:val="auto"/>
        </w:rPr>
      </w:pPr>
      <w:r>
        <w:rPr>
          <w:rFonts w:ascii="Arial" w:cs="Arial" w:eastAsia="Arial" w:hAnsi="Arial"/>
          <w:sz w:val="19"/>
          <w:szCs w:val="19"/>
          <w:color w:val="auto"/>
        </w:rPr>
        <w:t xml:space="preserve">prepaid and, in the case of a mandatory prepayment, a reasonably detailed calculation of the amount of such prepayment;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notice of optional prepayment may state that such notice is conditional upon the effectiveness of other</w:t>
      </w:r>
      <w:r>
        <w:rPr>
          <w:rFonts w:ascii="Arial" w:cs="Arial" w:eastAsia="Arial" w:hAnsi="Arial"/>
          <w:sz w:val="19"/>
          <w:szCs w:val="19"/>
          <w:i w:val="1"/>
          <w:iCs w:val="1"/>
          <w:color w:val="auto"/>
        </w:rPr>
        <w:t xml:space="preserve"> </w:t>
      </w:r>
      <w:r>
        <w:rPr>
          <w:rFonts w:ascii="Arial" w:cs="Arial" w:eastAsia="Arial" w:hAnsi="Arial"/>
          <w:sz w:val="19"/>
          <w:szCs w:val="19"/>
          <w:color w:val="auto"/>
        </w:rPr>
        <w:t>credit facilities or the receipt of the proceeds from the issuance of other Indebtedness or the occurrence of some other identifiable event or condition, in which case such notice of prepayment may be revoked by the Borrower (by notice to the Administrative Agent on or prior to the specified date of prepayment) if such condition is not satisfied.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2.11.</w:t>
      </w:r>
    </w:p>
    <w:p>
      <w:pPr>
        <w:spacing w:after="0" w:line="123" w:lineRule="exact"/>
        <w:rPr>
          <w:sz w:val="20"/>
          <w:szCs w:val="20"/>
          <w:color w:val="auto"/>
        </w:rPr>
      </w:pPr>
    </w:p>
    <w:p>
      <w:pPr>
        <w:jc w:val="both"/>
        <w:ind w:firstLine="644"/>
        <w:spacing w:after="0" w:line="263" w:lineRule="auto"/>
        <w:tabs>
          <w:tab w:leader="none" w:pos="92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Notwithstanding any other provisions of Section 2.09(b) or (c), (A) to the extent that any of or all the Net Proceeds of any Prepayment Event by a Foreign Subsidiary giving rise to a prepayment pursuant to Section 2.09(b) (a “</w:t>
      </w:r>
      <w:r>
        <w:rPr>
          <w:rFonts w:ascii="Arial" w:cs="Arial" w:eastAsia="Arial" w:hAnsi="Arial"/>
          <w:sz w:val="19"/>
          <w:szCs w:val="19"/>
          <w:b w:val="1"/>
          <w:bCs w:val="1"/>
          <w:color w:val="auto"/>
        </w:rPr>
        <w:t>Foreign Prepayment Event</w:t>
      </w:r>
      <w:r>
        <w:rPr>
          <w:rFonts w:ascii="Arial" w:cs="Arial" w:eastAsia="Arial" w:hAnsi="Arial"/>
          <w:sz w:val="19"/>
          <w:szCs w:val="19"/>
          <w:color w:val="auto"/>
        </w:rPr>
        <w:t xml:space="preserve">”) or Excess Cash Flow attributable to a Foreign Subsidiary are prohibited or delayed by applicable local law from being repatriated to the Borrower, the portion of such Net Proceeds or Excess Cash Flow so affected will not be required to be applied to repay Term Loans at the times provided in Section 2.09(b) or (c), as the case may be, and such amounts may be retained by the applicable Foreign Subsidiary so long, but only so long, as the applicable local law will not permit repatriation to the Borrower (Borrower hereby agreeing to cause the applicable Foreign Subsidiary to promptly take all actions reasonably required by the applicable local law to permit such repatriation), and once such repatriation of any of such affected Net Proceeds or Excess Cash Flow is permitted under the applicable local law, such repatriation will be promptly effected and such repatriated Net Proceeds or Excess Cash Flow will be promptly (and in any event not later than three Business Days after such repatriation) applied (net of additional taxes payable or reserved against as a result thereof) to the repayment of the Term Loans pursuant to Section 2.09(b) or (c), as applicable, and (B) to the extent that the Borrower has determined in good faith that repatriation of any of or all the Net Proceeds of any Foreign Prepayment Event or Foreign Subsidiary Excess Cash Flow would have a material adverse tax consequence (taking into account any foreign tax credit or benefit actually realized in connection with such repatriation) with respect to such Net Proceeds or Excess Cash Flow, the Net Proceeds or Excess Cash Flow so affected may be retained by the applicable Foreign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this clause (B), on or before the date that is eighteen months after the date that such Net Proceeds are received (or, in the case of Excess Cash Flow, a date on or before the date that is eighteen months after the date such Excess Cash Flow would have so required to be applied to prepayments pursuant to Section 2.09(c) unless previously repatriated in which case such repatriated Excess Cash Flow shall have been promptly applied to the repayment of the Term Loans pursuant to Section 2.09(c)), (x) the Borrower applies an amount equal to such Net Proceeds or Excess Cash Flow to such reinvestments or prepayments as if such Net Proceeds or Excess Cash Flow had been received by the Borrower rather than such Foreign Subsidiary, less the amount of additional taxes that would have been payable or reserved against if such Net Proceeds or Excess Cash Flow had been repatriated (or, if less, the Net Proceeds or Excess Cash Flow that would be calculated if received by such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248" w:name="page249"/>
    <w:bookmarkEnd w:id="248"/>
    <w:p>
      <w:pPr>
        <w:spacing w:after="0" w:line="263" w:lineRule="auto"/>
        <w:rPr>
          <w:sz w:val="20"/>
          <w:szCs w:val="20"/>
          <w:color w:val="auto"/>
        </w:rPr>
      </w:pPr>
      <w:r>
        <w:rPr>
          <w:rFonts w:ascii="Arial" w:cs="Arial" w:eastAsia="Arial" w:hAnsi="Arial"/>
          <w:sz w:val="21"/>
          <w:szCs w:val="21"/>
          <w:color w:val="auto"/>
        </w:rPr>
        <w:t>Foreign Subsidiary) or (y) such Net Proceeds or Excess Cash Flow shall be applied to the repayment of Indebtedness of a Foreign Subsidiary.</w:t>
      </w:r>
    </w:p>
    <w:p>
      <w:pPr>
        <w:spacing w:after="0" w:line="132" w:lineRule="exact"/>
        <w:rPr>
          <w:sz w:val="20"/>
          <w:szCs w:val="20"/>
          <w:color w:val="auto"/>
        </w:rPr>
      </w:pPr>
    </w:p>
    <w:p>
      <w:pPr>
        <w:jc w:val="both"/>
        <w:ind w:firstLine="644"/>
        <w:spacing w:after="0" w:line="245" w:lineRule="auto"/>
        <w:tabs>
          <w:tab w:leader="none" w:pos="98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 the event and on each occasion that the aggregate Revolving Exposures exceed the Total Revolving Commitments, the Borrower shall prepay Revolving Borrowings (or, if no such Borrowings are outstanding, deposit cash collateral in an account with the Administrative Agent pursuant to Section 2.22) in an aggregate amount necessary to eliminate such excess.</w:t>
      </w:r>
    </w:p>
    <w:p>
      <w:pPr>
        <w:spacing w:after="0" w:line="138" w:lineRule="exact"/>
        <w:rPr>
          <w:rFonts w:ascii="Arial" w:cs="Arial" w:eastAsia="Arial" w:hAnsi="Arial"/>
          <w:sz w:val="21"/>
          <w:szCs w:val="21"/>
          <w:color w:val="auto"/>
        </w:rPr>
      </w:pPr>
    </w:p>
    <w:p>
      <w:pPr>
        <w:jc w:val="both"/>
        <w:ind w:firstLine="644"/>
        <w:spacing w:after="0" w:line="242" w:lineRule="auto"/>
        <w:tabs>
          <w:tab w:leader="none" w:pos="935" w:val="left"/>
        </w:tabs>
        <w:numPr>
          <w:ilvl w:val="0"/>
          <w:numId w:val="120"/>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Additionally, notwithstanding anything else in this Agreement to the contrary, in the event that any Term Loan of any Lender would otherwise be repaid or prepaid from the proceeds of other Term Loans being funded on the date of such repayment or prepayment, if agreed to by the Borrower and such Lender and notified to the Administrative Agent prior to the date of the applicable repayment or prepayment, all or any portion of such Lender’s Term Loan that would have otherwise been repaid or prepaid in connection therewith may be converted on a “cashless roll” basis into a new Term Loan.</w:t>
      </w:r>
    </w:p>
    <w:p>
      <w:pPr>
        <w:spacing w:after="0" w:line="140" w:lineRule="exact"/>
        <w:rPr>
          <w:sz w:val="20"/>
          <w:szCs w:val="20"/>
          <w:color w:val="auto"/>
        </w:rPr>
      </w:pPr>
    </w:p>
    <w:p>
      <w:pPr>
        <w:ind w:right="20" w:firstLine="635"/>
        <w:spacing w:after="0" w:line="316"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i w:val="1"/>
          <w:iCs w:val="1"/>
          <w:color w:val="auto"/>
        </w:rPr>
        <w:t>Fees</w:t>
      </w:r>
      <w:r>
        <w:rPr>
          <w:rFonts w:ascii="Arial" w:cs="Arial" w:eastAsia="Arial" w:hAnsi="Arial"/>
          <w:sz w:val="19"/>
          <w:szCs w:val="19"/>
          <w:color w:val="auto"/>
        </w:rPr>
        <w:t>. (a) The Borrower agrees to pay to each Administrative Agent, for its own account, fees payable in the amounts and at the times separately agreed upon between the Borrower and such Administrative Agent.</w:t>
      </w:r>
    </w:p>
    <w:p>
      <w:pPr>
        <w:spacing w:after="0" w:line="86" w:lineRule="exact"/>
        <w:rPr>
          <w:sz w:val="20"/>
          <w:szCs w:val="20"/>
          <w:color w:val="auto"/>
        </w:rPr>
      </w:pPr>
    </w:p>
    <w:p>
      <w:pPr>
        <w:ind w:left="940" w:hanging="296"/>
        <w:spacing w:after="0"/>
        <w:tabs>
          <w:tab w:leader="none" w:pos="94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[Reserved.]</w:t>
      </w:r>
    </w:p>
    <w:p>
      <w:pPr>
        <w:spacing w:after="0" w:line="168" w:lineRule="exact"/>
        <w:rPr>
          <w:rFonts w:ascii="Arial" w:cs="Arial" w:eastAsia="Arial" w:hAnsi="Arial"/>
          <w:sz w:val="21"/>
          <w:szCs w:val="21"/>
          <w:color w:val="auto"/>
        </w:rPr>
      </w:pPr>
    </w:p>
    <w:p>
      <w:pPr>
        <w:jc w:val="both"/>
        <w:ind w:firstLine="644"/>
        <w:spacing w:after="0" w:line="239" w:lineRule="auto"/>
        <w:tabs>
          <w:tab w:leader="none" w:pos="97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Borrower agrees to pay to the Administrative Agent for the account of each Revolving Lender a commitment fee, which shall accrue at the rate of 0.50% per annum on the average daily unused amount of the Revolving Commitment of such Lender during the period from and including the Revolving Availability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Revolving Availability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w:t>
      </w:r>
    </w:p>
    <w:p>
      <w:pPr>
        <w:spacing w:after="0" w:line="148" w:lineRule="exact"/>
        <w:rPr>
          <w:rFonts w:ascii="Arial" w:cs="Arial" w:eastAsia="Arial" w:hAnsi="Arial"/>
          <w:sz w:val="21"/>
          <w:szCs w:val="21"/>
          <w:color w:val="auto"/>
        </w:rPr>
      </w:pPr>
    </w:p>
    <w:p>
      <w:pPr>
        <w:jc w:val="both"/>
        <w:ind w:firstLine="644"/>
        <w:spacing w:after="0" w:line="269" w:lineRule="auto"/>
        <w:tabs>
          <w:tab w:leader="none" w:pos="94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Borrower agrees to pay (i) to the Administrative Agent for the account of each Revolving Lender (other than any Defaulting Lender) a participation fee with respect to its participations in Letters of Credit, which shall accrue at the Applicable Rate used to determine the interest rate applicable to Eurodollar Revolving Loans on the daily amount of such Lender's LC Exposure (excluding any portion thereof attributable to unreimbursed LC Disbursements) during the period from and including the Revolving Availability Date to and including the later of the date on which such Lender's Revolving Commitment terminates and the date on which such Lender ceases to have any LC Exposure and (ii) to each Issuing Bank a fronting fee, which shall accrue at the rate of 0.25% per annum on the daily amount of the LC Exposure attributable to Letters of Credit issued by such Issuing Bank (excluding any portion thereof attributable 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49" w:name="page250"/>
    <w:bookmarkEnd w:id="249"/>
    <w:p>
      <w:pPr>
        <w:jc w:val="both"/>
        <w:spacing w:after="0" w:line="252" w:lineRule="auto"/>
        <w:rPr>
          <w:sz w:val="20"/>
          <w:szCs w:val="20"/>
          <w:color w:val="auto"/>
        </w:rPr>
      </w:pPr>
      <w:r>
        <w:rPr>
          <w:rFonts w:ascii="Arial" w:cs="Arial" w:eastAsia="Arial" w:hAnsi="Arial"/>
          <w:sz w:val="20"/>
          <w:szCs w:val="20"/>
          <w:color w:val="auto"/>
        </w:rPr>
        <w:t xml:space="preserve">unreimbursed LC Disbursements) during the period from and including the Revolving Availability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Revolving Availability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48" w:lineRule="exact"/>
        <w:rPr>
          <w:sz w:val="20"/>
          <w:szCs w:val="20"/>
          <w:color w:val="auto"/>
        </w:rPr>
      </w:pPr>
    </w:p>
    <w:p>
      <w:pPr>
        <w:ind w:firstLine="644"/>
        <w:spacing w:after="0" w:line="263" w:lineRule="auto"/>
        <w:tabs>
          <w:tab w:leader="none" w:pos="95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Notwithstanding the foregoing, and subject to Section 2.21, the Borrower shall not be obligated to pay any amounts to any Defaulting Lender pursuant to this Section 2.10.</w:t>
      </w:r>
    </w:p>
    <w:p>
      <w:pPr>
        <w:spacing w:after="0" w:line="119" w:lineRule="exact"/>
        <w:rPr>
          <w:sz w:val="20"/>
          <w:szCs w:val="20"/>
          <w:color w:val="auto"/>
        </w:rPr>
      </w:pPr>
    </w:p>
    <w:p>
      <w:pPr>
        <w:ind w:firstLine="635"/>
        <w:spacing w:after="0" w:line="263"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i w:val="1"/>
          <w:iCs w:val="1"/>
          <w:color w:val="auto"/>
        </w:rPr>
        <w:t>Interest</w:t>
      </w:r>
      <w:r>
        <w:rPr>
          <w:rFonts w:ascii="Arial" w:cs="Arial" w:eastAsia="Arial" w:hAnsi="Arial"/>
          <w:sz w:val="21"/>
          <w:szCs w:val="21"/>
          <w:color w:val="auto"/>
        </w:rPr>
        <w:t>. (a) The Loans comprising each ABR Borrowing shall bear interest at the Alternate Base Rate plus the Applicable Rate.</w:t>
      </w:r>
    </w:p>
    <w:p>
      <w:pPr>
        <w:spacing w:after="0" w:line="119" w:lineRule="exact"/>
        <w:rPr>
          <w:sz w:val="20"/>
          <w:szCs w:val="20"/>
          <w:color w:val="auto"/>
        </w:rPr>
      </w:pPr>
    </w:p>
    <w:p>
      <w:pPr>
        <w:ind w:right="20" w:firstLine="644"/>
        <w:spacing w:after="0" w:line="263" w:lineRule="auto"/>
        <w:tabs>
          <w:tab w:leader="none" w:pos="93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Loans comprising each Eurodollar Borrowing shall bear interest at the Adjusted LIBO Rate for the Interest Period in effect for such Borrowing plus the Applicable Rate.</w:t>
      </w:r>
    </w:p>
    <w:p>
      <w:pPr>
        <w:spacing w:after="0" w:line="132" w:lineRule="exact"/>
        <w:rPr>
          <w:rFonts w:ascii="Arial" w:cs="Arial" w:eastAsia="Arial" w:hAnsi="Arial"/>
          <w:sz w:val="21"/>
          <w:szCs w:val="21"/>
          <w:color w:val="auto"/>
        </w:rPr>
      </w:pPr>
    </w:p>
    <w:p>
      <w:pPr>
        <w:jc w:val="both"/>
        <w:ind w:firstLine="644"/>
        <w:spacing w:after="0" w:line="268" w:lineRule="auto"/>
        <w:tabs>
          <w:tab w:leader="none" w:pos="93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Section or (ii) in the case of any other amount, 2.00% per annum plus the rate applicable to ABR Term Loans as provided in paragraph (a) of this Section;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amount shall be payable pursuant to this Section 2.11(c) to a Defaulting Lender so long as such Lender shall be a Defaulting Lender;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no amounts shall accrue pursuant to this Section 2.11(c) on any overdue amount, reimbursement obligation in respect of any LC Disbursement or other amount payable to a Defaulting Lender so long as such Lender shall be a Defaulting Lender.</w:t>
      </w:r>
    </w:p>
    <w:p>
      <w:pPr>
        <w:spacing w:after="0" w:line="119" w:lineRule="exact"/>
        <w:rPr>
          <w:rFonts w:ascii="Arial" w:cs="Arial" w:eastAsia="Arial" w:hAnsi="Arial"/>
          <w:sz w:val="19"/>
          <w:szCs w:val="19"/>
          <w:color w:val="auto"/>
        </w:rPr>
      </w:pPr>
    </w:p>
    <w:p>
      <w:pPr>
        <w:jc w:val="both"/>
        <w:ind w:firstLine="644"/>
        <w:spacing w:after="0" w:line="256" w:lineRule="auto"/>
        <w:tabs>
          <w:tab w:leader="none" w:pos="93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Eurodollar Loan prior to the end of the current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0" w:name="page251"/>
    <w:bookmarkEnd w:id="250"/>
    <w:p>
      <w:pPr>
        <w:spacing w:after="0"/>
        <w:rPr>
          <w:sz w:val="20"/>
          <w:szCs w:val="20"/>
          <w:color w:val="auto"/>
        </w:rPr>
      </w:pPr>
      <w:r>
        <w:rPr>
          <w:rFonts w:ascii="Arial" w:cs="Arial" w:eastAsia="Arial" w:hAnsi="Arial"/>
          <w:sz w:val="20"/>
          <w:szCs w:val="20"/>
          <w:color w:val="auto"/>
        </w:rPr>
        <w:t>Interest Period therefor, accrued interest on such Loan shall be payable on the effective date of such conversion.</w:t>
      </w:r>
    </w:p>
    <w:p>
      <w:pPr>
        <w:spacing w:after="0" w:line="193" w:lineRule="exact"/>
        <w:rPr>
          <w:sz w:val="20"/>
          <w:szCs w:val="20"/>
          <w:color w:val="auto"/>
        </w:rPr>
      </w:pPr>
    </w:p>
    <w:p>
      <w:pPr>
        <w:jc w:val="both"/>
        <w:ind w:firstLine="644"/>
        <w:spacing w:after="0" w:line="243" w:lineRule="auto"/>
        <w:tabs>
          <w:tab w:leader="none" w:pos="927"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All interest hereunder shall be computed on the basis of a year of 360 days, except that interest computed by reference to the Alternate Base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i w:val="1"/>
          <w:iCs w:val="1"/>
          <w:color w:val="auto"/>
        </w:rPr>
        <w:t>Alternate Rate of Interest.</w:t>
      </w:r>
      <w:r>
        <w:rPr>
          <w:rFonts w:ascii="Arial" w:cs="Arial" w:eastAsia="Arial" w:hAnsi="Arial"/>
          <w:sz w:val="20"/>
          <w:szCs w:val="20"/>
          <w:color w:val="auto"/>
        </w:rPr>
        <w:t xml:space="preserve"> </w:t>
      </w:r>
      <w:r>
        <w:rPr>
          <w:rFonts w:ascii="Arial" w:cs="Arial" w:eastAsia="Arial" w:hAnsi="Arial"/>
          <w:sz w:val="20"/>
          <w:szCs w:val="20"/>
          <w:color w:val="0000FF"/>
        </w:rPr>
        <w:t>(a)</w:t>
      </w:r>
      <w:r>
        <w:rPr>
          <w:rFonts w:ascii="Arial" w:cs="Arial" w:eastAsia="Arial" w:hAnsi="Arial"/>
          <w:sz w:val="20"/>
          <w:szCs w:val="20"/>
          <w:color w:val="auto"/>
        </w:rPr>
        <w:t xml:space="preserve"> If </w:t>
      </w:r>
      <w:r>
        <w:rPr>
          <w:rFonts w:ascii="Arial" w:cs="Arial" w:eastAsia="Arial" w:hAnsi="Arial"/>
          <w:sz w:val="20"/>
          <w:szCs w:val="20"/>
          <w:color w:val="FF0000"/>
          <w:strike w:val="1"/>
        </w:rPr>
        <w:t>at least two Business Days</w:t>
      </w:r>
      <w:r>
        <w:rPr>
          <w:rFonts w:ascii="Arial" w:cs="Arial" w:eastAsia="Arial" w:hAnsi="Arial"/>
          <w:sz w:val="20"/>
          <w:szCs w:val="20"/>
          <w:color w:val="auto"/>
        </w:rPr>
        <w:t xml:space="preserve"> prior to the commencement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10160</wp:posOffset>
            </wp:positionV>
            <wp:extent cx="19304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0">
                      <a:extLst>
                        <a:ext uri="{28A0092B-C50C-407E-A947-70E740481C1C}"/>
                      </a:extLst>
                    </a:blip>
                    <a:srcRect/>
                    <a:stretch>
                      <a:fillRect/>
                    </a:stretch>
                  </pic:blipFill>
                  <pic:spPr bwMode="auto">
                    <a:xfrm>
                      <a:off x="0" y="0"/>
                      <a:ext cx="193040" cy="2540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Interest Period for a Eurodollar Borrowing:</w:t>
      </w:r>
    </w:p>
    <w:p>
      <w:pPr>
        <w:spacing w:after="0" w:line="151" w:lineRule="exact"/>
        <w:rPr>
          <w:sz w:val="20"/>
          <w:szCs w:val="20"/>
          <w:color w:val="auto"/>
        </w:rPr>
      </w:pPr>
    </w:p>
    <w:p>
      <w:pPr>
        <w:jc w:val="both"/>
        <w:ind w:left="640" w:firstLine="766"/>
        <w:spacing w:after="0" w:line="245" w:lineRule="auto"/>
        <w:tabs>
          <w:tab w:leader="none" w:pos="1681" w:val="left"/>
        </w:tabs>
        <w:numPr>
          <w:ilvl w:val="0"/>
          <w:numId w:val="125"/>
        </w:numPr>
        <w:rPr>
          <w:rFonts w:ascii="Arial" w:cs="Arial" w:eastAsia="Arial" w:hAnsi="Arial"/>
          <w:sz w:val="21"/>
          <w:szCs w:val="21"/>
          <w:u w:val="single" w:color="auto"/>
          <w:color w:val="0000FF"/>
        </w:rPr>
      </w:pPr>
      <w:r>
        <w:rPr>
          <w:rFonts w:ascii="Arial" w:cs="Arial" w:eastAsia="Arial" w:hAnsi="Arial"/>
          <w:sz w:val="21"/>
          <w:szCs w:val="21"/>
          <w:color w:val="FF0000"/>
          <w:strike w:val="1"/>
        </w:rPr>
        <w:t>(a)</w:t>
      </w:r>
      <w:r>
        <w:rPr>
          <w:rFonts w:ascii="Arial" w:cs="Arial" w:eastAsia="Arial" w:hAnsi="Arial"/>
          <w:sz w:val="21"/>
          <w:szCs w:val="21"/>
          <w:color w:val="FF0000"/>
        </w:rPr>
        <w:t xml:space="preserve"> </w:t>
      </w:r>
      <w:r>
        <w:rPr>
          <w:rFonts w:ascii="Arial" w:cs="Arial" w:eastAsia="Arial" w:hAnsi="Arial"/>
          <w:sz w:val="21"/>
          <w:szCs w:val="21"/>
          <w:color w:val="000000"/>
        </w:rPr>
        <w:t>the Administrative Agent determines (which determination shall be conclusive absent manifest</w:t>
      </w:r>
      <w:r>
        <w:rPr>
          <w:rFonts w:ascii="Arial" w:cs="Arial" w:eastAsia="Arial" w:hAnsi="Arial"/>
          <w:sz w:val="21"/>
          <w:szCs w:val="21"/>
          <w:color w:val="FF0000"/>
        </w:rPr>
        <w:t xml:space="preserve"> </w:t>
      </w:r>
      <w:r>
        <w:rPr>
          <w:rFonts w:ascii="Arial" w:cs="Arial" w:eastAsia="Arial" w:hAnsi="Arial"/>
          <w:sz w:val="21"/>
          <w:szCs w:val="21"/>
          <w:color w:val="000000"/>
        </w:rPr>
        <w:t xml:space="preserve">error) that adequate and reasonable means do not exist for ascertaining the Adjusted LIBO Rate </w:t>
      </w:r>
      <w:r>
        <w:rPr>
          <w:rFonts w:ascii="Arial" w:cs="Arial" w:eastAsia="Arial" w:hAnsi="Arial"/>
          <w:sz w:val="21"/>
          <w:szCs w:val="21"/>
          <w:color w:val="0000FF"/>
        </w:rPr>
        <w:t>or the LIBO Rate,</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as applicable (including, without limitation, because the LIBO Screen Rate is not available or published on a current basis)</w:t>
      </w:r>
      <w:r>
        <w:rPr>
          <w:rFonts w:ascii="Arial" w:cs="Arial" w:eastAsia="Arial" w:hAnsi="Arial"/>
          <w:sz w:val="21"/>
          <w:szCs w:val="21"/>
          <w:color w:val="0000FF"/>
        </w:rPr>
        <w:t xml:space="preserve"> </w:t>
      </w:r>
      <w:r>
        <w:rPr>
          <w:rFonts w:ascii="Arial" w:cs="Arial" w:eastAsia="Arial" w:hAnsi="Arial"/>
          <w:sz w:val="21"/>
          <w:szCs w:val="21"/>
          <w:color w:val="000000"/>
        </w:rPr>
        <w:t>for such Interest Period; or</w:t>
      </w:r>
    </w:p>
    <w:p>
      <w:pPr>
        <w:spacing w:after="0" w:line="151" w:lineRule="exact"/>
        <w:rPr>
          <w:rFonts w:ascii="Arial" w:cs="Arial" w:eastAsia="Arial" w:hAnsi="Arial"/>
          <w:sz w:val="21"/>
          <w:szCs w:val="21"/>
          <w:u w:val="single" w:color="auto"/>
          <w:color w:val="0000FF"/>
        </w:rPr>
      </w:pPr>
    </w:p>
    <w:p>
      <w:pPr>
        <w:jc w:val="both"/>
        <w:ind w:left="640" w:firstLine="766"/>
        <w:spacing w:after="0" w:line="250" w:lineRule="auto"/>
        <w:tabs>
          <w:tab w:leader="none" w:pos="1713" w:val="left"/>
        </w:tabs>
        <w:numPr>
          <w:ilvl w:val="0"/>
          <w:numId w:val="125"/>
        </w:numPr>
        <w:rPr>
          <w:rFonts w:ascii="Arial" w:cs="Arial" w:eastAsia="Arial" w:hAnsi="Arial"/>
          <w:sz w:val="21"/>
          <w:szCs w:val="21"/>
          <w:u w:val="single" w:color="auto"/>
          <w:color w:val="0000FF"/>
        </w:rPr>
      </w:pPr>
      <w:r>
        <w:rPr>
          <w:rFonts w:ascii="Arial" w:cs="Arial" w:eastAsia="Arial" w:hAnsi="Arial"/>
          <w:sz w:val="21"/>
          <w:szCs w:val="21"/>
          <w:color w:val="FF0000"/>
          <w:strike w:val="1"/>
        </w:rPr>
        <w:t>(b)</w:t>
      </w:r>
      <w:r>
        <w:rPr>
          <w:rFonts w:ascii="Arial" w:cs="Arial" w:eastAsia="Arial" w:hAnsi="Arial"/>
          <w:sz w:val="21"/>
          <w:szCs w:val="21"/>
          <w:color w:val="FF0000"/>
        </w:rPr>
        <w:t xml:space="preserve"> </w:t>
      </w:r>
      <w:r>
        <w:rPr>
          <w:rFonts w:ascii="Arial" w:cs="Arial" w:eastAsia="Arial" w:hAnsi="Arial"/>
          <w:sz w:val="21"/>
          <w:szCs w:val="21"/>
          <w:color w:val="000000"/>
        </w:rPr>
        <w:t>the Administrative Agent is advised by the Required Lenders that the Adjusted LIBO Rate</w:t>
      </w:r>
      <w:r>
        <w:rPr>
          <w:rFonts w:ascii="Arial" w:cs="Arial" w:eastAsia="Arial" w:hAnsi="Arial"/>
          <w:sz w:val="21"/>
          <w:szCs w:val="21"/>
          <w:color w:val="FF0000"/>
        </w:rPr>
        <w:t xml:space="preserve"> </w:t>
      </w:r>
      <w:r>
        <w:rPr>
          <w:rFonts w:ascii="Arial" w:cs="Arial" w:eastAsia="Arial" w:hAnsi="Arial"/>
          <w:sz w:val="21"/>
          <w:szCs w:val="21"/>
          <w:color w:val="0000FF"/>
        </w:rPr>
        <w:t>or the</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LIBO Rate, as applicable,</w:t>
      </w:r>
      <w:r>
        <w:rPr>
          <w:rFonts w:ascii="Arial" w:cs="Arial" w:eastAsia="Arial" w:hAnsi="Arial"/>
          <w:sz w:val="21"/>
          <w:szCs w:val="21"/>
          <w:color w:val="0000FF"/>
        </w:rPr>
        <w:t xml:space="preserve"> </w:t>
      </w:r>
      <w:r>
        <w:rPr>
          <w:rFonts w:ascii="Arial" w:cs="Arial" w:eastAsia="Arial" w:hAnsi="Arial"/>
          <w:sz w:val="21"/>
          <w:szCs w:val="21"/>
          <w:color w:val="000000"/>
        </w:rPr>
        <w:t>for such Interest Period will not adequately and fairly reflect the cost to such Lenders of</w:t>
      </w:r>
      <w:r>
        <w:rPr>
          <w:rFonts w:ascii="Arial" w:cs="Arial" w:eastAsia="Arial" w:hAnsi="Arial"/>
          <w:sz w:val="21"/>
          <w:szCs w:val="21"/>
          <w:color w:val="0000FF"/>
        </w:rPr>
        <w:t xml:space="preserve"> </w:t>
      </w:r>
      <w:r>
        <w:rPr>
          <w:rFonts w:ascii="Arial" w:cs="Arial" w:eastAsia="Arial" w:hAnsi="Arial"/>
          <w:sz w:val="21"/>
          <w:szCs w:val="21"/>
          <w:color w:val="000000"/>
        </w:rPr>
        <w:t>making or maintaining their Loans included in such Borrowing for such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5591810</wp:posOffset>
            </wp:positionH>
            <wp:positionV relativeFrom="paragraph">
              <wp:posOffset>-893445</wp:posOffset>
            </wp:positionV>
            <wp:extent cx="1024890"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1">
                      <a:extLst>
                        <a:ext uri="{28A0092B-C50C-407E-A947-70E740481C1C}"/>
                      </a:extLst>
                    </a:blip>
                    <a:srcRect/>
                    <a:stretch>
                      <a:fillRect/>
                    </a:stretch>
                  </pic:blipFill>
                  <pic:spPr bwMode="auto">
                    <a:xfrm>
                      <a:off x="0" y="0"/>
                      <a:ext cx="1024890" cy="2540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-330835</wp:posOffset>
            </wp:positionV>
            <wp:extent cx="3613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2">
                      <a:extLst>
                        <a:ext uri="{28A0092B-C50C-407E-A947-70E740481C1C}"/>
                      </a:extLst>
                    </a:blip>
                    <a:srcRect/>
                    <a:stretch>
                      <a:fillRect/>
                    </a:stretch>
                  </pic:blipFill>
                  <pic:spPr bwMode="auto">
                    <a:xfrm>
                      <a:off x="0" y="0"/>
                      <a:ext cx="361315" cy="25400"/>
                    </a:xfrm>
                    <a:prstGeom prst="rect">
                      <a:avLst/>
                    </a:prstGeom>
                    <a:noFill/>
                  </pic:spPr>
                </pic:pic>
              </a:graphicData>
            </a:graphic>
          </wp:anchor>
        </w:drawing>
      </w:r>
    </w:p>
    <w:p>
      <w:pPr>
        <w:spacing w:after="0" w:line="112" w:lineRule="exact"/>
        <w:rPr>
          <w:sz w:val="20"/>
          <w:szCs w:val="20"/>
          <w:color w:val="auto"/>
        </w:rPr>
      </w:pPr>
    </w:p>
    <w:p>
      <w:pPr>
        <w:jc w:val="both"/>
        <w:spacing w:after="0" w:line="241" w:lineRule="auto"/>
        <w:rPr>
          <w:sz w:val="20"/>
          <w:szCs w:val="20"/>
          <w:color w:val="auto"/>
        </w:rPr>
      </w:pPr>
      <w:r>
        <w:rPr>
          <w:rFonts w:ascii="Arial" w:cs="Arial" w:eastAsia="Arial" w:hAnsi="Arial"/>
          <w:sz w:val="21"/>
          <w:szCs w:val="21"/>
          <w:u w:val="single" w:color="auto"/>
          <w:color w:val="0000FF"/>
        </w:rPr>
        <w:t>then</w:t>
      </w:r>
      <w:r>
        <w:rPr>
          <w:rFonts w:ascii="Arial" w:cs="Arial" w:eastAsia="Arial" w:hAnsi="Arial"/>
          <w:sz w:val="21"/>
          <w:szCs w:val="21"/>
          <w:color w:val="0000FF"/>
        </w:rPr>
        <w:t xml:space="preserve"> </w:t>
      </w:r>
      <w:r>
        <w:rPr>
          <w:rFonts w:ascii="Arial" w:cs="Arial" w:eastAsia="Arial" w:hAnsi="Arial"/>
          <w:sz w:val="21"/>
          <w:szCs w:val="21"/>
          <w:color w:val="000000"/>
        </w:rPr>
        <w:t>the Administrative Agent shall give notice thereof to the Borrower and the Lenders by telephone or facsimile as</w:t>
      </w:r>
      <w:r>
        <w:rPr>
          <w:rFonts w:ascii="Arial" w:cs="Arial" w:eastAsia="Arial" w:hAnsi="Arial"/>
          <w:sz w:val="21"/>
          <w:szCs w:val="21"/>
          <w:color w:val="0000FF"/>
        </w:rPr>
        <w:t xml:space="preserve"> </w:t>
      </w:r>
      <w:r>
        <w:rPr>
          <w:rFonts w:ascii="Arial" w:cs="Arial" w:eastAsia="Arial" w:hAnsi="Arial"/>
          <w:sz w:val="21"/>
          <w:szCs w:val="21"/>
          <w:color w:val="000000"/>
        </w:rPr>
        <w:t xml:space="preserve">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(ii) if any Borrowing Request requests a Eurodollar Borrowing, then such Borrowing shall be made as an ABR Borrowing; </w:t>
      </w:r>
      <w:r>
        <w:rPr>
          <w:rFonts w:ascii="Arial" w:cs="Arial" w:eastAsia="Arial" w:hAnsi="Arial"/>
          <w:sz w:val="21"/>
          <w:szCs w:val="21"/>
          <w:i w:val="1"/>
          <w:iCs w:val="1"/>
          <w:color w:val="000000"/>
        </w:rPr>
        <w:t>provided</w:t>
      </w:r>
      <w:r>
        <w:rPr>
          <w:rFonts w:ascii="Arial" w:cs="Arial" w:eastAsia="Arial" w:hAnsi="Arial"/>
          <w:sz w:val="21"/>
          <w:szCs w:val="21"/>
          <w:color w:val="000000"/>
        </w:rPr>
        <w:t>,</w:t>
      </w:r>
      <w:r>
        <w:rPr>
          <w:rFonts w:ascii="Arial" w:cs="Arial" w:eastAsia="Arial" w:hAnsi="Arial"/>
          <w:sz w:val="21"/>
          <w:szCs w:val="21"/>
          <w:i w:val="1"/>
          <w:iCs w:val="1"/>
          <w:color w:val="000000"/>
        </w:rPr>
        <w:t xml:space="preserve"> however</w:t>
      </w:r>
      <w:r>
        <w:rPr>
          <w:rFonts w:ascii="Arial" w:cs="Arial" w:eastAsia="Arial" w:hAnsi="Arial"/>
          <w:sz w:val="21"/>
          <w:szCs w:val="21"/>
          <w:color w:val="000000"/>
        </w:rPr>
        <w:t>, that, in each case, the Borrower may revoke any Borrowing Request that is pending when such notice</w:t>
      </w:r>
      <w:r>
        <w:rPr>
          <w:rFonts w:ascii="Arial" w:cs="Arial" w:eastAsia="Arial" w:hAnsi="Arial"/>
          <w:sz w:val="21"/>
          <w:szCs w:val="21"/>
          <w:i w:val="1"/>
          <w:iCs w:val="1"/>
          <w:color w:val="000000"/>
        </w:rPr>
        <w:t xml:space="preserve"> </w:t>
      </w:r>
      <w:r>
        <w:rPr>
          <w:rFonts w:ascii="Arial" w:cs="Arial" w:eastAsia="Arial" w:hAnsi="Arial"/>
          <w:sz w:val="21"/>
          <w:szCs w:val="21"/>
          <w:color w:val="000000"/>
        </w:rPr>
        <w:t>is received.</w:t>
      </w:r>
    </w:p>
    <w:p>
      <w:pPr>
        <w:spacing w:after="0" w:line="141" w:lineRule="exact"/>
        <w:rPr>
          <w:sz w:val="20"/>
          <w:szCs w:val="20"/>
          <w:color w:val="auto"/>
        </w:rPr>
      </w:pPr>
    </w:p>
    <w:p>
      <w:pPr>
        <w:jc w:val="both"/>
        <w:ind w:firstLine="644"/>
        <w:spacing w:after="0" w:line="267" w:lineRule="auto"/>
        <w:tabs>
          <w:tab w:leader="none" w:pos="948" w:val="left"/>
        </w:tabs>
        <w:numPr>
          <w:ilvl w:val="0"/>
          <w:numId w:val="12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1" w:name="page252"/>
    <w:bookmarkEnd w:id="251"/>
    <w:p>
      <w:pPr>
        <w:jc w:val="both"/>
        <w:spacing w:after="0" w:line="267" w:lineRule="auto"/>
        <w:rPr>
          <w:sz w:val="20"/>
          <w:szCs w:val="20"/>
          <w:color w:val="auto"/>
        </w:rPr>
      </w:pPr>
      <w:r>
        <w:rPr>
          <w:rFonts w:ascii="Arial" w:cs="Arial" w:eastAsia="Arial" w:hAnsi="Arial"/>
          <w:sz w:val="19"/>
          <w:szCs w:val="19"/>
          <w:u w:val="single" w:color="auto"/>
          <w:color w:val="0000FF"/>
        </w:rPr>
        <w:t>9.02, such amendment shall become effective without any further action or consent of any other party to this Agreement so long as the Administrative Agent shall not have received, within five Business Days after the date on which notice of such alternate rate of interest is provided to the Lenders, a written notice from the Majority in Interest of Lenders of each Class stating that such Majority in Interest of Lenders object to such amendment. Until an alternate rate of interest shall be determined in accordance with this clause (b) (but, in the case of the circumstances described in clause (ii) of the first sentence of this Section 2.12(b),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(y) if any Borrowing Request requests a Eurodollar Borrowing, then such Borrowing shall be made as an ABR Borrowing; provided that, if such alternate rate of interest shall be less than zero, such rate shall be deemed to be zero for the purposes of this Agreement.</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2.13. </w:t>
      </w:r>
      <w:r>
        <w:rPr>
          <w:rFonts w:ascii="Arial" w:cs="Arial" w:eastAsia="Arial" w:hAnsi="Arial"/>
          <w:sz w:val="21"/>
          <w:szCs w:val="21"/>
          <w:i w:val="1"/>
          <w:iCs w:val="1"/>
          <w:color w:val="auto"/>
        </w:rPr>
        <w:t>Increased Costs</w:t>
      </w:r>
      <w:r>
        <w:rPr>
          <w:rFonts w:ascii="Arial" w:cs="Arial" w:eastAsia="Arial" w:hAnsi="Arial"/>
          <w:sz w:val="21"/>
          <w:szCs w:val="21"/>
          <w:color w:val="auto"/>
        </w:rPr>
        <w:t>. (a) If any Change in Law shall:</w:t>
      </w:r>
    </w:p>
    <w:p>
      <w:pPr>
        <w:spacing w:after="0" w:line="169" w:lineRule="exact"/>
        <w:rPr>
          <w:sz w:val="20"/>
          <w:szCs w:val="20"/>
          <w:color w:val="auto"/>
        </w:rPr>
      </w:pPr>
    </w:p>
    <w:p>
      <w:pPr>
        <w:jc w:val="both"/>
        <w:ind w:left="640" w:firstLine="639"/>
        <w:spacing w:after="0" w:line="268" w:lineRule="auto"/>
        <w:tabs>
          <w:tab w:leader="none" w:pos="15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by, any Lender or any Issuing Bank (except any such reserve requirement reflected in the Adjusted LIBO Rate); or</w:t>
      </w:r>
    </w:p>
    <w:p>
      <w:pPr>
        <w:spacing w:after="0" w:line="115" w:lineRule="exact"/>
        <w:rPr>
          <w:rFonts w:ascii="Arial" w:cs="Arial" w:eastAsia="Arial" w:hAnsi="Arial"/>
          <w:sz w:val="20"/>
          <w:szCs w:val="20"/>
          <w:color w:val="auto"/>
        </w:rPr>
      </w:pPr>
    </w:p>
    <w:p>
      <w:pPr>
        <w:jc w:val="both"/>
        <w:ind w:left="640" w:firstLine="639"/>
        <w:spacing w:after="0" w:line="250" w:lineRule="auto"/>
        <w:tabs>
          <w:tab w:leader="none" w:pos="159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impose on any Lender or any Issuing Bank or the London interbank market any other condition, cost or expense affecting this Agreement or Eurodollar Loans made by such Lender or any Letter of Credit or participation therein;</w:t>
      </w:r>
    </w:p>
    <w:p>
      <w:pPr>
        <w:spacing w:after="0" w:line="14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and the result of any of the foregoing shall be to increase the cost to such Lender of making or maintaining any Eurodollar Loan (or of maintaining its obligation to make any such Loan or to increase the cost of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Notwithstanding the foregoing, this paragraph will not apply to any such increased costs or reductions resulting from Taxes, as to which Section 2.15 shall govern.</w:t>
      </w:r>
    </w:p>
    <w:p>
      <w:pPr>
        <w:spacing w:after="0" w:line="133" w:lineRule="exact"/>
        <w:rPr>
          <w:sz w:val="20"/>
          <w:szCs w:val="20"/>
          <w:color w:val="auto"/>
        </w:rPr>
      </w:pPr>
    </w:p>
    <w:p>
      <w:pPr>
        <w:jc w:val="both"/>
        <w:ind w:firstLine="644"/>
        <w:spacing w:after="0" w:line="256" w:lineRule="auto"/>
        <w:tabs>
          <w:tab w:leader="none" w:pos="93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2" w:name="page253"/>
    <w:bookmarkEnd w:id="252"/>
    <w:p>
      <w:pPr>
        <w:jc w:val="both"/>
        <w:spacing w:after="0" w:line="245" w:lineRule="auto"/>
        <w:rPr>
          <w:sz w:val="20"/>
          <w:szCs w:val="20"/>
          <w:color w:val="auto"/>
        </w:rPr>
      </w:pPr>
      <w:r>
        <w:rPr>
          <w:rFonts w:ascii="Arial" w:cs="Arial" w:eastAsia="Arial" w:hAnsi="Arial"/>
          <w:sz w:val="21"/>
          <w:szCs w:val="21"/>
          <w:color w:val="auto"/>
        </w:rPr>
        <w:t>such Lender’s or Issuing Bank’s holding company with respect to capital adequacy), then, from time to time upon request of such Lender or Issuing Bank, the Borrower will pay to such Lender or Issuing Bank, as the case may be, such additional amount or amounts as will compensate such Lender or Issuing Bank or such Lender’s or Issuing Bank’s holding company for any such reduction actually suffered.</w:t>
      </w:r>
    </w:p>
    <w:p>
      <w:pPr>
        <w:spacing w:after="0" w:line="152" w:lineRule="exact"/>
        <w:rPr>
          <w:sz w:val="20"/>
          <w:szCs w:val="20"/>
          <w:color w:val="auto"/>
        </w:rPr>
      </w:pPr>
    </w:p>
    <w:p>
      <w:pPr>
        <w:jc w:val="both"/>
        <w:ind w:firstLine="644"/>
        <w:spacing w:after="0" w:line="271" w:lineRule="auto"/>
        <w:tabs>
          <w:tab w:leader="none" w:pos="917" w:val="left"/>
        </w:tabs>
        <w:numPr>
          <w:ilvl w:val="1"/>
          <w:numId w:val="129"/>
        </w:numPr>
        <w:rPr>
          <w:rFonts w:ascii="Arial" w:cs="Arial" w:eastAsia="Arial" w:hAnsi="Arial"/>
          <w:sz w:val="19"/>
          <w:szCs w:val="19"/>
          <w:color w:val="auto"/>
        </w:rPr>
      </w:pPr>
      <w:r>
        <w:rPr>
          <w:rFonts w:ascii="Arial" w:cs="Arial" w:eastAsia="Arial" w:hAnsi="Arial"/>
          <w:sz w:val="19"/>
          <w:szCs w:val="19"/>
          <w:color w:val="auto"/>
        </w:rPr>
        <w:t>A certificate of a Lender or an Issuing Bank setting forth the amount or amounts necessary to compensate such Lender or Issuing Bank or its holding company in reasonable detail, as the case may be, as specified in paragraph (a) or</w:t>
      </w:r>
    </w:p>
    <w:p>
      <w:pPr>
        <w:jc w:val="both"/>
        <w:ind w:firstLine="9"/>
        <w:spacing w:after="0" w:line="241" w:lineRule="auto"/>
        <w:tabs>
          <w:tab w:leader="none" w:pos="33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of this Section delivered to the Borrower shall be conclusive absent manifest error. The Borrower shall pay such Lender or Issuing Bank, as the case may be, the amount shown as due on any such certificate within 15 days after receipt thereof.</w:t>
      </w:r>
    </w:p>
    <w:p>
      <w:pPr>
        <w:spacing w:after="0" w:line="140" w:lineRule="exact"/>
        <w:rPr>
          <w:rFonts w:ascii="Arial" w:cs="Arial" w:eastAsia="Arial" w:hAnsi="Arial"/>
          <w:sz w:val="21"/>
          <w:szCs w:val="21"/>
          <w:color w:val="auto"/>
        </w:rPr>
      </w:pPr>
    </w:p>
    <w:p>
      <w:pPr>
        <w:jc w:val="both"/>
        <w:ind w:firstLine="644"/>
        <w:spacing w:after="0"/>
        <w:tabs>
          <w:tab w:leader="none" w:pos="951"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45"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i w:val="1"/>
          <w:iCs w:val="1"/>
          <w:color w:val="auto"/>
        </w:rPr>
        <w:t>Break Funding Payments.</w:t>
      </w:r>
      <w:r>
        <w:rPr>
          <w:rFonts w:ascii="Arial" w:cs="Arial" w:eastAsia="Arial" w:hAnsi="Arial"/>
          <w:sz w:val="19"/>
          <w:szCs w:val="19"/>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Loan on the date specified in any notice delivered pursuant hereto (regardless of whether such notice may be revoked under Section 2.09(e) and is revoked in accordance therewith) or (d) the assignment of any Eurodollar Loan other than on the last day of the Interest Period applicable thereto as a result of a request by the Borrower pursuant to Section 2.17 or Section 9.02(c), then, in any such event, the Borrower shall, after receipt of a written request by any Lender affected by any such event (which request shall set forth in reasonable detail the basis for requesting such amount), compensate each Lender for the loss, cost and expense attributable to such event. In the case of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rPr>
        <w:t>Eurodollar</w:t>
      </w:r>
      <w:r>
        <w:rPr>
          <w:rFonts w:ascii="Arial" w:cs="Arial" w:eastAsia="Arial" w:hAnsi="Arial"/>
          <w:sz w:val="19"/>
          <w:szCs w:val="19"/>
          <w:color w:val="FF0000"/>
        </w:rPr>
        <w:t xml:space="preserve"> </w:t>
      </w:r>
      <w:r>
        <w:rPr>
          <w:rFonts w:ascii="Arial" w:cs="Arial" w:eastAsia="Arial" w:hAnsi="Arial"/>
          <w:sz w:val="19"/>
          <w:szCs w:val="19"/>
          <w:color w:val="000000"/>
        </w:rPr>
        <w:t>Loan, such loss, cost or expense to any Lender shall be deemed to be the amount determined by</w:t>
      </w:r>
      <w:r>
        <w:rPr>
          <w:rFonts w:ascii="Arial" w:cs="Arial" w:eastAsia="Arial" w:hAnsi="Arial"/>
          <w:sz w:val="19"/>
          <w:szCs w:val="19"/>
          <w:color w:val="FF0000"/>
        </w:rPr>
        <w:t xml:space="preserve"> </w:t>
      </w:r>
      <w:r>
        <w:rPr>
          <w:rFonts w:ascii="Arial" w:cs="Arial" w:eastAsia="Arial" w:hAnsi="Arial"/>
          <w:sz w:val="19"/>
          <w:szCs w:val="19"/>
          <w:color w:val="000000"/>
        </w:rPr>
        <w:t>such Lender (it being understood that the deemed amount shall not exceed the actual amount) to be the excess, if any, of</w:t>
      </w:r>
    </w:p>
    <w:p>
      <w:pPr>
        <w:spacing w:after="0" w:line="4" w:lineRule="exact"/>
        <w:rPr>
          <w:sz w:val="20"/>
          <w:szCs w:val="20"/>
          <w:color w:val="auto"/>
        </w:rPr>
      </w:pPr>
    </w:p>
    <w:p>
      <w:pPr>
        <w:jc w:val="both"/>
        <w:ind w:firstLine="9"/>
        <w:spacing w:after="0" w:line="238" w:lineRule="auto"/>
        <w:tabs>
          <w:tab w:leader="none" w:pos="265"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the amount of interest that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a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Eurodollar</w:t>
      </w:r>
      <w:r>
        <w:rPr>
          <w:rFonts w:ascii="Arial" w:cs="Arial" w:eastAsia="Arial" w:hAnsi="Arial"/>
          <w:sz w:val="21"/>
          <w:szCs w:val="21"/>
          <w:color w:val="FF0000"/>
        </w:rPr>
        <w:t xml:space="preserve"> </w:t>
      </w:r>
      <w:r>
        <w:rPr>
          <w:rFonts w:ascii="Arial" w:cs="Arial" w:eastAsia="Arial" w:hAnsi="Arial"/>
          <w:sz w:val="21"/>
          <w:szCs w:val="21"/>
          <w:color w:val="000000"/>
        </w:rPr>
        <w:t>Loan, for the period that would have been the Interest Period for such Loan), over (ii) the amount</w:t>
      </w:r>
      <w:r>
        <w:rPr>
          <w:rFonts w:ascii="Arial" w:cs="Arial" w:eastAsia="Arial" w:hAnsi="Arial"/>
          <w:sz w:val="21"/>
          <w:szCs w:val="21"/>
          <w:color w:val="FF0000"/>
        </w:rPr>
        <w:t xml:space="preserve"> </w:t>
      </w:r>
      <w:r>
        <w:rPr>
          <w:rFonts w:ascii="Arial" w:cs="Arial" w:eastAsia="Arial" w:hAnsi="Arial"/>
          <w:sz w:val="21"/>
          <w:szCs w:val="21"/>
          <w:color w:val="000000"/>
        </w:rPr>
        <w:t xml:space="preserve">of interest that would accrue on such principal amount for such period at the interest rate which such Lender would bid were it to bid, at the commencement of such period, for deposits in Dollars of a comparable amount and period from other banks in the </w:t>
      </w:r>
      <w:r>
        <w:rPr>
          <w:rFonts w:ascii="Arial" w:cs="Arial" w:eastAsia="Arial" w:hAnsi="Arial"/>
          <w:sz w:val="21"/>
          <w:szCs w:val="21"/>
          <w:color w:val="FF0000"/>
          <w:strike w:val="1"/>
        </w:rPr>
        <w:t>Eurocurrency</w:t>
      </w:r>
      <w:r>
        <w:rPr>
          <w:rFonts w:ascii="Arial" w:cs="Arial" w:eastAsia="Arial" w:hAnsi="Arial"/>
          <w:sz w:val="21"/>
          <w:szCs w:val="21"/>
          <w:u w:val="single" w:color="auto"/>
          <w:color w:val="0000FF"/>
        </w:rPr>
        <w:t>Eurodollar</w:t>
      </w:r>
      <w:r>
        <w:rPr>
          <w:rFonts w:ascii="Arial" w:cs="Arial" w:eastAsia="Arial" w:hAnsi="Arial"/>
          <w:sz w:val="21"/>
          <w:szCs w:val="21"/>
          <w:color w:val="000000"/>
        </w:rPr>
        <w:t xml:space="preserve"> market.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3" w:name="page254"/>
    <w:bookmarkEnd w:id="253"/>
    <w:p>
      <w:pPr>
        <w:jc w:val="both"/>
        <w:spacing w:after="0" w:line="256" w:lineRule="auto"/>
        <w:rPr>
          <w:sz w:val="20"/>
          <w:szCs w:val="20"/>
          <w:color w:val="auto"/>
        </w:rPr>
      </w:pPr>
      <w:r>
        <w:rPr>
          <w:rFonts w:ascii="Arial" w:cs="Arial" w:eastAsia="Arial" w:hAnsi="Arial"/>
          <w:sz w:val="20"/>
          <w:szCs w:val="20"/>
          <w:color w:val="auto"/>
        </w:rPr>
        <w:t xml:space="preserve">A certificate of any Lender setting forth any amount or amounts that such Lender is entitled to receive pursuant to this Section delivered to the Borrower shall be conclusive absent manifest error. The Borrower shall pay such Lender the amount shown as due on any such certificate within 15 days after receipt of such demand. Notwithstanding the foregoing, this Section 2.14 will not apply to losses, costs or expenses resulting from Taxes, as to which Section 2.15 shall govern. </w:t>
      </w:r>
      <w:r>
        <w:rPr>
          <w:rFonts w:ascii="Arial" w:cs="Arial" w:eastAsia="Arial" w:hAnsi="Arial"/>
          <w:sz w:val="20"/>
          <w:szCs w:val="20"/>
          <w:u w:val="single" w:color="auto"/>
          <w:color w:val="0000FF"/>
        </w:rPr>
        <w:t>Each Amendment No. 1 Consenting Lender waives the provisions of this Section 2.14 with respect to the prepayment and/or conversion of its New Term Loans immediately following the Amendment No. 1 Effective Date.</w:t>
      </w:r>
    </w:p>
    <w:p>
      <w:pPr>
        <w:spacing w:after="0" w:line="142"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i w:val="1"/>
          <w:iCs w:val="1"/>
          <w:color w:val="auto"/>
        </w:rPr>
        <w:t>Taxes</w:t>
      </w:r>
      <w:r>
        <w:rPr>
          <w:rFonts w:ascii="Arial" w:cs="Arial" w:eastAsia="Arial" w:hAnsi="Arial"/>
          <w:sz w:val="19"/>
          <w:szCs w:val="19"/>
          <w:color w:val="auto"/>
        </w:rPr>
        <w:t xml:space="preserve">. (a) Any and all payments by or on account of any obligation of any Loan Party under any Loan Document shall be made free and clear of and without deduction for any Indemnified Taxes or Other Taxes,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the applicable withholding agent shall be required by applicable Requirements of Law (as determined in</w:t>
      </w:r>
      <w:r>
        <w:rPr>
          <w:rFonts w:ascii="Arial" w:cs="Arial" w:eastAsia="Arial" w:hAnsi="Arial"/>
          <w:sz w:val="19"/>
          <w:szCs w:val="19"/>
          <w:i w:val="1"/>
          <w:iCs w:val="1"/>
          <w:color w:val="auto"/>
        </w:rPr>
        <w:t xml:space="preserve"> </w:t>
      </w:r>
      <w:r>
        <w:rPr>
          <w:rFonts w:ascii="Arial" w:cs="Arial" w:eastAsia="Arial" w:hAnsi="Arial"/>
          <w:sz w:val="19"/>
          <w:szCs w:val="19"/>
          <w:color w:val="auto"/>
        </w:rPr>
        <w:t>the good faith discretion of the applicable withholding agent) to deduct any Indemnified Taxes or Other Taxes from such payments, then (i) the amount payable by the applicable Loan Party shall be increased as necessary so that after all required deductions have been made (including deductions applicable to additional amounts payable under this Section) the applicable Lender (or, in the case of any amount received by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22" w:lineRule="exact"/>
        <w:rPr>
          <w:sz w:val="20"/>
          <w:szCs w:val="20"/>
          <w:color w:val="auto"/>
        </w:rPr>
      </w:pPr>
    </w:p>
    <w:p>
      <w:pPr>
        <w:ind w:right="20" w:firstLine="644"/>
        <w:spacing w:after="0" w:line="263" w:lineRule="auto"/>
        <w:tabs>
          <w:tab w:leader="none" w:pos="94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Without limiting the provisions of paragraph (a) above, the Borrower shall timely pay any Other Taxes to the relevant Governmental Authority in accordance with Requirements of Law.</w:t>
      </w:r>
    </w:p>
    <w:p>
      <w:pPr>
        <w:spacing w:after="0" w:line="118" w:lineRule="exact"/>
        <w:rPr>
          <w:rFonts w:ascii="Arial" w:cs="Arial" w:eastAsia="Arial" w:hAnsi="Arial"/>
          <w:sz w:val="21"/>
          <w:szCs w:val="21"/>
          <w:color w:val="auto"/>
        </w:rPr>
      </w:pPr>
    </w:p>
    <w:p>
      <w:pPr>
        <w:jc w:val="both"/>
        <w:ind w:firstLine="644"/>
        <w:spacing w:after="0" w:line="253" w:lineRule="auto"/>
        <w:tabs>
          <w:tab w:leader="none" w:pos="92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Borrower shall indemnify the Administrative Agent and each Lender, within 30 days after written demand therefor, for the full amount of any Indemnified Taxes payable by the Administrative Agent or such Lender, as the case may be, on or with respect to any payment by or on account of any obligation of any Loan Party under any Loan Document and any Other Taxes (including Indemnified Taxes or Other Taxes imposed or asserted on or attributable to amounts payable under this Section)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by the Administrative Agent on its own behalf or on behalf of a Lender, shall be conclusive absent manifest error.</w:t>
      </w:r>
    </w:p>
    <w:p>
      <w:pPr>
        <w:spacing w:after="0" w:line="146" w:lineRule="exact"/>
        <w:rPr>
          <w:rFonts w:ascii="Arial" w:cs="Arial" w:eastAsia="Arial" w:hAnsi="Arial"/>
          <w:sz w:val="20"/>
          <w:szCs w:val="20"/>
          <w:color w:val="auto"/>
        </w:rPr>
      </w:pPr>
    </w:p>
    <w:p>
      <w:pPr>
        <w:jc w:val="both"/>
        <w:ind w:firstLine="644"/>
        <w:spacing w:after="0" w:line="245" w:lineRule="auto"/>
        <w:tabs>
          <w:tab w:leader="none" w:pos="97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As soon as practicable after any payment of Indemnified Taxes or Other Taxes by a Loan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4" w:name="page255"/>
    <w:bookmarkEnd w:id="254"/>
    <w:p>
      <w:pPr>
        <w:jc w:val="both"/>
        <w:ind w:firstLine="644"/>
        <w:spacing w:after="0" w:line="265" w:lineRule="auto"/>
        <w:tabs>
          <w:tab w:leader="none" w:pos="926" w:val="left"/>
        </w:tabs>
        <w:numPr>
          <w:ilvl w:val="0"/>
          <w:numId w:val="133"/>
        </w:numPr>
        <w:rPr>
          <w:rFonts w:ascii="Arial" w:cs="Arial" w:eastAsia="Arial" w:hAnsi="Arial"/>
          <w:sz w:val="19"/>
          <w:szCs w:val="19"/>
          <w:color w:val="auto"/>
        </w:rPr>
      </w:pPr>
      <w:r>
        <w:rPr>
          <w:rFonts w:ascii="Arial" w:cs="Arial" w:eastAsia="Arial" w:hAnsi="Arial"/>
          <w:sz w:val="19"/>
          <w:szCs w:val="19"/>
          <w:color w:val="auto"/>
        </w:rPr>
        <w:t>Each Lender shall, at such times as are reasonably requested by Borrower or the Administrative Agent, provide Borrower and the Administrative Agent with any properly completed and executed documentation prescribed by applicable Requirements of Law, or reasonably requested by Borrower or the Administrative Agent, certifying as to any entitlement of such Lender to an exemption from, or reduction in, any withholding Tax with respect to any payments to be made to such Lender under the Loan Documents (including, in the case of a Lender seeking exemption from the withholding imposed under FATCA, any documentation necessary to prevent such withholding). Each such Lender shall, whenever a lapse in time or change in circumstances renders such documentation expired, obsolete or inaccurate in any material respect, deliver promptly to Borrower and the Administrative Agent updated or other appropriate documentation (including any new documentation reasonably requested by the applicable withholding agent) or promptly notify Borrower and the Administrative Agent of its inability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Borrower, Administrative Agent or other applicable withholding agent shall withhold amounts required to be withheld by applicable Requirements of Law from such payments at the applicable statutory rate.</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Without limiting the generality of the foregoing:</w:t>
      </w:r>
    </w:p>
    <w:p>
      <w:pPr>
        <w:spacing w:after="0" w:line="169" w:lineRule="exact"/>
        <w:rPr>
          <w:sz w:val="20"/>
          <w:szCs w:val="20"/>
          <w:color w:val="auto"/>
        </w:rPr>
      </w:pPr>
    </w:p>
    <w:p>
      <w:pPr>
        <w:jc w:val="both"/>
        <w:ind w:left="640" w:firstLine="639"/>
        <w:spacing w:after="0" w:line="261" w:lineRule="auto"/>
        <w:tabs>
          <w:tab w:leader="none" w:pos="1535"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Each Lender that is a United States person (as defined in Section 7701(a)(30) of the Code) shall deliver to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24" w:lineRule="exact"/>
        <w:rPr>
          <w:rFonts w:ascii="Arial" w:cs="Arial" w:eastAsia="Arial" w:hAnsi="Arial"/>
          <w:sz w:val="20"/>
          <w:szCs w:val="20"/>
          <w:color w:val="auto"/>
        </w:rPr>
      </w:pPr>
    </w:p>
    <w:p>
      <w:pPr>
        <w:jc w:val="both"/>
        <w:ind w:left="640" w:firstLine="639"/>
        <w:spacing w:after="0" w:line="245" w:lineRule="auto"/>
        <w:tabs>
          <w:tab w:leader="none" w:pos="1608" w:val="left"/>
        </w:tabs>
        <w:numPr>
          <w:ilvl w:val="0"/>
          <w:numId w:val="134"/>
        </w:numPr>
        <w:rPr>
          <w:rFonts w:ascii="Arial" w:cs="Arial" w:eastAsia="Arial" w:hAnsi="Arial"/>
          <w:sz w:val="21"/>
          <w:szCs w:val="21"/>
          <w:color w:val="auto"/>
        </w:rPr>
      </w:pPr>
      <w:r>
        <w:rPr>
          <w:rFonts w:ascii="Arial" w:cs="Arial" w:eastAsia="Arial" w:hAnsi="Arial"/>
          <w:sz w:val="21"/>
          <w:szCs w:val="21"/>
          <w:color w:val="auto"/>
        </w:rPr>
        <w:t>Each Lender that is not a United States person (as defined in Section 7701(a)(30) of the Code) shall deliver to Borrower and the Administrative Agent on or before the date on which it becomes a party to this Agreement (and from time to time thereafter when required by any Requirements of Law or upon the reasonable request of Borrower or the Administrative Agent) whichever of the following is applicable:</w:t>
      </w:r>
    </w:p>
    <w:p>
      <w:pPr>
        <w:spacing w:after="0" w:line="151" w:lineRule="exact"/>
        <w:rPr>
          <w:rFonts w:ascii="Arial" w:cs="Arial" w:eastAsia="Arial" w:hAnsi="Arial"/>
          <w:sz w:val="21"/>
          <w:szCs w:val="21"/>
          <w:color w:val="auto"/>
        </w:rPr>
      </w:pPr>
    </w:p>
    <w:p>
      <w:pPr>
        <w:jc w:val="both"/>
        <w:ind w:left="1280" w:right="20" w:firstLine="634"/>
        <w:spacing w:after="0" w:line="250" w:lineRule="auto"/>
        <w:tabs>
          <w:tab w:leader="none" w:pos="2274" w:val="left"/>
        </w:tabs>
        <w:numPr>
          <w:ilvl w:val="1"/>
          <w:numId w:val="134"/>
        </w:numPr>
        <w:rPr>
          <w:rFonts w:ascii="Arial" w:cs="Arial" w:eastAsia="Arial" w:hAnsi="Arial"/>
          <w:sz w:val="21"/>
          <w:szCs w:val="21"/>
          <w:color w:val="auto"/>
        </w:rPr>
      </w:pPr>
      <w:r>
        <w:rPr>
          <w:rFonts w:ascii="Arial" w:cs="Arial" w:eastAsia="Arial" w:hAnsi="Arial"/>
          <w:sz w:val="21"/>
          <w:szCs w:val="21"/>
          <w:color w:val="auto"/>
        </w:rPr>
        <w:t>two duly completed copies of Internal Revenue Service Form W-8BEN or W-8BEN-E (or any successor forms) claiming eligibility for benefits of an income tax treaty to which the United States of America is a party,</w:t>
      </w:r>
    </w:p>
    <w:p>
      <w:pPr>
        <w:spacing w:after="0" w:line="131" w:lineRule="exact"/>
        <w:rPr>
          <w:rFonts w:ascii="Arial" w:cs="Arial" w:eastAsia="Arial" w:hAnsi="Arial"/>
          <w:sz w:val="21"/>
          <w:szCs w:val="21"/>
          <w:color w:val="auto"/>
        </w:rPr>
      </w:pPr>
    </w:p>
    <w:p>
      <w:pPr>
        <w:ind w:left="2240" w:hanging="326"/>
        <w:spacing w:after="0"/>
        <w:tabs>
          <w:tab w:leader="none" w:pos="224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two duly completed copies of Internal Revenue Service Form W-8ECI (or any successor forms),</w:t>
      </w:r>
    </w:p>
    <w:p>
      <w:pPr>
        <w:spacing w:after="0" w:line="191" w:lineRule="exact"/>
        <w:rPr>
          <w:rFonts w:ascii="Arial" w:cs="Arial" w:eastAsia="Arial" w:hAnsi="Arial"/>
          <w:sz w:val="19"/>
          <w:szCs w:val="19"/>
          <w:color w:val="auto"/>
        </w:rPr>
      </w:pPr>
    </w:p>
    <w:p>
      <w:pPr>
        <w:jc w:val="both"/>
        <w:ind w:left="1280" w:firstLine="634"/>
        <w:spacing w:after="0" w:line="245" w:lineRule="auto"/>
        <w:tabs>
          <w:tab w:leader="none" w:pos="2289" w:val="left"/>
        </w:tabs>
        <w:numPr>
          <w:ilvl w:val="1"/>
          <w:numId w:val="134"/>
        </w:numPr>
        <w:rPr>
          <w:rFonts w:ascii="Arial" w:cs="Arial" w:eastAsia="Arial" w:hAnsi="Arial"/>
          <w:sz w:val="21"/>
          <w:szCs w:val="21"/>
          <w:color w:val="auto"/>
        </w:rPr>
      </w:pPr>
      <w:r>
        <w:rPr>
          <w:rFonts w:ascii="Arial" w:cs="Arial" w:eastAsia="Arial" w:hAnsi="Arial"/>
          <w:sz w:val="21"/>
          <w:szCs w:val="21"/>
          <w:color w:val="auto"/>
        </w:rPr>
        <w:t>in the case of a Lender claiming the benefits of the exemption for portfolio interest under Section 881(c) of the Code, (x) a certificate, in substantially the form of Exhibit P (any such certificate a “</w:t>
      </w:r>
      <w:r>
        <w:rPr>
          <w:rFonts w:ascii="Arial" w:cs="Arial" w:eastAsia="Arial" w:hAnsi="Arial"/>
          <w:sz w:val="21"/>
          <w:szCs w:val="21"/>
          <w:b w:val="1"/>
          <w:bCs w:val="1"/>
          <w:color w:val="auto"/>
        </w:rPr>
        <w:t>United States Tax Compliance Certificate</w:t>
      </w:r>
      <w:r>
        <w:rPr>
          <w:rFonts w:ascii="Arial" w:cs="Arial" w:eastAsia="Arial" w:hAnsi="Arial"/>
          <w:sz w:val="21"/>
          <w:szCs w:val="21"/>
          <w:color w:val="auto"/>
        </w:rPr>
        <w:t>”), or any other form approved by the Administrative Agent, to the effect that such Lender 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5" w:name="page256"/>
    <w:bookmarkEnd w:id="255"/>
    <w:p>
      <w:pPr>
        <w:jc w:val="both"/>
        <w:ind w:left="1280"/>
        <w:spacing w:after="0" w:line="244" w:lineRule="exact"/>
        <w:rPr>
          <w:sz w:val="20"/>
          <w:szCs w:val="20"/>
          <w:color w:val="auto"/>
        </w:rPr>
      </w:pPr>
      <w:r>
        <w:rPr>
          <w:rFonts w:ascii="Arial" w:cs="Arial" w:eastAsia="Arial" w:hAnsi="Arial"/>
          <w:sz w:val="19"/>
          <w:szCs w:val="19"/>
          <w:color w:val="auto"/>
        </w:rPr>
        <w:t>not (1) a “bank” within the meaning of Section 881(c)(3)(A) of the Code, (2) a “10 percent shareholder” of a Borrower within the meaning of Section 881(c)(3)(B) of the Code, or (3) a “controlled foreign corporation” described in Section 881(c)(3)(C) of the Code, and that no payments in connection with the Loan Documents are effectively connected with such Lender’s conduct of a U.S. trade or business and (y) two duly completed copies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8BEN</w:t>
      </w:r>
      <w:r>
        <w:rPr>
          <w:rFonts w:ascii="MS PGothic" w:cs="MS PGothic" w:eastAsia="MS PGothic" w:hAnsi="MS PGothic"/>
          <w:sz w:val="19"/>
          <w:szCs w:val="19"/>
          <w:color w:val="auto"/>
        </w:rPr>
        <w:t>‑</w:t>
      </w:r>
      <w:r>
        <w:rPr>
          <w:rFonts w:ascii="Arial" w:cs="Arial" w:eastAsia="Arial" w:hAnsi="Arial"/>
          <w:sz w:val="19"/>
          <w:szCs w:val="19"/>
          <w:color w:val="auto"/>
        </w:rPr>
        <w:t>E (or any successor forms),</w:t>
      </w:r>
    </w:p>
    <w:p>
      <w:pPr>
        <w:spacing w:after="0" w:line="156" w:lineRule="exact"/>
        <w:rPr>
          <w:sz w:val="20"/>
          <w:szCs w:val="20"/>
          <w:color w:val="auto"/>
        </w:rPr>
      </w:pPr>
    </w:p>
    <w:p>
      <w:pPr>
        <w:jc w:val="both"/>
        <w:ind w:left="1280" w:firstLine="634"/>
        <w:spacing w:after="0" w:line="242" w:lineRule="exact"/>
        <w:tabs>
          <w:tab w:leader="none" w:pos="2317"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to the extent a Lender is not the beneficial owner (for example, where the Lender is a partnership, or is a Participant holding a participation granted by a participating Lender), Internal Revenue Service Form W-8IMY (or any successor forms) of the Lender, accompanied by a Form W</w:t>
      </w:r>
      <w:r>
        <w:rPr>
          <w:rFonts w:ascii="MS PGothic" w:cs="MS PGothic" w:eastAsia="MS PGothic" w:hAnsi="MS PGothic"/>
          <w:sz w:val="21"/>
          <w:szCs w:val="21"/>
          <w:color w:val="auto"/>
        </w:rPr>
        <w:t>‑</w:t>
      </w:r>
      <w:r>
        <w:rPr>
          <w:rFonts w:ascii="Arial" w:cs="Arial" w:eastAsia="Arial" w:hAnsi="Arial"/>
          <w:sz w:val="21"/>
          <w:szCs w:val="21"/>
          <w:color w:val="auto"/>
        </w:rPr>
        <w:t>8ECI, W-8BEN or W-8BEN-E, United States Tax Compliance Certificate, Form W-9, Form W</w:t>
      </w:r>
      <w:r>
        <w:rPr>
          <w:rFonts w:ascii="MS PGothic" w:cs="MS PGothic" w:eastAsia="MS PGothic" w:hAnsi="MS PGothic"/>
          <w:sz w:val="21"/>
          <w:szCs w:val="21"/>
          <w:color w:val="auto"/>
        </w:rPr>
        <w:t>‑</w:t>
      </w:r>
      <w:r>
        <w:rPr>
          <w:rFonts w:ascii="Arial" w:cs="Arial" w:eastAsia="Arial" w:hAnsi="Arial"/>
          <w:sz w:val="21"/>
          <w:szCs w:val="21"/>
          <w:color w:val="auto"/>
        </w:rPr>
        <w:t>8IMY (or other successor forms) or any other required information from each beneficial owner, as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Lender is a partnership (and not a participating Lender) and one or more beneficial owners are claiming the portfolio interest exemption, the United States Tax Compliance Certificate shall be provided by such Lender on behalf of such beneficial owner(s)), or</w:t>
      </w:r>
    </w:p>
    <w:p>
      <w:pPr>
        <w:spacing w:after="0" w:line="145" w:lineRule="exact"/>
        <w:rPr>
          <w:rFonts w:ascii="Arial" w:cs="Arial" w:eastAsia="Arial" w:hAnsi="Arial"/>
          <w:sz w:val="21"/>
          <w:szCs w:val="21"/>
          <w:color w:val="auto"/>
        </w:rPr>
      </w:pPr>
    </w:p>
    <w:p>
      <w:pPr>
        <w:jc w:val="both"/>
        <w:ind w:left="1280" w:firstLine="634"/>
        <w:spacing w:after="0" w:line="261" w:lineRule="auto"/>
        <w:tabs>
          <w:tab w:leader="none" w:pos="2239"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other form prescribed by applicable Requirements of Law as a basis for claiming exemption from or a reduction in U.S. federal withholding tax duly completed together with such supplementary documentation as may be prescribed by applicable Requirements of Law to permit Borrower and the Administrative Agent to determine the withholding or deduction required to be made.</w:t>
      </w:r>
    </w:p>
    <w:p>
      <w:pPr>
        <w:spacing w:after="0" w:line="124" w:lineRule="exact"/>
        <w:rPr>
          <w:sz w:val="20"/>
          <w:szCs w:val="20"/>
          <w:color w:val="auto"/>
        </w:rPr>
      </w:pPr>
    </w:p>
    <w:p>
      <w:pPr>
        <w:jc w:val="both"/>
        <w:ind w:firstLine="635"/>
        <w:spacing w:after="0"/>
        <w:rPr>
          <w:sz w:val="20"/>
          <w:szCs w:val="20"/>
          <w:color w:val="auto"/>
        </w:rPr>
      </w:pPr>
      <w:r>
        <w:rPr>
          <w:rFonts w:ascii="Arial" w:cs="Arial" w:eastAsia="Arial" w:hAnsi="Arial"/>
          <w:sz w:val="21"/>
          <w:szCs w:val="21"/>
          <w:color w:val="auto"/>
        </w:rPr>
        <w:t>Each Lender shall, from time to time after the initial delivery by such Lender of the forms described above, whenever a lapse in time or change in such Lender’s circumstances renders such forms, certificates or other evidence so delivered expired, obsolete or inaccurate, promptly (1) deliver to the Borrower and the Administrative Agent (in such number of copies as shall be requested by the recipient) renewals, amendments or additional or successor forms, properly completed and duly executed by such Lender, together with any other certificate or statement of exemption required in order to confirm or establish such Lender’s status or that such Lender is entitled to an exemption from or reduction in U.S. federal withholding tax or (2) notify Administrative Agent and Borrower of its inability to deliver any such forms, certificates or other evidence.</w:t>
      </w:r>
    </w:p>
    <w:p>
      <w:pPr>
        <w:spacing w:after="0" w:line="158" w:lineRule="exact"/>
        <w:rPr>
          <w:sz w:val="20"/>
          <w:szCs w:val="20"/>
          <w:color w:val="auto"/>
        </w:rPr>
      </w:pPr>
    </w:p>
    <w:p>
      <w:pPr>
        <w:jc w:val="both"/>
        <w:ind w:right="20" w:firstLine="635"/>
        <w:spacing w:after="0" w:line="263" w:lineRule="auto"/>
        <w:rPr>
          <w:sz w:val="20"/>
          <w:szCs w:val="20"/>
          <w:color w:val="auto"/>
        </w:rPr>
      </w:pPr>
      <w:r>
        <w:rPr>
          <w:rFonts w:ascii="Arial" w:cs="Arial" w:eastAsia="Arial" w:hAnsi="Arial"/>
          <w:sz w:val="21"/>
          <w:szCs w:val="21"/>
          <w:color w:val="auto"/>
        </w:rPr>
        <w:t>Notwithstanding any other provision of this clause (e), a Lender shall not be required to deliver any form that such Lender is not legally eligible to deliver.</w:t>
      </w:r>
    </w:p>
    <w:p>
      <w:pPr>
        <w:spacing w:after="0" w:line="119" w:lineRule="exact"/>
        <w:rPr>
          <w:sz w:val="20"/>
          <w:szCs w:val="20"/>
          <w:color w:val="auto"/>
        </w:rPr>
      </w:pPr>
    </w:p>
    <w:p>
      <w:pPr>
        <w:jc w:val="both"/>
        <w:ind w:firstLine="635"/>
        <w:spacing w:after="0" w:line="316" w:lineRule="auto"/>
        <w:rPr>
          <w:sz w:val="20"/>
          <w:szCs w:val="20"/>
          <w:color w:val="auto"/>
        </w:rPr>
      </w:pPr>
      <w:r>
        <w:rPr>
          <w:rFonts w:ascii="Arial" w:cs="Arial" w:eastAsia="Arial" w:hAnsi="Arial"/>
          <w:sz w:val="19"/>
          <w:szCs w:val="19"/>
          <w:color w:val="auto"/>
        </w:rPr>
        <w:t>Each Lender hereby authorizes the Administrative Agent to deliver to the Loan Parties and to any successor Administrative Agent any documentation provided by such Lender to the Administrative Agent pursuant to this clause (e).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6" w:name="page257"/>
    <w:bookmarkEnd w:id="256"/>
    <w:p>
      <w:pPr>
        <w:jc w:val="both"/>
        <w:ind w:firstLine="644"/>
        <w:spacing w:after="0" w:line="263" w:lineRule="auto"/>
        <w:tabs>
          <w:tab w:leader="none" w:pos="93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If the Borrower determines in good faith that a reasonable basis exists for contesting any taxes for which indemnification has been demanded hereunder, the Administrative Agent or the relevant Lender, as applicable, shall cooperate with the Borrower in a reasonable challenge of such taxes if so requested by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Administrative Agent or such Lender determines in its reasonable discretion that it would not be prejudiced by cooperating in such challenge, (b) the Borrower pays all related expenses of the Administrative Agent or such Lender, as applicable and (c) the Borrower indemnifies the Administrative Agent or such Lender, as applicable, for any liabilities or other costs incurred by such party in connection with such challenge. The Administrative Agent or a Lender shall claim any refund that it determines is reasonably available to it, unless it concludes in its reasonable discretion that it would be adversely affected by making such a claim. 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Section,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Borrower, upon the request of the Administrative Agent or such Lender, agrees promptly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Administrative Agent or such Lender may delete any information therein that the Administrative Agent or such Lender deems confidential). Notwithstanding anything to the contrary, this Section shall not be construed to require the Administrative Agent or any Lender to make available its tax returns (or any other information relating to taxes which it deems confidential).</w:t>
      </w:r>
    </w:p>
    <w:p>
      <w:pPr>
        <w:spacing w:after="0" w:line="153" w:lineRule="exact"/>
        <w:rPr>
          <w:rFonts w:ascii="Arial" w:cs="Arial" w:eastAsia="Arial" w:hAnsi="Arial"/>
          <w:sz w:val="19"/>
          <w:szCs w:val="19"/>
          <w:color w:val="auto"/>
        </w:rPr>
      </w:pPr>
    </w:p>
    <w:p>
      <w:pPr>
        <w:ind w:firstLine="644"/>
        <w:spacing w:after="0" w:line="263" w:lineRule="auto"/>
        <w:tabs>
          <w:tab w:leader="none" w:pos="953"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The agreements in this Section 2.15 shall survive the termination of this Agreement and the payment of the Loans and all other amounts payable hereunder.</w:t>
      </w:r>
    </w:p>
    <w:p>
      <w:pPr>
        <w:spacing w:after="0" w:line="118" w:lineRule="exact"/>
        <w:rPr>
          <w:rFonts w:ascii="Arial" w:cs="Arial" w:eastAsia="Arial" w:hAnsi="Arial"/>
          <w:sz w:val="21"/>
          <w:szCs w:val="21"/>
          <w:color w:val="auto"/>
        </w:rPr>
      </w:pPr>
    </w:p>
    <w:p>
      <w:pPr>
        <w:ind w:left="940" w:hanging="296"/>
        <w:spacing w:after="0"/>
        <w:tabs>
          <w:tab w:leader="none" w:pos="94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For purposes of this Section 2.15, the term “Lender” shall include any Issuing Bank.</w:t>
      </w:r>
    </w:p>
    <w:p>
      <w:pPr>
        <w:spacing w:after="0" w:line="168" w:lineRule="exact"/>
        <w:rPr>
          <w:rFonts w:ascii="Arial" w:cs="Arial" w:eastAsia="Arial" w:hAnsi="Arial"/>
          <w:sz w:val="21"/>
          <w:szCs w:val="21"/>
          <w:color w:val="auto"/>
        </w:rPr>
      </w:pPr>
    </w:p>
    <w:p>
      <w:pPr>
        <w:jc w:val="both"/>
        <w:ind w:firstLine="644"/>
        <w:spacing w:after="0" w:line="261" w:lineRule="auto"/>
        <w:tabs>
          <w:tab w:leader="none" w:pos="90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For purposes of FATCA, from and after the Restatement Effective Date, the Borrower and the Administrative Agent shall continue to treat (and the Lenders hereby authorize the Administrative Agent to continue to treat) this Agreement and the Loans (including, following the Escrow Assumption, the Escrow Term Loans) as not qualifying as “grandfathered obligations” within the meaning of Treasury Regulation Section 1.1474-2(b)(i).</w:t>
      </w:r>
    </w:p>
    <w:p>
      <w:pPr>
        <w:spacing w:after="0" w:line="137" w:lineRule="exact"/>
        <w:rPr>
          <w:sz w:val="20"/>
          <w:szCs w:val="20"/>
          <w:color w:val="auto"/>
        </w:rPr>
      </w:pPr>
    </w:p>
    <w:p>
      <w:pPr>
        <w:ind w:firstLine="635"/>
        <w:spacing w:after="0" w:line="263" w:lineRule="auto"/>
        <w:rPr>
          <w:sz w:val="20"/>
          <w:szCs w:val="20"/>
          <w:color w:val="auto"/>
        </w:rPr>
      </w:pPr>
      <w:r>
        <w:rPr>
          <w:rFonts w:ascii="Arial" w:cs="Arial" w:eastAsia="Arial" w:hAnsi="Arial"/>
          <w:sz w:val="21"/>
          <w:szCs w:val="21"/>
          <w:color w:val="auto"/>
        </w:rPr>
        <w:t xml:space="preserve">Section 2.16. </w:t>
      </w:r>
      <w:r>
        <w:rPr>
          <w:rFonts w:ascii="Arial" w:cs="Arial" w:eastAsia="Arial" w:hAnsi="Arial"/>
          <w:sz w:val="21"/>
          <w:szCs w:val="21"/>
          <w:i w:val="1"/>
          <w:iCs w:val="1"/>
          <w:color w:val="auto"/>
        </w:rPr>
        <w:t>Payments Generally; Pro Rata Treatment; Sharing of Setoffs</w:t>
      </w:r>
      <w:r>
        <w:rPr>
          <w:rFonts w:ascii="Arial" w:cs="Arial" w:eastAsia="Arial" w:hAnsi="Arial"/>
          <w:sz w:val="21"/>
          <w:szCs w:val="21"/>
          <w:color w:val="auto"/>
        </w:rPr>
        <w:t>. (a) The Borrower shall make each payment required to be made by it under any Loan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9">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7" w:name="page258"/>
    <w:bookmarkEnd w:id="257"/>
    <w:p>
      <w:pPr>
        <w:jc w:val="both"/>
        <w:spacing w:after="0" w:line="264" w:lineRule="auto"/>
        <w:rPr>
          <w:sz w:val="20"/>
          <w:szCs w:val="20"/>
          <w:color w:val="auto"/>
        </w:rPr>
      </w:pPr>
      <w:r>
        <w:rPr>
          <w:rFonts w:ascii="Arial" w:cs="Arial" w:eastAsia="Arial" w:hAnsi="Arial"/>
          <w:sz w:val="19"/>
          <w:szCs w:val="19"/>
          <w:color w:val="auto"/>
        </w:rPr>
        <w:t>Document (whether of principal, interest, fees or reimbursement of LC Disbursements, or of amounts payable under Section 2.13, 2.14 or 2.15,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shall be made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Eurodollar Loans) under any Loan Document shall be due on a day that is not a Business Day, the date for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under each Loan Document shall be made in dollars.</w:t>
      </w:r>
    </w:p>
    <w:p>
      <w:pPr>
        <w:spacing w:after="0" w:line="145" w:lineRule="exact"/>
        <w:rPr>
          <w:sz w:val="20"/>
          <w:szCs w:val="20"/>
          <w:color w:val="auto"/>
        </w:rPr>
      </w:pPr>
    </w:p>
    <w:p>
      <w:pPr>
        <w:jc w:val="both"/>
        <w:ind w:firstLine="644"/>
        <w:spacing w:after="0" w:line="256" w:lineRule="auto"/>
        <w:tabs>
          <w:tab w:leader="none" w:pos="96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If at any time insufficient funds are received by and available to the Administrative Agent to pay fully all amounts of principal, unreimbursed LC Disbursements, interest and fees then due hereunder, such funds shall be applied </w:t>
      </w:r>
      <w:r>
        <w:rPr>
          <w:rFonts w:ascii="Arial" w:cs="Arial" w:eastAsia="Arial" w:hAnsi="Arial"/>
          <w:sz w:val="20"/>
          <w:szCs w:val="20"/>
          <w:i w:val="1"/>
          <w:iCs w:val="1"/>
          <w:color w:val="auto"/>
        </w:rPr>
        <w:t>first</w:t>
      </w:r>
      <w:r>
        <w:rPr>
          <w:rFonts w:ascii="Arial" w:cs="Arial" w:eastAsia="Arial" w:hAnsi="Arial"/>
          <w:sz w:val="20"/>
          <w:szCs w:val="20"/>
          <w:color w:val="auto"/>
        </w:rPr>
        <w:t>, towards payment of interest and fees then due hereunder, ratably among the parties entitled thereto in accordance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with the amounts of interest and fees then due to such parties, and </w:t>
      </w:r>
      <w:r>
        <w:rPr>
          <w:rFonts w:ascii="Arial" w:cs="Arial" w:eastAsia="Arial" w:hAnsi="Arial"/>
          <w:sz w:val="20"/>
          <w:szCs w:val="20"/>
          <w:i w:val="1"/>
          <w:iCs w:val="1"/>
          <w:color w:val="auto"/>
        </w:rPr>
        <w:t>second</w:t>
      </w:r>
      <w:r>
        <w:rPr>
          <w:rFonts w:ascii="Arial" w:cs="Arial" w:eastAsia="Arial" w:hAnsi="Arial"/>
          <w:sz w:val="20"/>
          <w:szCs w:val="20"/>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28" w:lineRule="exact"/>
        <w:rPr>
          <w:rFonts w:ascii="Arial" w:cs="Arial" w:eastAsia="Arial" w:hAnsi="Arial"/>
          <w:sz w:val="20"/>
          <w:szCs w:val="20"/>
          <w:color w:val="auto"/>
        </w:rPr>
      </w:pPr>
    </w:p>
    <w:p>
      <w:pPr>
        <w:jc w:val="both"/>
        <w:ind w:firstLine="644"/>
        <w:spacing w:after="0" w:line="267" w:lineRule="auto"/>
        <w:tabs>
          <w:tab w:leader="none" w:pos="92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If any Lender shall, by exercising any right of setoff or counterclaim or otherwise, obtain payment in respect of any principal of or interest on any Class of its Loans or participations in LC Disbursements resulting in such Lender receiving payment of a greater proportion of the aggregate amount of its Loans of such Class and participations in LC Disbursements and accrued interest thereon than the proportion received by any other Lender, then the Lender receiving such greater proportion shall purchase (for cash at face value) participations in the Loans of such Class and participations in LC Disbursements of other Lenders to the extent necessary so that the benefit of all such payments shall be shared by the Lenders ratably in accordance with the aggregate amount of principal of and accrued interest on their respective Loans of such Class and participations in LC Disbursements;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8" w:name="page259"/>
    <w:bookmarkEnd w:id="258"/>
    <w:p>
      <w:pPr>
        <w:jc w:val="both"/>
        <w:spacing w:after="0" w:line="252" w:lineRule="auto"/>
        <w:rPr>
          <w:sz w:val="20"/>
          <w:szCs w:val="20"/>
          <w:color w:val="auto"/>
        </w:rPr>
      </w:pPr>
      <w:r>
        <w:rPr>
          <w:rFonts w:ascii="Arial" w:cs="Arial" w:eastAsia="Arial" w:hAnsi="Arial"/>
          <w:sz w:val="20"/>
          <w:szCs w:val="20"/>
          <w:color w:val="auto"/>
        </w:rPr>
        <w:t>not be construed to apply to (A) any payment made by the Borrower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2" w:lineRule="exact"/>
        <w:rPr>
          <w:sz w:val="20"/>
          <w:szCs w:val="20"/>
          <w:color w:val="auto"/>
        </w:rPr>
      </w:pPr>
    </w:p>
    <w:p>
      <w:pPr>
        <w:jc w:val="both"/>
        <w:ind w:firstLine="644"/>
        <w:spacing w:after="0" w:line="252" w:lineRule="auto"/>
        <w:tabs>
          <w:tab w:leader="none" w:pos="94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the Borrower prior to the date on which any payment is due to the Administrative Agent for the account of the Lenders or the Issuing Banks hereunder that the Borrower will not make such payment, the Administrative Agent may assume that the Borrower has made such payment on such date in accordance herewith and may, in reliance upon such assumption and in its sole discretion, distribute to the Lenders or Issuing Banks, as the case may be, the amount due. In such event, if the Borrower has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38"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i w:val="1"/>
          <w:iCs w:val="1"/>
          <w:color w:val="auto"/>
        </w:rPr>
        <w:t>Mitigation Obligations; Replacement of Lenders</w:t>
      </w:r>
      <w:r>
        <w:rPr>
          <w:rFonts w:ascii="Arial" w:cs="Arial" w:eastAsia="Arial" w:hAnsi="Arial"/>
          <w:sz w:val="19"/>
          <w:szCs w:val="19"/>
          <w:color w:val="auto"/>
        </w:rPr>
        <w:t>. (a) If any Lender requests compensation under Section 2.13, or if the Borrower is required to pay any additional amount to any Lender or any Governmental Authority for the account of any Lender pursuant to Section 2.15 or any event gives rise to the operation of Section 2.20,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Section 2.13 or 2.15 or mitigate the applicability of Section 2.20,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w:t>
      </w:r>
    </w:p>
    <w:p>
      <w:pPr>
        <w:spacing w:after="0" w:line="122" w:lineRule="exact"/>
        <w:rPr>
          <w:sz w:val="20"/>
          <w:szCs w:val="20"/>
          <w:color w:val="auto"/>
        </w:rPr>
      </w:pPr>
    </w:p>
    <w:p>
      <w:pPr>
        <w:jc w:val="both"/>
        <w:ind w:firstLine="644"/>
        <w:spacing w:after="0" w:line="268" w:lineRule="auto"/>
        <w:tabs>
          <w:tab w:leader="none" w:pos="983"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If (i) any Lender requests compensation under Section 2.13 or gives notice under Section 2.20, (ii) the Borrower is required to pay any additional amount to any Lender or to any Governmental Authority for the account of any Lender pursuant to Section 2.15 or (iii) any Lender is a Defaulting Lender, then the Borrower may, at its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59" w:name="page260"/>
    <w:bookmarkEnd w:id="259"/>
    <w:p>
      <w:pPr>
        <w:jc w:val="both"/>
        <w:spacing w:after="0" w:line="266" w:lineRule="auto"/>
        <w:rPr>
          <w:sz w:val="20"/>
          <w:szCs w:val="20"/>
          <w:color w:val="auto"/>
        </w:rPr>
      </w:pPr>
      <w:r>
        <w:rPr>
          <w:rFonts w:ascii="Arial" w:cs="Arial" w:eastAsia="Arial" w:hAnsi="Arial"/>
          <w:sz w:val="19"/>
          <w:szCs w:val="19"/>
          <w:color w:val="auto"/>
        </w:rPr>
        <w:t xml:space="preserve">sole expense and effort, upon notice to such Lender and the Administrative Agent, require such Lender to assign and delegate, without recourse (in accordance with and subject to the restrictions contained in Section 9.04), all its interests, rights and obligations under this Agreement and the other Loan Documents to an Eligible Assignee that shall assume such obligations (which assignee may be another Lender, if a Lender accepts such assignment and delegation);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2" w:lineRule="exact"/>
        <w:rPr>
          <w:sz w:val="20"/>
          <w:szCs w:val="20"/>
          <w:color w:val="auto"/>
        </w:rPr>
      </w:pPr>
    </w:p>
    <w:p>
      <w:pPr>
        <w:jc w:val="both"/>
        <w:ind w:firstLine="9"/>
        <w:spacing w:after="0" w:line="263" w:lineRule="auto"/>
        <w:tabs>
          <w:tab w:leader="none" w:pos="37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Borrower shall have received the prior written consent of the Administrative Agent to the extent such consent would be required under Section 9.04(b) for an assignment of Loans or Commitments, as applicable (and if a Revolving Commitment is being assigned and delegated, each Issuing Bank, which consents, in each case, shall not unreasonably be withheld or delayed, (B) such Lender shall have received payment of an amount equal to the outstanding principal of its Loans and unreimbursed participations in LC Disbursements, accrued but unpaid interest thereon, accrued but unpaid fees and all other amounts payable to it hereunder from the assignee (to the extent of such outstanding principal and accrued interest and fees) or the Borrower (in the case of all other amounts), (C) the Borrower or such assignee shall have paid (unless waived) to the Administrative Agent the processing and recordation fee specified in Section 9.04(b)(ii) and (D) in the case of any such assignment resulting from a claim for compensation under Section 2.13, or payments required to be made pursuant to Section 2.15 or a notice given under Section 2.20,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w:t>
      </w:r>
    </w:p>
    <w:p>
      <w:pPr>
        <w:spacing w:after="0" w:line="146"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19"/>
          <w:szCs w:val="19"/>
          <w:color w:val="auto"/>
        </w:rPr>
        <w:t xml:space="preserve">Section 2.18. </w:t>
      </w:r>
      <w:r>
        <w:rPr>
          <w:rFonts w:ascii="Arial" w:cs="Arial" w:eastAsia="Arial" w:hAnsi="Arial"/>
          <w:sz w:val="19"/>
          <w:szCs w:val="19"/>
          <w:i w:val="1"/>
          <w:iCs w:val="1"/>
          <w:color w:val="auto"/>
        </w:rPr>
        <w:t>Incremental Credit Extensions</w:t>
      </w:r>
      <w:r>
        <w:rPr>
          <w:rFonts w:ascii="Arial" w:cs="Arial" w:eastAsia="Arial" w:hAnsi="Arial"/>
          <w:sz w:val="19"/>
          <w:szCs w:val="19"/>
          <w:color w:val="auto"/>
        </w:rPr>
        <w:t>. (a) (i) At any time and from time to time after the Restatement Effective Date, subject to the terms and conditions set forth herein, the Borrower may, by notice to the Administrative Agent (whereupon the Administrative Agent shall promptly make available such notice to each of the Lenders), request to effect one or more additional revolving credit facility tranches hereunder (or an increase of the Revolving Commitments hereunder) (“</w:t>
      </w:r>
      <w:r>
        <w:rPr>
          <w:rFonts w:ascii="Arial" w:cs="Arial" w:eastAsia="Arial" w:hAnsi="Arial"/>
          <w:sz w:val="19"/>
          <w:szCs w:val="19"/>
          <w:b w:val="1"/>
          <w:bCs w:val="1"/>
          <w:color w:val="auto"/>
        </w:rPr>
        <w:t>Incremental Revolving Facilities</w:t>
      </w:r>
      <w:r>
        <w:rPr>
          <w:rFonts w:ascii="Arial" w:cs="Arial" w:eastAsia="Arial" w:hAnsi="Arial"/>
          <w:sz w:val="19"/>
          <w:szCs w:val="19"/>
          <w:color w:val="auto"/>
        </w:rPr>
        <w:t xml:space="preserve">”) from Additional Revolving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each such request and upon the effectiveness of each Incremental Revolving Facility Amendment, (A) no Default shall have occurred and be continuing or shall result therefrom, (B) the Borrower shall be in compliance on a Pro Forma Basis with the Financial Performance Covenants recomputed as of the last day of the most-recently ended Test Period for which financial statements are available (calculated assuming that such Incremental Revolving Facility is fully drawn), (C) the Borrower shall have delivered a certificate of a Financial Officer to the effect set forth in clauses (A) and (B) above, together with reasonably detailed calculations demonstrating compliance with clause (B) above (which calculations shall, if made as of the last day of any fiscal quarter of the Borrower for which the Borrower has not delivered to the Administrative Agent the financial statements and Compliance Certificate required to be delivered by Section 5.01(a) or</w:t>
      </w:r>
    </w:p>
    <w:p>
      <w:pPr>
        <w:spacing w:after="0" w:line="1" w:lineRule="exact"/>
        <w:rPr>
          <w:sz w:val="20"/>
          <w:szCs w:val="20"/>
          <w:color w:val="auto"/>
        </w:rPr>
      </w:pPr>
    </w:p>
    <w:p>
      <w:pPr>
        <w:ind w:right="20" w:firstLine="9"/>
        <w:spacing w:after="0" w:line="245" w:lineRule="auto"/>
        <w:tabs>
          <w:tab w:leader="none" w:pos="311"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and Section 5.01(d), respectively, be accompanied by a reasonably detailed calculation of Consolidated EBITDA and Consolidated Interest Expense for the relevant period),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2">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0" w:name="page261"/>
    <w:bookmarkEnd w:id="260"/>
    <w:p>
      <w:pPr>
        <w:jc w:val="both"/>
        <w:ind w:firstLine="9"/>
        <w:spacing w:after="0" w:line="265" w:lineRule="auto"/>
        <w:tabs>
          <w:tab w:leader="none" w:pos="385"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such Incremental Revolving Facility may be secured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Loans, (E) the interest rate margins, rate floors, fees, premiums and maturity applicable to any Incremental Revolving Facility shall be determined by the Borrower and the lenders thereunder, provided that no Incremental Revolving Facility shall mature prior to the Revolving Maturity Date or require any scheduled amortization or mandatory commitment reductions prior to the Revolving Maturity Date, (F) any Incremental Revolving Facility Amendment shall be on the terms and pursuant to documentation to be determined by the Borrower and the Additional Revolving Lenders providing the applicable Incremental Revolving Facilities, (G) any Incremental Revolving Facility may be provided in any currency as mutually agreed among the Administrative Agent, the Borrower and the Additional Revolving Lenders and (H) in the case of an increase in the Revolving Commitments hereunder, the maturity date of such increase in the Revolving Commitment shall be the Revolving Maturity Date, such increase in the Revolving Commitment shall require no scheduled amortization or mandatory commitment reduction prior to the Revolving Maturity Date and shall be on the same terms governing the Revolving Commitments pursuant to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terms and documentation are not consistent with this Agreement (except to the extent permitted by clause (E) or (G) above), they shall be reasonably satisfactory to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 Issuing Bank shall be required to act as “issuing bank” under any such Incremental Revolving Facility without its written consent. Each Incremental Revolving Facility shall be in a minimum principal amount of $10,000,000 and integral multiples of $1,000,000 in excess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 may be less than $10,000,000 if such amount represents all the remaining availability under the Incremental Cap.</w:t>
      </w:r>
    </w:p>
    <w:p>
      <w:pPr>
        <w:spacing w:after="0" w:line="131" w:lineRule="exact"/>
        <w:rPr>
          <w:rFonts w:ascii="Arial" w:cs="Arial" w:eastAsia="Arial" w:hAnsi="Arial"/>
          <w:sz w:val="19"/>
          <w:szCs w:val="19"/>
          <w:color w:val="auto"/>
        </w:rPr>
      </w:pPr>
    </w:p>
    <w:p>
      <w:pPr>
        <w:jc w:val="both"/>
        <w:ind w:left="640" w:firstLine="639"/>
        <w:spacing w:after="0" w:line="263" w:lineRule="auto"/>
        <w:tabs>
          <w:tab w:leader="none" w:pos="1613" w:val="left"/>
        </w:tabs>
        <w:numPr>
          <w:ilvl w:val="2"/>
          <w:numId w:val="142"/>
        </w:numPr>
        <w:rPr>
          <w:rFonts w:ascii="Arial" w:cs="Arial" w:eastAsia="Arial" w:hAnsi="Arial"/>
          <w:sz w:val="19"/>
          <w:szCs w:val="19"/>
          <w:color w:val="auto"/>
        </w:rPr>
      </w:pPr>
      <w:r>
        <w:rPr>
          <w:rFonts w:ascii="Arial" w:cs="Arial" w:eastAsia="Arial" w:hAnsi="Arial"/>
          <w:sz w:val="19"/>
          <w:szCs w:val="19"/>
          <w:color w:val="auto"/>
        </w:rPr>
        <w:t xml:space="preserve">At any time and from time to time after the Restatement Effective Date, subject to the terms and conditions set forth herein, the Borrower may, by notice to the Administrative Agent (whereupon the Administrative Agent shall promptly make available such notice to each of the Lenders), request to effect one or more additional tranches of term loans hereunder or (so long as the proviso to subclause (ii)(E) below does not apply) increases in the amount of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color w:val="0000FF"/>
        </w:rPr>
        <w:t>B-1</w:t>
      </w:r>
      <w:r>
        <w:rPr>
          <w:rFonts w:ascii="Arial" w:cs="Arial" w:eastAsia="Arial" w:hAnsi="Arial"/>
          <w:sz w:val="19"/>
          <w:szCs w:val="19"/>
          <w:color w:val="auto"/>
        </w:rPr>
        <w:t xml:space="preserve"> Loans (“</w:t>
      </w:r>
      <w:r>
        <w:rPr>
          <w:rFonts w:ascii="Arial" w:cs="Arial" w:eastAsia="Arial" w:hAnsi="Arial"/>
          <w:sz w:val="19"/>
          <w:szCs w:val="19"/>
          <w:b w:val="1"/>
          <w:bCs w:val="1"/>
          <w:color w:val="auto"/>
        </w:rPr>
        <w:t>Incremental Term Facilities</w:t>
      </w:r>
      <w:r>
        <w:rPr>
          <w:rFonts w:ascii="Arial" w:cs="Arial" w:eastAsia="Arial" w:hAnsi="Arial"/>
          <w:sz w:val="19"/>
          <w:szCs w:val="19"/>
          <w:color w:val="auto"/>
        </w:rPr>
        <w:t xml:space="preserve">”) from one or more Additional Term Lenders;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each such request and upon the effectiveness of each Incremental Term Facility Amendment, (A) no Default shall have occurred and be continuing or shall result therefrom, (B) the Borrower shall be in compliance on a Pro Forma Basis with the Financial Performance Covenants recomputed as of the last day of the most-recently ended Test Period for which financial statements are available, (C) the Borrower shall have delivered a certificate of a Financial Officer to the effect set forth in clauses</w:t>
      </w:r>
    </w:p>
    <w:p>
      <w:pPr>
        <w:spacing w:after="0" w:line="4" w:lineRule="exact"/>
        <w:rPr>
          <w:rFonts w:ascii="Arial" w:cs="Arial" w:eastAsia="Arial" w:hAnsi="Arial"/>
          <w:sz w:val="19"/>
          <w:szCs w:val="19"/>
          <w:color w:val="auto"/>
        </w:rPr>
      </w:pPr>
    </w:p>
    <w:p>
      <w:pPr>
        <w:jc w:val="both"/>
        <w:ind w:left="640" w:firstLine="4"/>
        <w:spacing w:after="0" w:line="267" w:lineRule="auto"/>
        <w:tabs>
          <w:tab w:leader="none" w:pos="989" w:val="left"/>
        </w:tabs>
        <w:numPr>
          <w:ilvl w:val="1"/>
          <w:numId w:val="142"/>
        </w:numPr>
        <w:rPr>
          <w:rFonts w:ascii="Arial" w:cs="Arial" w:eastAsia="Arial" w:hAnsi="Arial"/>
          <w:sz w:val="19"/>
          <w:szCs w:val="19"/>
          <w:color w:val="auto"/>
        </w:rPr>
      </w:pPr>
      <w:r>
        <w:rPr>
          <w:rFonts w:ascii="Arial" w:cs="Arial" w:eastAsia="Arial" w:hAnsi="Arial"/>
          <w:sz w:val="19"/>
          <w:szCs w:val="19"/>
          <w:color w:val="auto"/>
        </w:rPr>
        <w:t>and (B) above, together with reasonably detailed calculations demonstrating compliance with clause (B) above (which calculations shall, if made as of the last day of any fiscal quarter of the Borrower for which the Borrower has not delivered to the Administrative Agent the financial statements and Compliance Certificate required to be delivered by Section 5.01(a) or (b) and Section 5.01(d), respectively, be accompanied by a reasonably detailed calculation of Consolidated EBITDA and Consolidated Interest Expense for the relevant period), (D) the maturity date of any term loans incurred pursuant to any Incremental Term Facility shall not be earlier than the Term Maturity Date and such Incremental Term Facility shall not have a Weighted Average Life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-1850390</wp:posOffset>
            </wp:positionV>
            <wp:extent cx="260350"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3">
                      <a:extLst>
                        <a:ext uri="{28A0092B-C50C-407E-A947-70E740481C1C}"/>
                      </a:extLst>
                    </a:blip>
                    <a:srcRect/>
                    <a:stretch>
                      <a:fillRect/>
                    </a:stretch>
                  </pic:blipFill>
                  <pic:spPr bwMode="auto">
                    <a:xfrm>
                      <a:off x="0" y="0"/>
                      <a:ext cx="260350" cy="25400"/>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1" w:name="page262"/>
    <w:bookmarkEnd w:id="261"/>
    <w:p>
      <w:pPr>
        <w:jc w:val="both"/>
        <w:ind w:hanging="11"/>
        <w:spacing w:after="0" w:line="240" w:lineRule="exact"/>
        <w:rPr>
          <w:sz w:val="20"/>
          <w:szCs w:val="20"/>
          <w:color w:val="auto"/>
        </w:rPr>
      </w:pPr>
      <w:r>
        <w:rPr>
          <w:rFonts w:ascii="Arial" w:cs="Arial" w:eastAsia="Arial" w:hAnsi="Arial"/>
          <w:sz w:val="19"/>
          <w:szCs w:val="19"/>
          <w:color w:val="auto"/>
        </w:rPr>
        <w:t xml:space="preserve">Maturity shorter than the Weighted Average Life to Maturity of the Term Loans, (E) the interest rate margins, rate floors, fees, premiums, funding discounts and, subject to clause (D), the maturity and amortization schedule for any term loans incurred pursuant to any Incremental Term Facility shall be determined by the Borrower and the Additional Term Lenders; provided that in the event that the interest rate margins for any term loans incurred pursuant to any Incremental Term Facility are higher than the interest rate margins for the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color w:val="0000FF"/>
        </w:rPr>
        <w:t>B-1</w:t>
      </w:r>
      <w:r>
        <w:rPr>
          <w:rFonts w:ascii="Arial" w:cs="Arial" w:eastAsia="Arial" w:hAnsi="Arial"/>
          <w:sz w:val="19"/>
          <w:szCs w:val="19"/>
          <w:color w:val="auto"/>
        </w:rPr>
        <w:t xml:space="preserve"> Loans by more than 50 basis points, then the interest rate margins for the </w:t>
      </w:r>
      <w:r>
        <w:rPr>
          <w:rFonts w:ascii="Arial" w:cs="Arial" w:eastAsia="Arial" w:hAnsi="Arial"/>
          <w:sz w:val="19"/>
          <w:szCs w:val="19"/>
          <w:color w:val="FF0000"/>
          <w:strike w:val="1"/>
        </w:rPr>
        <w:t>New</w:t>
      </w:r>
      <w:r>
        <w:rPr>
          <w:rFonts w:ascii="Arial" w:cs="Arial" w:eastAsia="Arial" w:hAnsi="Arial"/>
          <w:sz w:val="19"/>
          <w:szCs w:val="19"/>
          <w:color w:val="auto"/>
        </w:rPr>
        <w:t xml:space="preserve"> Term </w:t>
      </w:r>
      <w:r>
        <w:rPr>
          <w:rFonts w:ascii="Arial" w:cs="Arial" w:eastAsia="Arial" w:hAnsi="Arial"/>
          <w:sz w:val="19"/>
          <w:szCs w:val="19"/>
          <w:color w:val="0000FF"/>
        </w:rPr>
        <w:t>B-1</w:t>
      </w:r>
      <w:r>
        <w:rPr>
          <w:rFonts w:ascii="Arial" w:cs="Arial" w:eastAsia="Arial" w:hAnsi="Arial"/>
          <w:sz w:val="19"/>
          <w:szCs w:val="19"/>
          <w:color w:val="auto"/>
        </w:rPr>
        <w:t xml:space="preserve"> Loans shall be increased to the extent necessary so that such interest rate margins are equal to the interest rate margins for such term loans incurred pursuant to such Incremental Term Facility minus 50 basis points;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in determining the interest rate margins applicable to the term loans incurred pursuant to such Incremental Term Facility and the </w:t>
      </w:r>
      <w:r>
        <w:rPr>
          <w:rFonts w:ascii="Arial" w:cs="Arial" w:eastAsia="Arial" w:hAnsi="Arial"/>
          <w:sz w:val="19"/>
          <w:szCs w:val="19"/>
          <w:color w:val="FF0000"/>
          <w:strike w:val="1"/>
        </w:rPr>
        <w:t>New</w:t>
      </w:r>
      <w:r>
        <w:rPr>
          <w:rFonts w:ascii="Arial" w:cs="Arial" w:eastAsia="Arial" w:hAnsi="Arial"/>
          <w:sz w:val="19"/>
          <w:szCs w:val="19"/>
          <w:color w:val="FF0000"/>
        </w:rPr>
        <w:t xml:space="preserve"> </w:t>
      </w:r>
      <w:r>
        <w:rPr>
          <w:rFonts w:ascii="Arial" w:cs="Arial" w:eastAsia="Arial" w:hAnsi="Arial"/>
          <w:sz w:val="19"/>
          <w:szCs w:val="19"/>
          <w:color w:val="000000"/>
        </w:rPr>
        <w:t>Term</w:t>
      </w:r>
      <w:r>
        <w:rPr>
          <w:rFonts w:ascii="Arial" w:cs="Arial" w:eastAsia="Arial" w:hAnsi="Arial"/>
          <w:sz w:val="19"/>
          <w:szCs w:val="19"/>
          <w:color w:val="FF0000"/>
        </w:rPr>
        <w:t xml:space="preserve"> </w:t>
      </w:r>
      <w:r>
        <w:rPr>
          <w:rFonts w:ascii="Arial" w:cs="Arial" w:eastAsia="Arial" w:hAnsi="Arial"/>
          <w:sz w:val="19"/>
          <w:szCs w:val="19"/>
          <w:color w:val="0000FF"/>
        </w:rPr>
        <w:t>B-1</w:t>
      </w:r>
      <w:r>
        <w:rPr>
          <w:rFonts w:ascii="Arial" w:cs="Arial" w:eastAsia="Arial" w:hAnsi="Arial"/>
          <w:sz w:val="19"/>
          <w:szCs w:val="19"/>
          <w:color w:val="FF0000"/>
        </w:rPr>
        <w:t xml:space="preserve"> </w:t>
      </w:r>
      <w:r>
        <w:rPr>
          <w:rFonts w:ascii="Arial" w:cs="Arial" w:eastAsia="Arial" w:hAnsi="Arial"/>
          <w:sz w:val="19"/>
          <w:szCs w:val="19"/>
          <w:color w:val="000000"/>
        </w:rPr>
        <w:t>Loans (x) original issue discount (“</w:t>
      </w:r>
      <w:r>
        <w:rPr>
          <w:rFonts w:ascii="Arial" w:cs="Arial" w:eastAsia="Arial" w:hAnsi="Arial"/>
          <w:sz w:val="19"/>
          <w:szCs w:val="19"/>
          <w:b w:val="1"/>
          <w:bCs w:val="1"/>
          <w:color w:val="000000"/>
        </w:rPr>
        <w:t>OID</w:t>
      </w:r>
      <w:r>
        <w:rPr>
          <w:rFonts w:ascii="Arial" w:cs="Arial" w:eastAsia="Arial" w:hAnsi="Arial"/>
          <w:sz w:val="19"/>
          <w:szCs w:val="19"/>
          <w:color w:val="000000"/>
        </w:rPr>
        <w:t>”) or upfront fees (which shall be deemed to constitute like</w:t>
      </w:r>
      <w:r>
        <w:rPr>
          <w:rFonts w:ascii="Arial" w:cs="Arial" w:eastAsia="Arial" w:hAnsi="Arial"/>
          <w:sz w:val="19"/>
          <w:szCs w:val="19"/>
          <w:color w:val="FF0000"/>
        </w:rPr>
        <w:t xml:space="preserve"> </w:t>
      </w:r>
      <w:r>
        <w:rPr>
          <w:rFonts w:ascii="Arial" w:cs="Arial" w:eastAsia="Arial" w:hAnsi="Arial"/>
          <w:sz w:val="19"/>
          <w:szCs w:val="19"/>
          <w:color w:val="000000"/>
        </w:rPr>
        <w:t xml:space="preserve">amounts of OID) payable by Borrower to the Term Lenders or any Additional Term Lenders in the initial primary syndication thereof shall be included (with OID being equated to interest based on assumed four-year life to maturity), (y) customary arrangement or commitment fees payable to the Lead Arranger (or its affiliates) in connection with this Agreement or to one or more arrangers (or their affiliates) of any Incremental Term Facility shall be excluded and (z) if the Incremental Term Facility includes an interest rate floor greater than the interest rate floor applicable to the </w:t>
      </w:r>
      <w:r>
        <w:rPr>
          <w:rFonts w:ascii="Arial" w:cs="Arial" w:eastAsia="Arial" w:hAnsi="Arial"/>
          <w:sz w:val="19"/>
          <w:szCs w:val="19"/>
          <w:color w:val="FF0000"/>
          <w:strike w:val="1"/>
        </w:rPr>
        <w:t>New</w:t>
      </w:r>
      <w:r>
        <w:rPr>
          <w:rFonts w:ascii="Arial" w:cs="Arial" w:eastAsia="Arial" w:hAnsi="Arial"/>
          <w:sz w:val="19"/>
          <w:szCs w:val="19"/>
          <w:color w:val="000000"/>
        </w:rPr>
        <w:t xml:space="preserve"> Term </w:t>
      </w:r>
      <w:r>
        <w:rPr>
          <w:rFonts w:ascii="Arial" w:cs="Arial" w:eastAsia="Arial" w:hAnsi="Arial"/>
          <w:sz w:val="19"/>
          <w:szCs w:val="19"/>
          <w:u w:val="single" w:color="auto"/>
          <w:color w:val="0000FF"/>
        </w:rPr>
        <w:t>B</w:t>
      </w:r>
      <w:r>
        <w:rPr>
          <w:rFonts w:ascii="MS PGothic" w:cs="MS PGothic" w:eastAsia="MS PGothic" w:hAnsi="MS PGothic"/>
          <w:sz w:val="19"/>
          <w:szCs w:val="19"/>
          <w:u w:val="single" w:color="auto"/>
          <w:color w:val="0000FF"/>
        </w:rPr>
        <w:t>‑</w:t>
      </w:r>
      <w:r>
        <w:rPr>
          <w:rFonts w:ascii="Arial" w:cs="Arial" w:eastAsia="Arial" w:hAnsi="Arial"/>
          <w:sz w:val="19"/>
          <w:szCs w:val="19"/>
          <w:u w:val="single" w:color="auto"/>
          <w:color w:val="0000FF"/>
        </w:rPr>
        <w:t>1</w:t>
      </w:r>
      <w:r>
        <w:rPr>
          <w:rFonts w:ascii="Arial" w:cs="Arial" w:eastAsia="Arial" w:hAnsi="Arial"/>
          <w:sz w:val="19"/>
          <w:szCs w:val="19"/>
          <w:color w:val="000000"/>
        </w:rPr>
        <w:t xml:space="preserve"> Loans, such increased amount shall be equated to interest margin for purposes of determining whether an increase to the applicable interest margin for the </w:t>
      </w:r>
      <w:r>
        <w:rPr>
          <w:rFonts w:ascii="Arial" w:cs="Arial" w:eastAsia="Arial" w:hAnsi="Arial"/>
          <w:sz w:val="19"/>
          <w:szCs w:val="19"/>
          <w:color w:val="FF0000"/>
          <w:strike w:val="1"/>
        </w:rPr>
        <w:t>New</w:t>
      </w:r>
      <w:r>
        <w:rPr>
          <w:rFonts w:ascii="Arial" w:cs="Arial" w:eastAsia="Arial" w:hAnsi="Arial"/>
          <w:sz w:val="19"/>
          <w:szCs w:val="19"/>
          <w:color w:val="000000"/>
        </w:rPr>
        <w:t xml:space="preserve"> Term </w:t>
      </w:r>
      <w:r>
        <w:rPr>
          <w:rFonts w:ascii="Arial" w:cs="Arial" w:eastAsia="Arial" w:hAnsi="Arial"/>
          <w:sz w:val="19"/>
          <w:szCs w:val="19"/>
          <w:color w:val="0000FF"/>
        </w:rPr>
        <w:t>B-1</w:t>
      </w:r>
      <w:r>
        <w:rPr>
          <w:rFonts w:ascii="Arial" w:cs="Arial" w:eastAsia="Arial" w:hAnsi="Arial"/>
          <w:sz w:val="19"/>
          <w:szCs w:val="19"/>
          <w:color w:val="000000"/>
        </w:rPr>
        <w:t xml:space="preserve"> Loans shall be required, to the extent an increase in the interest rate floor in the </w:t>
      </w:r>
      <w:r>
        <w:rPr>
          <w:rFonts w:ascii="Arial" w:cs="Arial" w:eastAsia="Arial" w:hAnsi="Arial"/>
          <w:sz w:val="19"/>
          <w:szCs w:val="19"/>
          <w:color w:val="FF0000"/>
          <w:strike w:val="1"/>
        </w:rPr>
        <w:t>New</w:t>
      </w:r>
      <w:r>
        <w:rPr>
          <w:rFonts w:ascii="Arial" w:cs="Arial" w:eastAsia="Arial" w:hAnsi="Arial"/>
          <w:sz w:val="19"/>
          <w:szCs w:val="19"/>
          <w:color w:val="000000"/>
        </w:rPr>
        <w:t xml:space="preserve"> Term </w:t>
      </w:r>
      <w:r>
        <w:rPr>
          <w:rFonts w:ascii="Arial" w:cs="Arial" w:eastAsia="Arial" w:hAnsi="Arial"/>
          <w:sz w:val="19"/>
          <w:szCs w:val="19"/>
          <w:color w:val="0000FF"/>
        </w:rPr>
        <w:t>B-1</w:t>
      </w:r>
      <w:r>
        <w:rPr>
          <w:rFonts w:ascii="Arial" w:cs="Arial" w:eastAsia="Arial" w:hAnsi="Arial"/>
          <w:sz w:val="19"/>
          <w:szCs w:val="19"/>
          <w:color w:val="000000"/>
        </w:rPr>
        <w:t xml:space="preserve"> Loans would cause an increase in the interest rate then in effect, and in such case the interest rate floor (but not the interest rate margin) applicable to the </w:t>
      </w:r>
      <w:r>
        <w:rPr>
          <w:rFonts w:ascii="Arial" w:cs="Arial" w:eastAsia="Arial" w:hAnsi="Arial"/>
          <w:sz w:val="19"/>
          <w:szCs w:val="19"/>
          <w:color w:val="FF0000"/>
          <w:strike w:val="1"/>
        </w:rPr>
        <w:t>New</w:t>
      </w:r>
      <w:r>
        <w:rPr>
          <w:rFonts w:ascii="Arial" w:cs="Arial" w:eastAsia="Arial" w:hAnsi="Arial"/>
          <w:sz w:val="19"/>
          <w:szCs w:val="19"/>
          <w:color w:val="000000"/>
        </w:rPr>
        <w:t xml:space="preserve"> Term </w:t>
      </w:r>
      <w:r>
        <w:rPr>
          <w:rFonts w:ascii="Arial" w:cs="Arial" w:eastAsia="Arial" w:hAnsi="Arial"/>
          <w:sz w:val="19"/>
          <w:szCs w:val="19"/>
          <w:color w:val="0000FF"/>
        </w:rPr>
        <w:t>B-1</w:t>
      </w:r>
      <w:r>
        <w:rPr>
          <w:rFonts w:ascii="Arial" w:cs="Arial" w:eastAsia="Arial" w:hAnsi="Arial"/>
          <w:sz w:val="19"/>
          <w:szCs w:val="19"/>
          <w:color w:val="000000"/>
        </w:rPr>
        <w:t xml:space="preserve"> Loans shall be increased by such increased amount, (F) the term loans incurred pursuant to any Incremental Term Facility may be secured by Liens on the Collateral on a </w:t>
      </w:r>
      <w:r>
        <w:rPr>
          <w:rFonts w:ascii="Arial" w:cs="Arial" w:eastAsia="Arial" w:hAnsi="Arial"/>
          <w:sz w:val="19"/>
          <w:szCs w:val="19"/>
          <w:i w:val="1"/>
          <w:iCs w:val="1"/>
          <w:color w:val="000000"/>
        </w:rPr>
        <w:t>pari passu</w:t>
      </w:r>
      <w:r>
        <w:rPr>
          <w:rFonts w:ascii="Arial" w:cs="Arial" w:eastAsia="Arial" w:hAnsi="Arial"/>
          <w:sz w:val="19"/>
          <w:szCs w:val="19"/>
          <w:color w:val="000000"/>
        </w:rPr>
        <w:t xml:space="preserve"> or junior basis with respect to the Liens on the Collateral securing the other Loans and Commitments hereunder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to the extent such term loans are secured by junior Liens the applicable parties shall have entered into a Junior Lien Intercreditor Agreement), (G) any Incremental Term Facility Amendment shall be on the terms and pursuant to documentation to be determined by the Borrower and the Additional Term Lenders providing the applicable Incremental Term Facilities and (H) any Incremental Term Facility may be provided in any currency as mutually agreed among the Administrative Agent, the Borrower and the Additional Term Lenders;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to the extent such terms and documentation are not consistent with this Agreement (except to the extent permitted by clauses (D), (E), (F) or (H) above), they shall be reasonably satisfactory to the Administrative Agent. Each Incremental Term Facility shall be in a minimum principal amount of $25,000,000 and integral multiples of $1,000,000 in excess thereof;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that such amount may be less than $25,000,000 if such amount represents all the remaining availability under the Incremental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5424170</wp:posOffset>
            </wp:positionH>
            <wp:positionV relativeFrom="paragraph">
              <wp:posOffset>-3950970</wp:posOffset>
            </wp:positionV>
            <wp:extent cx="23495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5">
                      <a:extLst>
                        <a:ext uri="{28A0092B-C50C-407E-A947-70E740481C1C}"/>
                      </a:extLst>
                    </a:blip>
                    <a:srcRect/>
                    <a:stretch>
                      <a:fillRect/>
                    </a:stretch>
                  </pic:blipFill>
                  <pic:spPr bwMode="auto">
                    <a:xfrm>
                      <a:off x="0" y="0"/>
                      <a:ext cx="234950" cy="2540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-3799840</wp:posOffset>
            </wp:positionV>
            <wp:extent cx="25209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6">
                      <a:extLst>
                        <a:ext uri="{28A0092B-C50C-407E-A947-70E740481C1C}"/>
                      </a:extLst>
                    </a:blip>
                    <a:srcRect/>
                    <a:stretch>
                      <a:fillRect/>
                    </a:stretch>
                  </pic:blipFill>
                  <pic:spPr bwMode="auto">
                    <a:xfrm>
                      <a:off x="0" y="0"/>
                      <a:ext cx="252095" cy="25400"/>
                    </a:xfrm>
                    <a:prstGeom prst="rect">
                      <a:avLst/>
                    </a:prstGeom>
                    <a:noFill/>
                  </pic:spPr>
                </pic:pic>
              </a:graphicData>
            </a:graphic>
          </wp:anchor>
        </w:drawing>
        <w:drawing>
          <wp:anchor simplePos="0" relativeHeight="251657728" behindDoc="1" locked="0" layoutInCell="0" allowOverlap="1">
            <wp:simplePos x="0" y="0"/>
            <wp:positionH relativeFrom="column">
              <wp:posOffset>568960</wp:posOffset>
            </wp:positionH>
            <wp:positionV relativeFrom="paragraph">
              <wp:posOffset>-3195320</wp:posOffset>
            </wp:positionV>
            <wp:extent cx="234950"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7">
                      <a:extLst>
                        <a:ext uri="{28A0092B-C50C-407E-A947-70E740481C1C}"/>
                      </a:extLst>
                    </a:blip>
                    <a:srcRect/>
                    <a:stretch>
                      <a:fillRect/>
                    </a:stretch>
                  </pic:blipFill>
                  <pic:spPr bwMode="auto">
                    <a:xfrm>
                      <a:off x="0" y="0"/>
                      <a:ext cx="234950" cy="2540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-2136775</wp:posOffset>
            </wp:positionV>
            <wp:extent cx="243840"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8">
                      <a:extLst>
                        <a:ext uri="{28A0092B-C50C-407E-A947-70E740481C1C}"/>
                      </a:extLst>
                    </a:blip>
                    <a:srcRect/>
                    <a:stretch>
                      <a:fillRect/>
                    </a:stretch>
                  </pic:blipFill>
                  <pic:spPr bwMode="auto">
                    <a:xfrm>
                      <a:off x="0" y="0"/>
                      <a:ext cx="243840" cy="2540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-1985645</wp:posOffset>
            </wp:positionV>
            <wp:extent cx="23495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9">
                      <a:extLst>
                        <a:ext uri="{28A0092B-C50C-407E-A947-70E740481C1C}"/>
                      </a:extLst>
                    </a:blip>
                    <a:srcRect/>
                    <a:stretch>
                      <a:fillRect/>
                    </a:stretch>
                  </pic:blipFill>
                  <pic:spPr bwMode="auto">
                    <a:xfrm>
                      <a:off x="0" y="0"/>
                      <a:ext cx="234950" cy="2540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-1683385</wp:posOffset>
            </wp:positionV>
            <wp:extent cx="24384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0">
                      <a:extLst>
                        <a:ext uri="{28A0092B-C50C-407E-A947-70E740481C1C}"/>
                      </a:extLst>
                    </a:blip>
                    <a:srcRect/>
                    <a:stretch>
                      <a:fillRect/>
                    </a:stretch>
                  </pic:blipFill>
                  <pic:spPr bwMode="auto">
                    <a:xfrm>
                      <a:off x="0" y="0"/>
                      <a:ext cx="243840" cy="25400"/>
                    </a:xfrm>
                    <a:prstGeom prst="rect">
                      <a:avLst/>
                    </a:prstGeom>
                    <a:noFill/>
                  </pic:spPr>
                </pic:pic>
              </a:graphicData>
            </a:graphic>
          </wp:anchor>
        </w:drawing>
      </w:r>
    </w:p>
    <w:p>
      <w:pPr>
        <w:spacing w:after="0" w:line="363" w:lineRule="exact"/>
        <w:rPr>
          <w:sz w:val="20"/>
          <w:szCs w:val="20"/>
          <w:color w:val="auto"/>
        </w:rPr>
      </w:pPr>
    </w:p>
    <w:p>
      <w:pPr>
        <w:ind w:left="-20" w:firstLine="639"/>
        <w:spacing w:after="0" w:line="263" w:lineRule="auto"/>
        <w:tabs>
          <w:tab w:leader="none" w:pos="99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Notwithstanding anything to the contrary herein, the sum of (i) the aggregate amount of commitments in respect of the Incremental Revolving</w:t>
      </w:r>
    </w:p>
    <w:p>
      <w:pPr>
        <w:spacing w:after="0" w:line="370"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78740</wp:posOffset>
            </wp:positionV>
            <wp:extent cx="6610985" cy="165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1">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9760"/>
          </w:cols>
          <w:pgMar w:left="1400" w:top="528" w:right="739" w:bottom="1440" w:gutter="0" w:footer="0" w:header="0"/>
        </w:sectPr>
      </w:pPr>
    </w:p>
    <w:bookmarkStart w:id="262" w:name="page263"/>
    <w:bookmarkEnd w:id="262"/>
    <w:p>
      <w:pPr>
        <w:jc w:val="both"/>
        <w:ind w:left="640"/>
        <w:spacing w:after="0" w:line="266" w:lineRule="auto"/>
        <w:rPr>
          <w:sz w:val="20"/>
          <w:szCs w:val="20"/>
          <w:color w:val="auto"/>
        </w:rPr>
      </w:pPr>
      <w:r>
        <w:rPr>
          <w:rFonts w:ascii="Arial" w:cs="Arial" w:eastAsia="Arial" w:hAnsi="Arial"/>
          <w:sz w:val="19"/>
          <w:szCs w:val="19"/>
          <w:color w:val="auto"/>
        </w:rPr>
        <w:t>Facilities effected after the Restatement Effective Date, (ii) the aggregate principal amount of all Incremental Term Facilities incurred after the Restatement Effective Date, (iii) the aggregate principal amount of all secured Indebtedness incurred after the Restatement Effective Date pursuant to Section 6.01(a)(viii) and (iv) the aggregate principal amount of all Additional Notes issued after the Restatement Effective Date pursuant to Section 6.01(a)</w:t>
      </w:r>
    </w:p>
    <w:p>
      <w:pPr>
        <w:spacing w:after="0" w:line="2" w:lineRule="exact"/>
        <w:rPr>
          <w:sz w:val="20"/>
          <w:szCs w:val="20"/>
          <w:color w:val="auto"/>
        </w:rPr>
      </w:pPr>
    </w:p>
    <w:p>
      <w:pPr>
        <w:jc w:val="both"/>
        <w:ind w:left="640" w:firstLine="4"/>
        <w:spacing w:after="0" w:line="253" w:lineRule="auto"/>
        <w:tabs>
          <w:tab w:leader="none" w:pos="120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shall not exceed $200,000,000 (the maximum amount referred to in this clause (iii), the “</w:t>
      </w:r>
      <w:r>
        <w:rPr>
          <w:rFonts w:ascii="Arial" w:cs="Arial" w:eastAsia="Arial" w:hAnsi="Arial"/>
          <w:sz w:val="20"/>
          <w:szCs w:val="20"/>
          <w:b w:val="1"/>
          <w:bCs w:val="1"/>
          <w:color w:val="auto"/>
        </w:rPr>
        <w:t>Incremental</w:t>
      </w:r>
      <w:r>
        <w:rPr>
          <w:rFonts w:ascii="Arial" w:cs="Arial" w:eastAsia="Arial" w:hAnsi="Arial"/>
          <w:sz w:val="20"/>
          <w:szCs w:val="20"/>
          <w:color w:val="auto"/>
        </w:rPr>
        <w:t xml:space="preserve"> </w:t>
      </w:r>
      <w:r>
        <w:rPr>
          <w:rFonts w:ascii="Arial" w:cs="Arial" w:eastAsia="Arial" w:hAnsi="Arial"/>
          <w:sz w:val="20"/>
          <w:szCs w:val="20"/>
          <w:b w:val="1"/>
          <w:bCs w:val="1"/>
          <w:color w:val="auto"/>
        </w:rPr>
        <w:t>Cap</w:t>
      </w:r>
      <w:r>
        <w:rPr>
          <w:rFonts w:ascii="Arial" w:cs="Arial" w:eastAsia="Arial" w:hAnsi="Arial"/>
          <w:sz w:val="20"/>
          <w:szCs w:val="20"/>
          <w:color w:val="auto"/>
        </w:rPr>
        <w:t>”). Notwithstanding anything herein to the contrary, no existing Lender will be required to participate in any</w:t>
      </w:r>
      <w:r>
        <w:rPr>
          <w:rFonts w:ascii="Arial" w:cs="Arial" w:eastAsia="Arial" w:hAnsi="Arial"/>
          <w:sz w:val="20"/>
          <w:szCs w:val="20"/>
          <w:b w:val="1"/>
          <w:bCs w:val="1"/>
          <w:color w:val="auto"/>
        </w:rPr>
        <w:t xml:space="preserve"> </w:t>
      </w:r>
      <w:r>
        <w:rPr>
          <w:rFonts w:ascii="Arial" w:cs="Arial" w:eastAsia="Arial" w:hAnsi="Arial"/>
          <w:sz w:val="20"/>
          <w:szCs w:val="20"/>
          <w:color w:val="auto"/>
        </w:rPr>
        <w:t>Incremental Revolving Facility or Incremental Term Facility without its consent. For the avoidance of doubt, the assumption of the Escrow Term Loans on the Escrow Assumption Date shall not be deemed an incurrence of Incremental Revolving Facilities or Incremental Term Facilities pursuant to this Section 2.18.</w:t>
      </w:r>
    </w:p>
    <w:p>
      <w:pPr>
        <w:spacing w:after="0" w:line="146" w:lineRule="exact"/>
        <w:rPr>
          <w:sz w:val="20"/>
          <w:szCs w:val="20"/>
          <w:color w:val="auto"/>
        </w:rPr>
      </w:pPr>
    </w:p>
    <w:p>
      <w:pPr>
        <w:ind w:firstLine="644"/>
        <w:spacing w:after="0" w:line="263" w:lineRule="auto"/>
        <w:tabs>
          <w:tab w:leader="none" w:pos="94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(i) Each notice from the Borrower pursuant to this Section shall set forth the requested amount of the relevant Incremental Revolving Facility or Incremental Term Facility.</w:t>
      </w:r>
    </w:p>
    <w:p>
      <w:pPr>
        <w:spacing w:after="0" w:line="118" w:lineRule="exact"/>
        <w:rPr>
          <w:rFonts w:ascii="Arial" w:cs="Arial" w:eastAsia="Arial" w:hAnsi="Arial"/>
          <w:sz w:val="21"/>
          <w:szCs w:val="21"/>
          <w:color w:val="auto"/>
        </w:rPr>
      </w:pPr>
    </w:p>
    <w:p>
      <w:pPr>
        <w:jc w:val="both"/>
        <w:ind w:left="640" w:firstLine="639"/>
        <w:spacing w:after="0" w:line="264" w:lineRule="auto"/>
        <w:tabs>
          <w:tab w:leader="none" w:pos="159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Commitments in respect of any Incremental Revolving Facility shall become Commitments under this Agreement pursuant to an amendment (an “</w:t>
      </w:r>
      <w:r>
        <w:rPr>
          <w:rFonts w:ascii="Arial" w:cs="Arial" w:eastAsia="Arial" w:hAnsi="Arial"/>
          <w:sz w:val="19"/>
          <w:szCs w:val="19"/>
          <w:b w:val="1"/>
          <w:bCs w:val="1"/>
          <w:color w:val="auto"/>
        </w:rPr>
        <w:t>Incremental Revolving Facility Amendment</w:t>
      </w:r>
      <w:r>
        <w:rPr>
          <w:rFonts w:ascii="Arial" w:cs="Arial" w:eastAsia="Arial" w:hAnsi="Arial"/>
          <w:sz w:val="19"/>
          <w:szCs w:val="19"/>
          <w:color w:val="auto"/>
        </w:rPr>
        <w:t>”) to this Agreement and, as appropriate, the other Loan Documents, executed by the Borrower, the applicable Additional Revolving Lenders and the Administrative Agent. Incremental Revolving Facilities may be provided, subject to the prior written consent of the Borrower (not to be unreasonably withheld), by any existing Lender (it being understood that no existing Lender shall have the right to participate in any Incremental Revolving Facility or, unless it agrees, be obligated to participate in any Incremental Revolving Facility) or by any Additional Revolving Lender. An Incremental Revolving Facility Amendment may, without the consent of any other Lenders, effect such amendments to any Loan Documents as may be necessary or appropriate, in the reasonable opinion of the Administrative Agent, to effect the provisions of this Section (including to provide for the issuance of letters of credit and swingline loans thereunder and to provide for the treatment of defaulting lenders). The effectiveness of any Incremental Revolving Facility Amendment shall, unless otherwise agreed to by the Administrative Agent and the Additional Revolving Lenders, be subject to the satisfaction on the date thereof (each, an “</w:t>
      </w:r>
      <w:r>
        <w:rPr>
          <w:rFonts w:ascii="Arial" w:cs="Arial" w:eastAsia="Arial" w:hAnsi="Arial"/>
          <w:sz w:val="19"/>
          <w:szCs w:val="19"/>
          <w:b w:val="1"/>
          <w:bCs w:val="1"/>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color w:val="auto"/>
        </w:rPr>
        <w:t>Revolving Facility Closing Date</w:t>
      </w:r>
      <w:r>
        <w:rPr>
          <w:rFonts w:ascii="Arial" w:cs="Arial" w:eastAsia="Arial" w:hAnsi="Arial"/>
          <w:sz w:val="19"/>
          <w:szCs w:val="19"/>
          <w:color w:val="auto"/>
        </w:rPr>
        <w:t>”) of each of the conditions set forth in Section 4.02 (it being understood that all</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references to “the date of such Borrowing” (or other similar reference) in Section 4.02 shall be deemed to refer to the Incremental Revolving Facility Closing Date) and, to the extent reasonably requested by the Administrative Agent, receipt by the Administrative Agent of legal opinions, board resolutions, officers’ certificates and/or reaffirmation agreements consistent with those delivered on the Restatement Effective Date under Section 4.01 (other than changes to such legal opinions resulting from a change in law, change in fact or change to counsel’s form of opinion reasonably satisfactory to the Administrative Agent).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3" w:name="page264"/>
    <w:bookmarkEnd w:id="263"/>
    <w:p>
      <w:pPr>
        <w:jc w:val="both"/>
        <w:ind w:left="640" w:firstLine="639"/>
        <w:spacing w:after="0" w:line="264" w:lineRule="auto"/>
        <w:tabs>
          <w:tab w:leader="none" w:pos="1687" w:val="left"/>
        </w:tabs>
        <w:numPr>
          <w:ilvl w:val="1"/>
          <w:numId w:val="146"/>
        </w:numPr>
        <w:rPr>
          <w:rFonts w:ascii="Arial" w:cs="Arial" w:eastAsia="Arial" w:hAnsi="Arial"/>
          <w:sz w:val="19"/>
          <w:szCs w:val="19"/>
          <w:color w:val="auto"/>
        </w:rPr>
      </w:pPr>
      <w:r>
        <w:rPr>
          <w:rFonts w:ascii="Arial" w:cs="Arial" w:eastAsia="Arial" w:hAnsi="Arial"/>
          <w:sz w:val="19"/>
          <w:szCs w:val="19"/>
          <w:color w:val="auto"/>
        </w:rPr>
        <w:t>Commitments in respect of any Incremental Term Facility shall become Commitments under this Agreement pursuant to an amendment (an “</w:t>
      </w:r>
      <w:r>
        <w:rPr>
          <w:rFonts w:ascii="Arial" w:cs="Arial" w:eastAsia="Arial" w:hAnsi="Arial"/>
          <w:sz w:val="19"/>
          <w:szCs w:val="19"/>
          <w:b w:val="1"/>
          <w:bCs w:val="1"/>
          <w:color w:val="auto"/>
        </w:rPr>
        <w:t>Incremental Term Facility Amendment</w:t>
      </w:r>
      <w:r>
        <w:rPr>
          <w:rFonts w:ascii="Arial" w:cs="Arial" w:eastAsia="Arial" w:hAnsi="Arial"/>
          <w:sz w:val="19"/>
          <w:szCs w:val="19"/>
          <w:color w:val="auto"/>
        </w:rPr>
        <w:t>”) to this Agreement and, as appropriate, the other Loan Documents executed by the Borrower, the applicable Additional Term Lenders and the Administrative Agent. Incremental Term Facilities may be provided, subject to the prior written consent of the Borrower (not to be unreasonably withheld), by any existing Lender (it being understood that no existing Lender shall have any right to participate in any Incremental Term Facility or, unless it agrees, be obligated to provide any Incremental Term Facilities) or by any Additional Term Lender. An Incremental Term Facility Amendment may, without the consent of any other Lenders, effect such amendments to any Loan Documents as may be necessary or appropriate, in the reasonable opinion of the Administrative Agent, to effect the provisions of this Section. The effectiveness of any Incremental Term Facility Amendment shall, unless otherwise agreed to by the Administrative Agent and the Additional Term Lenders, be subject to the satisfaction on the date thereof (each, an “</w:t>
      </w:r>
      <w:r>
        <w:rPr>
          <w:rFonts w:ascii="Arial" w:cs="Arial" w:eastAsia="Arial" w:hAnsi="Arial"/>
          <w:sz w:val="19"/>
          <w:szCs w:val="19"/>
          <w:b w:val="1"/>
          <w:bCs w:val="1"/>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color w:val="auto"/>
        </w:rPr>
        <w:t>Term Facility Closing Date</w:t>
      </w:r>
      <w:r>
        <w:rPr>
          <w:rFonts w:ascii="Arial" w:cs="Arial" w:eastAsia="Arial" w:hAnsi="Arial"/>
          <w:sz w:val="19"/>
          <w:szCs w:val="19"/>
          <w:color w:val="auto"/>
        </w:rPr>
        <w:t>”) of each of the conditions set forth in Section 4.02 (it being understood that all</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references to “the date of such Borrowing” (or other similar reference) in Section 4.02 shall be deemed to refer to the Incremental Term Facility Closing Date) and, to the extent reasonably requested by the Administrative Agent, receipt by the Administrative Agent of legal opinions, board resolutions, officers’ certificates and/or reaffirmation agreements consistent with those delivered on the Restatement Effective Date under Section 4.01 (other than changes to such legal opinions resulting from a change in law, change in fact or change to counsel’s form of opinion reasonably satisfactory to the Administrative Agent).</w:t>
      </w:r>
    </w:p>
    <w:p>
      <w:pPr>
        <w:spacing w:after="0" w:line="145" w:lineRule="exact"/>
        <w:rPr>
          <w:rFonts w:ascii="Arial" w:cs="Arial" w:eastAsia="Arial" w:hAnsi="Arial"/>
          <w:sz w:val="19"/>
          <w:szCs w:val="19"/>
          <w:color w:val="auto"/>
        </w:rPr>
      </w:pPr>
    </w:p>
    <w:p>
      <w:pPr>
        <w:jc w:val="both"/>
        <w:ind w:firstLine="644"/>
        <w:spacing w:after="0" w:line="265" w:lineRule="auto"/>
        <w:tabs>
          <w:tab w:leader="none" w:pos="971"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 Upon each increase in the Revolving Commitments pursuant to this Section, each Revolving Lender immediately prior to such increase will automatically and without further act be deemed to have assigned to each Additional Revolving Lender providing a portion of such increase (each a “</w:t>
      </w:r>
      <w:r>
        <w:rPr>
          <w:rFonts w:ascii="Arial" w:cs="Arial" w:eastAsia="Arial" w:hAnsi="Arial"/>
          <w:sz w:val="19"/>
          <w:szCs w:val="19"/>
          <w:b w:val="1"/>
          <w:bCs w:val="1"/>
          <w:color w:val="auto"/>
        </w:rPr>
        <w:t>Revolving Commitment Increase Lender</w:t>
      </w:r>
      <w:r>
        <w:rPr>
          <w:rFonts w:ascii="Arial" w:cs="Arial" w:eastAsia="Arial" w:hAnsi="Arial"/>
          <w:sz w:val="19"/>
          <w:szCs w:val="19"/>
          <w:color w:val="auto"/>
        </w:rPr>
        <w:t>”), and each such Revolving Commitment Increase Lender will automatically and without further act be deemed to have assumed, a portion of such Revolving Lender's participations hereunder in outstanding Letters of Credit such that, after giving effect to such increase and each such deemed assignment and assumption of participations, the percentage of the aggregate outstanding participations hereunder in Letters of Credit held by each Revolving Lender (including each such Revolving Commitment Increase Lender) will equal such Revolving Lender's Applicable Percentage. If, on the date of such increase, there are any Revolving Loans outstanding, such Revolving Loans shall, upon the effectiveness of the applicable Incremental Revolving Facility, be prepaid from the proceeds of Revolving Loans made under such Incremental Revolving Facility so that Revolving Loans are thereafter held by the Revolving Lenders according to their Applicable Percentage (after giving effect to the increase in Revolving Commitments), which prepayment shall be accompanied by accrued interest on the Revolving Loans being prepaid and any costs incurred by any Revolving Lender in accordance with Section 2.13. The Administrative Agent and the Lenders hereby agree that the minimum borrowing, pro rata borrowing, pro rata payment requirements and notice requirements contained elsewhere in this Agreement shall not apply to the transactions effected pursuant to the immediately preceding sentence.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3">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4" w:name="page265"/>
    <w:bookmarkEnd w:id="264"/>
    <w:p>
      <w:pPr>
        <w:jc w:val="both"/>
        <w:ind w:firstLine="644"/>
        <w:spacing w:after="0" w:line="261" w:lineRule="auto"/>
        <w:tabs>
          <w:tab w:leader="none" w:pos="96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Upon each Incremental Term Facility Closing Date pursuant to this Section, each Additional Term Lender participating in the applicable Incremental Term Facility shall make an additional term loan to the Borrower in a principal amount equal to such Additional Term Lender’s commitment in respect of such Incremental Term Facility. Any such term loan shall be a “Term Loan” for all purposes of this Agreement and the other Loan Documents.</w:t>
      </w:r>
    </w:p>
    <w:p>
      <w:pPr>
        <w:spacing w:after="0" w:line="137" w:lineRule="exact"/>
        <w:rPr>
          <w:rFonts w:ascii="Arial" w:cs="Arial" w:eastAsia="Arial" w:hAnsi="Arial"/>
          <w:sz w:val="20"/>
          <w:szCs w:val="20"/>
          <w:color w:val="auto"/>
        </w:rPr>
      </w:pPr>
    </w:p>
    <w:p>
      <w:pPr>
        <w:ind w:left="920" w:hanging="276"/>
        <w:spacing w:after="0"/>
        <w:tabs>
          <w:tab w:leader="none" w:pos="92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This Section 2.18 shall supersede any provisions in Section 2.16 or Section 9.02 to the contrary.</w:t>
      </w:r>
    </w:p>
    <w:p>
      <w:pPr>
        <w:spacing w:after="0" w:line="169"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i w:val="1"/>
          <w:iCs w:val="1"/>
          <w:color w:val="auto"/>
        </w:rPr>
        <w:t>Refinancing Amendments; Maturity Extension</w:t>
      </w:r>
      <w:r>
        <w:rPr>
          <w:rFonts w:ascii="Arial" w:cs="Arial" w:eastAsia="Arial" w:hAnsi="Arial"/>
          <w:sz w:val="19"/>
          <w:szCs w:val="19"/>
          <w:color w:val="auto"/>
        </w:rPr>
        <w:t xml:space="preserve">. (a) At any time after the Restatement Effective Date, the Borrower may obtain, from any Lender or any Additional Lender, Credit Agreement Refinancing Indebtedness in respect of (a) all or any portion of the Term Loans (which for purposes of this sentence will be deemed to include any Incremental Term Loans or Other Term Loans) or (b) all or any portion of the Revolving Loans (or unused Revolving Commitments) then outstanding under this Agreement (which for purposes of this clause (b) will be deemed to include any then outstanding Incremental Revolving Loans, Incremental Revolving Commitments, Other Revolving Loans and Other Revolving Commitments), in the form of (x) Other Term Loans or Other Term Commitments or (y) Other Revolving Loans or Other Revolving Commitments, as the case may be, in each case pursuant to a Refinancing Amendment;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Credit Agreement Refinancing Indebtedness (i) may be secured by Liens on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basis with respect to the Liens on the Collateral securing the other Loans and Commitments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such term loans are secured by junior Liens the applicable parties shall have entered into a Junior Lien Intercreditor Agreement), (ii) will have such pricing and optional prepayment terms as may be agreed by the Borrower and the Lenders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Credit Agreement Refinancing Indebtedness may participate on a pro rata basis or on a less than pro rata basis (but not on a greater than pro rata basis) in any voluntary or mandatory prepayments hereunder, as specified in the applicable Refinancing Amendment), (iii) (x) with respect to any Other Revolving Loans or Other Revolving Commitments, will have a maturity date that is not prior to the maturity date of the Revolving Loans (or unused Revolving Commitments) being refinanced and (y) with respect to any Other Term Loans or Other Term Commitments, will have a maturity date that is not prior to the maturity date of, and will have a Weighted Average Life to Maturity that is not shorter than, the Term Loans being refinanced, (iv) the proceeds of such Credit Agreement Refinancing Indebtedness shall be applied, substantially concurrently with the incurrence thereof, to the prepayment of outstanding Term Loans or reduction of the Revolving Commitments, the Other Revolving Commitments or the commitments under the Incremental Revolving Facility being so refinanced and (v) subject to clause (ii) above, will have terms and conditions that are substantially identical to, or less favorable (taken as a whole) to the investors providing such Credit Agreement Refinancing Indebtedness than, the Refinanced Debt;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terms and conditions applicable to such Credit Agreement Refinancing Indebtedness may provide for any additional or different financial or other covenants or other provisions that are agreed between the Borrower and the Lenders thereof and applicable only during periods after the Latest Maturity Date that is in effect on the date such Credit Agreement Refinancing Indebtedness is issued, incurred or obtained. The effectiveness of any Refinancing Amendment shall be subject to the satisfaction on the date thereof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5" w:name="page266"/>
    <w:bookmarkEnd w:id="265"/>
    <w:p>
      <w:pPr>
        <w:jc w:val="both"/>
        <w:spacing w:after="0" w:line="263" w:lineRule="auto"/>
        <w:rPr>
          <w:sz w:val="20"/>
          <w:szCs w:val="20"/>
          <w:color w:val="auto"/>
        </w:rPr>
      </w:pPr>
      <w:r>
        <w:rPr>
          <w:rFonts w:ascii="Arial" w:cs="Arial" w:eastAsia="Arial" w:hAnsi="Arial"/>
          <w:sz w:val="19"/>
          <w:szCs w:val="19"/>
          <w:color w:val="auto"/>
        </w:rPr>
        <w:t xml:space="preserve">each of the conditions set forth in Section 4.02 and, to the extent reasonably requested by the Administrative Agent, receipt by the Administrative Agent of legal opinions, board resolutions, officers’ certificates and/or reaffirmation agreements consistent with those delivered on the Restatement Effective Date under Section 4.01 (other than changes to such legal opinions resulting from a change in law, change in fact or change to counsel’s form of opinion reasonably satisfactory to the Administrative Agent). Each Class of Credit Agreement Refinancing Indebtedness incurred under this Section 2.19 shall be in an aggregate principal amount that is (x) not less than $25,000,000 in the case of Other Term Loans or $5,000,000 in the case of Other Revolving Loans and (y) an integral multiple of $1,000,000 in excess thereof in each case. Any Refinancing Amendment may provide for the issuance of Letters of Credit for the account of the Borrower pursuant to any Other Revolving Commitments established thereby, on terms substantially equivalent to the terms applicable to Letters of Credit under the Revolving Commitments.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Revolving Loans, Other Term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 to effect the provisions of this Section.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54" w:lineRule="exact"/>
        <w:rPr>
          <w:sz w:val="20"/>
          <w:szCs w:val="20"/>
          <w:color w:val="auto"/>
        </w:rPr>
      </w:pPr>
    </w:p>
    <w:p>
      <w:pPr>
        <w:jc w:val="both"/>
        <w:ind w:firstLine="644"/>
        <w:spacing w:after="0" w:line="268" w:lineRule="auto"/>
        <w:tabs>
          <w:tab w:leader="none" w:pos="945"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At any time after the Restatement Effective Date, the Borrower and any Lender may agree, by notice to the Administrative Agent (each such notice, an “</w:t>
      </w:r>
      <w:r>
        <w:rPr>
          <w:rFonts w:ascii="Arial" w:cs="Arial" w:eastAsia="Arial" w:hAnsi="Arial"/>
          <w:sz w:val="20"/>
          <w:szCs w:val="20"/>
          <w:b w:val="1"/>
          <w:bCs w:val="1"/>
          <w:color w:val="auto"/>
        </w:rPr>
        <w:t>Extension Notice</w:t>
      </w:r>
      <w:r>
        <w:rPr>
          <w:rFonts w:ascii="Arial" w:cs="Arial" w:eastAsia="Arial" w:hAnsi="Arial"/>
          <w:sz w:val="20"/>
          <w:szCs w:val="20"/>
          <w:color w:val="auto"/>
        </w:rPr>
        <w:t>”), to extend the maturity date of such Lender’s Revolving Commitments and/or Term Loans to the extended maturity date specified in such Extension Notice.</w:t>
      </w:r>
    </w:p>
    <w:p>
      <w:pPr>
        <w:spacing w:after="0" w:line="115" w:lineRule="exact"/>
        <w:rPr>
          <w:rFonts w:ascii="Arial" w:cs="Arial" w:eastAsia="Arial" w:hAnsi="Arial"/>
          <w:sz w:val="20"/>
          <w:szCs w:val="20"/>
          <w:color w:val="auto"/>
        </w:rPr>
      </w:pPr>
    </w:p>
    <w:p>
      <w:pPr>
        <w:ind w:left="920" w:hanging="276"/>
        <w:spacing w:after="0"/>
        <w:tabs>
          <w:tab w:leader="none" w:pos="92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This Section 2.19 shall supersede any provisions in Section 2.16 or Section 9.02 to the contrary.</w:t>
      </w:r>
    </w:p>
    <w:p>
      <w:pPr>
        <w:spacing w:after="0" w:line="169"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2.20. </w:t>
      </w:r>
      <w:r>
        <w:rPr>
          <w:rFonts w:ascii="Arial" w:cs="Arial" w:eastAsia="Arial" w:hAnsi="Arial"/>
          <w:sz w:val="21"/>
          <w:szCs w:val="21"/>
          <w:i w:val="1"/>
          <w:iCs w:val="1"/>
          <w:color w:val="auto"/>
        </w:rPr>
        <w:t>Illegality.</w:t>
      </w:r>
      <w:r>
        <w:rPr>
          <w:rFonts w:ascii="Arial" w:cs="Arial" w:eastAsia="Arial" w:hAnsi="Arial"/>
          <w:sz w:val="21"/>
          <w:szCs w:val="21"/>
          <w:color w:val="auto"/>
        </w:rPr>
        <w:t xml:space="preserve"> If any Lender determines that any law has made it unlawful, or that any Governmental Authority has asserted that it is unlawful, for any Lender to make, maintain or fund Loans whose interest is determined by reference to the Adjusted LIBO Rate, or to determine or charge interest rates based upon the Adjusted LIBO Rate, then, on notice thereof by such Lender to the Borrower through the Administrative Agent, (a) any obligation of such Lender to make or continue Eurodollar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6" w:name="page267"/>
    <w:bookmarkEnd w:id="266"/>
    <w:p>
      <w:pPr>
        <w:jc w:val="both"/>
        <w:spacing w:after="0" w:line="264" w:lineRule="auto"/>
        <w:rPr>
          <w:sz w:val="20"/>
          <w:szCs w:val="20"/>
          <w:color w:val="auto"/>
        </w:rPr>
      </w:pPr>
      <w:r>
        <w:rPr>
          <w:rFonts w:ascii="Arial" w:cs="Arial" w:eastAsia="Arial" w:hAnsi="Arial"/>
          <w:sz w:val="19"/>
          <w:szCs w:val="19"/>
          <w:color w:val="auto"/>
        </w:rPr>
        <w:t>Loans or to convert ABR Loans to Eurodollar Loans shall be suspended, and (b) if such notice asserts the illegality of such Lender making or maintaining ABR Loans the interest rate on which is determined by reference to the Adjusted LIBO Rate component of the Alternate Base Rate, the interest rate on such ABR Loans of such Lender shall, if necessary to avoid such illegality, be determined by the Administrative Agent without reference to the Adjusted LIBO Rate component of the Alternate Base Rate, in each case until such Lender notifies the Administrative Agent and the Borrower that the circumstances giving rise to such determination no longer exist. Upon receipt of such notice, (x) the Borrower shall, upon three Business Days’ notice from such Lender (with a copy to the Administrative Agent), prepay or, if applicable, convert all Eurodollar Loans of such Lender to ABR Loans (the interest rate on which ABR Loans of such Lender shall, if necessary to avoid such illegality, be determined by the Administrative Agent without reference to the Adjusted LIBO Rate component of the Alternate Base Rate), either on the last day of the Interest Period therefor, if such Lender may lawfully continue to maintain such Eurodollar Loans to such day, or immediately, if such Lender may not lawfully continue to maintain such Eurodollar Loans, and (y) if such notice asserts the illegality of such Lender determining or charging interest rates based upon the Adjusted LIBO Rate, the Administrative Agent shall during the period of such suspension compute the Alternate Base Rate applicable to such Lender without reference to the Adjusted LIBO Rate component thereof until the Administrative Agent is advised in writing by such Lender that it is no longer illegal for such Lender to determine or charge interest rates based upon the Adjusted LIBO Rate. Each Lender agrees to notify the Administrative Agent and the Borrower in writing promptly upon becoming aware that it is no longer illegal for such Lender to determine or charge interest rates based upon the Adjusted LIBO Rate. Upon any such prepayment or conversion, the Borrower shall also pay accrued interest on the amount so prepaid or converted.</w:t>
      </w:r>
    </w:p>
    <w:p>
      <w:pPr>
        <w:spacing w:after="0" w:line="143" w:lineRule="exact"/>
        <w:rPr>
          <w:sz w:val="20"/>
          <w:szCs w:val="20"/>
          <w:color w:val="auto"/>
        </w:rPr>
      </w:pPr>
    </w:p>
    <w:p>
      <w:pPr>
        <w:jc w:val="both"/>
        <w:ind w:left="640"/>
        <w:spacing w:after="0" w:line="250" w:lineRule="auto"/>
        <w:rPr>
          <w:sz w:val="20"/>
          <w:szCs w:val="20"/>
          <w:color w:val="auto"/>
        </w:rPr>
      </w:pPr>
      <w:r>
        <w:rPr>
          <w:rFonts w:ascii="Arial" w:cs="Arial" w:eastAsia="Arial" w:hAnsi="Arial"/>
          <w:sz w:val="21"/>
          <w:szCs w:val="21"/>
          <w:color w:val="auto"/>
        </w:rPr>
        <w:t xml:space="preserve">Section 2.21 Defaulting </w:t>
      </w:r>
      <w:r>
        <w:rPr>
          <w:rFonts w:ascii="Arial" w:cs="Arial" w:eastAsia="Arial" w:hAnsi="Arial"/>
          <w:sz w:val="21"/>
          <w:szCs w:val="21"/>
          <w:i w:val="1"/>
          <w:iCs w:val="1"/>
          <w:color w:val="auto"/>
        </w:rPr>
        <w:t>Lenders.</w:t>
      </w:r>
      <w:r>
        <w:rPr>
          <w:rFonts w:ascii="Arial" w:cs="Arial" w:eastAsia="Arial" w:hAnsi="Arial"/>
          <w:sz w:val="21"/>
          <w:szCs w:val="21"/>
          <w:color w:val="auto"/>
        </w:rPr>
        <w:t xml:space="preserve"> Notwithstanding any provision of this Agreement to the contrary, if any Lender becomes a Defaulting Lender, then the following provisions shall apply for so long as such Lender is a Defaulting Lender:</w:t>
      </w:r>
    </w:p>
    <w:p>
      <w:pPr>
        <w:spacing w:after="0" w:line="132" w:lineRule="exact"/>
        <w:rPr>
          <w:sz w:val="20"/>
          <w:szCs w:val="20"/>
          <w:color w:val="auto"/>
        </w:rPr>
      </w:pPr>
    </w:p>
    <w:p>
      <w:pPr>
        <w:jc w:val="both"/>
        <w:ind w:firstLine="644"/>
        <w:spacing w:after="0" w:line="250" w:lineRule="auto"/>
        <w:tabs>
          <w:tab w:leader="none" w:pos="942" w:val="left"/>
        </w:tabs>
        <w:numPr>
          <w:ilvl w:val="0"/>
          <w:numId w:val="150"/>
        </w:numPr>
        <w:rPr>
          <w:rFonts w:ascii="Arial" w:cs="Arial" w:eastAsia="Arial" w:hAnsi="Arial"/>
          <w:sz w:val="21"/>
          <w:szCs w:val="21"/>
          <w:color w:val="auto"/>
        </w:rPr>
      </w:pPr>
      <w:r>
        <w:rPr>
          <w:rFonts w:ascii="Arial" w:cs="Arial" w:eastAsia="Arial" w:hAnsi="Arial"/>
          <w:sz w:val="21"/>
          <w:szCs w:val="21"/>
          <w:color w:val="auto"/>
        </w:rPr>
        <w:t>fees shall cease to accrue on the unfunded portion of the Revolving Commitment of such Defaulting Lender pursuant to Section 2.10(c) (it being understood, for the avoidance of doubt, that the Borrower shall have no obligation to retroactively pay such fees after such Lender ceases to be a Defaulting Lender);</w:t>
      </w:r>
    </w:p>
    <w:p>
      <w:pPr>
        <w:spacing w:after="0" w:line="131" w:lineRule="exact"/>
        <w:rPr>
          <w:rFonts w:ascii="Arial" w:cs="Arial" w:eastAsia="Arial" w:hAnsi="Arial"/>
          <w:sz w:val="21"/>
          <w:szCs w:val="21"/>
          <w:color w:val="auto"/>
        </w:rPr>
      </w:pPr>
    </w:p>
    <w:p>
      <w:pPr>
        <w:jc w:val="both"/>
        <w:ind w:firstLine="644"/>
        <w:spacing w:after="0" w:line="243" w:lineRule="auto"/>
        <w:tabs>
          <w:tab w:leader="none" w:pos="978"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the Revolving Commitment and Revolving Exposure of such Defaulting Lender shall not be included in determining whether the Required Lenders or the Majority in Interest have taken or may take any action hereunder (including any consent to any amendment, waiver or other modification pursuant to Section 9.02);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clause (b) shall not apply to the vote of a Defaulting Lender in the case of an amendment, waiver or other modification requiring the consent of such Lender or each Lender affected thereby;</w:t>
      </w:r>
    </w:p>
    <w:p>
      <w:pPr>
        <w:spacing w:after="0" w:line="153" w:lineRule="exact"/>
        <w:rPr>
          <w:rFonts w:ascii="Arial" w:cs="Arial" w:eastAsia="Arial" w:hAnsi="Arial"/>
          <w:sz w:val="21"/>
          <w:szCs w:val="21"/>
          <w:color w:val="auto"/>
        </w:rPr>
      </w:pPr>
    </w:p>
    <w:p>
      <w:pPr>
        <w:jc w:val="both"/>
        <w:ind w:firstLine="644"/>
        <w:spacing w:after="0" w:line="268" w:lineRule="auto"/>
        <w:tabs>
          <w:tab w:leader="none" w:pos="931"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any payment of principal, interest, fees or other amounts received by the Administrative Agent for the account of such Defaulting Lender (whether voluntary or mandatory, at maturity, pursuant to Article 7 or otherwise) or received by the Administrative Agent from a Defaulting Lender pursuant to Article 8 shall be applied at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7" w:name="page268"/>
    <w:bookmarkEnd w:id="267"/>
    <w:p>
      <w:pPr>
        <w:jc w:val="both"/>
        <w:spacing w:after="0" w:line="264" w:lineRule="auto"/>
        <w:rPr>
          <w:sz w:val="20"/>
          <w:szCs w:val="20"/>
          <w:color w:val="auto"/>
        </w:rPr>
      </w:pPr>
      <w:r>
        <w:rPr>
          <w:rFonts w:ascii="Arial" w:cs="Arial" w:eastAsia="Arial" w:hAnsi="Arial"/>
          <w:sz w:val="19"/>
          <w:szCs w:val="19"/>
          <w:color w:val="auto"/>
        </w:rPr>
        <w:t xml:space="preserve">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third</w:t>
      </w:r>
      <w:r>
        <w:rPr>
          <w:rFonts w:ascii="Arial" w:cs="Arial" w:eastAsia="Arial" w:hAnsi="Arial"/>
          <w:sz w:val="19"/>
          <w:szCs w:val="19"/>
          <w:color w:val="auto"/>
        </w:rPr>
        <w:t xml:space="preserve">, if so determined by the Administrative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payment is a payment of the principal amount of any Loans or LC Disbursements in respect of which such Defaulting Lender has not fully funded its appropriate share, such payment shall be applied solely to pay the Loans of, and LC Disbursements owed to, all non-Defaulting Lenders on a pro rata basis prior to being applied to the payment of any Loans of, or LC Disbursements owed to, such Defaulting Lender until such time as all Loans are held by the Lenders pro rata in accordance with the Revolving Commitments. Any payments, prepayments or other amounts paid or payable to a Defaulting Lender that are applied (or held) to pay amounts owed by a Defaulting Lender or to post cash collateral pursuant to this Section 2.21(c) shall be deemed paid to and redirected by such Defaulting Lender, and each Lender irrevocably consents hereto;</w:t>
      </w:r>
    </w:p>
    <w:p>
      <w:pPr>
        <w:spacing w:after="0" w:line="143" w:lineRule="exact"/>
        <w:rPr>
          <w:sz w:val="20"/>
          <w:szCs w:val="20"/>
          <w:color w:val="auto"/>
        </w:rPr>
      </w:pPr>
    </w:p>
    <w:p>
      <w:pPr>
        <w:ind w:left="940" w:hanging="296"/>
        <w:spacing w:after="0"/>
        <w:tabs>
          <w:tab w:leader="none" w:pos="94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if any LC Exposure exists at the time such Lender becomes a Defaulting Lender then:</w:t>
      </w:r>
    </w:p>
    <w:p>
      <w:pPr>
        <w:spacing w:after="0" w:line="168" w:lineRule="exact"/>
        <w:rPr>
          <w:rFonts w:ascii="Arial" w:cs="Arial" w:eastAsia="Arial" w:hAnsi="Arial"/>
          <w:sz w:val="21"/>
          <w:szCs w:val="21"/>
          <w:color w:val="auto"/>
        </w:rPr>
      </w:pPr>
    </w:p>
    <w:p>
      <w:pPr>
        <w:jc w:val="both"/>
        <w:ind w:left="640" w:firstLine="639"/>
        <w:spacing w:after="0" w:line="242" w:lineRule="auto"/>
        <w:tabs>
          <w:tab w:leader="none" w:pos="1563" w:val="left"/>
        </w:tabs>
        <w:numPr>
          <w:ilvl w:val="1"/>
          <w:numId w:val="151"/>
        </w:numPr>
        <w:rPr>
          <w:rFonts w:ascii="Arial" w:cs="Arial" w:eastAsia="Arial" w:hAnsi="Arial"/>
          <w:sz w:val="21"/>
          <w:szCs w:val="21"/>
          <w:color w:val="auto"/>
        </w:rPr>
      </w:pPr>
      <w:r>
        <w:rPr>
          <w:rFonts w:ascii="Arial" w:cs="Arial" w:eastAsia="Arial" w:hAnsi="Arial"/>
          <w:sz w:val="21"/>
          <w:szCs w:val="21"/>
          <w:color w:val="auto"/>
        </w:rPr>
        <w:t xml:space="preserve">all or any part of the LC Exposure of such Defaulting Lender shall be reallocated among the non-Defaulting Lenders in accordance with their respective Applicable Percentage but only to the extent the sum of all non-Defaulting Lenders’ Revolving Exposure plus such Defaulting Lender’s LC Exposure does not exceed the total of all non-Defaulting Lenders’ Revolving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reallocation shall be given effect only if, at the date the applicable Lender becomes a Defaulting Lender, no Default or Event of Default exists;</w:t>
      </w:r>
    </w:p>
    <w:p>
      <w:pPr>
        <w:spacing w:after="0" w:line="139" w:lineRule="exact"/>
        <w:rPr>
          <w:rFonts w:ascii="Arial" w:cs="Arial" w:eastAsia="Arial" w:hAnsi="Arial"/>
          <w:sz w:val="21"/>
          <w:szCs w:val="21"/>
          <w:color w:val="auto"/>
        </w:rPr>
      </w:pPr>
    </w:p>
    <w:p>
      <w:pPr>
        <w:jc w:val="both"/>
        <w:ind w:left="640" w:firstLine="639"/>
        <w:spacing w:after="0" w:line="243" w:lineRule="auto"/>
        <w:tabs>
          <w:tab w:leader="none" w:pos="1597" w:val="left"/>
        </w:tabs>
        <w:numPr>
          <w:ilvl w:val="1"/>
          <w:numId w:val="151"/>
        </w:numPr>
        <w:rPr>
          <w:rFonts w:ascii="Arial" w:cs="Arial" w:eastAsia="Arial" w:hAnsi="Arial"/>
          <w:sz w:val="21"/>
          <w:szCs w:val="21"/>
          <w:color w:val="auto"/>
        </w:rPr>
      </w:pPr>
      <w:r>
        <w:rPr>
          <w:rFonts w:ascii="Arial" w:cs="Arial" w:eastAsia="Arial" w:hAnsi="Arial"/>
          <w:sz w:val="21"/>
          <w:szCs w:val="21"/>
          <w:color w:val="auto"/>
        </w:rPr>
        <w:t>if the reallocation described in clause (i) above cannot, or can only partially, be effected, the Borrower shall within one Business Day following notice by the Administrative Agent cash collateralize for the benefit of the Issuing Bank only the Borrower’s obligations corresponding to such Defaulting Lender’s LC Exposure (after giving effect to any partial reallocation pursuant to clause (i) above) in accordance with the procedures set forth in Section 2.22 for so long as such LC Exposure is outstanding;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8" w:name="page269"/>
    <w:bookmarkEnd w:id="268"/>
    <w:p>
      <w:pPr>
        <w:jc w:val="both"/>
        <w:ind w:left="640" w:firstLine="639"/>
        <w:spacing w:after="0" w:line="245" w:lineRule="auto"/>
        <w:tabs>
          <w:tab w:leader="none" w:pos="1661" w:val="left"/>
        </w:tabs>
        <w:numPr>
          <w:ilvl w:val="1"/>
          <w:numId w:val="152"/>
        </w:numPr>
        <w:rPr>
          <w:rFonts w:ascii="Arial" w:cs="Arial" w:eastAsia="Arial" w:hAnsi="Arial"/>
          <w:sz w:val="21"/>
          <w:szCs w:val="21"/>
          <w:color w:val="auto"/>
        </w:rPr>
      </w:pPr>
      <w:r>
        <w:rPr>
          <w:rFonts w:ascii="Arial" w:cs="Arial" w:eastAsia="Arial" w:hAnsi="Arial"/>
          <w:sz w:val="21"/>
          <w:szCs w:val="21"/>
          <w:color w:val="auto"/>
        </w:rPr>
        <w:t>if the Borrower cash collateralizes any portion of such Defaulting Lender’s LC Exposure pursuant to clause (ii) above, the Borrower shall not be required to pay any fees to such Defaulting Lender pursuant to Section 2.10(d) with respect to such Defaulting Lender’s LC Exposure during the period such Defaulting Lender’s LC Exposure is cash collateralized;</w:t>
      </w:r>
    </w:p>
    <w:p>
      <w:pPr>
        <w:spacing w:after="0" w:line="151" w:lineRule="exact"/>
        <w:rPr>
          <w:rFonts w:ascii="Arial" w:cs="Arial" w:eastAsia="Arial" w:hAnsi="Arial"/>
          <w:sz w:val="21"/>
          <w:szCs w:val="21"/>
          <w:color w:val="auto"/>
        </w:rPr>
      </w:pPr>
    </w:p>
    <w:p>
      <w:pPr>
        <w:jc w:val="both"/>
        <w:ind w:left="640" w:firstLine="639"/>
        <w:spacing w:after="0" w:line="250" w:lineRule="auto"/>
        <w:tabs>
          <w:tab w:leader="none" w:pos="1644" w:val="left"/>
        </w:tabs>
        <w:numPr>
          <w:ilvl w:val="1"/>
          <w:numId w:val="152"/>
        </w:numPr>
        <w:rPr>
          <w:rFonts w:ascii="Arial" w:cs="Arial" w:eastAsia="Arial" w:hAnsi="Arial"/>
          <w:sz w:val="21"/>
          <w:szCs w:val="21"/>
          <w:color w:val="auto"/>
        </w:rPr>
      </w:pPr>
      <w:r>
        <w:rPr>
          <w:rFonts w:ascii="Arial" w:cs="Arial" w:eastAsia="Arial" w:hAnsi="Arial"/>
          <w:sz w:val="21"/>
          <w:szCs w:val="21"/>
          <w:color w:val="auto"/>
        </w:rPr>
        <w:t>if the LC Exposure of the non-Defaulting Lenders is reallocated pursuant to clause (i) above, then the fees payable to the Lenders pursuant to Section 2.10(c) and Section 2.10(d) shall be adjusted in accordance with such non-Defaulting Lenders’ Applicable Percentage; and</w:t>
      </w:r>
    </w:p>
    <w:p>
      <w:pPr>
        <w:spacing w:after="0" w:line="131" w:lineRule="exact"/>
        <w:rPr>
          <w:rFonts w:ascii="Arial" w:cs="Arial" w:eastAsia="Arial" w:hAnsi="Arial"/>
          <w:sz w:val="21"/>
          <w:szCs w:val="21"/>
          <w:color w:val="auto"/>
        </w:rPr>
      </w:pPr>
    </w:p>
    <w:p>
      <w:pPr>
        <w:jc w:val="both"/>
        <w:ind w:left="640" w:firstLine="639"/>
        <w:spacing w:after="0" w:line="243" w:lineRule="auto"/>
        <w:tabs>
          <w:tab w:leader="none" w:pos="1637" w:val="left"/>
        </w:tabs>
        <w:numPr>
          <w:ilvl w:val="1"/>
          <w:numId w:val="152"/>
        </w:numPr>
        <w:rPr>
          <w:rFonts w:ascii="Arial" w:cs="Arial" w:eastAsia="Arial" w:hAnsi="Arial"/>
          <w:sz w:val="21"/>
          <w:szCs w:val="21"/>
          <w:color w:val="auto"/>
        </w:rPr>
      </w:pPr>
      <w:r>
        <w:rPr>
          <w:rFonts w:ascii="Arial" w:cs="Arial" w:eastAsia="Arial" w:hAnsi="Arial"/>
          <w:sz w:val="21"/>
          <w:szCs w:val="21"/>
          <w:color w:val="auto"/>
        </w:rPr>
        <w:t>if all or any portion of such Defaulting Lender’s LC Exposure is neither reallocated nor cash collateralized pursuant to clause (i) or (ii) above, then, without prejudice to any rights or remedies of the Issuing Bank or any other Lender hereunder, all fees payable under Section 2.10(d) with respect to such Defaulting Lender’s LC Exposure shall be payable to the Issuing Bank until and to the extent that such LC Exposure is reallocated and/or cash collateralized; and</w:t>
      </w:r>
    </w:p>
    <w:p>
      <w:pPr>
        <w:spacing w:after="0" w:line="140" w:lineRule="exact"/>
        <w:rPr>
          <w:rFonts w:ascii="Arial" w:cs="Arial" w:eastAsia="Arial" w:hAnsi="Arial"/>
          <w:sz w:val="21"/>
          <w:szCs w:val="21"/>
          <w:color w:val="auto"/>
        </w:rPr>
      </w:pPr>
    </w:p>
    <w:p>
      <w:pPr>
        <w:jc w:val="both"/>
        <w:ind w:firstLine="644"/>
        <w:spacing w:after="0" w:line="242" w:lineRule="auto"/>
        <w:tabs>
          <w:tab w:leader="none" w:pos="957" w:val="left"/>
        </w:tabs>
        <w:numPr>
          <w:ilvl w:val="0"/>
          <w:numId w:val="153"/>
        </w:numPr>
        <w:rPr>
          <w:rFonts w:ascii="Arial" w:cs="Arial" w:eastAsia="Arial" w:hAnsi="Arial"/>
          <w:sz w:val="21"/>
          <w:szCs w:val="21"/>
          <w:color w:val="auto"/>
        </w:rPr>
      </w:pPr>
      <w:r>
        <w:rPr>
          <w:rFonts w:ascii="Arial" w:cs="Arial" w:eastAsia="Arial" w:hAnsi="Arial"/>
          <w:sz w:val="21"/>
          <w:szCs w:val="21"/>
          <w:color w:val="auto"/>
        </w:rPr>
        <w:t>so long as such Lender is a Defaulting Lender, the Issuing Bank shall not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2.21(d), and participating interests in any newly issued or increased Letter of Credit shall be allocated among non-Defaulting Lenders in a manner consistent with Section 2.21(d)(i) (and such Defaulting Lender shall not participate therein).</w:t>
      </w:r>
    </w:p>
    <w:p>
      <w:pPr>
        <w:spacing w:after="0" w:line="153"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If (i) a Bankruptcy Event with respect to a Lender Parent of any Lender shall occur following the Restatement Effective Date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 or such Lender, satisfactory to the Issuing Bank to defease any risk to it in respect of such Lender hereunder.</w:t>
      </w:r>
    </w:p>
    <w:p>
      <w:pPr>
        <w:spacing w:after="0" w:line="140"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In the event that the Administrative Agent, the Borrower and the Issuing Bank each agrees that a Defaulting Lender has adequately remedied all matters that caused such Lender to be a Defaulting Lender, then the LC Exposure of the Lenders shall be readjusted to reflect the inclusion of such Lender’s Revolving Commitment and on such date such Lender shall purchase at par such of the Revolving Loans of the other Lenders as the Administrative Agent shall determine may be necessary in order for such Lender to hold such Revolving Loans in accordance with its Applicable Percentage.</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Section 2.22 Letters of Credit</w:t>
      </w:r>
      <w:r>
        <w:rPr>
          <w:rFonts w:ascii="Arial" w:cs="Arial" w:eastAsia="Arial" w:hAnsi="Arial"/>
          <w:sz w:val="21"/>
          <w:szCs w:val="21"/>
          <w:color w:val="auto"/>
        </w:rPr>
        <w:t>.</w:t>
      </w:r>
    </w:p>
    <w:p>
      <w:pPr>
        <w:spacing w:after="0" w:line="182" w:lineRule="exact"/>
        <w:rPr>
          <w:sz w:val="20"/>
          <w:szCs w:val="20"/>
          <w:color w:val="auto"/>
        </w:rPr>
      </w:pPr>
    </w:p>
    <w:p>
      <w:pPr>
        <w:jc w:val="both"/>
        <w:ind w:firstLine="644"/>
        <w:spacing w:after="0" w:line="250" w:lineRule="auto"/>
        <w:tabs>
          <w:tab w:leader="none" w:pos="923" w:val="left"/>
        </w:tabs>
        <w:numPr>
          <w:ilvl w:val="0"/>
          <w:numId w:val="154"/>
        </w:numPr>
        <w:rPr>
          <w:rFonts w:ascii="Arial" w:cs="Arial" w:eastAsia="Arial" w:hAnsi="Arial"/>
          <w:sz w:val="21"/>
          <w:szCs w:val="21"/>
          <w:color w:val="auto"/>
        </w:rPr>
      </w:pPr>
      <w:r>
        <w:rPr>
          <w:rFonts w:ascii="Arial" w:cs="Arial" w:eastAsia="Arial" w:hAnsi="Arial"/>
          <w:sz w:val="21"/>
          <w:szCs w:val="21"/>
          <w:i w:val="1"/>
          <w:iCs w:val="1"/>
          <w:color w:val="auto"/>
        </w:rPr>
        <w:t xml:space="preserve">LC Commitment. </w:t>
      </w:r>
      <w:r>
        <w:rPr>
          <w:rFonts w:ascii="Arial" w:cs="Arial" w:eastAsia="Arial" w:hAnsi="Arial"/>
          <w:sz w:val="21"/>
          <w:szCs w:val="21"/>
          <w:color w:val="auto"/>
        </w:rPr>
        <w:t>(i) Subject to the terms and conditions hereof, the Issuing Bank, in reliance on the agreements</w:t>
      </w:r>
      <w:r>
        <w:rPr>
          <w:rFonts w:ascii="Arial" w:cs="Arial" w:eastAsia="Arial" w:hAnsi="Arial"/>
          <w:sz w:val="21"/>
          <w:szCs w:val="21"/>
          <w:i w:val="1"/>
          <w:iCs w:val="1"/>
          <w:color w:val="auto"/>
        </w:rPr>
        <w:t xml:space="preserve"> </w:t>
      </w:r>
      <w:r>
        <w:rPr>
          <w:rFonts w:ascii="Arial" w:cs="Arial" w:eastAsia="Arial" w:hAnsi="Arial"/>
          <w:sz w:val="21"/>
          <w:szCs w:val="21"/>
          <w:color w:val="auto"/>
        </w:rPr>
        <w:t>of the other Revolving Lenders set forth in Section 2.22(c), agrees to issue letters of credit (“</w:t>
      </w:r>
      <w:r>
        <w:rPr>
          <w:rFonts w:ascii="Arial" w:cs="Arial" w:eastAsia="Arial" w:hAnsi="Arial"/>
          <w:sz w:val="21"/>
          <w:szCs w:val="21"/>
          <w:b w:val="1"/>
          <w:bCs w:val="1"/>
          <w:color w:val="auto"/>
        </w:rPr>
        <w:t>Letters of Credit</w:t>
      </w:r>
      <w:r>
        <w:rPr>
          <w:rFonts w:ascii="Arial" w:cs="Arial" w:eastAsia="Arial" w:hAnsi="Arial"/>
          <w:sz w:val="21"/>
          <w:szCs w:val="21"/>
          <w:color w:val="auto"/>
        </w:rPr>
        <w:t>”) for the account 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8">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69" w:name="page270"/>
    <w:bookmarkEnd w:id="269"/>
    <w:p>
      <w:pPr>
        <w:jc w:val="both"/>
        <w:spacing w:after="0" w:line="252" w:lineRule="auto"/>
        <w:rPr>
          <w:sz w:val="20"/>
          <w:szCs w:val="20"/>
          <w:color w:val="auto"/>
        </w:rPr>
      </w:pPr>
      <w:r>
        <w:rPr>
          <w:rFonts w:ascii="Arial" w:cs="Arial" w:eastAsia="Arial" w:hAnsi="Arial"/>
          <w:sz w:val="20"/>
          <w:szCs w:val="20"/>
          <w:color w:val="auto"/>
        </w:rPr>
        <w:t>the Borrower (or for the account of any Subsidiary so long as the Borrower and such Subsidiary are co-applicants in respect of such Letter of Credit) on any Business Day during the Revolving Availability Period in such form as may be approved from time to time by the Issuing Bank; provided that the Issuing Bank shall have no obligation to issue any Letter of Credit if, after giving effect to such issuance, (x) the LC Obligations would exceed the LC Commitment, (y) the aggregate amount of the Available Revolving Commitments would be less than zero or (z) subject to Section 9.04(b)(ii) (E), the Applicable Fronting Exposure of such Issuing Bank would exceed its Revolving Commitment. Each Letter of Credit shall, except as provided in Section 2.22(a)(ii) below, expire no later than the earlier of (A) the first anniversary of its date of issuance and (B) the date that is five Business Days prior to the Revolving Maturity Date, provided that any Letter of Credit with a one-year term may provide for the renewal thereof for additional one-year periods (which shall in no event extend beyond the date referred to in clause (B) above).</w:t>
      </w:r>
    </w:p>
    <w:p>
      <w:pPr>
        <w:spacing w:after="0" w:line="152" w:lineRule="exact"/>
        <w:rPr>
          <w:sz w:val="20"/>
          <w:szCs w:val="20"/>
          <w:color w:val="auto"/>
        </w:rPr>
      </w:pPr>
    </w:p>
    <w:p>
      <w:pPr>
        <w:jc w:val="both"/>
        <w:ind w:left="640" w:firstLine="639"/>
        <w:spacing w:after="0" w:line="254" w:lineRule="auto"/>
        <w:tabs>
          <w:tab w:leader="none" w:pos="160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If requested by the Borrower and if the Issuing Bank agrees, the Issuing Bank may issue one or more Letters of Credit hereunder, with expiry dates that would occur after the fifth (5th) Business Day prior to the Revolving Maturity Date, based upon the Borrower’s agreement to cash collateralize the LC Obligations in accordance with Section 2.22(h). If the Borrower fails to cash collateralize the outstanding LC Obligations in accordance with the requirements of Section 2.22(h), each outstanding Letter of Credit shall automatically be deemed to be drawn in full on such date and the reimbursement obligations of the Borrower set forth in Section 2.22(d) shall be deemed to apply and shall be construed such that the reimbursement obligation is to provide cash collateral in accordance with the requirements of Section 2.22(h).</w:t>
      </w:r>
    </w:p>
    <w:p>
      <w:pPr>
        <w:spacing w:after="0" w:line="129" w:lineRule="exact"/>
        <w:rPr>
          <w:rFonts w:ascii="Arial" w:cs="Arial" w:eastAsia="Arial" w:hAnsi="Arial"/>
          <w:sz w:val="20"/>
          <w:szCs w:val="20"/>
          <w:color w:val="auto"/>
        </w:rPr>
      </w:pPr>
    </w:p>
    <w:p>
      <w:pPr>
        <w:jc w:val="both"/>
        <w:ind w:left="640" w:firstLine="639"/>
        <w:spacing w:after="0" w:line="255" w:lineRule="auto"/>
        <w:tabs>
          <w:tab w:leader="none" w:pos="1676"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Borrower shall grant to the Administrative Agent for the benefit of the Issuing Bank and the Lenders, pursuant to a collateral agreement, a security interest in all cash, deposit accounts and all balances therein and all proceeds of the foregoing as required to be deposited pursuant to Section 2.22(a)(ii) or Section 2.22(h). Cash collateral shall be maintained in blocked, interest bearing deposit accounts at JPMorgan Chase Bank, N.A. (or any affiliate thereof) (the “</w:t>
      </w:r>
      <w:r>
        <w:rPr>
          <w:rFonts w:ascii="Arial" w:cs="Arial" w:eastAsia="Arial" w:hAnsi="Arial"/>
          <w:sz w:val="20"/>
          <w:szCs w:val="20"/>
          <w:b w:val="1"/>
          <w:bCs w:val="1"/>
          <w:color w:val="auto"/>
        </w:rPr>
        <w:t>LC Cash Collateral Account</w:t>
      </w:r>
      <w:r>
        <w:rPr>
          <w:rFonts w:ascii="Arial" w:cs="Arial" w:eastAsia="Arial" w:hAnsi="Arial"/>
          <w:sz w:val="20"/>
          <w:szCs w:val="20"/>
          <w:color w:val="auto"/>
        </w:rPr>
        <w:t>”). All interest on such cash collateral shall be paid to the Borrower upon the Borrower’s request, provided that such interest shall first be applied to all outstanding Obligations at such time and the balance shall be distributed to the Borrower.</w:t>
      </w:r>
    </w:p>
    <w:p>
      <w:pPr>
        <w:spacing w:after="0" w:line="128" w:lineRule="exact"/>
        <w:rPr>
          <w:rFonts w:ascii="Arial" w:cs="Arial" w:eastAsia="Arial" w:hAnsi="Arial"/>
          <w:sz w:val="20"/>
          <w:szCs w:val="20"/>
          <w:color w:val="auto"/>
        </w:rPr>
      </w:pPr>
    </w:p>
    <w:p>
      <w:pPr>
        <w:jc w:val="both"/>
        <w:ind w:left="640" w:firstLine="639"/>
        <w:spacing w:after="0" w:line="250" w:lineRule="auto"/>
        <w:tabs>
          <w:tab w:leader="none" w:pos="1631"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The Issuing Bank shall not at any time be obligated to issue any Letter of Credit if such issuance would conflict with, or cause the Issuing Bank or any LC Participant to exceed any limits imposed by, any applicable Requirement of Law.</w:t>
      </w:r>
    </w:p>
    <w:p>
      <w:pPr>
        <w:spacing w:after="0" w:line="144" w:lineRule="exact"/>
        <w:rPr>
          <w:rFonts w:ascii="Arial" w:cs="Arial" w:eastAsia="Arial" w:hAnsi="Arial"/>
          <w:sz w:val="21"/>
          <w:szCs w:val="21"/>
          <w:color w:val="auto"/>
        </w:rPr>
      </w:pPr>
    </w:p>
    <w:p>
      <w:pPr>
        <w:jc w:val="both"/>
        <w:ind w:firstLine="644"/>
        <w:spacing w:after="0" w:line="243" w:lineRule="auto"/>
        <w:tabs>
          <w:tab w:leader="none" w:pos="935" w:val="left"/>
        </w:tabs>
        <w:numPr>
          <w:ilvl w:val="0"/>
          <w:numId w:val="156"/>
        </w:numPr>
        <w:rPr>
          <w:rFonts w:ascii="Arial" w:cs="Arial" w:eastAsia="Arial" w:hAnsi="Arial"/>
          <w:sz w:val="21"/>
          <w:szCs w:val="21"/>
          <w:color w:val="auto"/>
        </w:rPr>
      </w:pPr>
      <w:r>
        <w:rPr>
          <w:rFonts w:ascii="Arial" w:cs="Arial" w:eastAsia="Arial" w:hAnsi="Arial"/>
          <w:sz w:val="21"/>
          <w:szCs w:val="21"/>
          <w:i w:val="1"/>
          <w:iCs w:val="1"/>
          <w:color w:val="auto"/>
        </w:rPr>
        <w:t xml:space="preserve">Procedure for Issuance of Letter of Credit. </w:t>
      </w:r>
      <w:r>
        <w:rPr>
          <w:rFonts w:ascii="Arial" w:cs="Arial" w:eastAsia="Arial" w:hAnsi="Arial"/>
          <w:sz w:val="21"/>
          <w:szCs w:val="21"/>
          <w:color w:val="auto"/>
        </w:rPr>
        <w:t>The Borrower may from time to time request that the Issuing Bank</w:t>
      </w:r>
      <w:r>
        <w:rPr>
          <w:rFonts w:ascii="Arial" w:cs="Arial" w:eastAsia="Arial" w:hAnsi="Arial"/>
          <w:sz w:val="21"/>
          <w:szCs w:val="21"/>
          <w:i w:val="1"/>
          <w:iCs w:val="1"/>
          <w:color w:val="auto"/>
        </w:rPr>
        <w:t xml:space="preserve"> </w:t>
      </w:r>
      <w:r>
        <w:rPr>
          <w:rFonts w:ascii="Arial" w:cs="Arial" w:eastAsia="Arial" w:hAnsi="Arial"/>
          <w:sz w:val="21"/>
          <w:szCs w:val="21"/>
          <w:color w:val="auto"/>
        </w:rPr>
        <w:t>issue a Letter of Credit by delivering to the Issuing Bank at its address for notices specified herein an Application therefor, completed to the satisfaction of the Issuing Bank, and such other certificates, documents and other papers and information as the Issuing Bank may reasonably request. Upon receipt of any Application, the Issuing Bank will process such Application and the certificates,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9">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0" w:name="page271"/>
    <w:bookmarkEnd w:id="270"/>
    <w:p>
      <w:pPr>
        <w:jc w:val="both"/>
        <w:spacing w:after="0" w:line="254" w:lineRule="auto"/>
        <w:rPr>
          <w:sz w:val="20"/>
          <w:szCs w:val="20"/>
          <w:color w:val="auto"/>
        </w:rPr>
      </w:pPr>
      <w:r>
        <w:rPr>
          <w:rFonts w:ascii="Arial" w:cs="Arial" w:eastAsia="Arial" w:hAnsi="Arial"/>
          <w:sz w:val="20"/>
          <w:szCs w:val="20"/>
          <w:color w:val="auto"/>
        </w:rPr>
        <w:t>documents and other papers and information delivered to it in connection therewith in accordance with its customary procedures and shall promptly issue the Letter of Credit requested thereby (but in no event shall the Issuing Bank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Issuing Bank and the Borrower. The Issuing Bank shall furnish a copy of such Letter of Credit to the Borrower promptly following the issuance thereof. The Issuing Bank shall promptly furnish to the Administrative Agent, which shall in turn promptly furnish to the Lenders, notice of the issuance of each Letter of Credit (including the amount thereof).</w:t>
      </w:r>
    </w:p>
    <w:p>
      <w:pPr>
        <w:spacing w:after="0" w:line="143" w:lineRule="exact"/>
        <w:rPr>
          <w:sz w:val="20"/>
          <w:szCs w:val="20"/>
          <w:color w:val="auto"/>
        </w:rPr>
      </w:pPr>
    </w:p>
    <w:p>
      <w:pPr>
        <w:jc w:val="both"/>
        <w:ind w:firstLine="644"/>
        <w:spacing w:after="0" w:line="265" w:lineRule="auto"/>
        <w:tabs>
          <w:tab w:leader="none" w:pos="936" w:val="left"/>
        </w:tabs>
        <w:numPr>
          <w:ilvl w:val="0"/>
          <w:numId w:val="157"/>
        </w:numPr>
        <w:rPr>
          <w:rFonts w:ascii="Arial" w:cs="Arial" w:eastAsia="Arial" w:hAnsi="Arial"/>
          <w:sz w:val="19"/>
          <w:szCs w:val="19"/>
          <w:color w:val="auto"/>
        </w:rPr>
      </w:pPr>
      <w:r>
        <w:rPr>
          <w:rFonts w:ascii="Arial" w:cs="Arial" w:eastAsia="Arial" w:hAnsi="Arial"/>
          <w:sz w:val="19"/>
          <w:szCs w:val="19"/>
          <w:i w:val="1"/>
          <w:iCs w:val="1"/>
          <w:color w:val="auto"/>
        </w:rPr>
        <w:t xml:space="preserve">LC Participation. </w:t>
      </w:r>
      <w:r>
        <w:rPr>
          <w:rFonts w:ascii="Arial" w:cs="Arial" w:eastAsia="Arial" w:hAnsi="Arial"/>
          <w:sz w:val="19"/>
          <w:szCs w:val="19"/>
          <w:color w:val="auto"/>
        </w:rPr>
        <w:t>(i) The Issuing Bank irrevocably agrees to grant and hereby grants to each LC Participant,</w:t>
      </w:r>
      <w:r>
        <w:rPr>
          <w:rFonts w:ascii="Arial" w:cs="Arial" w:eastAsia="Arial" w:hAnsi="Arial"/>
          <w:sz w:val="19"/>
          <w:szCs w:val="19"/>
          <w:i w:val="1"/>
          <w:iCs w:val="1"/>
          <w:color w:val="auto"/>
        </w:rPr>
        <w:t xml:space="preserve"> </w:t>
      </w:r>
      <w:r>
        <w:rPr>
          <w:rFonts w:ascii="Arial" w:cs="Arial" w:eastAsia="Arial" w:hAnsi="Arial"/>
          <w:sz w:val="19"/>
          <w:szCs w:val="19"/>
          <w:color w:val="auto"/>
        </w:rPr>
        <w:t>and, to induce the Issuing Bank to issue Letters of Credit, each LC Participant irrevocably agrees to accept and purchase and hereby accepts and purchases from the Issuing Bank, on the terms and conditions set forth below, for such LC Participant’s own account and risk an undivided interest equal to such LC Participant’s Applicable Percentage in the Issuing Bank’s obligations and rights under and in respect of each Letter of Credit and the amount of each draft paid by the Issuing Bank thereunder. Each LC Participant agrees with the Issuing Bank that, if a draft is paid under any Letter of Credit for which the Issuing Bank is not reimbursed in full by the Borrower in accordance with the terms of this Agreement (or in the event that any reimbursement received by the Issuing Bank shall be required to be returned by it at any time), such LC Participant shall pay to the Issuing Bank upon demand at the Issuing Bank’s address for notices specified herein an amount equal to such LC Participant’s Applicable Percentage of the amount that is not so reimbursed (or is so returned). Each LC Participant’s obligation to pay such amount shall be absolute and unconditional and shall not be affected by any circumstance, including (A) any setoff, counterclaim, recoupment, defense or other right that such LC Participant may have against the Issuing Bank, the Borrower or any other Person for any reason whatsoever, (B) the occurrence or continuance of a Default or an Event of Default or the failure to satisfy any of the other conditions specified in Section 4.02, (C) any adverse change in the condition (financial or otherwise) of the Borrower, (D) any breach of this Agreement or any other Loan Document by the Borrower, any other Loan Party or any other LC Participant or (E) any other circumstance, happening or event whatsoever, whether or not similar to any of the foregoing.</w:t>
      </w:r>
    </w:p>
    <w:p>
      <w:pPr>
        <w:spacing w:after="0" w:line="118" w:lineRule="exact"/>
        <w:rPr>
          <w:rFonts w:ascii="Arial" w:cs="Arial" w:eastAsia="Arial" w:hAnsi="Arial"/>
          <w:sz w:val="19"/>
          <w:szCs w:val="19"/>
          <w:color w:val="auto"/>
        </w:rPr>
      </w:pPr>
    </w:p>
    <w:p>
      <w:pPr>
        <w:jc w:val="both"/>
        <w:ind w:left="640" w:firstLine="639"/>
        <w:spacing w:after="0" w:line="253" w:lineRule="auto"/>
        <w:tabs>
          <w:tab w:leader="none" w:pos="1588" w:val="left"/>
        </w:tabs>
        <w:numPr>
          <w:ilvl w:val="1"/>
          <w:numId w:val="157"/>
        </w:numPr>
        <w:rPr>
          <w:rFonts w:ascii="Arial" w:cs="Arial" w:eastAsia="Arial" w:hAnsi="Arial"/>
          <w:sz w:val="20"/>
          <w:szCs w:val="20"/>
          <w:color w:val="auto"/>
        </w:rPr>
      </w:pPr>
      <w:r>
        <w:rPr>
          <w:rFonts w:ascii="Arial" w:cs="Arial" w:eastAsia="Arial" w:hAnsi="Arial"/>
          <w:sz w:val="20"/>
          <w:szCs w:val="20"/>
          <w:color w:val="auto"/>
        </w:rPr>
        <w:t>If any amount required to be paid by any LC Participant to the Issuing Bank pursuant to Section 2.22(c) in respect of any unreimbursed portion of any payment made by the Issuing Bank under any Letter of Credit is paid to the Issuing Bank within three Business Days after the date such payment is due, such LC Participant shall pay to the Issuing Bank on demand an amount equal to the product of (A) such amount, times (B) the daily average Federal Funds Effective Rate during the period from and including the date such payment is required to the date on which such payment is immediately available to the Issuing Bank, times (C) a fraction the numerator of which is the number of days that elapse during such period and the denominator of which is 360. If any such amount required to be paid by any LC Participant pursuant to Section 2.22(c) is not made available to the Issuing Bank by such LC Participant within three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1" w:name="page272"/>
    <w:bookmarkEnd w:id="271"/>
    <w:p>
      <w:pPr>
        <w:jc w:val="both"/>
        <w:ind w:left="640"/>
        <w:spacing w:after="0" w:line="261" w:lineRule="auto"/>
        <w:rPr>
          <w:sz w:val="20"/>
          <w:szCs w:val="20"/>
          <w:color w:val="auto"/>
        </w:rPr>
      </w:pPr>
      <w:r>
        <w:rPr>
          <w:rFonts w:ascii="Arial" w:cs="Arial" w:eastAsia="Arial" w:hAnsi="Arial"/>
          <w:sz w:val="20"/>
          <w:szCs w:val="20"/>
          <w:color w:val="auto"/>
        </w:rPr>
        <w:t>Business Days after the date such payment is due, the Issuing Bank shall be entitled to recover from such LC Participant, on demand, such amount with interest thereon calculated from such due date at the Applicable Rate to ABR Revolving Loans. A certificate of the Issuing Bank submitted to any LC Participant with respect to any amounts owing under this Section shall be conclusive in the absence of manifest error.</w:t>
      </w:r>
    </w:p>
    <w:p>
      <w:pPr>
        <w:spacing w:after="0" w:line="137" w:lineRule="exact"/>
        <w:rPr>
          <w:sz w:val="20"/>
          <w:szCs w:val="20"/>
          <w:color w:val="auto"/>
        </w:rPr>
      </w:pPr>
    </w:p>
    <w:p>
      <w:pPr>
        <w:jc w:val="both"/>
        <w:ind w:left="640" w:firstLine="639"/>
        <w:spacing w:after="0"/>
        <w:tabs>
          <w:tab w:leader="none" w:pos="1661" w:val="left"/>
        </w:tabs>
        <w:numPr>
          <w:ilvl w:val="1"/>
          <w:numId w:val="158"/>
        </w:numPr>
        <w:rPr>
          <w:rFonts w:ascii="Arial" w:cs="Arial" w:eastAsia="Arial" w:hAnsi="Arial"/>
          <w:sz w:val="21"/>
          <w:szCs w:val="21"/>
          <w:color w:val="auto"/>
        </w:rPr>
      </w:pPr>
      <w:r>
        <w:rPr>
          <w:rFonts w:ascii="Arial" w:cs="Arial" w:eastAsia="Arial" w:hAnsi="Arial"/>
          <w:sz w:val="21"/>
          <w:szCs w:val="21"/>
          <w:color w:val="auto"/>
        </w:rPr>
        <w:t xml:space="preserve">Whenever, at any time after the Issuing Bank has made payment under any Letter of Credit and has received from any LC Participant its pro rata share of such payment in accordance with Section 2.22(c), the Issuing Bank receives any payment related to such Letter of Credit (whether directly from the Borrower or otherwise, including proceeds of collateral applied thereto by the Issuing Bank), or any payment of interest on account thereof, the Issuing Bank will distribute to such LC Participant its pro rata share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in the event that any such payment received by the Issuing Bank shall be required to be returned by the Issuing Bank, such LC Participant shall return to the Issuing Bank the portion thereof previously distributed by the Issuing Bank to it.</w:t>
      </w:r>
    </w:p>
    <w:p>
      <w:pPr>
        <w:spacing w:after="0" w:line="145" w:lineRule="exact"/>
        <w:rPr>
          <w:rFonts w:ascii="Arial" w:cs="Arial" w:eastAsia="Arial" w:hAnsi="Arial"/>
          <w:sz w:val="21"/>
          <w:szCs w:val="21"/>
          <w:color w:val="auto"/>
        </w:rPr>
      </w:pPr>
    </w:p>
    <w:p>
      <w:pPr>
        <w:jc w:val="both"/>
        <w:ind w:firstLine="644"/>
        <w:spacing w:after="0" w:line="254" w:lineRule="auto"/>
        <w:tabs>
          <w:tab w:leader="none" w:pos="939" w:val="left"/>
        </w:tabs>
        <w:numPr>
          <w:ilvl w:val="0"/>
          <w:numId w:val="15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Reimbursement Obligations of the Borrower. </w:t>
      </w:r>
      <w:r>
        <w:rPr>
          <w:rFonts w:ascii="Arial" w:cs="Arial" w:eastAsia="Arial" w:hAnsi="Arial"/>
          <w:sz w:val="20"/>
          <w:szCs w:val="20"/>
          <w:color w:val="auto"/>
        </w:rPr>
        <w:t>If any draft is paid under any Letter of Credit, the Borrower shall</w:t>
      </w:r>
      <w:r>
        <w:rPr>
          <w:rFonts w:ascii="Arial" w:cs="Arial" w:eastAsia="Arial" w:hAnsi="Arial"/>
          <w:sz w:val="20"/>
          <w:szCs w:val="20"/>
          <w:i w:val="1"/>
          <w:iCs w:val="1"/>
          <w:color w:val="auto"/>
        </w:rPr>
        <w:t xml:space="preserve"> </w:t>
      </w:r>
      <w:r>
        <w:rPr>
          <w:rFonts w:ascii="Arial" w:cs="Arial" w:eastAsia="Arial" w:hAnsi="Arial"/>
          <w:sz w:val="20"/>
          <w:szCs w:val="20"/>
          <w:color w:val="auto"/>
        </w:rPr>
        <w:t>reimburse the Issuing Bank for the amount of (x) the draft so paid and (y) any taxes, fees, charges or other costs or expenses incurred by the Issuing Bank in connection with such payment, not later than 12:00 Noon, New York City time, on the Business Day immediately following the day that the Borrower receives such notice from the relevant Issuing Bank. Each such payment shall be made to the Issuing Bank at its address for notices referred to herein in Dollars and in immediately available funds. Interest shall be payable on any such amounts from the date on which the relevant draft is paid until payment in full at the rate set forth in (x) until the Business Day next succeeding the date of the relevant notice, Section 2.11(b) and (y) thereafter, Section 2.11(c).</w:t>
      </w:r>
    </w:p>
    <w:p>
      <w:pPr>
        <w:spacing w:after="0" w:line="129" w:lineRule="exact"/>
        <w:rPr>
          <w:rFonts w:ascii="Arial" w:cs="Arial" w:eastAsia="Arial" w:hAnsi="Arial"/>
          <w:sz w:val="20"/>
          <w:szCs w:val="20"/>
          <w:i w:val="1"/>
          <w:iCs w:val="1"/>
          <w:color w:val="auto"/>
        </w:rPr>
      </w:pPr>
    </w:p>
    <w:p>
      <w:pPr>
        <w:jc w:val="both"/>
        <w:ind w:firstLine="644"/>
        <w:spacing w:after="0" w:line="266" w:lineRule="auto"/>
        <w:tabs>
          <w:tab w:leader="none" w:pos="940" w:val="left"/>
        </w:tabs>
        <w:numPr>
          <w:ilvl w:val="0"/>
          <w:numId w:val="15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Obligations Absolute. </w:t>
      </w:r>
      <w:r>
        <w:rPr>
          <w:rFonts w:ascii="Arial" w:cs="Arial" w:eastAsia="Arial" w:hAnsi="Arial"/>
          <w:sz w:val="19"/>
          <w:szCs w:val="19"/>
          <w:color w:val="auto"/>
        </w:rPr>
        <w:t>The Borrower’s obligations under this Section 2.22(e) shall be absolute, unconditional</w:t>
      </w:r>
      <w:r>
        <w:rPr>
          <w:rFonts w:ascii="Arial" w:cs="Arial" w:eastAsia="Arial" w:hAnsi="Arial"/>
          <w:sz w:val="19"/>
          <w:szCs w:val="19"/>
          <w:i w:val="1"/>
          <w:iCs w:val="1"/>
          <w:color w:val="auto"/>
        </w:rPr>
        <w:t xml:space="preserve"> </w:t>
      </w:r>
      <w:r>
        <w:rPr>
          <w:rFonts w:ascii="Arial" w:cs="Arial" w:eastAsia="Arial" w:hAnsi="Arial"/>
          <w:sz w:val="19"/>
          <w:szCs w:val="19"/>
          <w:color w:val="auto"/>
        </w:rPr>
        <w:t>and irrevocable under any and all circumstances and irrespective of any setoff, counterclaim or defense to payment that the Borrower may have or have had against the Issuing Bank, any beneficiary of a Letter of Credit or any other Person. The Borrower also agrees with the Issuing Bank that the Issuing Bank shall not be responsible for, and the Borrower’s Reimbursement Obligations under Section 2.22(e)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or payment by the Issuing Bank under a Letter of Credit against presentation of a draft or other document that does not comply with the terms of such Letter of Credit or any other event or circumstance whatsoever, whether or not similar to any of the foregoing, that might, but for the provisions of this Section, constitute a legal or equitable discharge of, or provide a right of setoff against, the Borrower’s obligations hereunder. The Issuing Bank shall not be liable for any error, omission, interruption or delay in transmission, dispatch or delivery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2" w:name="page273"/>
    <w:bookmarkEnd w:id="272"/>
    <w:p>
      <w:pPr>
        <w:jc w:val="both"/>
        <w:spacing w:after="0" w:line="267" w:lineRule="auto"/>
        <w:rPr>
          <w:sz w:val="20"/>
          <w:szCs w:val="20"/>
          <w:color w:val="auto"/>
        </w:rPr>
      </w:pPr>
      <w:r>
        <w:rPr>
          <w:rFonts w:ascii="Arial" w:cs="Arial" w:eastAsia="Arial" w:hAnsi="Arial"/>
          <w:sz w:val="19"/>
          <w:szCs w:val="19"/>
          <w:color w:val="auto"/>
        </w:rPr>
        <w:t xml:space="preserve">of any message or advice, however transmitted, in connection with any Letter of Credit, except that the foregoing shall not be construed to excuse the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errors or omissions found by a final and nonappealable decision of a court of competent jurisdiction to have resulted from the gross negligence or willful misconduct of the Issuing Bank. The Borrower agrees that any action taken or omitted by the Issuing Bank under or in connection with any Letter of Credit or the related drafts or documents, if done in the absence of gross negligence or willful misconduct, shall be binding on the Borrower and shall not result in any liability of the Issuing Bank to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the Issuing Bank have any liability to any other Person for indirect, special, incidental, consequential or punitive damages (as opposed to direct or actual damages).</w:t>
      </w:r>
    </w:p>
    <w:p>
      <w:pPr>
        <w:spacing w:after="0" w:line="136" w:lineRule="exact"/>
        <w:rPr>
          <w:sz w:val="20"/>
          <w:szCs w:val="20"/>
          <w:color w:val="auto"/>
        </w:rPr>
      </w:pPr>
    </w:p>
    <w:p>
      <w:pPr>
        <w:jc w:val="both"/>
        <w:ind w:firstLine="644"/>
        <w:spacing w:after="0" w:line="242" w:lineRule="auto"/>
        <w:tabs>
          <w:tab w:leader="none" w:pos="903" w:val="left"/>
        </w:tabs>
        <w:numPr>
          <w:ilvl w:val="0"/>
          <w:numId w:val="160"/>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Letters of Credit Payment. </w:t>
      </w:r>
      <w:r>
        <w:rPr>
          <w:rFonts w:ascii="Arial" w:cs="Arial" w:eastAsia="Arial" w:hAnsi="Arial"/>
          <w:sz w:val="21"/>
          <w:szCs w:val="21"/>
          <w:color w:val="auto"/>
        </w:rPr>
        <w:t>If any draft shall be presented for payment under any Letter of Credit, the Issuing</w:t>
      </w:r>
      <w:r>
        <w:rPr>
          <w:rFonts w:ascii="Arial" w:cs="Arial" w:eastAsia="Arial" w:hAnsi="Arial"/>
          <w:sz w:val="21"/>
          <w:szCs w:val="21"/>
          <w:i w:val="1"/>
          <w:iCs w:val="1"/>
          <w:color w:val="auto"/>
        </w:rPr>
        <w:t xml:space="preserve"> </w:t>
      </w:r>
      <w:r>
        <w:rPr>
          <w:rFonts w:ascii="Arial" w:cs="Arial" w:eastAsia="Arial" w:hAnsi="Arial"/>
          <w:sz w:val="21"/>
          <w:szCs w:val="21"/>
          <w:color w:val="auto"/>
        </w:rPr>
        <w:t>Bank shall promptly notify the Borrower of the date and amount thereof. The responsibility of the Issuing Bank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39" w:lineRule="exact"/>
        <w:rPr>
          <w:rFonts w:ascii="Arial" w:cs="Arial" w:eastAsia="Arial" w:hAnsi="Arial"/>
          <w:sz w:val="21"/>
          <w:szCs w:val="21"/>
          <w:i w:val="1"/>
          <w:iCs w:val="1"/>
          <w:color w:val="auto"/>
        </w:rPr>
      </w:pPr>
    </w:p>
    <w:p>
      <w:pPr>
        <w:jc w:val="both"/>
        <w:ind w:firstLine="644"/>
        <w:spacing w:after="0" w:line="250" w:lineRule="auto"/>
        <w:tabs>
          <w:tab w:leader="none" w:pos="931" w:val="left"/>
        </w:tabs>
        <w:numPr>
          <w:ilvl w:val="0"/>
          <w:numId w:val="160"/>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Applications. </w:t>
      </w:r>
      <w:r>
        <w:rPr>
          <w:rFonts w:ascii="Arial" w:cs="Arial" w:eastAsia="Arial" w:hAnsi="Arial"/>
          <w:sz w:val="21"/>
          <w:szCs w:val="21"/>
          <w:color w:val="auto"/>
        </w:rPr>
        <w:t>To the extent that any provision of any Application or other agreement submitted by the Borrower</w:t>
      </w:r>
      <w:r>
        <w:rPr>
          <w:rFonts w:ascii="Arial" w:cs="Arial" w:eastAsia="Arial" w:hAnsi="Arial"/>
          <w:sz w:val="21"/>
          <w:szCs w:val="21"/>
          <w:i w:val="1"/>
          <w:iCs w:val="1"/>
          <w:color w:val="auto"/>
        </w:rPr>
        <w:t xml:space="preserve"> </w:t>
      </w:r>
      <w:r>
        <w:rPr>
          <w:rFonts w:ascii="Arial" w:cs="Arial" w:eastAsia="Arial" w:hAnsi="Arial"/>
          <w:sz w:val="21"/>
          <w:szCs w:val="21"/>
          <w:color w:val="auto"/>
        </w:rPr>
        <w:t>to, or entered into by the Borrower with, the applicable Issuing Bank related to any Letter of Credit is inconsistent with the provisions of this Agreement, the provisions of this Agreement shall apply.</w:t>
      </w:r>
    </w:p>
    <w:p>
      <w:pPr>
        <w:spacing w:after="0" w:line="131" w:lineRule="exact"/>
        <w:rPr>
          <w:rFonts w:ascii="Arial" w:cs="Arial" w:eastAsia="Arial" w:hAnsi="Arial"/>
          <w:sz w:val="21"/>
          <w:szCs w:val="21"/>
          <w:i w:val="1"/>
          <w:iCs w:val="1"/>
          <w:color w:val="auto"/>
        </w:rPr>
      </w:pPr>
    </w:p>
    <w:p>
      <w:pPr>
        <w:jc w:val="both"/>
        <w:ind w:firstLine="644"/>
        <w:spacing w:after="0" w:line="241" w:lineRule="auto"/>
        <w:tabs>
          <w:tab w:leader="none" w:pos="954" w:val="left"/>
        </w:tabs>
        <w:numPr>
          <w:ilvl w:val="0"/>
          <w:numId w:val="160"/>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Action in Respect of Letters of Credit. </w:t>
      </w:r>
      <w:r>
        <w:rPr>
          <w:rFonts w:ascii="Arial" w:cs="Arial" w:eastAsia="Arial" w:hAnsi="Arial"/>
          <w:sz w:val="21"/>
          <w:szCs w:val="21"/>
          <w:color w:val="auto"/>
        </w:rPr>
        <w:t>(i) Not later than the date that is ten (10) Business Days prior to the</w:t>
      </w:r>
      <w:r>
        <w:rPr>
          <w:rFonts w:ascii="Arial" w:cs="Arial" w:eastAsia="Arial" w:hAnsi="Arial"/>
          <w:sz w:val="21"/>
          <w:szCs w:val="21"/>
          <w:i w:val="1"/>
          <w:iCs w:val="1"/>
          <w:color w:val="auto"/>
        </w:rPr>
        <w:t xml:space="preserve"> </w:t>
      </w:r>
      <w:r>
        <w:rPr>
          <w:rFonts w:ascii="Arial" w:cs="Arial" w:eastAsia="Arial" w:hAnsi="Arial"/>
          <w:sz w:val="21"/>
          <w:szCs w:val="21"/>
          <w:color w:val="auto"/>
        </w:rPr>
        <w:t>Revolving Maturity Date, or at any time after the Revolving Maturity Date when the aggregate funds on deposit in the LC Cash Collateral Account shall be less than the amounts required herein, the Borrower shall pay to the Administrative Agent in immediately available funds, at the Administrative Agent’s office referred to in Section 9.01, for deposit in the LC Cash Collateral Account described in Section 2.22(a)(ii), the amount required so that, after such payment, the aggregate funds on deposit in the LC Cash Collateral Account are not less than 105% of the sum of all outstanding LC Obligations with an expiration date beyond the Revolving Maturity Date.</w:t>
      </w:r>
    </w:p>
    <w:p>
      <w:pPr>
        <w:spacing w:after="0" w:line="154" w:lineRule="exact"/>
        <w:rPr>
          <w:rFonts w:ascii="Arial" w:cs="Arial" w:eastAsia="Arial" w:hAnsi="Arial"/>
          <w:sz w:val="21"/>
          <w:szCs w:val="21"/>
          <w:i w:val="1"/>
          <w:iCs w:val="1"/>
          <w:color w:val="auto"/>
        </w:rPr>
      </w:pPr>
    </w:p>
    <w:p>
      <w:pPr>
        <w:jc w:val="both"/>
        <w:ind w:left="640" w:firstLine="639"/>
        <w:spacing w:after="0" w:line="242" w:lineRule="auto"/>
        <w:tabs>
          <w:tab w:leader="none" w:pos="1594" w:val="left"/>
        </w:tabs>
        <w:numPr>
          <w:ilvl w:val="1"/>
          <w:numId w:val="160"/>
        </w:numPr>
        <w:rPr>
          <w:rFonts w:ascii="Arial" w:cs="Arial" w:eastAsia="Arial" w:hAnsi="Arial"/>
          <w:sz w:val="21"/>
          <w:szCs w:val="21"/>
          <w:color w:val="auto"/>
        </w:rPr>
      </w:pPr>
      <w:r>
        <w:rPr>
          <w:rFonts w:ascii="Arial" w:cs="Arial" w:eastAsia="Arial" w:hAnsi="Arial"/>
          <w:sz w:val="21"/>
          <w:szCs w:val="21"/>
          <w:color w:val="auto"/>
        </w:rPr>
        <w:t>The Administrative Agent may, from time to time after funds are deposited in any LC Cash Collateral Account, apply funds then held in such LC Cash Collateral Account to the payment of any amounts, in accordance with the terms herein, as shall have become or shall become due and payable by the Borrower to the Issuing Bank or Lenders in respect of the LC Obligations. The Administrative Agent shall promptly give written notice of any such application; provided, however, that the failure to give such written notice shall not invalidate any such application.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3" w:name="page274"/>
    <w:bookmarkEnd w:id="273"/>
    <w:p>
      <w:pPr>
        <w:jc w:val="both"/>
        <w:ind w:firstLine="644"/>
        <w:spacing w:after="0" w:line="254" w:lineRule="auto"/>
        <w:tabs>
          <w:tab w:leader="none" w:pos="903" w:val="left"/>
        </w:tabs>
        <w:numPr>
          <w:ilvl w:val="0"/>
          <w:numId w:val="161"/>
        </w:numPr>
        <w:rPr>
          <w:rFonts w:ascii="Arial" w:cs="Arial" w:eastAsia="Arial" w:hAnsi="Arial"/>
          <w:sz w:val="20"/>
          <w:szCs w:val="20"/>
          <w:i w:val="1"/>
          <w:iCs w:val="1"/>
          <w:color w:val="auto"/>
        </w:rPr>
      </w:pPr>
      <w:r>
        <w:rPr>
          <w:rFonts w:ascii="Arial" w:cs="Arial" w:eastAsia="Arial" w:hAnsi="Arial"/>
          <w:sz w:val="20"/>
          <w:szCs w:val="20"/>
          <w:i w:val="1"/>
          <w:iCs w:val="1"/>
          <w:color w:val="auto"/>
        </w:rPr>
        <w:t>Designation of Additional Issuing Banks</w:t>
      </w:r>
      <w:r>
        <w:rPr>
          <w:rFonts w:ascii="Arial" w:cs="Arial" w:eastAsia="Arial" w:hAnsi="Arial"/>
          <w:sz w:val="20"/>
          <w:szCs w:val="20"/>
          <w:color w:val="auto"/>
        </w:rPr>
        <w:t>. The Borrower may, at any time and from time to time, designate as</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 Issuing Banks one or more Revolving Lenders that agree, in their sole discretion,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w:t>
      </w:r>
    </w:p>
    <w:p>
      <w:pPr>
        <w:spacing w:after="0" w:line="142" w:lineRule="exact"/>
        <w:rPr>
          <w:rFonts w:ascii="Arial" w:cs="Arial" w:eastAsia="Arial" w:hAnsi="Arial"/>
          <w:sz w:val="20"/>
          <w:szCs w:val="20"/>
          <w:i w:val="1"/>
          <w:iCs w:val="1"/>
          <w:color w:val="auto"/>
        </w:rPr>
      </w:pPr>
    </w:p>
    <w:p>
      <w:pPr>
        <w:jc w:val="both"/>
        <w:ind w:firstLine="644"/>
        <w:spacing w:after="0" w:line="252" w:lineRule="auto"/>
        <w:tabs>
          <w:tab w:leader="none" w:pos="925" w:val="left"/>
        </w:tabs>
        <w:numPr>
          <w:ilvl w:val="0"/>
          <w:numId w:val="161"/>
        </w:numPr>
        <w:rPr>
          <w:rFonts w:ascii="Arial" w:cs="Arial" w:eastAsia="Arial" w:hAnsi="Arial"/>
          <w:sz w:val="20"/>
          <w:szCs w:val="20"/>
          <w:i w:val="1"/>
          <w:iCs w:val="1"/>
          <w:color w:val="auto"/>
        </w:rPr>
      </w:pPr>
      <w:r>
        <w:rPr>
          <w:rFonts w:ascii="Arial" w:cs="Arial" w:eastAsia="Arial" w:hAnsi="Arial"/>
          <w:sz w:val="20"/>
          <w:szCs w:val="20"/>
          <w:i w:val="1"/>
          <w:iCs w:val="1"/>
          <w:color w:val="auto"/>
        </w:rPr>
        <w:t>Termination of an Issuing Bank</w:t>
      </w:r>
      <w:r>
        <w:rPr>
          <w:rFonts w:ascii="Arial" w:cs="Arial" w:eastAsia="Arial" w:hAnsi="Arial"/>
          <w:sz w:val="20"/>
          <w:szCs w:val="20"/>
          <w:color w:val="auto"/>
        </w:rPr>
        <w:t>. The Borrower may terminate the appointment of any Issuing Bank as an</w:t>
      </w:r>
      <w:r>
        <w:rPr>
          <w:rFonts w:ascii="Arial" w:cs="Arial" w:eastAsia="Arial" w:hAnsi="Arial"/>
          <w:sz w:val="20"/>
          <w:szCs w:val="20"/>
          <w:i w:val="1"/>
          <w:iCs w:val="1"/>
          <w:color w:val="auto"/>
        </w:rPr>
        <w:t xml:space="preserve"> </w:t>
      </w:r>
      <w:r>
        <w:rPr>
          <w:rFonts w:ascii="Arial" w:cs="Arial" w:eastAsia="Arial" w:hAnsi="Arial"/>
          <w:sz w:val="20"/>
          <w:szCs w:val="20"/>
          <w:color w:val="auto"/>
        </w:rPr>
        <w:t>“Issuing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delivery thereof; provided that no such termination shall become effective unless and until the LC Exposure attributable to Letters of Credit issued by such Issuing Bank (or its Affiliates) shall have been reduced to zero. At the time any such termination shall become effective, the Borrower shall pay all unpaid fees accrued for the account of the terminated Issuing Bank pursuant to Section 2.10(d).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spacing w:after="0" w:line="138" w:lineRule="exact"/>
        <w:rPr>
          <w:rFonts w:ascii="Arial" w:cs="Arial" w:eastAsia="Arial" w:hAnsi="Arial"/>
          <w:sz w:val="20"/>
          <w:szCs w:val="20"/>
          <w:i w:val="1"/>
          <w:iCs w:val="1"/>
          <w:color w:val="auto"/>
        </w:rPr>
      </w:pPr>
    </w:p>
    <w:p>
      <w:pPr>
        <w:jc w:val="both"/>
        <w:ind w:firstLine="644"/>
        <w:spacing w:after="0" w:line="266" w:lineRule="auto"/>
        <w:tabs>
          <w:tab w:leader="none" w:pos="932" w:val="left"/>
        </w:tabs>
        <w:numPr>
          <w:ilvl w:val="0"/>
          <w:numId w:val="161"/>
        </w:numPr>
        <w:rPr>
          <w:rFonts w:ascii="Arial" w:cs="Arial" w:eastAsia="Arial" w:hAnsi="Arial"/>
          <w:sz w:val="19"/>
          <w:szCs w:val="19"/>
          <w:i w:val="1"/>
          <w:iCs w:val="1"/>
          <w:color w:val="auto"/>
        </w:rPr>
      </w:pPr>
      <w:r>
        <w:rPr>
          <w:rFonts w:ascii="Arial" w:cs="Arial" w:eastAsia="Arial" w:hAnsi="Arial"/>
          <w:sz w:val="19"/>
          <w:szCs w:val="19"/>
          <w:i w:val="1"/>
          <w:iCs w:val="1"/>
          <w:color w:val="auto"/>
        </w:rPr>
        <w:t>Issuing Bank Reports to the Administrative Agent</w:t>
      </w:r>
      <w:r>
        <w:rPr>
          <w:rFonts w:ascii="Arial" w:cs="Arial" w:eastAsia="Arial" w:hAnsi="Arial"/>
          <w:sz w:val="19"/>
          <w:szCs w:val="19"/>
          <w:color w:val="auto"/>
        </w:rPr>
        <w:t>. Unless otherwise agreed by the Administrative Agent, each</w:t>
      </w:r>
      <w:r>
        <w:rPr>
          <w:rFonts w:ascii="Arial" w:cs="Arial" w:eastAsia="Arial" w:hAnsi="Arial"/>
          <w:sz w:val="19"/>
          <w:szCs w:val="19"/>
          <w:i w:val="1"/>
          <w:iCs w:val="1"/>
          <w:color w:val="auto"/>
        </w:rPr>
        <w:t xml:space="preserve"> </w:t>
      </w:r>
      <w:r>
        <w:rPr>
          <w:rFonts w:ascii="Arial" w:cs="Arial" w:eastAsia="Arial" w:hAnsi="Arial"/>
          <w:sz w:val="19"/>
          <w:szCs w:val="19"/>
          <w:color w:val="auto"/>
        </w:rPr>
        <w:t>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Business Days following the time that such Issuing Bank issues, amends, renews or extends any Letter of Credit, the date of such issuance, amendment, renewal or extension, and the currency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currency and amount of such LC Disbursement, (iv) on any Business Day on which the Borrower fails to reimburse an LC Disbursement required to be reimbursed to such Issuing Bank on such day, the date of such failure and the currency and amount of such LC Disbursement and (v) on any other Business Day, such other information as the Administrative Agent shall reasonably request as to the Letters of Credit issued by such Issuing Bank.</w:t>
      </w:r>
    </w:p>
    <w:p>
      <w:pPr>
        <w:spacing w:after="0" w:line="119" w:lineRule="exact"/>
        <w:rPr>
          <w:sz w:val="20"/>
          <w:szCs w:val="20"/>
          <w:color w:val="auto"/>
        </w:rPr>
      </w:pPr>
    </w:p>
    <w:p>
      <w:pPr>
        <w:ind w:left="640" w:firstLine="12"/>
        <w:spacing w:after="0" w:line="263" w:lineRule="auto"/>
        <w:rPr>
          <w:sz w:val="20"/>
          <w:szCs w:val="20"/>
          <w:color w:val="auto"/>
        </w:rPr>
      </w:pPr>
      <w:r>
        <w:rPr>
          <w:rFonts w:ascii="Arial" w:cs="Arial" w:eastAsia="Arial" w:hAnsi="Arial"/>
          <w:sz w:val="21"/>
          <w:szCs w:val="21"/>
          <w:color w:val="FF0000"/>
          <w:strike w:val="1"/>
        </w:rPr>
        <w:t xml:space="preserve">Section 2.23. </w:t>
      </w:r>
      <w:r>
        <w:rPr>
          <w:rFonts w:ascii="Arial" w:cs="Arial" w:eastAsia="Arial" w:hAnsi="Arial"/>
          <w:sz w:val="21"/>
          <w:szCs w:val="21"/>
          <w:i w:val="1"/>
          <w:iCs w:val="1"/>
          <w:color w:val="FF0000"/>
          <w:strike w:val="1"/>
        </w:rPr>
        <w:t>Reallocation of New Term Loans; Matters Relating to Repayments, Prepayment and Assignments of</w:t>
      </w:r>
      <w:r>
        <w:rPr>
          <w:rFonts w:ascii="Arial" w:cs="Arial" w:eastAsia="Arial" w:hAnsi="Arial"/>
          <w:sz w:val="21"/>
          <w:szCs w:val="21"/>
          <w:color w:val="FF0000"/>
          <w:strike w:val="1"/>
        </w:rPr>
        <w:t xml:space="preserve"> </w:t>
      </w:r>
      <w:r>
        <w:rPr>
          <w:rFonts w:ascii="Arial" w:cs="Arial" w:eastAsia="Arial" w:hAnsi="Arial"/>
          <w:sz w:val="21"/>
          <w:szCs w:val="21"/>
          <w:i w:val="1"/>
          <w:iCs w:val="1"/>
          <w:color w:val="FF0000"/>
          <w:strike w:val="1"/>
        </w:rPr>
        <w:t>New Term Loans.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4" w:name="page275"/>
    <w:bookmarkEnd w:id="274"/>
    <w:p>
      <w:pPr>
        <w:jc w:val="both"/>
        <w:ind w:firstLine="644"/>
        <w:spacing w:after="0" w:line="267" w:lineRule="auto"/>
        <w:tabs>
          <w:tab w:leader="none" w:pos="1030" w:val="left"/>
        </w:tabs>
        <w:numPr>
          <w:ilvl w:val="0"/>
          <w:numId w:val="162"/>
        </w:numPr>
        <w:rPr>
          <w:rFonts w:ascii="Arial" w:cs="Arial" w:eastAsia="Arial" w:hAnsi="Arial"/>
          <w:sz w:val="19"/>
          <w:szCs w:val="19"/>
          <w:i w:val="1"/>
          <w:iCs w:val="1"/>
          <w:color w:val="FF0000"/>
          <w:strike w:val="1"/>
        </w:rPr>
      </w:pPr>
      <w:r>
        <w:rPr>
          <w:rFonts w:ascii="Arial" w:cs="Arial" w:eastAsia="Arial" w:hAnsi="Arial"/>
          <w:sz w:val="19"/>
          <w:szCs w:val="19"/>
          <w:i w:val="1"/>
          <w:iCs w:val="1"/>
          <w:color w:val="FF0000"/>
          <w:strike w:val="1"/>
        </w:rPr>
        <w:t xml:space="preserve">Exchanges of New Term Loans </w:t>
      </w:r>
      <w:r>
        <w:rPr>
          <w:rFonts w:ascii="Arial" w:cs="Arial" w:eastAsia="Arial" w:hAnsi="Arial"/>
          <w:sz w:val="19"/>
          <w:szCs w:val="19"/>
          <w:color w:val="FF0000"/>
          <w:strike w:val="1"/>
        </w:rPr>
        <w:t>On the Escrow Assumption Date immediately following the Escrow</w:t>
      </w:r>
      <w:r>
        <w:rPr>
          <w:rFonts w:ascii="Arial" w:cs="Arial" w:eastAsia="Arial" w:hAnsi="Arial"/>
          <w:sz w:val="19"/>
          <w:szCs w:val="19"/>
          <w:i w:val="1"/>
          <w:iCs w:val="1"/>
          <w:color w:val="FF0000"/>
          <w:strike w:val="1"/>
        </w:rPr>
        <w:t xml:space="preserve"> </w:t>
      </w:r>
      <w:r>
        <w:rPr>
          <w:rFonts w:ascii="Arial" w:cs="Arial" w:eastAsia="Arial" w:hAnsi="Arial"/>
          <w:sz w:val="19"/>
          <w:szCs w:val="19"/>
          <w:color w:val="FF0000"/>
          <w:strike w:val="1"/>
        </w:rPr>
        <w:t>Assumption, the Initial Term Loans and the Escrow Term Loans of each Lender with any such New Term Loans shall be exchanged at par so that each Lender with any New Term Loans holds New Term Loans that were initially Initial Term Loans and New Term Loans that were initially Escrow Term Loans in the same proportion as each other Lender with New Term Loans. On each date on which any additional New Term Loans are incurred pursuant to any Incremental Term Facility Amendment, immediately following the incurrence, the Initial Term Loans, the Escrow Term Loans and the New Term Loans incurred pursuant to each Incremental Term Facility Amendment of each Lender with any such New Term Loans shall be exchanged at par so that each Lender with any New Term Loans holds New Term Loans that were initially Initial Term Loans, New Term Loans that were initially Escrow Term Loans and New Term Loans incurred pursuant to to each Incremental Term Facility Amendment in the same proportion as each other Lender with New Term Loans.</w:t>
      </w:r>
    </w:p>
    <w:p>
      <w:pPr>
        <w:spacing w:after="0" w:line="135" w:lineRule="exact"/>
        <w:rPr>
          <w:rFonts w:ascii="Arial" w:cs="Arial" w:eastAsia="Arial" w:hAnsi="Arial"/>
          <w:sz w:val="19"/>
          <w:szCs w:val="19"/>
          <w:i w:val="1"/>
          <w:iCs w:val="1"/>
          <w:color w:val="FF0000"/>
          <w:strike w:val="1"/>
        </w:rPr>
      </w:pPr>
    </w:p>
    <w:p>
      <w:pPr>
        <w:jc w:val="both"/>
        <w:ind w:firstLine="644"/>
        <w:spacing w:after="0" w:line="242" w:lineRule="auto"/>
        <w:tabs>
          <w:tab w:leader="none" w:pos="967" w:val="left"/>
        </w:tabs>
        <w:numPr>
          <w:ilvl w:val="0"/>
          <w:numId w:val="162"/>
        </w:numPr>
        <w:rPr>
          <w:rFonts w:ascii="Arial" w:cs="Arial" w:eastAsia="Arial" w:hAnsi="Arial"/>
          <w:sz w:val="21"/>
          <w:szCs w:val="21"/>
          <w:i w:val="1"/>
          <w:iCs w:val="1"/>
          <w:color w:val="FF0000"/>
          <w:strike w:val="1"/>
        </w:rPr>
      </w:pPr>
      <w:r>
        <w:rPr>
          <w:rFonts w:ascii="Arial" w:cs="Arial" w:eastAsia="Arial" w:hAnsi="Arial"/>
          <w:sz w:val="21"/>
          <w:szCs w:val="21"/>
          <w:i w:val="1"/>
          <w:iCs w:val="1"/>
          <w:color w:val="FF0000"/>
          <w:strike w:val="1"/>
        </w:rPr>
        <w:t>Repayments, Prepayments, Extensions and Assignments of New Term Loans</w:t>
      </w:r>
      <w:r>
        <w:rPr>
          <w:rFonts w:ascii="Arial" w:cs="Arial" w:eastAsia="Arial" w:hAnsi="Arial"/>
          <w:sz w:val="21"/>
          <w:szCs w:val="21"/>
          <w:color w:val="FF0000"/>
          <w:strike w:val="1"/>
        </w:rPr>
        <w:t>. From and after each exchange of</w:t>
      </w:r>
      <w:r>
        <w:rPr>
          <w:rFonts w:ascii="Arial" w:cs="Arial" w:eastAsia="Arial" w:hAnsi="Arial"/>
          <w:sz w:val="21"/>
          <w:szCs w:val="21"/>
          <w:i w:val="1"/>
          <w:iCs w:val="1"/>
          <w:color w:val="FF0000"/>
          <w:strike w:val="1"/>
        </w:rPr>
        <w:t xml:space="preserve"> </w:t>
      </w:r>
      <w:r>
        <w:rPr>
          <w:rFonts w:ascii="Arial" w:cs="Arial" w:eastAsia="Arial" w:hAnsi="Arial"/>
          <w:sz w:val="21"/>
          <w:szCs w:val="21"/>
          <w:color w:val="FF0000"/>
          <w:strike w:val="1"/>
        </w:rPr>
        <w:t>New Term Loans pursuant to clause (a) above, all repayments, prepayments, extensions and assignments of New Term Loans pursuant to this Agreement shall consist of a pro rata repayment, prepayment, extension or assignment, as applicable, of New Term Loans that were initially Initial Term Loans, New Term Loans that were initially Escrow Term Loans and New Term Loans that were initially New Term Loans under each previously effective Incremental Term Facility Amendment.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REPRESENTATIONS AND WARRANTIES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Each of Holdings and the Borrower represents and warrants to the Administrative Agent and each of the Lenders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that:</w:t>
      </w:r>
    </w:p>
    <w:p>
      <w:pPr>
        <w:spacing w:after="0" w:line="164" w:lineRule="exact"/>
        <w:rPr>
          <w:sz w:val="20"/>
          <w:szCs w:val="20"/>
          <w:color w:val="auto"/>
        </w:rPr>
      </w:pPr>
    </w:p>
    <w:p>
      <w:pPr>
        <w:jc w:val="both"/>
        <w:ind w:firstLine="635"/>
        <w:spacing w:after="0" w:line="25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Organization</w:t>
      </w:r>
      <w:r>
        <w:rPr>
          <w:rFonts w:ascii="Arial" w:cs="Arial" w:eastAsia="Arial" w:hAnsi="Arial"/>
          <w:sz w:val="20"/>
          <w:szCs w:val="20"/>
          <w:color w:val="auto"/>
        </w:rPr>
        <w:t xml:space="preserve">; </w:t>
      </w:r>
      <w:r>
        <w:rPr>
          <w:rFonts w:ascii="Arial" w:cs="Arial" w:eastAsia="Arial" w:hAnsi="Arial"/>
          <w:sz w:val="20"/>
          <w:szCs w:val="20"/>
          <w:i w:val="1"/>
          <w:iCs w:val="1"/>
          <w:color w:val="auto"/>
        </w:rPr>
        <w:t>Powers.</w:t>
      </w:r>
      <w:r>
        <w:rPr>
          <w:rFonts w:ascii="Arial" w:cs="Arial" w:eastAsia="Arial" w:hAnsi="Arial"/>
          <w:sz w:val="20"/>
          <w:szCs w:val="20"/>
          <w:color w:val="auto"/>
        </w:rPr>
        <w:t xml:space="preserve"> Each of Holdings, the Borrower and the Restricted Subsidiaries is duly organized, validly existing and in good standing (to the extent such concept exists in the relevant jurisdictions) under the laws of the jurisdiction of its organization, has the corporate or other organizational power and authority to carry on its business as now conducted and as proposed to be conducted and to execute, deliver and perform its obligations under each Loan Document to which it is a party and to effect the Transactions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28"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Authorization</w:t>
      </w:r>
      <w:r>
        <w:rPr>
          <w:rFonts w:ascii="Arial" w:cs="Arial" w:eastAsia="Arial" w:hAnsi="Arial"/>
          <w:sz w:val="20"/>
          <w:szCs w:val="20"/>
          <w:color w:val="auto"/>
        </w:rPr>
        <w:t xml:space="preserve">; </w:t>
      </w:r>
      <w:r>
        <w:rPr>
          <w:rFonts w:ascii="Arial" w:cs="Arial" w:eastAsia="Arial" w:hAnsi="Arial"/>
          <w:sz w:val="20"/>
          <w:szCs w:val="20"/>
          <w:i w:val="1"/>
          <w:iCs w:val="1"/>
          <w:color w:val="auto"/>
        </w:rPr>
        <w:t>Enforceability.</w:t>
      </w:r>
      <w:r>
        <w:rPr>
          <w:rFonts w:ascii="Arial" w:cs="Arial" w:eastAsia="Arial" w:hAnsi="Arial"/>
          <w:sz w:val="20"/>
          <w:szCs w:val="20"/>
          <w:color w:val="auto"/>
        </w:rPr>
        <w:t xml:space="preserve"> The Transactions to be entered into by each Loan Party have been duly authorized by all necessary corporate or other action and, if required, action by the holders of such Loan Party’s Equity Interests. This Agreement has been duly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5" w:name="page276"/>
    <w:bookmarkEnd w:id="275"/>
    <w:p>
      <w:pPr>
        <w:jc w:val="both"/>
        <w:spacing w:after="0" w:line="263" w:lineRule="auto"/>
        <w:rPr>
          <w:sz w:val="20"/>
          <w:szCs w:val="20"/>
          <w:color w:val="auto"/>
        </w:rPr>
      </w:pPr>
      <w:r>
        <w:rPr>
          <w:rFonts w:ascii="Arial" w:cs="Arial" w:eastAsia="Arial" w:hAnsi="Arial"/>
          <w:sz w:val="21"/>
          <w:szCs w:val="21"/>
          <w:color w:val="auto"/>
        </w:rPr>
        <w:t>insolvency, reorganization, moratorium or other laws affecting creditors’ rights generally and subject to general principles of equity, regardless of whether considered in a proceeding in equity or at law.</w:t>
      </w:r>
    </w:p>
    <w:p>
      <w:pPr>
        <w:spacing w:after="0" w:line="132" w:lineRule="exact"/>
        <w:rPr>
          <w:sz w:val="20"/>
          <w:szCs w:val="20"/>
          <w:color w:val="auto"/>
        </w:rPr>
      </w:pPr>
    </w:p>
    <w:p>
      <w:pPr>
        <w:jc w:val="both"/>
        <w:ind w:firstLine="635"/>
        <w:spacing w:after="0" w:line="251"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i w:val="1"/>
          <w:iCs w:val="1"/>
          <w:color w:val="auto"/>
        </w:rPr>
        <w:t>Governmental Approvals</w:t>
      </w:r>
      <w:r>
        <w:rPr>
          <w:rFonts w:ascii="Arial" w:cs="Arial" w:eastAsia="Arial" w:hAnsi="Arial"/>
          <w:sz w:val="20"/>
          <w:szCs w:val="20"/>
          <w:color w:val="auto"/>
        </w:rPr>
        <w:t xml:space="preserve">; </w:t>
      </w:r>
      <w:r>
        <w:rPr>
          <w:rFonts w:ascii="Arial" w:cs="Arial" w:eastAsia="Arial" w:hAnsi="Arial"/>
          <w:sz w:val="20"/>
          <w:szCs w:val="20"/>
          <w:i w:val="1"/>
          <w:iCs w:val="1"/>
          <w:color w:val="auto"/>
        </w:rPr>
        <w:t>No Conflicts.</w:t>
      </w:r>
      <w:r>
        <w:rPr>
          <w:rFonts w:ascii="Arial" w:cs="Arial" w:eastAsia="Arial" w:hAnsi="Arial"/>
          <w:sz w:val="20"/>
          <w:szCs w:val="20"/>
          <w:color w:val="auto"/>
        </w:rPr>
        <w:t xml:space="preserve"> The Transactions (a) do not require any consent or approval of, registration or filing with, or any other action by, any Governmental Authority or Regulatory Supervising Organization, except such as have been obtained or made and are in full force and effect and except filings necessary to perfect Liens created under the Loan Documents, (b) will not violate (i) the Organizational Documents of, or (ii) any Requirements of Law applicable to, Holdings, the Borrower or any Restricted Subsidiary, (A) will not violate or result in a default under any indenture or other agreement or instrument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(b)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as the case may be, individually or in the aggregate, could not reasonably be expected to have a Material Adverse Effect.</w:t>
      </w:r>
    </w:p>
    <w:p>
      <w:pPr>
        <w:spacing w:after="0" w:line="141" w:lineRule="exact"/>
        <w:rPr>
          <w:sz w:val="20"/>
          <w:szCs w:val="20"/>
          <w:color w:val="auto"/>
        </w:rPr>
      </w:pPr>
    </w:p>
    <w:p>
      <w:pPr>
        <w:jc w:val="both"/>
        <w:ind w:firstLine="635"/>
        <w:spacing w:after="0" w:line="258"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i w:val="1"/>
          <w:iCs w:val="1"/>
          <w:color w:val="auto"/>
        </w:rPr>
        <w:t>Financial Condition; No Material Adverse Effect</w:t>
      </w:r>
      <w:r>
        <w:rPr>
          <w:rFonts w:ascii="Arial" w:cs="Arial" w:eastAsia="Arial" w:hAnsi="Arial"/>
          <w:sz w:val="20"/>
          <w:szCs w:val="20"/>
          <w:color w:val="auto"/>
        </w:rPr>
        <w:t>. (a) The Audited Financial Statements (i) were prepared in accordance with GAAP consistently applied throughout the periods covered thereby, except as otherwise expressly noted therein and (ii) fairly present the financial condition of the Borrower and its consolidated Subsidiaries as of the date thereof and their results of operations for the periods covered thereby in accordance with GAAP consistently applied throughout the periods covered thereby, except as otherwise expressly noted therein.</w:t>
      </w:r>
    </w:p>
    <w:p>
      <w:pPr>
        <w:spacing w:after="0" w:line="126" w:lineRule="exact"/>
        <w:rPr>
          <w:sz w:val="20"/>
          <w:szCs w:val="20"/>
          <w:color w:val="auto"/>
        </w:rPr>
      </w:pPr>
    </w:p>
    <w:p>
      <w:pPr>
        <w:jc w:val="both"/>
        <w:ind w:firstLine="644"/>
        <w:spacing w:after="0" w:line="256" w:lineRule="auto"/>
        <w:tabs>
          <w:tab w:leader="none" w:pos="94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unaudited consolidated balance sheet dated March 31, 2017 of the Borrower and the related consolidated statements of income or operations, shareholders’ equity and cash flows for the fiscal quarter ended on that date (i) were prepared in accordance with GAAP consistently applied throughout the periods covered thereby, except as otherwise expressly noted therein and (ii) fairly present the financial condition of the Borrower and its consolidated Subsidiaries as of the date thereof and their results of operations for the periods covered thereby, subject, in the case of clauses (i) and (ii), to the absence of footnotes and to normal year-end audit adjustments.</w:t>
      </w:r>
    </w:p>
    <w:p>
      <w:pPr>
        <w:spacing w:after="0" w:line="142" w:lineRule="exact"/>
        <w:rPr>
          <w:rFonts w:ascii="Arial" w:cs="Arial" w:eastAsia="Arial" w:hAnsi="Arial"/>
          <w:sz w:val="20"/>
          <w:szCs w:val="20"/>
          <w:color w:val="auto"/>
        </w:rPr>
      </w:pPr>
    </w:p>
    <w:p>
      <w:pPr>
        <w:ind w:left="1000" w:hanging="292"/>
        <w:spacing w:after="0"/>
        <w:tabs>
          <w:tab w:leader="none" w:pos="100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[Reserved.]</w:t>
      </w:r>
    </w:p>
    <w:p>
      <w:pPr>
        <w:spacing w:after="0" w:line="168" w:lineRule="exact"/>
        <w:rPr>
          <w:rFonts w:ascii="Arial" w:cs="Arial" w:eastAsia="Arial" w:hAnsi="Arial"/>
          <w:sz w:val="21"/>
          <w:szCs w:val="21"/>
          <w:color w:val="auto"/>
        </w:rPr>
      </w:pPr>
    </w:p>
    <w:p>
      <w:pPr>
        <w:ind w:left="1000" w:hanging="292"/>
        <w:spacing w:after="0"/>
        <w:tabs>
          <w:tab w:leader="none" w:pos="100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Since December 31, 2016, there has been no Material Adverse Effect.</w:t>
      </w:r>
    </w:p>
    <w:p>
      <w:pPr>
        <w:spacing w:after="0" w:line="169"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Properties</w:t>
      </w:r>
      <w:r>
        <w:rPr>
          <w:rFonts w:ascii="Arial" w:cs="Arial" w:eastAsia="Arial" w:hAnsi="Arial"/>
          <w:sz w:val="21"/>
          <w:szCs w:val="21"/>
          <w:color w:val="auto"/>
        </w:rPr>
        <w:t>. (a) Each of Holdings, the Borrower and the Restricted Subsidiaries has good title to, or valid leasehold interests in, all its real and personal property material to its business, if any (including the Mortgaged Properties), (i) free and clear of all Liens except for Liens permitted by Section 6.02 and (ii) except for minor defects in title that do not interfere with its ability to conduct its business as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6" w:name="page277"/>
    <w:bookmarkEnd w:id="276"/>
    <w:p>
      <w:pPr>
        <w:jc w:val="both"/>
        <w:spacing w:after="0" w:line="250" w:lineRule="auto"/>
        <w:rPr>
          <w:sz w:val="20"/>
          <w:szCs w:val="20"/>
          <w:color w:val="auto"/>
        </w:rPr>
      </w:pPr>
      <w:r>
        <w:rPr>
          <w:rFonts w:ascii="Arial" w:cs="Arial" w:eastAsia="Arial" w:hAnsi="Arial"/>
          <w:sz w:val="21"/>
          <w:szCs w:val="21"/>
          <w:color w:val="auto"/>
        </w:rPr>
        <w:t>currently conducted or as proposed to be conducted or to utilize such properties for their intended purposes, in each case, except where the failure to do so could not reasonably be expected to have, individually or in the aggregate, a Material Adverse Effect.</w:t>
      </w:r>
    </w:p>
    <w:p>
      <w:pPr>
        <w:spacing w:after="0" w:line="145" w:lineRule="exact"/>
        <w:rPr>
          <w:sz w:val="20"/>
          <w:szCs w:val="20"/>
          <w:color w:val="auto"/>
        </w:rPr>
      </w:pPr>
    </w:p>
    <w:p>
      <w:pPr>
        <w:ind w:firstLine="644"/>
        <w:spacing w:after="0" w:line="316" w:lineRule="auto"/>
        <w:tabs>
          <w:tab w:leader="none" w:pos="933"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As of the Restatement Effective Date, after giving effect to the Transactions to be consummated on or prior to the Restatement Effective Date, none of Holdings, the Borrower or any Restricted Subsidiary owns any real property.</w:t>
      </w:r>
    </w:p>
    <w:p>
      <w:pPr>
        <w:spacing w:after="0" w:line="73"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i w:val="1"/>
          <w:iCs w:val="1"/>
          <w:color w:val="auto"/>
        </w:rPr>
        <w:t>Litigation and Environmental Matters</w:t>
      </w:r>
      <w:r>
        <w:rPr>
          <w:rFonts w:ascii="Arial" w:cs="Arial" w:eastAsia="Arial" w:hAnsi="Arial"/>
          <w:sz w:val="19"/>
          <w:szCs w:val="19"/>
          <w:color w:val="auto"/>
        </w:rPr>
        <w:t>. (a) Except for routine examinations conducted by a Regulatory Supervising Organization or Governmental Authority in the ordinary course of the business of the Borrower and its Subsidiaries, there is no claim, action, suit, investigation or proceeding pending against, or, to the knowledge of Holdings or the Borrower, threatened in writing against or affecting (i) Holdings, the Borrower or any Restricted Subsidiary or (ii) any officer, director or key employee of Holdings, the Borrower or any Restricted Subsidiary in their respective capacities in such positions, before (or, in the case of material threatened claims, actions, suits, investigations or proceedings, would be before) or by any Governmental Authority, Regulatory Supervising Organization or arbitrator that could reasonably be expected, individually or in the aggregate, to result in a Material Adverse Effect.</w:t>
      </w:r>
    </w:p>
    <w:p>
      <w:pPr>
        <w:spacing w:after="0" w:line="118" w:lineRule="exact"/>
        <w:rPr>
          <w:sz w:val="20"/>
          <w:szCs w:val="20"/>
          <w:color w:val="auto"/>
        </w:rPr>
      </w:pPr>
    </w:p>
    <w:p>
      <w:pPr>
        <w:jc w:val="both"/>
        <w:ind w:firstLine="644"/>
        <w:spacing w:after="0" w:line="255" w:lineRule="auto"/>
        <w:tabs>
          <w:tab w:leader="none" w:pos="94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Except with respect to any matters that, individually or in the aggregate, could not reasonably be expected to result in a Material Adverse Effect, none of Holdings, the Borrower or any Restricted Subsidiary (i) has failed to comply with any Environmental Law or to obtain, maintain or comply with any permit, license or other approval required under any Environmental Law, (ii) has, to the knowledge of Holdings or the Borrower, become subject to any Environmental Liability, (iii) has received written notice of any claim, allegation, investigation or order with respect to any Environmental Liability or (iv) has, to the knowledge of Holdings or the Borrower, any basis to reasonably expect that Holdings, the Borrower or any Restricted Subsidiary will become subject to any Environmental Liability.</w:t>
      </w:r>
    </w:p>
    <w:p>
      <w:pPr>
        <w:spacing w:after="0" w:line="142"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i w:val="1"/>
          <w:iCs w:val="1"/>
          <w:color w:val="auto"/>
        </w:rPr>
        <w:t>Compliance with Laws and Agreements</w:t>
      </w:r>
      <w:r>
        <w:rPr>
          <w:rFonts w:ascii="Arial" w:cs="Arial" w:eastAsia="Arial" w:hAnsi="Arial"/>
          <w:sz w:val="21"/>
          <w:szCs w:val="21"/>
          <w:color w:val="auto"/>
        </w:rPr>
        <w:t>. (a) Each of Holdings, the Borrower and its Restricted Subsidiaries is in compliance with (i) its Organizational Documents, (ii) all Requirements of Law applicable to it or its property and (iii) all indentures and other agreements and instruments binding upon it or its property, except, in the case of clauses (ii) and (iii) of this Section, where the failure to do so, individually or in the aggregate, could not reasonably be expected to result in a Material Adverse Effect.</w:t>
      </w:r>
    </w:p>
    <w:p>
      <w:pPr>
        <w:spacing w:after="0" w:line="140"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i w:val="1"/>
          <w:iCs w:val="1"/>
          <w:color w:val="auto"/>
        </w:rPr>
        <w:t>Investment Company Status.</w:t>
      </w:r>
      <w:r>
        <w:rPr>
          <w:rFonts w:ascii="Arial" w:cs="Arial" w:eastAsia="Arial" w:hAnsi="Arial"/>
          <w:sz w:val="21"/>
          <w:szCs w:val="21"/>
          <w:color w:val="auto"/>
        </w:rPr>
        <w:t xml:space="preserve"> No Loan Party is an “investment company” as defined in, or subject to regulation under, the Investment Company Act of 1940, as amended from time to time.</w:t>
      </w:r>
    </w:p>
    <w:p>
      <w:pPr>
        <w:spacing w:after="0" w:line="119"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i w:val="1"/>
          <w:iCs w:val="1"/>
          <w:color w:val="auto"/>
        </w:rPr>
        <w:t>Taxes.</w:t>
      </w:r>
      <w:r>
        <w:rPr>
          <w:rFonts w:ascii="Arial" w:cs="Arial" w:eastAsia="Arial" w:hAnsi="Arial"/>
          <w:sz w:val="21"/>
          <w:szCs w:val="21"/>
          <w:color w:val="auto"/>
        </w:rPr>
        <w:t xml:space="preserve"> Except as could not, individually or in the aggregate, reasonably be expected to have a Material Adverse Effect, Holdings, the Borrower and each Restricted Subsidiary (a) have timely filed or caused to be filed all Tax returns and reports required to have been filed and (b) have paid or caused to be paid all Taxes required to have been paid (whether or not shown on a Tax return) including in their capacity as tax withholding agents, except any Taxes (i) that are not overdue by more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7" w:name="page278"/>
    <w:bookmarkEnd w:id="277"/>
    <w:p>
      <w:pPr>
        <w:jc w:val="both"/>
        <w:spacing w:after="0" w:line="243" w:lineRule="auto"/>
        <w:rPr>
          <w:sz w:val="20"/>
          <w:szCs w:val="20"/>
          <w:color w:val="auto"/>
        </w:rPr>
      </w:pPr>
      <w:r>
        <w:rPr>
          <w:rFonts w:ascii="Arial" w:cs="Arial" w:eastAsia="Arial" w:hAnsi="Arial"/>
          <w:sz w:val="21"/>
          <w:szCs w:val="21"/>
          <w:color w:val="auto"/>
        </w:rPr>
        <w:t xml:space="preserve">than 30 days or (ii) that are being contested in good faith by appropriate proceedings,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Holdings, the Borrower or such Subsidiary, as the case may be, has set aside on its books adequate reserves therefor in accordance with GAAP. There are no audits, assessments, claims or other Tax proceedings against Holdings, the Borrower or any Restricted Subsidiary that could, individually or in the aggregate, reasonably be expected to have a Material Adverse Effect.</w:t>
      </w:r>
    </w:p>
    <w:p>
      <w:pPr>
        <w:spacing w:after="0" w:line="153" w:lineRule="exact"/>
        <w:rPr>
          <w:sz w:val="20"/>
          <w:szCs w:val="20"/>
          <w:color w:val="auto"/>
        </w:rPr>
      </w:pPr>
    </w:p>
    <w:p>
      <w:pPr>
        <w:jc w:val="both"/>
        <w:ind w:firstLine="635"/>
        <w:spacing w:after="0" w:line="250" w:lineRule="auto"/>
        <w:rPr>
          <w:sz w:val="20"/>
          <w:szCs w:val="20"/>
          <w:color w:val="auto"/>
        </w:rPr>
      </w:pPr>
      <w:r>
        <w:rPr>
          <w:rFonts w:ascii="Arial" w:cs="Arial" w:eastAsia="Arial" w:hAnsi="Arial"/>
          <w:sz w:val="21"/>
          <w:szCs w:val="21"/>
          <w:color w:val="auto"/>
        </w:rPr>
        <w:t xml:space="preserve">Section 3.10. </w:t>
      </w:r>
      <w:r>
        <w:rPr>
          <w:rFonts w:ascii="Arial" w:cs="Arial" w:eastAsia="Arial" w:hAnsi="Arial"/>
          <w:sz w:val="21"/>
          <w:szCs w:val="21"/>
          <w:i w:val="1"/>
          <w:iCs w:val="1"/>
          <w:color w:val="auto"/>
        </w:rPr>
        <w:t>ERISA</w:t>
      </w:r>
      <w:r>
        <w:rPr>
          <w:rFonts w:ascii="Arial" w:cs="Arial" w:eastAsia="Arial" w:hAnsi="Arial"/>
          <w:sz w:val="21"/>
          <w:szCs w:val="21"/>
          <w:color w:val="auto"/>
        </w:rPr>
        <w:t>. (a) Except as could not, individually or in the aggregate, reasonably be expected to result in a Material Adverse Effect, each Plan is in compliance with the applicable provisions of ERISA, the Code and other federal or state laws.</w:t>
      </w:r>
    </w:p>
    <w:p>
      <w:pPr>
        <w:spacing w:after="0" w:line="132" w:lineRule="exact"/>
        <w:rPr>
          <w:sz w:val="20"/>
          <w:szCs w:val="20"/>
          <w:color w:val="auto"/>
        </w:rPr>
      </w:pPr>
    </w:p>
    <w:p>
      <w:pPr>
        <w:jc w:val="both"/>
        <w:ind w:firstLine="644"/>
        <w:spacing w:after="0"/>
        <w:tabs>
          <w:tab w:leader="none" w:pos="953" w:val="left"/>
        </w:tabs>
        <w:numPr>
          <w:ilvl w:val="0"/>
          <w:numId w:val="166"/>
        </w:numPr>
        <w:rPr>
          <w:rFonts w:ascii="Arial" w:cs="Arial" w:eastAsia="Arial" w:hAnsi="Arial"/>
          <w:sz w:val="21"/>
          <w:szCs w:val="21"/>
          <w:color w:val="auto"/>
        </w:rPr>
      </w:pPr>
      <w:r>
        <w:rPr>
          <w:rFonts w:ascii="Arial" w:cs="Arial" w:eastAsia="Arial" w:hAnsi="Arial"/>
          <w:sz w:val="21"/>
          <w:szCs w:val="21"/>
          <w:color w:val="auto"/>
        </w:rPr>
        <w:t>Except as could not reasonably be expected, individually or in the aggregate, to result in a Material Adverse Effect, (i) no ERISA Event has occurred or is reasonably expected to occur, (ii) neither Borrower nor any ERISA Affiliate has incurred, or reasonably expects to incur, any liability under Title IV of ERISA with respect to any Plan (other than premiums due and not delinquent under Section 4007 of ERISA), (iii) neither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Borrower nor any ERISA Affiliate has engaged in a transaction that could be subject to Section 4069 or 4212(c) of ERISA.</w:t>
      </w:r>
    </w:p>
    <w:p>
      <w:pPr>
        <w:spacing w:after="0" w:line="145"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i w:val="1"/>
          <w:iCs w:val="1"/>
          <w:color w:val="auto"/>
        </w:rPr>
        <w:t>Disclosure.</w:t>
      </w:r>
      <w:r>
        <w:rPr>
          <w:rFonts w:ascii="Arial" w:cs="Arial" w:eastAsia="Arial" w:hAnsi="Arial"/>
          <w:sz w:val="19"/>
          <w:szCs w:val="19"/>
          <w:color w:val="auto"/>
        </w:rPr>
        <w:t xml:space="preserve"> Neither (a) the Information Materials as of the Restatement Effective Date nor (b) any of the other reports, financial statements, certificates or other written information furnished by or on behalf of any Loan Party to the Administrative Agent or any Lender in connection with the negotiation of any Loan Document or delivered thereunder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projected financial information, Holdings and the Borrower represent only that such information was prepared in good faith based upon assumptions believed by them to be reasonable at the time delivered and, if such projected financial information was delivered prior to the Restatement Effective Date in connection with the transactions consummated on the Restatement Effective Date, as of the Restatement Effective Date, it being understood that any such projected financial information may vary from actual results and such variations could be material.</w:t>
      </w:r>
    </w:p>
    <w:p>
      <w:pPr>
        <w:spacing w:after="0" w:line="131"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i w:val="1"/>
          <w:iCs w:val="1"/>
          <w:color w:val="auto"/>
        </w:rPr>
        <w:t>Subsidiaries.</w:t>
      </w:r>
      <w:r>
        <w:rPr>
          <w:rFonts w:ascii="Arial" w:cs="Arial" w:eastAsia="Arial" w:hAnsi="Arial"/>
          <w:sz w:val="21"/>
          <w:szCs w:val="21"/>
          <w:color w:val="auto"/>
        </w:rPr>
        <w:t xml:space="preserve"> As of the Restatement Effective Date, Schedule 3.12 sets forth the name of, and the ownership interest of Holdings, the Borrower and each Subsidiary in, each Subsidiary.</w:t>
      </w:r>
    </w:p>
    <w:p>
      <w:pPr>
        <w:spacing w:after="0" w:line="119"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i w:val="1"/>
          <w:iCs w:val="1"/>
          <w:color w:val="auto"/>
        </w:rPr>
        <w:t>Intellectual Property</w:t>
      </w:r>
      <w:r>
        <w:rPr>
          <w:rFonts w:ascii="Arial" w:cs="Arial" w:eastAsia="Arial" w:hAnsi="Arial"/>
          <w:sz w:val="21"/>
          <w:szCs w:val="21"/>
          <w:color w:val="auto"/>
        </w:rPr>
        <w:t xml:space="preserve">; </w:t>
      </w:r>
      <w:r>
        <w:rPr>
          <w:rFonts w:ascii="Arial" w:cs="Arial" w:eastAsia="Arial" w:hAnsi="Arial"/>
          <w:sz w:val="21"/>
          <w:szCs w:val="21"/>
          <w:i w:val="1"/>
          <w:iCs w:val="1"/>
          <w:color w:val="auto"/>
        </w:rPr>
        <w:t>Licenses, Etc.</w:t>
      </w:r>
      <w:r>
        <w:rPr>
          <w:rFonts w:ascii="Arial" w:cs="Arial" w:eastAsia="Arial" w:hAnsi="Arial"/>
          <w:sz w:val="21"/>
          <w:szCs w:val="21"/>
          <w:color w:val="auto"/>
        </w:rPr>
        <w:t xml:space="preserve"> Each of Holdings, the Borrower and the Restricted Subsidiaries owns, licenses or possesses the right to use all Intellectual Property that is reasonably necessary for the operation of its business as currently conducted, and, without conflict with the rights of any Person, except to the extent such conflicts, individually or in the aggregate, could not reasonably be expected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8" w:name="page279"/>
    <w:bookmarkEnd w:id="278"/>
    <w:p>
      <w:pPr>
        <w:jc w:val="both"/>
        <w:spacing w:after="0" w:line="242" w:lineRule="auto"/>
        <w:rPr>
          <w:sz w:val="20"/>
          <w:szCs w:val="20"/>
          <w:color w:val="auto"/>
        </w:rPr>
      </w:pPr>
      <w:r>
        <w:rPr>
          <w:rFonts w:ascii="Arial" w:cs="Arial" w:eastAsia="Arial" w:hAnsi="Arial"/>
          <w:sz w:val="21"/>
          <w:szCs w:val="21"/>
          <w:color w:val="auto"/>
        </w:rPr>
        <w:t>to have a Material Adverse Effect. None of Holdings, the Borrower or any Restricted Subsidiary, in the operation of its business as currently conducted, infringes upon any Intellectual Property rights held by any Person except for such infringements, individually or in the aggregate, which could not reasonably be expected to have a Material Adverse Effect. No claim or litigation regarding any Intellectual Property is pending or, to the knowledge of Holdings and the Borrower, threatened against Holdings, the Borrower or any Restricted Subsidiary, which, individually or in the aggregate, could reasonably be expected to have a Material Adverse Effect.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3.14. </w:t>
      </w:r>
      <w:r>
        <w:rPr>
          <w:rFonts w:ascii="Arial" w:cs="Arial" w:eastAsia="Arial" w:hAnsi="Arial"/>
          <w:sz w:val="21"/>
          <w:szCs w:val="21"/>
          <w:i w:val="1"/>
          <w:iCs w:val="1"/>
          <w:color w:val="auto"/>
        </w:rPr>
        <w:t>Solvency.</w:t>
      </w:r>
    </w:p>
    <w:p>
      <w:pPr>
        <w:spacing w:after="0" w:line="169" w:lineRule="exact"/>
        <w:rPr>
          <w:sz w:val="20"/>
          <w:szCs w:val="20"/>
          <w:color w:val="auto"/>
        </w:rPr>
      </w:pPr>
    </w:p>
    <w:p>
      <w:pPr>
        <w:ind w:firstLine="644"/>
        <w:spacing w:after="0" w:line="263" w:lineRule="auto"/>
        <w:tabs>
          <w:tab w:leader="none" w:pos="965" w:val="left"/>
        </w:tabs>
        <w:numPr>
          <w:ilvl w:val="0"/>
          <w:numId w:val="167"/>
        </w:numPr>
        <w:rPr>
          <w:rFonts w:ascii="Arial" w:cs="Arial" w:eastAsia="Arial" w:hAnsi="Arial"/>
          <w:sz w:val="21"/>
          <w:szCs w:val="21"/>
          <w:color w:val="auto"/>
        </w:rPr>
      </w:pPr>
      <w:r>
        <w:rPr>
          <w:rFonts w:ascii="Arial" w:cs="Arial" w:eastAsia="Arial" w:hAnsi="Arial"/>
          <w:sz w:val="21"/>
          <w:szCs w:val="21"/>
          <w:color w:val="auto"/>
        </w:rPr>
        <w:t>Immediately after the consummation of the Transactions to occur on the Restatement Effective Date, the Borrower and its Subsidiaries, taken as a whole, will not be Insolvent.</w:t>
      </w:r>
    </w:p>
    <w:p>
      <w:pPr>
        <w:spacing w:after="0" w:line="118" w:lineRule="exact"/>
        <w:rPr>
          <w:rFonts w:ascii="Arial" w:cs="Arial" w:eastAsia="Arial" w:hAnsi="Arial"/>
          <w:sz w:val="21"/>
          <w:szCs w:val="21"/>
          <w:color w:val="auto"/>
        </w:rPr>
      </w:pPr>
    </w:p>
    <w:p>
      <w:pPr>
        <w:ind w:firstLine="644"/>
        <w:spacing w:after="0" w:line="263" w:lineRule="auto"/>
        <w:tabs>
          <w:tab w:leader="none" w:pos="987" w:val="left"/>
        </w:tabs>
        <w:numPr>
          <w:ilvl w:val="0"/>
          <w:numId w:val="167"/>
        </w:numPr>
        <w:rPr>
          <w:rFonts w:ascii="Arial" w:cs="Arial" w:eastAsia="Arial" w:hAnsi="Arial"/>
          <w:sz w:val="21"/>
          <w:szCs w:val="21"/>
          <w:color w:val="auto"/>
        </w:rPr>
      </w:pPr>
      <w:r>
        <w:rPr>
          <w:rFonts w:ascii="Arial" w:cs="Arial" w:eastAsia="Arial" w:hAnsi="Arial"/>
          <w:sz w:val="21"/>
          <w:szCs w:val="21"/>
          <w:color w:val="auto"/>
        </w:rPr>
        <w:t>Immediately after the consummation of the Transactions to occur on the Escrow Assumption Date, the Borrower and its Subsidiaries, taken as a whole, will not be Insolvent.</w:t>
      </w:r>
    </w:p>
    <w:p>
      <w:pPr>
        <w:spacing w:after="0" w:line="132"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21"/>
          <w:szCs w:val="21"/>
          <w:color w:val="auto"/>
        </w:rPr>
        <w:t xml:space="preserve">Section 3.15. </w:t>
      </w:r>
      <w:r>
        <w:rPr>
          <w:rFonts w:ascii="Arial" w:cs="Arial" w:eastAsia="Arial" w:hAnsi="Arial"/>
          <w:sz w:val="21"/>
          <w:szCs w:val="21"/>
          <w:i w:val="1"/>
          <w:iCs w:val="1"/>
          <w:color w:val="auto"/>
        </w:rPr>
        <w:t>Senior Indebtedness.</w:t>
      </w:r>
      <w:r>
        <w:rPr>
          <w:rFonts w:ascii="Arial" w:cs="Arial" w:eastAsia="Arial" w:hAnsi="Arial"/>
          <w:sz w:val="21"/>
          <w:szCs w:val="21"/>
          <w:color w:val="auto"/>
        </w:rPr>
        <w:t xml:space="preserve"> The Loan Document Obligations constitute “Senior Indebtedness” (or any comparable term) under and as defined in the documentation governing any Junior Financing.</w:t>
      </w:r>
    </w:p>
    <w:p>
      <w:pPr>
        <w:spacing w:after="0" w:line="119"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 xml:space="preserve">Section 3.16. </w:t>
      </w:r>
      <w:r>
        <w:rPr>
          <w:rFonts w:ascii="Arial" w:cs="Arial" w:eastAsia="Arial" w:hAnsi="Arial"/>
          <w:sz w:val="21"/>
          <w:szCs w:val="21"/>
          <w:i w:val="1"/>
          <w:iCs w:val="1"/>
          <w:color w:val="auto"/>
        </w:rPr>
        <w:t>Federal Reserve Regulations</w:t>
      </w:r>
      <w:r>
        <w:rPr>
          <w:rFonts w:ascii="Arial" w:cs="Arial" w:eastAsia="Arial" w:hAnsi="Arial"/>
          <w:sz w:val="21"/>
          <w:szCs w:val="21"/>
          <w:color w:val="auto"/>
        </w:rPr>
        <w:t>. No part of the proceeds of the Loans will be used, directly or indirectly, to purchase or carry any margin stock or to refinance any Indebtedness originally incurred for such purpose, in each case, in a manner that entails a violation (including on the part of any Lender) of the provisions of Regulations U or X of the Board of Governors.</w:t>
      </w:r>
    </w:p>
    <w:p>
      <w:pPr>
        <w:spacing w:after="0" w:line="138" w:lineRule="exact"/>
        <w:rPr>
          <w:sz w:val="20"/>
          <w:szCs w:val="20"/>
          <w:color w:val="auto"/>
        </w:rPr>
      </w:pPr>
    </w:p>
    <w:p>
      <w:pPr>
        <w:jc w:val="both"/>
        <w:ind w:firstLine="635"/>
        <w:spacing w:after="0" w:line="258" w:lineRule="auto"/>
        <w:rPr>
          <w:sz w:val="20"/>
          <w:szCs w:val="20"/>
          <w:color w:val="auto"/>
        </w:rPr>
      </w:pPr>
      <w:r>
        <w:rPr>
          <w:rFonts w:ascii="Arial" w:cs="Arial" w:eastAsia="Arial" w:hAnsi="Arial"/>
          <w:sz w:val="20"/>
          <w:szCs w:val="20"/>
          <w:color w:val="auto"/>
        </w:rPr>
        <w:t xml:space="preserve">Section 3.17. </w:t>
      </w:r>
      <w:r>
        <w:rPr>
          <w:rFonts w:ascii="Arial" w:cs="Arial" w:eastAsia="Arial" w:hAnsi="Arial"/>
          <w:sz w:val="20"/>
          <w:szCs w:val="20"/>
          <w:i w:val="1"/>
          <w:iCs w:val="1"/>
          <w:color w:val="auto"/>
        </w:rPr>
        <w:t>Use of Proceeds.</w:t>
      </w:r>
      <w:r>
        <w:rPr>
          <w:rFonts w:ascii="Arial" w:cs="Arial" w:eastAsia="Arial" w:hAnsi="Arial"/>
          <w:sz w:val="20"/>
          <w:szCs w:val="20"/>
          <w:color w:val="auto"/>
        </w:rPr>
        <w:t xml:space="preserve"> (a) The </w:t>
      </w:r>
      <w:r>
        <w:rPr>
          <w:rFonts w:ascii="Arial" w:cs="Arial" w:eastAsia="Arial" w:hAnsi="Arial"/>
          <w:sz w:val="20"/>
          <w:szCs w:val="20"/>
          <w:color w:val="FF0000"/>
          <w:strike w:val="1"/>
        </w:rPr>
        <w:t>Borrower will use the</w:t>
      </w:r>
      <w:r>
        <w:rPr>
          <w:rFonts w:ascii="Arial" w:cs="Arial" w:eastAsia="Arial" w:hAnsi="Arial"/>
          <w:sz w:val="20"/>
          <w:szCs w:val="20"/>
          <w:color w:val="auto"/>
        </w:rPr>
        <w:t xml:space="preserve"> proceeds of the </w:t>
      </w:r>
      <w:r>
        <w:rPr>
          <w:rFonts w:ascii="Arial" w:cs="Arial" w:eastAsia="Arial" w:hAnsi="Arial"/>
          <w:sz w:val="20"/>
          <w:szCs w:val="20"/>
          <w:color w:val="FF0000"/>
          <w:strike w:val="1"/>
        </w:rPr>
        <w:t>Initial</w:t>
      </w:r>
      <w:r>
        <w:rPr>
          <w:rFonts w:ascii="Arial" w:cs="Arial" w:eastAsia="Arial" w:hAnsi="Arial"/>
          <w:sz w:val="20"/>
          <w:szCs w:val="20"/>
          <w:color w:val="auto"/>
        </w:rPr>
        <w:t xml:space="preserve"> Term </w:t>
      </w:r>
      <w:r>
        <w:rPr>
          <w:rFonts w:ascii="Arial" w:cs="Arial" w:eastAsia="Arial" w:hAnsi="Arial"/>
          <w:sz w:val="20"/>
          <w:szCs w:val="20"/>
          <w:color w:val="0000FF"/>
        </w:rPr>
        <w:t>B-1</w:t>
      </w:r>
      <w:r>
        <w:rPr>
          <w:rFonts w:ascii="Arial" w:cs="Arial" w:eastAsia="Arial" w:hAnsi="Arial"/>
          <w:sz w:val="20"/>
          <w:szCs w:val="20"/>
          <w:color w:val="auto"/>
        </w:rPr>
        <w:t xml:space="preserve"> Loans </w:t>
      </w:r>
      <w:r>
        <w:rPr>
          <w:rFonts w:ascii="Arial" w:cs="Arial" w:eastAsia="Arial" w:hAnsi="Arial"/>
          <w:sz w:val="20"/>
          <w:szCs w:val="20"/>
          <w:u w:val="single" w:color="auto"/>
          <w:color w:val="0000FF"/>
        </w:rPr>
        <w:t>received</w:t>
      </w:r>
      <w:r>
        <w:rPr>
          <w:rFonts w:ascii="Arial" w:cs="Arial" w:eastAsia="Arial" w:hAnsi="Arial"/>
          <w:sz w:val="20"/>
          <w:szCs w:val="20"/>
          <w:color w:val="auto"/>
        </w:rPr>
        <w:t xml:space="preserve"> on the </w:t>
      </w:r>
      <w:r>
        <w:rPr>
          <w:rFonts w:ascii="Arial" w:cs="Arial" w:eastAsia="Arial" w:hAnsi="Arial"/>
          <w:sz w:val="20"/>
          <w:szCs w:val="20"/>
          <w:color w:val="FF0000"/>
          <w:strike w:val="1"/>
        </w:rPr>
        <w:t>Restatement Effective Date (i) to consummate the Restatement Effective Date Refinancing, (ii)</w:t>
      </w:r>
      <w:r>
        <w:rPr>
          <w:rFonts w:ascii="Arial" w:cs="Arial" w:eastAsia="Arial" w:hAnsi="Arial"/>
          <w:sz w:val="20"/>
          <w:szCs w:val="20"/>
          <w:u w:val="single" w:color="auto"/>
          <w:color w:val="0000FF"/>
        </w:rPr>
        <w:t>Amendment No. 1</w:t>
      </w:r>
      <w:r>
        <w:rPr>
          <w:rFonts w:ascii="Arial" w:cs="Arial" w:eastAsia="Arial" w:hAnsi="Arial"/>
          <w:sz w:val="20"/>
          <w:szCs w:val="20"/>
          <w:color w:val="auto"/>
        </w:rPr>
        <w:t xml:space="preserve"> </w:t>
      </w:r>
      <w:r>
        <w:rPr>
          <w:rFonts w:ascii="Arial" w:cs="Arial" w:eastAsia="Arial" w:hAnsi="Arial"/>
          <w:sz w:val="20"/>
          <w:szCs w:val="20"/>
          <w:u w:val="single" w:color="auto"/>
          <w:color w:val="0000FF"/>
        </w:rPr>
        <w:t>Effective Date shall not be used for any purpose other than to repay a portion of the New Term Loans outstanding on the Amendment No. 1 Effective Date and</w:t>
      </w:r>
      <w:r>
        <w:rPr>
          <w:rFonts w:ascii="Arial" w:cs="Arial" w:eastAsia="Arial" w:hAnsi="Arial"/>
          <w:sz w:val="20"/>
          <w:szCs w:val="20"/>
          <w:color w:val="0000FF"/>
        </w:rPr>
        <w:t xml:space="preserve"> </w:t>
      </w:r>
      <w:r>
        <w:rPr>
          <w:rFonts w:ascii="Arial" w:cs="Arial" w:eastAsia="Arial" w:hAnsi="Arial"/>
          <w:sz w:val="20"/>
          <w:szCs w:val="20"/>
          <w:color w:val="000000"/>
        </w:rPr>
        <w:t>to pay fees and expenses in connection therewith</w:t>
      </w:r>
      <w:r>
        <w:rPr>
          <w:rFonts w:ascii="Arial" w:cs="Arial" w:eastAsia="Arial" w:hAnsi="Arial"/>
          <w:sz w:val="20"/>
          <w:szCs w:val="20"/>
          <w:color w:val="0000FF"/>
        </w:rPr>
        <w:t xml:space="preserve"> </w:t>
      </w:r>
      <w:r>
        <w:rPr>
          <w:rFonts w:ascii="Arial" w:cs="Arial" w:eastAsia="Arial" w:hAnsi="Arial"/>
          <w:sz w:val="20"/>
          <w:szCs w:val="20"/>
          <w:color w:val="FF0000"/>
          <w:strike w:val="1"/>
        </w:rPr>
        <w:t>aned (iii) to the extent such</w:t>
      </w:r>
      <w:r>
        <w:rPr>
          <w:rFonts w:ascii="Arial" w:cs="Arial" w:eastAsia="Arial" w:hAnsi="Arial"/>
          <w:sz w:val="20"/>
          <w:szCs w:val="20"/>
          <w:color w:val="0000FF"/>
        </w:rPr>
        <w:t xml:space="preserve"> </w:t>
      </w:r>
      <w:r>
        <w:rPr>
          <w:rFonts w:ascii="Arial" w:cs="Arial" w:eastAsia="Arial" w:hAnsi="Arial"/>
          <w:sz w:val="20"/>
          <w:szCs w:val="20"/>
          <w:color w:val="FF0000"/>
          <w:strike w:val="1"/>
        </w:rPr>
        <w:t>proceeds remain after application under clauses (i) and (ii), for working capital and general corporate purposes</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5322570</wp:posOffset>
            </wp:positionH>
            <wp:positionV relativeFrom="paragraph">
              <wp:posOffset>-628015</wp:posOffset>
            </wp:positionV>
            <wp:extent cx="24384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8">
                      <a:extLst>
                        <a:ext uri="{28A0092B-C50C-407E-A947-70E740481C1C}"/>
                      </a:extLst>
                    </a:blip>
                    <a:srcRect/>
                    <a:stretch>
                      <a:fillRect/>
                    </a:stretch>
                  </pic:blipFill>
                  <pic:spPr bwMode="auto">
                    <a:xfrm>
                      <a:off x="0" y="0"/>
                      <a:ext cx="243840" cy="25400"/>
                    </a:xfrm>
                    <a:prstGeom prst="rect">
                      <a:avLst/>
                    </a:prstGeom>
                    <a:noFill/>
                  </pic:spPr>
                </pic:pic>
              </a:graphicData>
            </a:graphic>
          </wp:anchor>
        </w:drawing>
      </w:r>
    </w:p>
    <w:p>
      <w:pPr>
        <w:spacing w:after="0" w:line="120" w:lineRule="exact"/>
        <w:rPr>
          <w:sz w:val="20"/>
          <w:szCs w:val="20"/>
          <w:color w:val="auto"/>
        </w:rPr>
      </w:pPr>
    </w:p>
    <w:p>
      <w:pPr>
        <w:jc w:val="both"/>
        <w:ind w:firstLine="644"/>
        <w:spacing w:after="0" w:line="250" w:lineRule="auto"/>
        <w:tabs>
          <w:tab w:leader="none" w:pos="937"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Borrower and its Restricted Subsidiaries will use the proceeds of borrowings under the Revolving Facility and the Letters of Credit issued hereunder for working capital and other general corporate purposes, including the financing of Permitted Acquisitions.</w:t>
      </w:r>
    </w:p>
    <w:p>
      <w:pPr>
        <w:spacing w:after="0" w:line="132" w:lineRule="exact"/>
        <w:rPr>
          <w:sz w:val="20"/>
          <w:szCs w:val="20"/>
          <w:color w:val="auto"/>
        </w:rPr>
      </w:pPr>
    </w:p>
    <w:p>
      <w:pPr>
        <w:jc w:val="both"/>
        <w:ind w:firstLine="635"/>
        <w:spacing w:after="0" w:line="275"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i w:val="1"/>
          <w:iCs w:val="1"/>
          <w:color w:val="auto"/>
        </w:rPr>
        <w:t>Regulatory Status and Memberships Held</w:t>
      </w:r>
      <w:r>
        <w:rPr>
          <w:rFonts w:ascii="Arial" w:cs="Arial" w:eastAsia="Arial" w:hAnsi="Arial"/>
          <w:sz w:val="19"/>
          <w:szCs w:val="19"/>
          <w:color w:val="auto"/>
        </w:rPr>
        <w:t>. (a) Except as set forth on Schedule 3.18(a), each Broker-Dealer Subsidiary is duly (i) registered, licensed or qualified as a broker-dealer and is in compliance in all material respects with all Requirements of Law of all material jurisdictions in which it is required to be so registered, licensed or qualified and each such registration, license or qualification is in full force and effect and (ii) registered as a broker-dealer with the SEC under the Exchange Act and is in compliance in all material respects with the applicable provisions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79" w:name="page280"/>
    <w:bookmarkEnd w:id="279"/>
    <w:p>
      <w:pPr>
        <w:ind w:right="20"/>
        <w:spacing w:after="0" w:line="263" w:lineRule="auto"/>
        <w:rPr>
          <w:sz w:val="20"/>
          <w:szCs w:val="20"/>
          <w:color w:val="auto"/>
        </w:rPr>
      </w:pPr>
      <w:r>
        <w:rPr>
          <w:rFonts w:ascii="Arial" w:cs="Arial" w:eastAsia="Arial" w:hAnsi="Arial"/>
          <w:sz w:val="21"/>
          <w:szCs w:val="21"/>
          <w:color w:val="auto"/>
        </w:rPr>
        <w:t>of the Exchange Act and all rules and regulations thereunder and applicable state securities laws, including the net capital requirements and customer protection requirements thereof.</w:t>
      </w:r>
    </w:p>
    <w:p>
      <w:pPr>
        <w:spacing w:after="0" w:line="132" w:lineRule="exact"/>
        <w:rPr>
          <w:sz w:val="20"/>
          <w:szCs w:val="20"/>
          <w:color w:val="auto"/>
        </w:rPr>
      </w:pPr>
    </w:p>
    <w:p>
      <w:pPr>
        <w:jc w:val="both"/>
        <w:ind w:firstLine="644"/>
        <w:spacing w:after="0" w:line="250" w:lineRule="auto"/>
        <w:tabs>
          <w:tab w:leader="none" w:pos="974" w:val="left"/>
        </w:tabs>
        <w:numPr>
          <w:ilvl w:val="0"/>
          <w:numId w:val="169"/>
        </w:numPr>
        <w:rPr>
          <w:rFonts w:ascii="Arial" w:cs="Arial" w:eastAsia="Arial" w:hAnsi="Arial"/>
          <w:sz w:val="21"/>
          <w:szCs w:val="21"/>
          <w:color w:val="auto"/>
        </w:rPr>
      </w:pPr>
      <w:r>
        <w:rPr>
          <w:rFonts w:ascii="Arial" w:cs="Arial" w:eastAsia="Arial" w:hAnsi="Arial"/>
          <w:sz w:val="21"/>
          <w:szCs w:val="21"/>
          <w:color w:val="auto"/>
        </w:rPr>
        <w:t>Each Subsidiary of the Borrower listed on Schedule 3.18(b) is duly registered with, or a member of, the Regulatory Supervising Organization(s) indicated for such Subsidiary and is in compliance in all material respects with all applicable rules and regulations of such Regulatory Supervising Organization(s).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3.19. </w:t>
      </w:r>
      <w:r>
        <w:rPr>
          <w:rFonts w:ascii="Arial" w:cs="Arial" w:eastAsia="Arial" w:hAnsi="Arial"/>
          <w:sz w:val="21"/>
          <w:szCs w:val="21"/>
          <w:i w:val="1"/>
          <w:iCs w:val="1"/>
          <w:color w:val="auto"/>
        </w:rPr>
        <w:t>PATRIOT Act, OFAC and FCPA</w:t>
      </w:r>
      <w:r>
        <w:rPr>
          <w:rFonts w:ascii="Arial" w:cs="Arial" w:eastAsia="Arial" w:hAnsi="Arial"/>
          <w:sz w:val="21"/>
          <w:szCs w:val="21"/>
          <w:color w:val="auto"/>
        </w:rPr>
        <w:t>.</w:t>
      </w:r>
    </w:p>
    <w:p>
      <w:pPr>
        <w:spacing w:after="0" w:line="169" w:lineRule="exact"/>
        <w:rPr>
          <w:sz w:val="20"/>
          <w:szCs w:val="20"/>
          <w:color w:val="auto"/>
        </w:rPr>
      </w:pPr>
    </w:p>
    <w:p>
      <w:pPr>
        <w:jc w:val="both"/>
        <w:ind w:firstLine="644"/>
        <w:spacing w:after="0" w:line="275" w:lineRule="auto"/>
        <w:tabs>
          <w:tab w:leader="none" w:pos="938" w:val="left"/>
        </w:tabs>
        <w:numPr>
          <w:ilvl w:val="0"/>
          <w:numId w:val="170"/>
        </w:numPr>
        <w:rPr>
          <w:rFonts w:ascii="Arial" w:cs="Arial" w:eastAsia="Arial" w:hAnsi="Arial"/>
          <w:sz w:val="19"/>
          <w:szCs w:val="19"/>
          <w:color w:val="auto"/>
        </w:rPr>
      </w:pPr>
      <w:r>
        <w:rPr>
          <w:rFonts w:ascii="Arial" w:cs="Arial" w:eastAsia="Arial" w:hAnsi="Arial"/>
          <w:sz w:val="19"/>
          <w:szCs w:val="19"/>
          <w:color w:val="auto"/>
        </w:rPr>
        <w:t>Holdings, the Borrower and the Subsidiaries will not, directly or indirectly, use the proceeds of the Loans, or lend, contribute or otherwise make available such proceeds to any Subsidiary, joint venture partner or other Person, for the purpose of funding (i) any activities of or business with any Person, or in any country or territory, that, at the time of such funding, is the subject of Sanctions, or (ii) any other transaction that will result in a violation by any Person (including any Person participating in the transaction, whether as underwriter, advisor, investor, lender or otherwise) of Sanctions.</w:t>
      </w:r>
    </w:p>
    <w:p>
      <w:pPr>
        <w:spacing w:after="0" w:line="124" w:lineRule="exact"/>
        <w:rPr>
          <w:rFonts w:ascii="Arial" w:cs="Arial" w:eastAsia="Arial" w:hAnsi="Arial"/>
          <w:sz w:val="19"/>
          <w:szCs w:val="19"/>
          <w:color w:val="auto"/>
        </w:rPr>
      </w:pPr>
    </w:p>
    <w:p>
      <w:pPr>
        <w:jc w:val="both"/>
        <w:ind w:firstLine="644"/>
        <w:spacing w:after="0" w:line="243" w:lineRule="auto"/>
        <w:tabs>
          <w:tab w:leader="none" w:pos="951" w:val="left"/>
        </w:tabs>
        <w:numPr>
          <w:ilvl w:val="0"/>
          <w:numId w:val="170"/>
        </w:numPr>
        <w:rPr>
          <w:rFonts w:ascii="Arial" w:cs="Arial" w:eastAsia="Arial" w:hAnsi="Arial"/>
          <w:sz w:val="21"/>
          <w:szCs w:val="21"/>
          <w:color w:val="auto"/>
        </w:rPr>
      </w:pPr>
      <w:r>
        <w:rPr>
          <w:rFonts w:ascii="Arial" w:cs="Arial" w:eastAsia="Arial" w:hAnsi="Arial"/>
          <w:sz w:val="21"/>
          <w:szCs w:val="21"/>
          <w:color w:val="auto"/>
        </w:rPr>
        <w:t>Holdings, the Borrower and the Restricted Subsidiaries will not use the proceeds of the Loans directly, or, to the knowledge of Holdings,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Arial" w:cs="Arial" w:eastAsia="Arial" w:hAnsi="Arial"/>
          <w:sz w:val="21"/>
          <w:szCs w:val="21"/>
          <w:b w:val="1"/>
          <w:bCs w:val="1"/>
          <w:color w:val="auto"/>
        </w:rPr>
        <w:t>FCPA</w:t>
      </w:r>
      <w:r>
        <w:rPr>
          <w:rFonts w:ascii="Arial" w:cs="Arial" w:eastAsia="Arial" w:hAnsi="Arial"/>
          <w:sz w:val="21"/>
          <w:szCs w:val="21"/>
          <w:color w:val="auto"/>
        </w:rPr>
        <w:t>”).</w:t>
      </w:r>
    </w:p>
    <w:p>
      <w:pPr>
        <w:spacing w:after="0" w:line="140" w:lineRule="exact"/>
        <w:rPr>
          <w:rFonts w:ascii="Arial" w:cs="Arial" w:eastAsia="Arial" w:hAnsi="Arial"/>
          <w:sz w:val="21"/>
          <w:szCs w:val="21"/>
          <w:color w:val="auto"/>
        </w:rPr>
      </w:pPr>
    </w:p>
    <w:p>
      <w:pPr>
        <w:jc w:val="both"/>
        <w:ind w:firstLine="644"/>
        <w:spacing w:after="0" w:line="245" w:lineRule="auto"/>
        <w:tabs>
          <w:tab w:leader="none" w:pos="94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Except as could not, individually or in the aggregate, reasonably be expected to result in a Material Adverse Effect, none of Holdings, the Borrower or any Subsidiary has, in the past three years, committed a violation of applicable regulations of the United States Department of the Treasury’s Office of Foreign Assets Control (“</w:t>
      </w:r>
      <w:r>
        <w:rPr>
          <w:rFonts w:ascii="Arial" w:cs="Arial" w:eastAsia="Arial" w:hAnsi="Arial"/>
          <w:sz w:val="21"/>
          <w:szCs w:val="21"/>
          <w:b w:val="1"/>
          <w:bCs w:val="1"/>
          <w:color w:val="auto"/>
        </w:rPr>
        <w:t>OFAC</w:t>
      </w:r>
      <w:r>
        <w:rPr>
          <w:rFonts w:ascii="Arial" w:cs="Arial" w:eastAsia="Arial" w:hAnsi="Arial"/>
          <w:sz w:val="21"/>
          <w:szCs w:val="21"/>
          <w:color w:val="auto"/>
        </w:rPr>
        <w:t>”), Title III of the USA Patriot Act or the FCPA.</w:t>
      </w:r>
    </w:p>
    <w:p>
      <w:pPr>
        <w:spacing w:after="0" w:line="138" w:lineRule="exact"/>
        <w:rPr>
          <w:rFonts w:ascii="Arial" w:cs="Arial" w:eastAsia="Arial" w:hAnsi="Arial"/>
          <w:sz w:val="21"/>
          <w:szCs w:val="21"/>
          <w:color w:val="auto"/>
        </w:rPr>
      </w:pPr>
    </w:p>
    <w:p>
      <w:pPr>
        <w:jc w:val="both"/>
        <w:ind w:firstLine="644"/>
        <w:spacing w:after="0"/>
        <w:tabs>
          <w:tab w:leader="none" w:pos="977"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 None of the Loan Parties is an individual or entity currently on OFAC’s list of Specially Designated Nationals and Blocked Persons (the “</w:t>
      </w:r>
      <w:r>
        <w:rPr>
          <w:rFonts w:ascii="Arial" w:cs="Arial" w:eastAsia="Arial" w:hAnsi="Arial"/>
          <w:sz w:val="21"/>
          <w:szCs w:val="21"/>
          <w:b w:val="1"/>
          <w:bCs w:val="1"/>
          <w:color w:val="auto"/>
        </w:rPr>
        <w:t>SDN List</w:t>
      </w:r>
      <w:r>
        <w:rPr>
          <w:rFonts w:ascii="Arial" w:cs="Arial" w:eastAsia="Arial" w:hAnsi="Arial"/>
          <w:sz w:val="21"/>
          <w:szCs w:val="21"/>
          <w:color w:val="auto"/>
        </w:rPr>
        <w:t>”) or is owned 50% or more, directly or indirectly, by one or more parties on the SDN List and (ii) except as would not, individually or in the aggregate, reasonably be expected to result in a Material Adverse Effect, none of the Restricted Subsidiaries that are not Loan Parties or, to the knowledge of Holdings, any director, officer, employee or agent of any Loan Party or other Restricted Subsidiary, in each case, is an individual or entity currently on the SDN List or is owned 50% or more, directly or indirectly, by one or more parties on the SDN List, nor is Holdings, the Borrower or any Restricted Subsidiary located, organized or resident in a country or territory that is the subject of Sanctions.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3.20. </w:t>
      </w:r>
      <w:r>
        <w:rPr>
          <w:rFonts w:ascii="Arial" w:cs="Arial" w:eastAsia="Arial" w:hAnsi="Arial"/>
          <w:sz w:val="21"/>
          <w:szCs w:val="21"/>
          <w:i w:val="1"/>
          <w:iCs w:val="1"/>
          <w:color w:val="auto"/>
        </w:rPr>
        <w:t>EEA Financial Institutions</w:t>
      </w:r>
      <w:r>
        <w:rPr>
          <w:rFonts w:ascii="Arial" w:cs="Arial" w:eastAsia="Arial" w:hAnsi="Arial"/>
          <w:sz w:val="21"/>
          <w:szCs w:val="21"/>
          <w:color w:val="auto"/>
        </w:rPr>
        <w:t>. No Loan Party is an EEA Financial Institution.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21"/>
          <w:szCs w:val="21"/>
          <w:color w:val="auto"/>
        </w:rPr>
        <w:t>ARTICLE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CONDITIONS</w:t>
      </w:r>
    </w:p>
    <w:p>
      <w:pPr>
        <w:spacing w:after="0" w:line="164" w:lineRule="exact"/>
        <w:rPr>
          <w:sz w:val="20"/>
          <w:szCs w:val="20"/>
          <w:color w:val="auto"/>
        </w:rPr>
      </w:pPr>
    </w:p>
    <w:p>
      <w:pPr>
        <w:jc w:val="both"/>
        <w:ind w:firstLine="635"/>
        <w:spacing w:after="0" w:line="250"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i w:val="1"/>
          <w:iCs w:val="1"/>
          <w:color w:val="auto"/>
        </w:rPr>
        <w:t>Restatement Effective Date.</w:t>
      </w:r>
      <w:r>
        <w:rPr>
          <w:rFonts w:ascii="Arial" w:cs="Arial" w:eastAsia="Arial" w:hAnsi="Arial"/>
          <w:sz w:val="21"/>
          <w:szCs w:val="21"/>
          <w:color w:val="auto"/>
        </w:rPr>
        <w:t xml:space="preserve"> The obligations of the Lenders to make Loans hereunder on the Restatement Effective Date shall not become effective until the date on which each of the following conditions shall be satisfied (or waived in accordance with Section 9.02):</w:t>
      </w:r>
    </w:p>
    <w:p>
      <w:pPr>
        <w:spacing w:after="0" w:line="132" w:lineRule="exact"/>
        <w:rPr>
          <w:sz w:val="20"/>
          <w:szCs w:val="20"/>
          <w:color w:val="auto"/>
        </w:rPr>
      </w:pPr>
    </w:p>
    <w:p>
      <w:pPr>
        <w:jc w:val="both"/>
        <w:ind w:firstLine="644"/>
        <w:spacing w:after="0" w:line="245" w:lineRule="auto"/>
        <w:tabs>
          <w:tab w:leader="none" w:pos="966"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each other party thereto either (i) a counterpart of the Restatement Agreement signed on behalf of such party or (ii) written evidence satisfactory to the Administrative Agent (which may include facsimile or other electronic transmission of a signed counterpart of this Agreement) that such party has signed a counterpart of the Restatement Agreement.</w:t>
      </w:r>
    </w:p>
    <w:p>
      <w:pPr>
        <w:spacing w:after="0" w:line="138" w:lineRule="exact"/>
        <w:rPr>
          <w:rFonts w:ascii="Arial" w:cs="Arial" w:eastAsia="Arial" w:hAnsi="Arial"/>
          <w:sz w:val="21"/>
          <w:szCs w:val="21"/>
          <w:color w:val="auto"/>
        </w:rPr>
      </w:pPr>
    </w:p>
    <w:p>
      <w:pPr>
        <w:jc w:val="both"/>
        <w:ind w:firstLine="644"/>
        <w:spacing w:after="0" w:line="275" w:lineRule="auto"/>
        <w:tabs>
          <w:tab w:leader="none" w:pos="93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Administrative Agent shall have received written opinions (addressed to the Administrative Agent and the Lenders and dated the Restatement Effective Date) of Paul, Weiss, Rifkind, Wharton &amp; Garrison LLP, New York counsel for the Loan Parties, and Schulte Roth &amp; Zabel LLP, special counsel for the Loan Parties, as to such matters as the Administrative Agent may reasonably request and in form and substance reasonably satisfactory to the Administrative Agent and the Lead Arranger. Each of Holdings and the Borrower hereby requests such counsels to deliver such opinions.</w:t>
      </w:r>
    </w:p>
    <w:p>
      <w:pPr>
        <w:spacing w:after="0" w:line="124" w:lineRule="exact"/>
        <w:rPr>
          <w:rFonts w:ascii="Arial" w:cs="Arial" w:eastAsia="Arial" w:hAnsi="Arial"/>
          <w:sz w:val="19"/>
          <w:szCs w:val="19"/>
          <w:color w:val="auto"/>
        </w:rPr>
      </w:pPr>
    </w:p>
    <w:p>
      <w:pPr>
        <w:jc w:val="both"/>
        <w:ind w:firstLine="644"/>
        <w:spacing w:after="0" w:line="250" w:lineRule="auto"/>
        <w:tabs>
          <w:tab w:leader="none" w:pos="92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each Loan Party, dated the Restatement Effective Date, substantially in the form of Exhibit G with appropriate insertions, executed by any Responsible Officer of such Loan Party, and including or attaching the documents referred to in paragraph (d) of this Section.</w:t>
      </w:r>
    </w:p>
    <w:p>
      <w:pPr>
        <w:spacing w:after="0" w:line="131" w:lineRule="exact"/>
        <w:rPr>
          <w:rFonts w:ascii="Arial" w:cs="Arial" w:eastAsia="Arial" w:hAnsi="Arial"/>
          <w:sz w:val="21"/>
          <w:szCs w:val="21"/>
          <w:color w:val="auto"/>
        </w:rPr>
      </w:pPr>
    </w:p>
    <w:p>
      <w:pPr>
        <w:jc w:val="both"/>
        <w:ind w:firstLine="644"/>
        <w:spacing w:after="0" w:line="254" w:lineRule="auto"/>
        <w:tabs>
          <w:tab w:leader="none" w:pos="939"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Restatement Effective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29" w:lineRule="exact"/>
        <w:rPr>
          <w:rFonts w:ascii="Arial" w:cs="Arial" w:eastAsia="Arial" w:hAnsi="Arial"/>
          <w:sz w:val="20"/>
          <w:szCs w:val="20"/>
          <w:color w:val="auto"/>
        </w:rPr>
      </w:pPr>
    </w:p>
    <w:p>
      <w:pPr>
        <w:ind w:firstLine="644"/>
        <w:spacing w:after="0" w:line="288" w:lineRule="auto"/>
        <w:tabs>
          <w:tab w:leader="none" w:pos="935"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Administrative Agent shall have received upfront fees from the Borrower for the account of the Lenders providing Initial Term Loans in the amounts previously agreed between the Borrower and the Administrative Agent.</w:t>
      </w:r>
    </w:p>
    <w:p>
      <w:pPr>
        <w:spacing w:after="0" w:line="109" w:lineRule="exact"/>
        <w:rPr>
          <w:rFonts w:ascii="Arial" w:cs="Arial" w:eastAsia="Arial" w:hAnsi="Arial"/>
          <w:sz w:val="20"/>
          <w:szCs w:val="20"/>
          <w:color w:val="auto"/>
        </w:rPr>
      </w:pPr>
    </w:p>
    <w:p>
      <w:pPr>
        <w:jc w:val="both"/>
        <w:ind w:firstLine="644"/>
        <w:spacing w:after="0" w:line="268" w:lineRule="auto"/>
        <w:tabs>
          <w:tab w:leader="none" w:pos="899"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each Loan Party either (i) a counterpart of a Reaffirmation Agreement signed on behalf of such party or (ii) written evidence satisfactory to the Administrative Agent (which may include facsimile or other electronic transmission of a signed counterpart of 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1">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1" w:name="page282"/>
    <w:bookmarkEnd w:id="281"/>
    <w:p>
      <w:pPr>
        <w:spacing w:after="0"/>
        <w:rPr>
          <w:sz w:val="20"/>
          <w:szCs w:val="20"/>
          <w:color w:val="auto"/>
        </w:rPr>
      </w:pPr>
      <w:r>
        <w:rPr>
          <w:rFonts w:ascii="Arial" w:cs="Arial" w:eastAsia="Arial" w:hAnsi="Arial"/>
          <w:sz w:val="21"/>
          <w:szCs w:val="21"/>
          <w:color w:val="auto"/>
        </w:rPr>
        <w:t>Reaffirmation Agreement) that such party has signed a counterpart of a Reaffirmation Agreement.</w:t>
      </w:r>
    </w:p>
    <w:p>
      <w:pPr>
        <w:spacing w:after="0" w:line="182" w:lineRule="exact"/>
        <w:rPr>
          <w:sz w:val="20"/>
          <w:szCs w:val="20"/>
          <w:color w:val="auto"/>
        </w:rPr>
      </w:pPr>
    </w:p>
    <w:p>
      <w:pPr>
        <w:jc w:val="both"/>
        <w:ind w:firstLine="644"/>
        <w:spacing w:after="0" w:line="245" w:lineRule="auto"/>
        <w:tabs>
          <w:tab w:leader="none" w:pos="951"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from the chief financial officer or chief operating officer of the Borrower (x) in the form of Exhibit Q certifying as to the solvency of the Borrower and its Subsidiaries on a consolidated basis after giving effect to the Transactions to be consummated on or prior to the Restatement Effective Date and (y) as to the satisfaction of the conditions set forth in Section 4.02.</w:t>
      </w:r>
    </w:p>
    <w:p>
      <w:pPr>
        <w:spacing w:after="0" w:line="138" w:lineRule="exact"/>
        <w:rPr>
          <w:rFonts w:ascii="Arial" w:cs="Arial" w:eastAsia="Arial" w:hAnsi="Arial"/>
          <w:sz w:val="21"/>
          <w:szCs w:val="21"/>
          <w:color w:val="auto"/>
        </w:rPr>
      </w:pPr>
    </w:p>
    <w:p>
      <w:pPr>
        <w:jc w:val="both"/>
        <w:ind w:firstLine="644"/>
        <w:spacing w:after="0" w:line="275" w:lineRule="auto"/>
        <w:tabs>
          <w:tab w:leader="none" w:pos="94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Administrative Agent and the Lead Arranger shall have received, at least five Business Days prior to the Restatement Effective Date, all documentation and other information about the Loan Parties as shall have been reasonably requested in writing at least 10 Business Days prior to the Restatement Effective Date by the Administrative Agent or the Lead Arranger that they shall have reasonably determined is required by regulatory authorities under applicable “know your customer” and anti-money laundering rules and regulations, including without limitation the USA Patriot Act.</w:t>
      </w:r>
    </w:p>
    <w:p>
      <w:pPr>
        <w:spacing w:after="0" w:line="110" w:lineRule="exact"/>
        <w:rPr>
          <w:rFonts w:ascii="Arial" w:cs="Arial" w:eastAsia="Arial" w:hAnsi="Arial"/>
          <w:sz w:val="19"/>
          <w:szCs w:val="19"/>
          <w:color w:val="auto"/>
        </w:rPr>
      </w:pPr>
    </w:p>
    <w:p>
      <w:pPr>
        <w:ind w:left="900" w:hanging="256"/>
        <w:spacing w:after="0"/>
        <w:tabs>
          <w:tab w:leader="none" w:pos="90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Administrative Agent shall have received a Borrowing Request requesting the borrowing of the Initial Term</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Loans.</w:t>
      </w:r>
    </w:p>
    <w:p>
      <w:pPr>
        <w:spacing w:after="0" w:line="164" w:lineRule="exact"/>
        <w:rPr>
          <w:sz w:val="20"/>
          <w:szCs w:val="20"/>
          <w:color w:val="auto"/>
        </w:rPr>
      </w:pPr>
    </w:p>
    <w:p>
      <w:pPr>
        <w:jc w:val="both"/>
        <w:ind w:right="20" w:firstLine="1270"/>
        <w:spacing w:after="0" w:line="263" w:lineRule="auto"/>
        <w:rPr>
          <w:sz w:val="20"/>
          <w:szCs w:val="20"/>
          <w:color w:val="auto"/>
        </w:rPr>
      </w:pPr>
      <w:r>
        <w:rPr>
          <w:rFonts w:ascii="Arial" w:cs="Arial" w:eastAsia="Arial" w:hAnsi="Arial"/>
          <w:sz w:val="21"/>
          <w:szCs w:val="21"/>
          <w:color w:val="auto"/>
        </w:rPr>
        <w:t>The Administrative Agent shall notify Holdings, the Borrower and the Lenders of the Restatement Effective Date, and such notice shall be conclusive and binding.</w:t>
      </w:r>
    </w:p>
    <w:p>
      <w:pPr>
        <w:spacing w:after="0" w:line="119"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4.02. </w:t>
      </w:r>
      <w:r>
        <w:rPr>
          <w:rFonts w:ascii="Arial" w:cs="Arial" w:eastAsia="Arial" w:hAnsi="Arial"/>
          <w:sz w:val="21"/>
          <w:szCs w:val="21"/>
          <w:i w:val="1"/>
          <w:iCs w:val="1"/>
          <w:color w:val="auto"/>
        </w:rPr>
        <w:t>Each Credit Event.</w:t>
      </w:r>
      <w:r>
        <w:rPr>
          <w:rFonts w:ascii="Arial" w:cs="Arial" w:eastAsia="Arial" w:hAnsi="Arial"/>
          <w:sz w:val="21"/>
          <w:szCs w:val="21"/>
          <w:color w:val="auto"/>
        </w:rPr>
        <w:t xml:space="preserve"> The obligation of each Lender to make a Loan on the occasion of any Borrowing (including any Borrowing on the Restatement Effective Date but excluding, for the avoidance of doubt, the assumption of the Escrow Term Loans on the Escrow Assumption Date), and of each Issuing Bank to issue, amend, renew or extend any Letter of Credit, is subject to receipt of the request therefor in accordance herewith and to the satisfaction of the following conditions:</w:t>
      </w:r>
    </w:p>
    <w:p>
      <w:pPr>
        <w:spacing w:after="0" w:line="140" w:lineRule="exact"/>
        <w:rPr>
          <w:sz w:val="20"/>
          <w:szCs w:val="20"/>
          <w:color w:val="auto"/>
        </w:rPr>
      </w:pPr>
    </w:p>
    <w:p>
      <w:pPr>
        <w:jc w:val="both"/>
        <w:ind w:firstLine="644"/>
        <w:spacing w:after="0" w:line="241" w:lineRule="auto"/>
        <w:tabs>
          <w:tab w:leader="none" w:pos="919"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each Loan Party set forth in the Loan Documents shall be true and correct in all material respects on and as of the date of such Borrowing or the date of issuance, amendment, renewal or extension of such Letter of Credit, as the case may be;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further </w:t>
      </w:r>
      <w:r>
        <w:rPr>
          <w:rFonts w:ascii="Arial" w:cs="Arial" w:eastAsia="Arial" w:hAnsi="Arial"/>
          <w:sz w:val="21"/>
          <w:szCs w:val="21"/>
          <w:color w:val="auto"/>
        </w:rPr>
        <w:t>that any representation and warranty that is qualified as to “materiality,” “Material Adverse Effect” or similar</w:t>
      </w:r>
      <w:r>
        <w:rPr>
          <w:rFonts w:ascii="Arial" w:cs="Arial" w:eastAsia="Arial" w:hAnsi="Arial"/>
          <w:sz w:val="21"/>
          <w:szCs w:val="21"/>
          <w:i w:val="1"/>
          <w:iCs w:val="1"/>
          <w:color w:val="auto"/>
        </w:rPr>
        <w:t xml:space="preserve"> </w:t>
      </w:r>
      <w:r>
        <w:rPr>
          <w:rFonts w:ascii="Arial" w:cs="Arial" w:eastAsia="Arial" w:hAnsi="Arial"/>
          <w:sz w:val="21"/>
          <w:szCs w:val="21"/>
          <w:color w:val="auto"/>
        </w:rPr>
        <w:t>language shall be true and correct in all respects on the date of such credit extension or on such earlier date, as the case may be.</w:t>
      </w:r>
    </w:p>
    <w:p>
      <w:pPr>
        <w:spacing w:after="0" w:line="154" w:lineRule="exact"/>
        <w:rPr>
          <w:rFonts w:ascii="Arial" w:cs="Arial" w:eastAsia="Arial" w:hAnsi="Arial"/>
          <w:sz w:val="21"/>
          <w:szCs w:val="21"/>
          <w:color w:val="auto"/>
        </w:rPr>
      </w:pPr>
    </w:p>
    <w:p>
      <w:pPr>
        <w:jc w:val="both"/>
        <w:ind w:firstLine="644"/>
        <w:spacing w:after="0" w:line="250" w:lineRule="auto"/>
        <w:tabs>
          <w:tab w:leader="none" w:pos="935" w:val="left"/>
        </w:tabs>
        <w:numPr>
          <w:ilvl w:val="0"/>
          <w:numId w:val="173"/>
        </w:numPr>
        <w:rPr>
          <w:rFonts w:ascii="Arial" w:cs="Arial" w:eastAsia="Arial" w:hAnsi="Arial"/>
          <w:sz w:val="21"/>
          <w:szCs w:val="21"/>
          <w:color w:val="auto"/>
        </w:rPr>
      </w:pPr>
      <w:r>
        <w:rPr>
          <w:rFonts w:ascii="Arial" w:cs="Arial" w:eastAsia="Arial" w:hAnsi="Arial"/>
          <w:sz w:val="21"/>
          <w:szCs w:val="21"/>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31" w:lineRule="exact"/>
        <w:rPr>
          <w:rFonts w:ascii="Arial" w:cs="Arial" w:eastAsia="Arial" w:hAnsi="Arial"/>
          <w:sz w:val="21"/>
          <w:szCs w:val="21"/>
          <w:color w:val="auto"/>
        </w:rPr>
      </w:pPr>
    </w:p>
    <w:p>
      <w:pPr>
        <w:ind w:firstLine="644"/>
        <w:spacing w:after="0" w:line="263" w:lineRule="auto"/>
        <w:tabs>
          <w:tab w:leader="none" w:pos="932" w:val="left"/>
        </w:tabs>
        <w:numPr>
          <w:ilvl w:val="0"/>
          <w:numId w:val="173"/>
        </w:numPr>
        <w:rPr>
          <w:rFonts w:ascii="Arial" w:cs="Arial" w:eastAsia="Arial" w:hAnsi="Arial"/>
          <w:sz w:val="21"/>
          <w:szCs w:val="21"/>
          <w:color w:val="auto"/>
        </w:rPr>
      </w:pPr>
      <w:r>
        <w:rPr>
          <w:rFonts w:ascii="Arial" w:cs="Arial" w:eastAsia="Arial" w:hAnsi="Arial"/>
          <w:sz w:val="21"/>
          <w:szCs w:val="21"/>
          <w:color w:val="auto"/>
        </w:rPr>
        <w:t>Solely with respect to the obligations of each Revolving Lender to make a Revolving Loan on the occasion of any Borrowing and of each Issuing Bank to issue,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2" w:name="page283"/>
    <w:bookmarkEnd w:id="282"/>
    <w:p>
      <w:pPr>
        <w:spacing w:after="0"/>
        <w:rPr>
          <w:sz w:val="20"/>
          <w:szCs w:val="20"/>
          <w:color w:val="auto"/>
        </w:rPr>
      </w:pPr>
      <w:r>
        <w:rPr>
          <w:rFonts w:ascii="Arial" w:cs="Arial" w:eastAsia="Arial" w:hAnsi="Arial"/>
          <w:sz w:val="21"/>
          <w:szCs w:val="21"/>
          <w:color w:val="auto"/>
        </w:rPr>
        <w:t>amend, renew or extend any Letter of Credit, the Revolving Availability Date shall have occurred.</w:t>
      </w:r>
    </w:p>
    <w:p>
      <w:pPr>
        <w:spacing w:after="0" w:line="182"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Each Borrowing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conversion or a continuation of a Borrowing shall not constitute a “Borrowing” for purposes of this Section) and each issuance, amendment, renewal or extension of a Letter of Credit shall be deemed to constitute a representation and warranty by Holdings and the Borrower on the date thereof as to the matters specified in paragraphs (a), (b) and, if applicable, (c) of this Section.</w:t>
      </w:r>
    </w:p>
    <w:p>
      <w:pPr>
        <w:spacing w:after="0" w:line="138"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i w:val="1"/>
          <w:iCs w:val="1"/>
          <w:color w:val="auto"/>
        </w:rPr>
        <w:t>Escrow Assumption Date.</w:t>
      </w:r>
      <w:r>
        <w:rPr>
          <w:rFonts w:ascii="Arial" w:cs="Arial" w:eastAsia="Arial" w:hAnsi="Arial"/>
          <w:sz w:val="20"/>
          <w:szCs w:val="20"/>
          <w:color w:val="auto"/>
        </w:rPr>
        <w:t xml:space="preserve"> The Escrow Term Loans incurred under the Escrow Term Loan Credit Agreement shall not be assumed by the Borrower or deemed to be outstanding under this Agreement until the date on which each of the following conditions shall be satisfied (or waived in accordance with Section 9.02):</w:t>
      </w:r>
    </w:p>
    <w:p>
      <w:pPr>
        <w:spacing w:after="0" w:line="116" w:lineRule="exact"/>
        <w:rPr>
          <w:sz w:val="20"/>
          <w:szCs w:val="20"/>
          <w:color w:val="auto"/>
        </w:rPr>
      </w:pPr>
    </w:p>
    <w:p>
      <w:pPr>
        <w:jc w:val="both"/>
        <w:ind w:firstLine="644"/>
        <w:spacing w:after="0" w:line="275" w:lineRule="auto"/>
        <w:tabs>
          <w:tab w:leader="none" w:pos="92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Merger and Contribution shall have been, or substantially concurrently with the assumption of the Escrow Term Loans shall be, consummated in accordance with the terms of the Merger Agreement without giving effect to any amendment, change or supplement or waiver of any provision thereof (including any change in the purchase price) in any manner that is materially adverse to the interests of the Term Lenders or the Lead Arranger (in each case in their capacities as such) without the prior written consent (not to be unreasonably withheld or delayed) of JPMorgan Chase Bank, N.A.</w:t>
      </w:r>
    </w:p>
    <w:p>
      <w:pPr>
        <w:spacing w:after="0" w:line="124" w:lineRule="exact"/>
        <w:rPr>
          <w:rFonts w:ascii="Arial" w:cs="Arial" w:eastAsia="Arial" w:hAnsi="Arial"/>
          <w:sz w:val="19"/>
          <w:szCs w:val="19"/>
          <w:color w:val="auto"/>
        </w:rPr>
      </w:pPr>
    </w:p>
    <w:p>
      <w:pPr>
        <w:jc w:val="both"/>
        <w:ind w:firstLine="644"/>
        <w:spacing w:after="0" w:line="265" w:lineRule="auto"/>
        <w:tabs>
          <w:tab w:leader="none" w:pos="94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Acquisition Agreement Representations (as defined below) and the Specified Representations (as defined below) shall be true and correct in all material respects as of the Escrow Assumption Date. “</w:t>
      </w:r>
      <w:r>
        <w:rPr>
          <w:rFonts w:ascii="Arial" w:cs="Arial" w:eastAsia="Arial" w:hAnsi="Arial"/>
          <w:sz w:val="19"/>
          <w:szCs w:val="19"/>
          <w:b w:val="1"/>
          <w:bCs w:val="1"/>
          <w:color w:val="auto"/>
        </w:rPr>
        <w:t>Acquisition Agreement</w:t>
      </w:r>
      <w:r>
        <w:rPr>
          <w:rFonts w:ascii="Arial" w:cs="Arial" w:eastAsia="Arial" w:hAnsi="Arial"/>
          <w:sz w:val="19"/>
          <w:szCs w:val="19"/>
          <w:color w:val="auto"/>
        </w:rPr>
        <w:t xml:space="preserve"> </w:t>
      </w:r>
      <w:r>
        <w:rPr>
          <w:rFonts w:ascii="Arial" w:cs="Arial" w:eastAsia="Arial" w:hAnsi="Arial"/>
          <w:sz w:val="19"/>
          <w:szCs w:val="19"/>
          <w:b w:val="1"/>
          <w:bCs w:val="1"/>
          <w:color w:val="auto"/>
        </w:rPr>
        <w:t>Representations</w:t>
      </w:r>
      <w:r>
        <w:rPr>
          <w:rFonts w:ascii="Arial" w:cs="Arial" w:eastAsia="Arial" w:hAnsi="Arial"/>
          <w:sz w:val="19"/>
          <w:szCs w:val="19"/>
          <w:color w:val="auto"/>
        </w:rPr>
        <w:t>” shall mean such of the representations made by KCG in the Merger Agreement as are material to the</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interests of the Term Lenders, but only to the extent that the breach of any such representation would result in (i) Virtu Financial, Inc. or any of its affiliates having the right to terminate its or their obligations under the Merger Agreement (after giving effect to any applicable notice and cure period) or (y) the failure of a condition precedent to Virtu Financial, Inc.’s obligation to consummate the Merger and Contribution pursuant to the Merger Agreement. “</w:t>
      </w:r>
      <w:r>
        <w:rPr>
          <w:rFonts w:ascii="Arial" w:cs="Arial" w:eastAsia="Arial" w:hAnsi="Arial"/>
          <w:sz w:val="19"/>
          <w:szCs w:val="19"/>
          <w:b w:val="1"/>
          <w:bCs w:val="1"/>
          <w:color w:val="auto"/>
        </w:rPr>
        <w:t>Specified</w:t>
      </w:r>
      <w:r>
        <w:rPr>
          <w:rFonts w:ascii="Arial" w:cs="Arial" w:eastAsia="Arial" w:hAnsi="Arial"/>
          <w:sz w:val="19"/>
          <w:szCs w:val="19"/>
          <w:color w:val="auto"/>
        </w:rPr>
        <w:t xml:space="preserve"> </w:t>
      </w:r>
      <w:r>
        <w:rPr>
          <w:rFonts w:ascii="Arial" w:cs="Arial" w:eastAsia="Arial" w:hAnsi="Arial"/>
          <w:sz w:val="19"/>
          <w:szCs w:val="19"/>
          <w:b w:val="1"/>
          <w:bCs w:val="1"/>
          <w:color w:val="auto"/>
        </w:rPr>
        <w:t>Representations</w:t>
      </w:r>
      <w:r>
        <w:rPr>
          <w:rFonts w:ascii="Arial" w:cs="Arial" w:eastAsia="Arial" w:hAnsi="Arial"/>
          <w:sz w:val="19"/>
          <w:szCs w:val="19"/>
          <w:color w:val="auto"/>
        </w:rPr>
        <w:t>” shall mean the representations and warranties set forth in Section 3.01 (limited to the Loan Parties as to</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and corporate power and authority to enter into the Loan Documents), Section 3.02, Section 3.03(b)(i) (limited to the Organizational Documents of the Loan Parties), Section 3.08, Section 3.14(b), Section 3.16, Section 3.19(a), Section 3.19(b), Section 3.19(c) and Section 3.02(b) of the Collateral Agreement (other than with respect to any Collateral (other than to the extent a Lien on such Collateral may be perfected by the filing of a financing statement under the Uniform Commercial Code) that is not or cannot reasonably be provided or perfected on the Escrow Assumption Date after the use of the Loan Parties’ commercially reasonable efforts to do so without undue burden or expense).</w:t>
      </w:r>
    </w:p>
    <w:p>
      <w:pPr>
        <w:spacing w:after="0" w:line="128" w:lineRule="exact"/>
        <w:rPr>
          <w:rFonts w:ascii="Arial" w:cs="Arial" w:eastAsia="Arial" w:hAnsi="Arial"/>
          <w:sz w:val="19"/>
          <w:szCs w:val="19"/>
          <w:color w:val="auto"/>
        </w:rPr>
      </w:pPr>
    </w:p>
    <w:p>
      <w:pPr>
        <w:jc w:val="both"/>
        <w:ind w:firstLine="644"/>
        <w:spacing w:after="0" w:line="250" w:lineRule="auto"/>
        <w:tabs>
          <w:tab w:leader="none" w:pos="947" w:val="left"/>
        </w:tabs>
        <w:numPr>
          <w:ilvl w:val="0"/>
          <w:numId w:val="174"/>
        </w:numPr>
        <w:rPr>
          <w:rFonts w:ascii="Arial" w:cs="Arial" w:eastAsia="Arial" w:hAnsi="Arial"/>
          <w:sz w:val="21"/>
          <w:szCs w:val="21"/>
          <w:color w:val="auto"/>
        </w:rPr>
      </w:pPr>
      <w:r>
        <w:rPr>
          <w:rFonts w:ascii="Arial" w:cs="Arial" w:eastAsia="Arial" w:hAnsi="Arial"/>
          <w:sz w:val="21"/>
          <w:szCs w:val="21"/>
          <w:color w:val="auto"/>
        </w:rPr>
        <w:t>Since April 20, 2017, there shall not have been any change, event or occurrence that, individually or in the aggregate, has resulted in or would reasonably be expected to have a Company Material Adverse Effect (as defined in the Merger Agreement as in effect on April 20,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3" w:name="page284"/>
    <w:bookmarkEnd w:id="283"/>
    <w:p>
      <w:pPr>
        <w:ind w:firstLine="644"/>
        <w:spacing w:after="0" w:line="263" w:lineRule="auto"/>
        <w:tabs>
          <w:tab w:leader="none" w:pos="972" w:val="left"/>
        </w:tabs>
        <w:numPr>
          <w:ilvl w:val="0"/>
          <w:numId w:val="175"/>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Solvency Certificate from the Borrower’s chief financial officer in substantially the form attached as </w:t>
      </w:r>
      <w:r>
        <w:rPr>
          <w:rFonts w:ascii="Arial" w:cs="Arial" w:eastAsia="Arial" w:hAnsi="Arial"/>
          <w:sz w:val="21"/>
          <w:szCs w:val="21"/>
          <w:u w:val="single" w:color="auto"/>
          <w:color w:val="auto"/>
        </w:rPr>
        <w:t>Exhibit Q</w:t>
      </w:r>
      <w:r>
        <w:rPr>
          <w:rFonts w:ascii="Arial" w:cs="Arial" w:eastAsia="Arial" w:hAnsi="Arial"/>
          <w:sz w:val="21"/>
          <w:szCs w:val="21"/>
          <w:color w:val="auto"/>
        </w:rPr>
        <w:t xml:space="preserve"> hereto.</w:t>
      </w:r>
    </w:p>
    <w:p>
      <w:pPr>
        <w:spacing w:after="0" w:line="132" w:lineRule="exact"/>
        <w:rPr>
          <w:rFonts w:ascii="Arial" w:cs="Arial" w:eastAsia="Arial" w:hAnsi="Arial"/>
          <w:sz w:val="21"/>
          <w:szCs w:val="21"/>
          <w:color w:val="auto"/>
        </w:rPr>
      </w:pPr>
    </w:p>
    <w:p>
      <w:pPr>
        <w:jc w:val="both"/>
        <w:ind w:firstLine="644"/>
        <w:spacing w:after="0" w:line="275" w:lineRule="auto"/>
        <w:tabs>
          <w:tab w:leader="none" w:pos="926"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Administrative Agent shall have received written opinions (addressed to the Administrative Agent and the Lenders and dated the Escrow Assumption Date) of Paul, Weiss, Rifkind, Wharton &amp; Garrison LLP, New York counsel for the Loan Parties, and Schulte Roth &amp; Zabel LLP, special counsel for the Loan Parties, consistent in form and scope with those opinions delivered pursuant to Section 4.01(b), with such changes as are necessary or appropriate to reflect the assumptions, reaffirmations and joinders occurring in respect of the Loan Documents on the Escrow Assumption Date.</w:t>
      </w:r>
    </w:p>
    <w:p>
      <w:pPr>
        <w:spacing w:after="0" w:line="110" w:lineRule="exact"/>
        <w:rPr>
          <w:rFonts w:ascii="Arial" w:cs="Arial" w:eastAsia="Arial" w:hAnsi="Arial"/>
          <w:sz w:val="19"/>
          <w:szCs w:val="19"/>
          <w:color w:val="auto"/>
        </w:rPr>
      </w:pPr>
    </w:p>
    <w:p>
      <w:pPr>
        <w:jc w:val="both"/>
        <w:ind w:firstLine="644"/>
        <w:spacing w:after="0" w:line="268" w:lineRule="auto"/>
        <w:tabs>
          <w:tab w:leader="none" w:pos="91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each Loan Party, dated the Escrow Assumption Date,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with appropriate insertions, executed by any Responsible Officer of such Loan Party, and including or attaching the documents referred to in clause (g) below.</w:t>
      </w:r>
    </w:p>
    <w:p>
      <w:pPr>
        <w:spacing w:after="0" w:line="115" w:lineRule="exact"/>
        <w:rPr>
          <w:rFonts w:ascii="Arial" w:cs="Arial" w:eastAsia="Arial" w:hAnsi="Arial"/>
          <w:sz w:val="20"/>
          <w:szCs w:val="20"/>
          <w:color w:val="auto"/>
        </w:rPr>
      </w:pPr>
    </w:p>
    <w:p>
      <w:pPr>
        <w:jc w:val="both"/>
        <w:ind w:firstLine="644"/>
        <w:spacing w:after="0" w:line="254" w:lineRule="auto"/>
        <w:tabs>
          <w:tab w:leader="none" w:pos="939"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Administrative Agent shall have received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and/or similar governing bodies of each Loan Party approving and authorizing the execution, delivery and performance of the Loan Documents to which it is a party, certified as of the Escrow Assumption Date by its secretary, an assistant secretary or a Responsible Officer as being in full force and effect without modification or amendment, and (iv) a good standing certificate (to the extent such concept exists) from the applicable Governmental Authority of each Loan Party’s jurisdiction of incorporation, organization or formation.</w:t>
      </w:r>
    </w:p>
    <w:p>
      <w:pPr>
        <w:spacing w:after="0" w:line="142" w:lineRule="exact"/>
        <w:rPr>
          <w:rFonts w:ascii="Arial" w:cs="Arial" w:eastAsia="Arial" w:hAnsi="Arial"/>
          <w:sz w:val="20"/>
          <w:szCs w:val="20"/>
          <w:color w:val="auto"/>
        </w:rPr>
      </w:pPr>
    </w:p>
    <w:p>
      <w:pPr>
        <w:jc w:val="both"/>
        <w:ind w:firstLine="644"/>
        <w:spacing w:after="0" w:line="242" w:lineRule="auto"/>
        <w:tabs>
          <w:tab w:leader="none" w:pos="947" w:val="left"/>
        </w:tabs>
        <w:numPr>
          <w:ilvl w:val="0"/>
          <w:numId w:val="175"/>
        </w:numPr>
        <w:rPr>
          <w:rFonts w:ascii="Arial" w:cs="Arial" w:eastAsia="Arial" w:hAnsi="Arial"/>
          <w:sz w:val="21"/>
          <w:szCs w:val="21"/>
          <w:color w:val="auto"/>
        </w:rPr>
      </w:pPr>
      <w:r>
        <w:rPr>
          <w:rFonts w:ascii="Arial" w:cs="Arial" w:eastAsia="Arial" w:hAnsi="Arial"/>
          <w:sz w:val="21"/>
          <w:szCs w:val="21"/>
          <w:color w:val="auto"/>
        </w:rPr>
        <w:t>The Administrative Agent shall have received all fees and other amounts previously agreed in writing by the Lead Arranger and the Borrower to be due and payable on or prior to the Escrow Assumption Date, including, to the extent invoiced at least three Business Days prior to the Escrow Assumption Date (or such later day as the Borrower may reasonably agree), reimbursement or payment of all out-of-pocket expenses (including reasonable fees, charges and disbursements of counsel) required to be reimbursed or paid by any Loan Party under any Loan Document or as otherwise agreed in writing between the Lead Arranger and the Borrower.</w:t>
      </w:r>
    </w:p>
    <w:p>
      <w:pPr>
        <w:spacing w:after="0" w:line="139" w:lineRule="exact"/>
        <w:rPr>
          <w:rFonts w:ascii="Arial" w:cs="Arial" w:eastAsia="Arial" w:hAnsi="Arial"/>
          <w:sz w:val="21"/>
          <w:szCs w:val="21"/>
          <w:color w:val="auto"/>
        </w:rPr>
      </w:pPr>
    </w:p>
    <w:p>
      <w:pPr>
        <w:jc w:val="both"/>
        <w:ind w:firstLine="644"/>
        <w:spacing w:after="0" w:line="289" w:lineRule="auto"/>
        <w:tabs>
          <w:tab w:leader="none" w:pos="90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KCG Refinancing shall have been, or shall substantially concurrently with the assumption of the Escrow Term Loans be, consummated or arrangements for the KCG Refinancing (reasonably satisfactory to the Administrative Agent) shall have been established substantially concurrently with the assumption of the Escrow Term Loans.</w:t>
      </w:r>
    </w:p>
    <w:p>
      <w:pPr>
        <w:spacing w:after="0" w:line="97" w:lineRule="exact"/>
        <w:rPr>
          <w:rFonts w:ascii="Arial" w:cs="Arial" w:eastAsia="Arial" w:hAnsi="Arial"/>
          <w:sz w:val="19"/>
          <w:szCs w:val="19"/>
          <w:color w:val="auto"/>
        </w:rPr>
      </w:pPr>
    </w:p>
    <w:p>
      <w:pPr>
        <w:jc w:val="both"/>
        <w:ind w:firstLine="644"/>
        <w:spacing w:after="0" w:line="243" w:lineRule="auto"/>
        <w:tabs>
          <w:tab w:leader="none" w:pos="885" w:val="left"/>
        </w:tabs>
        <w:numPr>
          <w:ilvl w:val="0"/>
          <w:numId w:val="175"/>
        </w:numPr>
        <w:rPr>
          <w:rFonts w:ascii="Arial" w:cs="Arial" w:eastAsia="Arial" w:hAnsi="Arial"/>
          <w:sz w:val="21"/>
          <w:szCs w:val="21"/>
          <w:color w:val="auto"/>
        </w:rPr>
      </w:pPr>
      <w:r>
        <w:rPr>
          <w:rFonts w:ascii="Arial" w:cs="Arial" w:eastAsia="Arial" w:hAnsi="Arial"/>
          <w:sz w:val="21"/>
          <w:szCs w:val="21"/>
          <w:color w:val="auto"/>
        </w:rPr>
        <w:t xml:space="preserve">The Collateral and Guarantee Requirement shall have been, or shall be substantially concurrently on the Escrow Assumption Date, satisfied and the Administrative Agent shall have received a completed Perfection Certificate dated the Escrow Assumption Date and signed by a Responsible Officer of the Borrower, together with all attachments contemplated thereby;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to the extent that any security interest in the Collateral (other than any Collateral the security interest in which may be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4" w:name="page285"/>
    <w:bookmarkEnd w:id="284"/>
    <w:p>
      <w:pPr>
        <w:jc w:val="both"/>
        <w:spacing w:after="0" w:line="253" w:lineRule="auto"/>
        <w:rPr>
          <w:sz w:val="20"/>
          <w:szCs w:val="20"/>
          <w:color w:val="auto"/>
        </w:rPr>
      </w:pPr>
      <w:r>
        <w:rPr>
          <w:rFonts w:ascii="Arial" w:cs="Arial" w:eastAsia="Arial" w:hAnsi="Arial"/>
          <w:sz w:val="20"/>
          <w:szCs w:val="20"/>
          <w:color w:val="auto"/>
        </w:rPr>
        <w:t>perfected by the filing of a UCC financing statement or the delivery of certificates evidencing equity interests of the Borrower and its wholly-owned, material domestic Subsidiaries (in each case, to the extent certificated) evidencing the Equity Interests required to be pledged pursuant to the Collateral and Guarantee Requirement with respect to which a Lien may be perfected by the delivery of a stock or equivalent certificate, but, with respect to Subsidiaries of KCG, only to the extent received after use of commercially reasonably efforts to do so)) is not perfected on the Escrow Assumption Date after use of commercially reasonable efforts to do so without undue burden or expense, the perfection of such security interest shall not constitute a condition precedent to the Escrow Assumption Date but shall be required to be perfected not later than 90 days (subject to extensions as may be agreed to by the Administrative Agent in its sole discretion) after the Escrow Assumption Date.</w:t>
      </w:r>
    </w:p>
    <w:p>
      <w:pPr>
        <w:spacing w:after="0" w:line="146" w:lineRule="exact"/>
        <w:rPr>
          <w:sz w:val="20"/>
          <w:szCs w:val="20"/>
          <w:color w:val="auto"/>
        </w:rPr>
      </w:pPr>
    </w:p>
    <w:p>
      <w:pPr>
        <w:jc w:val="both"/>
        <w:ind w:firstLine="644"/>
        <w:spacing w:after="0" w:line="275" w:lineRule="auto"/>
        <w:tabs>
          <w:tab w:leader="none" w:pos="933"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each Loan Party (other than any Loan Party delivering a joinder to the Collateral Agreement and the Guarantee Agreement on the Escrow Assumption Date pursuant to clause (j) above) either (i) a counterpart to a Reaffirmation Agreement signed on behalf of such party or (ii) written evidence satisfactory to the Administrative Agent (which may include facsimile or other electronic submission of a signed counterpart of a Reaffirmation Agreement) that such party has signed a counterpart of a Reaffirmation Agreement.</w:t>
      </w:r>
    </w:p>
    <w:p>
      <w:pPr>
        <w:spacing w:after="0" w:line="110" w:lineRule="exact"/>
        <w:rPr>
          <w:rFonts w:ascii="Arial" w:cs="Arial" w:eastAsia="Arial" w:hAnsi="Arial"/>
          <w:sz w:val="19"/>
          <w:szCs w:val="19"/>
          <w:color w:val="auto"/>
        </w:rPr>
      </w:pPr>
    </w:p>
    <w:p>
      <w:pPr>
        <w:jc w:val="both"/>
        <w:ind w:firstLine="644"/>
        <w:spacing w:after="0" w:line="275" w:lineRule="auto"/>
        <w:tabs>
          <w:tab w:leader="none" w:pos="90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Administrative Agent and the Lead Arranger shall have received, at least five Business Days prior to the Restatement Effective Date, all documentation and other information about the Loan Parties as shall have been reasonably requested in writing at least 10 Business Days prior to the Restatement Effective Date by the Administrative Agent or the Lead Arranger that they shall have reasonably determined is required by regulatory authorities under applicable “know your customer” and anti-money laundering rules and regulations, including without limitation the USA Patriot Act.</w:t>
      </w:r>
    </w:p>
    <w:p>
      <w:pPr>
        <w:spacing w:after="0" w:line="110" w:lineRule="exact"/>
        <w:rPr>
          <w:rFonts w:ascii="Arial" w:cs="Arial" w:eastAsia="Arial" w:hAnsi="Arial"/>
          <w:sz w:val="19"/>
          <w:szCs w:val="19"/>
          <w:color w:val="auto"/>
        </w:rPr>
      </w:pPr>
    </w:p>
    <w:p>
      <w:pPr>
        <w:jc w:val="both"/>
        <w:ind w:firstLine="644"/>
        <w:spacing w:after="0" w:line="264" w:lineRule="auto"/>
        <w:tabs>
          <w:tab w:leader="none" w:pos="1022" w:val="left"/>
        </w:tabs>
        <w:numPr>
          <w:ilvl w:val="1"/>
          <w:numId w:val="176"/>
        </w:numPr>
        <w:rPr>
          <w:rFonts w:ascii="Arial" w:cs="Arial" w:eastAsia="Arial" w:hAnsi="Arial"/>
          <w:sz w:val="19"/>
          <w:szCs w:val="19"/>
          <w:color w:val="auto"/>
        </w:rPr>
      </w:pPr>
      <w:r>
        <w:rPr>
          <w:rFonts w:ascii="Arial" w:cs="Arial" w:eastAsia="Arial" w:hAnsi="Arial"/>
          <w:sz w:val="19"/>
          <w:szCs w:val="19"/>
          <w:color w:val="auto"/>
        </w:rPr>
        <w:t>The Administrative Agent and the Lead Arranger shall have received (i) the audited consolidated balance sheets and related consolidated statements of operations cash flows and shareholders’ equity of each of Holdings and KCG for the three most recently completed fiscal years of Holdings and KCG, respectively, ended at least 90 days before the Escrow Assumption Date, accompanied by a report thereon by their respective independent registered public accountants (without a “going concern” or like qualification or exception and qualification or exception as to scope of audit); (ii) the unaudited consolidated balance sheets and related statements of operations and cash flows of each of Holdings and KCG for each subsequent fiscal quarter of Holdings and KCG, respectively, ended at least 45 days before the Escrow Assumption Date (other than the fourth fiscal quarter of any fiscal year) (the “</w:t>
      </w:r>
      <w:r>
        <w:rPr>
          <w:rFonts w:ascii="Arial" w:cs="Arial" w:eastAsia="Arial" w:hAnsi="Arial"/>
          <w:sz w:val="19"/>
          <w:szCs w:val="19"/>
          <w:b w:val="1"/>
          <w:bCs w:val="1"/>
          <w:color w:val="auto"/>
        </w:rPr>
        <w:t>Quarterly Financial Statements</w:t>
      </w:r>
      <w:r>
        <w:rPr>
          <w:rFonts w:ascii="Arial" w:cs="Arial" w:eastAsia="Arial" w:hAnsi="Arial"/>
          <w:sz w:val="19"/>
          <w:szCs w:val="19"/>
          <w:color w:val="auto"/>
        </w:rPr>
        <w:t>”); and</w:t>
      </w:r>
    </w:p>
    <w:p>
      <w:pPr>
        <w:jc w:val="both"/>
        <w:ind w:firstLine="9"/>
        <w:spacing w:after="0" w:line="239" w:lineRule="auto"/>
        <w:tabs>
          <w:tab w:leader="none" w:pos="375" w:val="left"/>
        </w:tabs>
        <w:numPr>
          <w:ilvl w:val="0"/>
          <w:numId w:val="177"/>
        </w:numPr>
        <w:rPr>
          <w:rFonts w:ascii="Arial" w:cs="Arial" w:eastAsia="Arial" w:hAnsi="Arial"/>
          <w:sz w:val="21"/>
          <w:szCs w:val="21"/>
          <w:color w:val="auto"/>
        </w:rPr>
      </w:pPr>
      <w:r>
        <w:rPr>
          <w:rFonts w:ascii="Arial" w:cs="Arial" w:eastAsia="Arial" w:hAnsi="Arial"/>
          <w:sz w:val="21"/>
          <w:szCs w:val="21"/>
          <w:color w:val="auto"/>
        </w:rPr>
        <w:t>a pro forma balance sheet and related statement of operations of Holdings and its subsidiaries (including KCG and its Subsidiaries) as of and for the twelve-month period ending with the latest quarterly period of Holdings covered by the Quarterly Financial Statements, in each case after giving effect to the Transactions (the “</w:t>
      </w:r>
      <w:r>
        <w:rPr>
          <w:rFonts w:ascii="Arial" w:cs="Arial" w:eastAsia="Arial" w:hAnsi="Arial"/>
          <w:sz w:val="21"/>
          <w:szCs w:val="21"/>
          <w:b w:val="1"/>
          <w:bCs w:val="1"/>
          <w:color w:val="auto"/>
        </w:rPr>
        <w:t>Pro Forma Financial</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Statements</w:t>
      </w:r>
      <w:r>
        <w:rPr>
          <w:rFonts w:ascii="Arial" w:cs="Arial" w:eastAsia="Arial" w:hAnsi="Arial"/>
          <w:sz w:val="21"/>
          <w:szCs w:val="21"/>
          <w:color w:val="auto"/>
        </w:rPr>
        <w:t>”), all of which financial statements shall be prepared in accordance with generally accepted accounting</w:t>
      </w:r>
      <w:r>
        <w:rPr>
          <w:rFonts w:ascii="Arial" w:cs="Arial" w:eastAsia="Arial" w:hAnsi="Arial"/>
          <w:sz w:val="21"/>
          <w:szCs w:val="21"/>
          <w:b w:val="1"/>
          <w:bCs w:val="1"/>
          <w:color w:val="auto"/>
        </w:rPr>
        <w:t xml:space="preserve"> </w:t>
      </w:r>
      <w:r>
        <w:rPr>
          <w:rFonts w:ascii="Arial" w:cs="Arial" w:eastAsia="Arial" w:hAnsi="Arial"/>
          <w:sz w:val="21"/>
          <w:szCs w:val="21"/>
          <w:color w:val="auto"/>
        </w:rPr>
        <w:t>principles in the United States 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5" w:name="page286"/>
    <w:bookmarkEnd w:id="285"/>
    <w:p>
      <w:pPr>
        <w:spacing w:after="0"/>
        <w:rPr>
          <w:sz w:val="20"/>
          <w:szCs w:val="20"/>
          <w:color w:val="auto"/>
        </w:rPr>
      </w:pPr>
      <w:r>
        <w:rPr>
          <w:rFonts w:ascii="Arial" w:cs="Arial" w:eastAsia="Arial" w:hAnsi="Arial"/>
          <w:sz w:val="21"/>
          <w:szCs w:val="21"/>
          <w:color w:val="auto"/>
        </w:rPr>
        <w:t>comply with in all material respects the requirements of Regulation S-X under the Securities Act.</w:t>
      </w:r>
    </w:p>
    <w:p>
      <w:pPr>
        <w:spacing w:after="0" w:line="182" w:lineRule="exact"/>
        <w:rPr>
          <w:sz w:val="20"/>
          <w:szCs w:val="20"/>
          <w:color w:val="auto"/>
        </w:rPr>
      </w:pPr>
    </w:p>
    <w:p>
      <w:pPr>
        <w:ind w:right="20" w:firstLine="644"/>
        <w:spacing w:after="0" w:line="263" w:lineRule="auto"/>
        <w:tabs>
          <w:tab w:leader="none" w:pos="983"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Senior Representative for the Second Lien Notes and each Loan Party shall have delivered to the Administrative Agent an executed counterpart to a Junior Lien Intercreditor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AFFIRMATIVE COVENANTS</w:t>
      </w:r>
    </w:p>
    <w:p>
      <w:pPr>
        <w:spacing w:after="0" w:line="151"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Until the Commitments shall have expired or been terminated, the principal of and interest on each Loan and all fees, expenses and other amounts (other than contingent amounts not yet due) payable under any Loan Document shall have been paid in full and all Letters of Credit shall have expired or been terminated and all LC Disbursements shall have been reimbursed, each of Holdings and the Borrower covenants and agrees with the Administrative Agent and each of the Lenders that:</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 xml:space="preserve">Section 5.01. </w:t>
      </w:r>
      <w:r>
        <w:rPr>
          <w:rFonts w:ascii="Arial" w:cs="Arial" w:eastAsia="Arial" w:hAnsi="Arial"/>
          <w:sz w:val="21"/>
          <w:szCs w:val="21"/>
          <w:i w:val="1"/>
          <w:iCs w:val="1"/>
          <w:color w:val="auto"/>
        </w:rPr>
        <w:t>Financial Statements and Other Information.</w:t>
      </w:r>
      <w:r>
        <w:rPr>
          <w:rFonts w:ascii="Arial" w:cs="Arial" w:eastAsia="Arial" w:hAnsi="Arial"/>
          <w:sz w:val="21"/>
          <w:szCs w:val="21"/>
          <w:color w:val="auto"/>
        </w:rPr>
        <w:t xml:space="preserve"> Holdings or the Borrower will furnish to the</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Administrative Agent, which will furnish to each Lender:</w:t>
      </w:r>
    </w:p>
    <w:p>
      <w:pPr>
        <w:spacing w:after="0" w:line="151" w:lineRule="exact"/>
        <w:rPr>
          <w:sz w:val="20"/>
          <w:szCs w:val="20"/>
          <w:color w:val="auto"/>
        </w:rPr>
      </w:pPr>
    </w:p>
    <w:p>
      <w:pPr>
        <w:jc w:val="both"/>
        <w:ind w:firstLine="644"/>
        <w:spacing w:after="0" w:line="251" w:lineRule="auto"/>
        <w:tabs>
          <w:tab w:leader="none" w:pos="92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on or before the date on which such financial statements are required or permitted to be filed with the SEC (or, if such financial statements are not required to be filed with the SEC, on or before the date that is 90 days after the end of each fiscal year of Holdings), audited consolidated balance sheet and audited consolidated statements of operations and comprehensive income, stockholders’ equity and cash flows of Holdings as of the end of and for such year (commencing with financial statements as of the end of and for the fiscal year ending December 31, 2017), and related notes thereto, setting forth in each case in comparative form the figures for the previous fiscal year, all reported on by KPMG LLP or any other independent registered public accounting firm of nationally recognized standing (without a “going concern” or like qualification or exception (other than with respect to, or resulting from, (i) any potential inability to satisfy the Financial Performance Covenants in a future date or period or (ii) an upcoming maturity date of any Indebtedness under this Agreement occurring within 12 months from the time such report is required to be delivered to the Administrative Agent) and without any qualification or exception as to the scope of such audit) to the effect that such consolidated financial statements present fairly in all material respects the financial condition as of the end of and for such year and results of operations and cash flows of Holdings and its Subsidiaries on a consolidated basis in accordance with GAAP consistently applied,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Holdings otherwise reasonably considers to be proprietary or highly sensitive);</w:t>
      </w:r>
    </w:p>
    <w:p>
      <w:pPr>
        <w:spacing w:after="0" w:line="131" w:lineRule="exact"/>
        <w:rPr>
          <w:rFonts w:ascii="Arial" w:cs="Arial" w:eastAsia="Arial" w:hAnsi="Arial"/>
          <w:sz w:val="20"/>
          <w:szCs w:val="20"/>
          <w:color w:val="auto"/>
        </w:rPr>
      </w:pPr>
    </w:p>
    <w:p>
      <w:pPr>
        <w:jc w:val="both"/>
        <w:ind w:firstLine="644"/>
        <w:spacing w:after="0" w:line="245" w:lineRule="auto"/>
        <w:tabs>
          <w:tab w:leader="none" w:pos="942" w:val="left"/>
        </w:tabs>
        <w:numPr>
          <w:ilvl w:val="0"/>
          <w:numId w:val="179"/>
        </w:numPr>
        <w:rPr>
          <w:rFonts w:ascii="Arial" w:cs="Arial" w:eastAsia="Arial" w:hAnsi="Arial"/>
          <w:sz w:val="21"/>
          <w:szCs w:val="21"/>
          <w:color w:val="auto"/>
        </w:rPr>
      </w:pPr>
      <w:r>
        <w:rPr>
          <w:rFonts w:ascii="Arial" w:cs="Arial" w:eastAsia="Arial" w:hAnsi="Arial"/>
          <w:sz w:val="21"/>
          <w:szCs w:val="21"/>
          <w:color w:val="auto"/>
        </w:rPr>
        <w:t>commencing with the financial statements for the fiscal quarter ending June 30, 2017, on or before the date on which such financial statements are required or permitted to be filed with the SEC with respect to each of the first three fiscal quarters of each fiscal year of Holdings (or, if such financial statements are not required to be filed with the SEC, on or before the date that is 30 days after the end of each such fiscal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6" w:name="page287"/>
    <w:bookmarkEnd w:id="286"/>
    <w:p>
      <w:pPr>
        <w:jc w:val="both"/>
        <w:spacing w:after="0" w:line="252" w:lineRule="auto"/>
        <w:rPr>
          <w:sz w:val="20"/>
          <w:szCs w:val="20"/>
          <w:color w:val="auto"/>
        </w:rPr>
      </w:pPr>
      <w:r>
        <w:rPr>
          <w:rFonts w:ascii="Arial" w:cs="Arial" w:eastAsia="Arial" w:hAnsi="Arial"/>
          <w:sz w:val="20"/>
          <w:szCs w:val="20"/>
          <w:color w:val="auto"/>
        </w:rPr>
        <w:t>quarter), unaudited consolidated balance sheet and unaudited consolidated statements of operations and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Holdings and its Subsidiaries on a consolidated basis in accordance with GAAP consistently applied, subject to normal year-end audit adjustments and the absence of footnotes and which statements shall include an accompanying customary management discussion and analysis (which, for the avoidance of doubt, shall not be required to include strategy level detail with respect to operational performance, trading algorithms, “ticker-level” information or information that the Borrower otherwise reasonably considers to be proprietary or highly sensitive);</w:t>
      </w:r>
    </w:p>
    <w:p>
      <w:pPr>
        <w:spacing w:after="0" w:line="148" w:lineRule="exact"/>
        <w:rPr>
          <w:sz w:val="20"/>
          <w:szCs w:val="20"/>
          <w:color w:val="auto"/>
        </w:rPr>
      </w:pPr>
    </w:p>
    <w:p>
      <w:pPr>
        <w:ind w:left="940" w:hanging="296"/>
        <w:spacing w:after="0"/>
        <w:tabs>
          <w:tab w:leader="none" w:pos="940" w:val="left"/>
        </w:tabs>
        <w:numPr>
          <w:ilvl w:val="1"/>
          <w:numId w:val="180"/>
        </w:numPr>
        <w:rPr>
          <w:rFonts w:ascii="Arial" w:cs="Arial" w:eastAsia="Arial" w:hAnsi="Arial"/>
          <w:sz w:val="19"/>
          <w:szCs w:val="19"/>
          <w:color w:val="auto"/>
        </w:rPr>
      </w:pPr>
      <w:r>
        <w:rPr>
          <w:rFonts w:ascii="Arial" w:cs="Arial" w:eastAsia="Arial" w:hAnsi="Arial"/>
          <w:sz w:val="19"/>
          <w:szCs w:val="19"/>
          <w:color w:val="auto"/>
        </w:rPr>
        <w:t>simultaneously with the delivery of each set of consolidated financial statements referred to in clauses (a) and</w:t>
      </w:r>
    </w:p>
    <w:p>
      <w:pPr>
        <w:spacing w:after="0" w:line="37" w:lineRule="exact"/>
        <w:rPr>
          <w:rFonts w:ascii="Arial" w:cs="Arial" w:eastAsia="Arial" w:hAnsi="Arial"/>
          <w:sz w:val="19"/>
          <w:szCs w:val="19"/>
          <w:color w:val="auto"/>
        </w:rPr>
      </w:pPr>
    </w:p>
    <w:p>
      <w:pPr>
        <w:ind w:firstLine="9"/>
        <w:spacing w:after="0" w:line="245" w:lineRule="auto"/>
        <w:tabs>
          <w:tab w:leader="none" w:pos="334"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above, the related consolidating financial statements reflecting adjustments necessary to eliminate the accounts of Unrestricted Subsidiaries (if any) from such consolidated financial statements;</w:t>
      </w:r>
    </w:p>
    <w:p>
      <w:pPr>
        <w:spacing w:after="0" w:line="137" w:lineRule="exact"/>
        <w:rPr>
          <w:rFonts w:ascii="Arial" w:cs="Arial" w:eastAsia="Arial" w:hAnsi="Arial"/>
          <w:sz w:val="21"/>
          <w:szCs w:val="21"/>
          <w:color w:val="auto"/>
        </w:rPr>
      </w:pPr>
    </w:p>
    <w:p>
      <w:pPr>
        <w:jc w:val="both"/>
        <w:ind w:firstLine="644"/>
        <w:spacing w:after="0" w:line="251" w:lineRule="auto"/>
        <w:tabs>
          <w:tab w:leader="none" w:pos="942" w:val="left"/>
        </w:tabs>
        <w:numPr>
          <w:ilvl w:val="1"/>
          <w:numId w:val="181"/>
        </w:numPr>
        <w:rPr>
          <w:rFonts w:ascii="Arial" w:cs="Arial" w:eastAsia="Arial" w:hAnsi="Arial"/>
          <w:sz w:val="20"/>
          <w:szCs w:val="20"/>
          <w:color w:val="auto"/>
        </w:rPr>
      </w:pPr>
      <w:r>
        <w:rPr>
          <w:rFonts w:ascii="Arial" w:cs="Arial" w:eastAsia="Arial" w:hAnsi="Arial"/>
          <w:sz w:val="20"/>
          <w:szCs w:val="20"/>
          <w:color w:val="auto"/>
        </w:rPr>
        <w:t>not later than five days after any delivery of financial statements under paragraph (a) or (b) above (and, in any event, not later than five days after the date on which such financial statements were required to have been delivered), a certificate of a Financial Officer (i) certifying as to whether a Default has occurred and, if a Default has occurred, specifying the details thereof and any action taken or proposed to be taken with respect thereto, (ii) setting forth reasonably detailed calculations (A) demonstrating compliance with the Financial Performance Covenants and (B) beginning with the financial statements for the fiscal quarter ended June 30, 2017, of Excess Cash Flow for the fiscal quarter ended June 30, 2017 and, in the case of financial statements delivered with respect to any subsequent fiscal quarter, of Excess Cash Flow for such fiscal quarter (or in the case of financial statements delivered under paragraph (a) above, for the fourth fiscal quarter of such fiscal year) and (iii) in the case of financial statements delivered under paragraph (a) or (b) above, setting forth a reasonably detailed calculation of the Net Proceeds received during the applicable period by or on behalf of the Borrower or any of its Restricted Subsidiary in respect of any event described in clause (a) of the definition of the term “Prepayment Event” and the portion of such Net Proceeds that has been invested or are intended to be reinvested in accordance with the proviso in Section 2.09(b);</w:t>
      </w:r>
    </w:p>
    <w:p>
      <w:pPr>
        <w:spacing w:after="0" w:line="140" w:lineRule="exact"/>
        <w:rPr>
          <w:rFonts w:ascii="Arial" w:cs="Arial" w:eastAsia="Arial" w:hAnsi="Arial"/>
          <w:sz w:val="20"/>
          <w:szCs w:val="20"/>
          <w:color w:val="auto"/>
        </w:rPr>
      </w:pPr>
    </w:p>
    <w:p>
      <w:pPr>
        <w:jc w:val="both"/>
        <w:ind w:firstLine="644"/>
        <w:spacing w:after="0" w:line="243" w:lineRule="auto"/>
        <w:tabs>
          <w:tab w:leader="none" w:pos="928" w:val="left"/>
        </w:tabs>
        <w:numPr>
          <w:ilvl w:val="1"/>
          <w:numId w:val="181"/>
        </w:numPr>
        <w:rPr>
          <w:rFonts w:ascii="Arial" w:cs="Arial" w:eastAsia="Arial" w:hAnsi="Arial"/>
          <w:sz w:val="21"/>
          <w:szCs w:val="21"/>
          <w:color w:val="auto"/>
        </w:rPr>
      </w:pPr>
      <w:r>
        <w:rPr>
          <w:rFonts w:ascii="Arial" w:cs="Arial" w:eastAsia="Arial" w:hAnsi="Arial"/>
          <w:sz w:val="21"/>
          <w:szCs w:val="21"/>
          <w:color w:val="auto"/>
        </w:rPr>
        <w:t>not later than five days after any delivery of financial statements under paragraph (a) above, a certificate of the accounting firm that reported on such financial statements stating whether it obtained knowledge during the course of its examination of such financial statements of any Default relating to the Financial Performance Covenants and, if such knowledge has been obtained, describing such Default (which certificate may be limited to the extent required by accounting rules or guidelines);</w:t>
      </w:r>
    </w:p>
    <w:p>
      <w:pPr>
        <w:spacing w:after="0" w:line="153" w:lineRule="exact"/>
        <w:rPr>
          <w:rFonts w:ascii="Arial" w:cs="Arial" w:eastAsia="Arial" w:hAnsi="Arial"/>
          <w:sz w:val="21"/>
          <w:szCs w:val="21"/>
          <w:color w:val="auto"/>
        </w:rPr>
      </w:pPr>
    </w:p>
    <w:p>
      <w:pPr>
        <w:jc w:val="both"/>
        <w:ind w:firstLine="644"/>
        <w:spacing w:after="0" w:line="250" w:lineRule="auto"/>
        <w:tabs>
          <w:tab w:leader="none" w:pos="911" w:val="left"/>
        </w:tabs>
        <w:numPr>
          <w:ilvl w:val="1"/>
          <w:numId w:val="181"/>
        </w:numPr>
        <w:rPr>
          <w:rFonts w:ascii="Arial" w:cs="Arial" w:eastAsia="Arial" w:hAnsi="Arial"/>
          <w:sz w:val="21"/>
          <w:szCs w:val="21"/>
          <w:color w:val="auto"/>
        </w:rPr>
      </w:pPr>
      <w:r>
        <w:rPr>
          <w:rFonts w:ascii="Arial" w:cs="Arial" w:eastAsia="Arial" w:hAnsi="Arial"/>
          <w:sz w:val="21"/>
          <w:szCs w:val="21"/>
          <w:color w:val="auto"/>
        </w:rPr>
        <w:t>not later than 90 days after the commencement of each fiscal year of Holdings, a detailed consolidated budget for the Borrower and its Subsidiaries for such fiscal year (consisting of projected net revenue by asset class and geography, projected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7" w:name="page288"/>
    <w:bookmarkEnd w:id="287"/>
    <w:p>
      <w:pPr>
        <w:jc w:val="both"/>
        <w:spacing w:after="0" w:line="250" w:lineRule="auto"/>
        <w:rPr>
          <w:sz w:val="20"/>
          <w:szCs w:val="20"/>
          <w:color w:val="auto"/>
        </w:rPr>
      </w:pPr>
      <w:r>
        <w:rPr>
          <w:rFonts w:ascii="Arial" w:cs="Arial" w:eastAsia="Arial" w:hAnsi="Arial"/>
          <w:sz w:val="21"/>
          <w:szCs w:val="21"/>
          <w:color w:val="auto"/>
        </w:rPr>
        <w:t>expenses, projected GAAP EBITDA (i.e., earnings before interest, taxes, depreciation and amortization) and projected capital expenditures for such fiscal year and setting forth the material assumptions used for purposes of preparing such budget);</w:t>
      </w:r>
    </w:p>
    <w:p>
      <w:pPr>
        <w:spacing w:after="0" w:line="145" w:lineRule="exact"/>
        <w:rPr>
          <w:sz w:val="20"/>
          <w:szCs w:val="20"/>
          <w:color w:val="auto"/>
        </w:rPr>
      </w:pPr>
    </w:p>
    <w:p>
      <w:pPr>
        <w:jc w:val="both"/>
        <w:ind w:firstLine="644"/>
        <w:spacing w:after="0" w:line="272" w:lineRule="auto"/>
        <w:tabs>
          <w:tab w:leader="none" w:pos="95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promptly after the same become publicly available, copies of all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the Borrower or any of its Restricted Subsidiaries with the SEC or with any national securities exchange, or distributed by Holdings, any Intermediate Parent, the Borrower or any of its Restricted Subsidiaries to the holders of its Equity Interests generally, as the case may be;</w:t>
      </w:r>
    </w:p>
    <w:p>
      <w:pPr>
        <w:spacing w:after="0" w:line="114" w:lineRule="exact"/>
        <w:rPr>
          <w:rFonts w:ascii="Arial" w:cs="Arial" w:eastAsia="Arial" w:hAnsi="Arial"/>
          <w:sz w:val="19"/>
          <w:szCs w:val="19"/>
          <w:color w:val="auto"/>
        </w:rPr>
      </w:pPr>
    </w:p>
    <w:p>
      <w:pPr>
        <w:ind w:firstLine="644"/>
        <w:spacing w:after="0" w:line="316" w:lineRule="auto"/>
        <w:tabs>
          <w:tab w:leader="none" w:pos="94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promptly upon filing with any applicable Regulatory Supervising Organization, a copy of each FOCUS report or similar report relating to the regulatory capital or similar requirements applicable to the Subsidiary filing such report;</w:t>
      </w:r>
    </w:p>
    <w:p>
      <w:pPr>
        <w:spacing w:after="0" w:line="72" w:lineRule="exact"/>
        <w:rPr>
          <w:rFonts w:ascii="Arial" w:cs="Arial" w:eastAsia="Arial" w:hAnsi="Arial"/>
          <w:sz w:val="19"/>
          <w:szCs w:val="19"/>
          <w:color w:val="auto"/>
        </w:rPr>
      </w:pPr>
    </w:p>
    <w:p>
      <w:pPr>
        <w:jc w:val="both"/>
        <w:ind w:firstLine="644"/>
        <w:spacing w:after="0" w:line="268" w:lineRule="auto"/>
        <w:tabs>
          <w:tab w:leader="none" w:pos="916" w:val="left"/>
        </w:tabs>
        <w:numPr>
          <w:ilvl w:val="0"/>
          <w:numId w:val="182"/>
        </w:numPr>
        <w:rPr>
          <w:rFonts w:ascii="Arial" w:cs="Arial" w:eastAsia="Arial" w:hAnsi="Arial"/>
          <w:sz w:val="20"/>
          <w:szCs w:val="20"/>
          <w:color w:val="auto"/>
        </w:rPr>
      </w:pPr>
      <w:r>
        <w:rPr>
          <w:rFonts w:ascii="Arial" w:cs="Arial" w:eastAsia="Arial" w:hAnsi="Arial"/>
          <w:sz w:val="20"/>
          <w:szCs w:val="20"/>
          <w:color w:val="auto"/>
        </w:rPr>
        <w:t>promptly after the request by the Administrative Agent on the behalf of any Lender, all documentation and other information that such Lender reasonably requests in order to comply with its ongoing obligations under applicable “know your customer” and anti-money laundering rules and regulations, including the USA Patriot Act;</w:t>
      </w:r>
    </w:p>
    <w:p>
      <w:pPr>
        <w:spacing w:after="0" w:line="129" w:lineRule="exact"/>
        <w:rPr>
          <w:rFonts w:ascii="Arial" w:cs="Arial" w:eastAsia="Arial" w:hAnsi="Arial"/>
          <w:sz w:val="20"/>
          <w:szCs w:val="20"/>
          <w:color w:val="auto"/>
        </w:rPr>
      </w:pPr>
    </w:p>
    <w:p>
      <w:pPr>
        <w:jc w:val="both"/>
        <w:ind w:firstLine="644"/>
        <w:spacing w:after="0" w:line="245" w:lineRule="auto"/>
        <w:tabs>
          <w:tab w:leader="none" w:pos="90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promptly following any request therefor, such other information regarding the operations, business affairs and financial condition of Holdings, any Intermediate Parent, the Borrower or any of its Restricted Subsidiaries, or compliance with the terms of any Loan Document, as the Administrative Agent on its own behalf or on behalf of any Lender may reasonably request in writing; and</w:t>
      </w:r>
    </w:p>
    <w:p>
      <w:pPr>
        <w:spacing w:after="0" w:line="138" w:lineRule="exact"/>
        <w:rPr>
          <w:rFonts w:ascii="Arial" w:cs="Arial" w:eastAsia="Arial" w:hAnsi="Arial"/>
          <w:sz w:val="21"/>
          <w:szCs w:val="21"/>
          <w:color w:val="auto"/>
        </w:rPr>
      </w:pPr>
    </w:p>
    <w:p>
      <w:pPr>
        <w:jc w:val="both"/>
        <w:ind w:firstLine="644"/>
        <w:spacing w:after="0" w:line="279" w:lineRule="auto"/>
        <w:tabs>
          <w:tab w:leader="none" w:pos="95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within 15 days after the end of each calendar month, a statement of the consolidated net trading revenue of Holdings and its Restricted Subsidiaries for such calendar month and for the then elapsed portion of the fiscal year, all certified by a Financial Officer as fairly presenting the net trading revenue of Holdings and its Restricted Subsidiaries as described in Holdings’ internal books and records (which statement need not be prepared in accordance with GAAP).</w:t>
      </w:r>
    </w:p>
    <w:p>
      <w:pPr>
        <w:spacing w:after="0" w:line="108"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19"/>
          <w:szCs w:val="19"/>
          <w:color w:val="auto"/>
        </w:rPr>
        <w:t xml:space="preserve">Notwithstanding the foregoing, the obligations in paragraphs (a) and (b) of this Section 5.01 may be satisfied with respect to financial information of Holdings and its Subsidiaries by furnishing the Form 10-K or 10-Q (or the equivalent), as applicable, of Holdings (or a parent company thereof) filed with the SEC or any national securities exchange;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to the extent such information relates to a parent of Holdings, such information is accompanied by consolidating information, which may be unaudited, that explains in reasonable detail the differences between the information relating to such parent, on the one hand, and the information relating to Holdings and its Subsidiaries on a standalone basis, on the other hand, and (ii) to the extent such information is in lieu of information required to be provided under Section 5.01(a), such materials are accompanied by a report and opinion of KPMG LLP or any other independent registered public accounting firm of nationally recognized standing, which report and opinion shall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8" w:name="page289"/>
    <w:bookmarkEnd w:id="288"/>
    <w:p>
      <w:pPr>
        <w:jc w:val="both"/>
        <w:spacing w:after="0" w:line="243" w:lineRule="auto"/>
        <w:rPr>
          <w:sz w:val="20"/>
          <w:szCs w:val="20"/>
          <w:color w:val="auto"/>
        </w:rPr>
      </w:pPr>
      <w:r>
        <w:rPr>
          <w:rFonts w:ascii="Arial" w:cs="Arial" w:eastAsia="Arial" w:hAnsi="Arial"/>
          <w:sz w:val="21"/>
          <w:szCs w:val="21"/>
          <w:color w:val="auto"/>
        </w:rPr>
        <w:t>be prepared in accordance with generally accepted auditing standards and shall not be subject to any “going concern” or like qualification or exception (other than with respect to, or resulting from, (i) any potential inability to satisfy the Financial Performance Covenants in a future date or period or (ii) an upcoming maturity date of any Indebtedness under this Agreement occurring within 12 months from the time such report is required to be delivered to the Administrative Agent) or any qualification or exception as to the scope of such audit.</w:t>
      </w:r>
    </w:p>
    <w:p>
      <w:pPr>
        <w:spacing w:after="0" w:line="153" w:lineRule="exact"/>
        <w:rPr>
          <w:sz w:val="20"/>
          <w:szCs w:val="20"/>
          <w:color w:val="auto"/>
        </w:rPr>
      </w:pPr>
    </w:p>
    <w:p>
      <w:pPr>
        <w:jc w:val="both"/>
        <w:ind w:firstLine="635"/>
        <w:spacing w:after="0" w:line="251" w:lineRule="auto"/>
        <w:rPr>
          <w:sz w:val="20"/>
          <w:szCs w:val="20"/>
          <w:color w:val="auto"/>
        </w:rPr>
      </w:pPr>
      <w:r>
        <w:rPr>
          <w:rFonts w:ascii="Arial" w:cs="Arial" w:eastAsia="Arial" w:hAnsi="Arial"/>
          <w:sz w:val="20"/>
          <w:szCs w:val="20"/>
          <w:color w:val="auto"/>
        </w:rPr>
        <w:t xml:space="preserve">Documents required to be delivered pursuant to Section 5.01(a), (b) or (f) (to the extent any such documents are included in materials otherwise filed with the SEC) may be delivered electronically and, if so delivered, shall be deemed to have been delivered on the date (i) on which Holdings posts such documents, or provides a link thereto, on the Internet at the website address listed on Schedule 9.01 (or otherwise notified pursuant to Section 9.01(e)); or (ii) on which such documents are posted on Holdings’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the Borrower shall deliver paper copies of such documents to the Administrative Agent upon its reasonable request until a written notice to cease delivering paper copies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w:t>
      </w:r>
    </w:p>
    <w:p>
      <w:pPr>
        <w:spacing w:after="0" w:line="141"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The Borrower hereby acknowledges that (a) the Administrative Agent and/or the Lead Arranger will make available to the Lenders materials and/or information provided by or on behalf of the Borrower hereunder (collectively, “</w:t>
      </w:r>
      <w:r>
        <w:rPr>
          <w:rFonts w:ascii="Arial" w:cs="Arial" w:eastAsia="Arial" w:hAnsi="Arial"/>
          <w:sz w:val="19"/>
          <w:szCs w:val="19"/>
          <w:b w:val="1"/>
          <w:bCs w:val="1"/>
          <w:color w:val="auto"/>
        </w:rPr>
        <w:t>Borrower 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b w:val="1"/>
          <w:bCs w:val="1"/>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b w:val="1"/>
          <w:bCs w:val="1"/>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Lead Arranger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such Borrower Materials constitute Information, they shall be treated as set forth in Section 9.12); (y) all Borrower Materials marked “PUBLIC” are permitted to be made available through a portion of the Platform designated “Public Side Information”; and (z) the Administrative Agent and the Lead Arranger shall be entitled to treat any Borrower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89" w:name="page290"/>
    <w:bookmarkEnd w:id="289"/>
    <w:p>
      <w:pPr>
        <w:jc w:val="both"/>
        <w:spacing w:after="0" w:line="241" w:lineRule="auto"/>
        <w:rPr>
          <w:sz w:val="20"/>
          <w:szCs w:val="20"/>
          <w:color w:val="auto"/>
        </w:rPr>
      </w:pPr>
      <w:r>
        <w:rPr>
          <w:rFonts w:ascii="Arial" w:cs="Arial" w:eastAsia="Arial" w:hAnsi="Arial"/>
          <w:sz w:val="21"/>
          <w:szCs w:val="21"/>
          <w:color w:val="auto"/>
        </w:rPr>
        <w:t xml:space="preserve">Materials that are not marked “PUBLIC” as being suitable only for posting on a portion of the Platform not designated “Public Side Information.” Notwithstanding the foregoing, the Borrower shall be under no obligation to mark any Borrower Materials “PUBLIC”;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following Borrower Materials may be marked “PUBLIC” unless the Borrower, after receiving notice from the Administrative Agent within a reasonable period of time prior to the intended distribution of such Borrower Materials, notifies the Administrative Agent that such Borrower Materials contain material non-public information: (1) the Loan Documents and (2) any notification of changes in the terms of the facilities provided hereunder.</w:t>
      </w:r>
    </w:p>
    <w:p>
      <w:pPr>
        <w:spacing w:after="0" w:line="155" w:lineRule="exact"/>
        <w:rPr>
          <w:sz w:val="20"/>
          <w:szCs w:val="20"/>
          <w:color w:val="auto"/>
        </w:rPr>
      </w:pPr>
    </w:p>
    <w:p>
      <w:pPr>
        <w:jc w:val="both"/>
        <w:ind w:firstLine="635"/>
        <w:spacing w:after="0" w:line="239" w:lineRule="auto"/>
        <w:rPr>
          <w:sz w:val="20"/>
          <w:szCs w:val="20"/>
          <w:color w:val="auto"/>
        </w:rPr>
      </w:pPr>
      <w:r>
        <w:rPr>
          <w:rFonts w:ascii="Arial" w:cs="Arial" w:eastAsia="Arial" w:hAnsi="Arial"/>
          <w:sz w:val="21"/>
          <w:szCs w:val="21"/>
          <w:color w:val="auto"/>
        </w:rPr>
        <w:t>The Borrower hereby represents and warrants that each of the Borrower, its controlling Person and each of its subsidiaries, either (i) has no registered or publicly traded securities outstanding, or (ii) files its financial statements with the SEC and/or makes its financial statements available to potential holders of its 144A securities, and, accordingly, the Borrower hereby (i) authorizes the Administrative Agent to make the financial statements to be provided under Section 5.01(a)(i) and (ii) above, along with the Loan Documents, available to Public Lenders and (ii) agrees that at the time such financial statements are provided hereunder, they shall already have been made available to holders of its securities. The Borrower will not request that any other material be posted to Public Lenders without expressly representing and warranting to the Administrative Agent in writing that such materials do not constitute material non-public information within the meaning of the federal securities laws or that the Borrower has no outstanding publicly traded securities, including 144A securities. In no event shall the Administrative Agent post compliance certificates or budgets to Public Lenders.</w:t>
      </w:r>
    </w:p>
    <w:p>
      <w:pPr>
        <w:spacing w:after="0" w:line="146" w:lineRule="exact"/>
        <w:rPr>
          <w:sz w:val="20"/>
          <w:szCs w:val="20"/>
          <w:color w:val="auto"/>
        </w:rPr>
      </w:pPr>
    </w:p>
    <w:p>
      <w:pPr>
        <w:jc w:val="both"/>
        <w:ind w:firstLine="635"/>
        <w:spacing w:after="0" w:line="250" w:lineRule="auto"/>
        <w:rPr>
          <w:sz w:val="20"/>
          <w:szCs w:val="20"/>
          <w:color w:val="auto"/>
        </w:rPr>
      </w:pPr>
      <w:r>
        <w:rPr>
          <w:rFonts w:ascii="Arial" w:cs="Arial" w:eastAsia="Arial" w:hAnsi="Arial"/>
          <w:sz w:val="21"/>
          <w:szCs w:val="21"/>
          <w:color w:val="auto"/>
        </w:rPr>
        <w:t xml:space="preserve">Section 5.02. </w:t>
      </w:r>
      <w:r>
        <w:rPr>
          <w:rFonts w:ascii="Arial" w:cs="Arial" w:eastAsia="Arial" w:hAnsi="Arial"/>
          <w:sz w:val="21"/>
          <w:szCs w:val="21"/>
          <w:i w:val="1"/>
          <w:iCs w:val="1"/>
          <w:color w:val="auto"/>
        </w:rPr>
        <w:t>Notices of Material Events.</w:t>
      </w:r>
      <w:r>
        <w:rPr>
          <w:rFonts w:ascii="Arial" w:cs="Arial" w:eastAsia="Arial" w:hAnsi="Arial"/>
          <w:sz w:val="21"/>
          <w:szCs w:val="21"/>
          <w:color w:val="auto"/>
        </w:rPr>
        <w:t xml:space="preserve"> Promptly after any Responsible Officer of Holdings or the Borrower obtains actual knowledge thereof, Holdings or the Borrower will furnish to the Administrative Agent (for distribution to each Lender through the Administrative Agent) written notice of the following:</w:t>
      </w:r>
    </w:p>
    <w:p>
      <w:pPr>
        <w:spacing w:after="0" w:line="132" w:lineRule="exact"/>
        <w:rPr>
          <w:sz w:val="20"/>
          <w:szCs w:val="20"/>
          <w:color w:val="auto"/>
        </w:rPr>
      </w:pPr>
    </w:p>
    <w:p>
      <w:pPr>
        <w:ind w:left="940" w:hanging="296"/>
        <w:spacing w:after="0"/>
        <w:tabs>
          <w:tab w:leader="none" w:pos="94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occurrence of any Default;</w:t>
      </w:r>
    </w:p>
    <w:p>
      <w:pPr>
        <w:spacing w:after="0" w:line="181" w:lineRule="exact"/>
        <w:rPr>
          <w:rFonts w:ascii="Arial" w:cs="Arial" w:eastAsia="Arial" w:hAnsi="Arial"/>
          <w:sz w:val="21"/>
          <w:szCs w:val="21"/>
          <w:color w:val="auto"/>
        </w:rPr>
      </w:pPr>
    </w:p>
    <w:p>
      <w:pPr>
        <w:jc w:val="both"/>
        <w:ind w:firstLine="644"/>
        <w:spacing w:after="0" w:line="243" w:lineRule="auto"/>
        <w:tabs>
          <w:tab w:leader="none" w:pos="978"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filing or commencement of any action, suit or proceeding by or before any arbitrator, Governmental Authority or Regulatory Supervising Organization against or, to the knowledge of a Financial Officer or another executive officer of Holdings, any Intermediate Parent, the Borrower or any Subsidiary, affecting Holdings, any Intermediate Parent, the Borrower or any Subsidiary or the receipt of a notice of an Environmental Liability that could reasonably be expected to result in a Material Adverse Effect;</w:t>
      </w:r>
    </w:p>
    <w:p>
      <w:pPr>
        <w:spacing w:after="0" w:line="140" w:lineRule="exact"/>
        <w:rPr>
          <w:rFonts w:ascii="Arial" w:cs="Arial" w:eastAsia="Arial" w:hAnsi="Arial"/>
          <w:sz w:val="21"/>
          <w:szCs w:val="21"/>
          <w:color w:val="auto"/>
        </w:rPr>
      </w:pPr>
    </w:p>
    <w:p>
      <w:pPr>
        <w:ind w:firstLine="644"/>
        <w:spacing w:after="0" w:line="263" w:lineRule="auto"/>
        <w:tabs>
          <w:tab w:leader="none" w:pos="92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commencement of any investigation by any Governmental Authority of or affecting Holdings, the Borrower or any Subsidiary that could reasonably be expected to result in a Material Adverse Effect;</w:t>
      </w:r>
    </w:p>
    <w:p>
      <w:pPr>
        <w:spacing w:after="0" w:line="118" w:lineRule="exact"/>
        <w:rPr>
          <w:rFonts w:ascii="Arial" w:cs="Arial" w:eastAsia="Arial" w:hAnsi="Arial"/>
          <w:sz w:val="21"/>
          <w:szCs w:val="21"/>
          <w:color w:val="auto"/>
        </w:rPr>
      </w:pPr>
    </w:p>
    <w:p>
      <w:pPr>
        <w:ind w:firstLine="644"/>
        <w:spacing w:after="0" w:line="263" w:lineRule="auto"/>
        <w:tabs>
          <w:tab w:leader="none" w:pos="963"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occurrence of any ERISA Event that could reasonably be expected, individually or in the aggregate, to result in a Material Adverse Effect; and</w:t>
      </w:r>
    </w:p>
    <w:p>
      <w:pPr>
        <w:spacing w:after="0" w:line="132" w:lineRule="exact"/>
        <w:rPr>
          <w:rFonts w:ascii="Arial" w:cs="Arial" w:eastAsia="Arial" w:hAnsi="Arial"/>
          <w:sz w:val="21"/>
          <w:szCs w:val="21"/>
          <w:color w:val="auto"/>
        </w:rPr>
      </w:pPr>
    </w:p>
    <w:p>
      <w:pPr>
        <w:ind w:firstLine="644"/>
        <w:spacing w:after="0" w:line="263" w:lineRule="auto"/>
        <w:tabs>
          <w:tab w:leader="none" w:pos="955"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appearance of Holdings, the Borrower or any Subsidiary or Vincent Viola on the Specially Designated Nationals and Blocked Person List or other similar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90" w:name="page291"/>
    <w:bookmarkEnd w:id="290"/>
    <w:p>
      <w:pPr>
        <w:jc w:val="both"/>
        <w:spacing w:after="0" w:line="263" w:lineRule="auto"/>
        <w:rPr>
          <w:sz w:val="20"/>
          <w:szCs w:val="20"/>
          <w:color w:val="auto"/>
        </w:rPr>
      </w:pPr>
      <w:r>
        <w:rPr>
          <w:rFonts w:ascii="Arial" w:cs="Arial" w:eastAsia="Arial" w:hAnsi="Arial"/>
          <w:sz w:val="21"/>
          <w:szCs w:val="21"/>
          <w:color w:val="auto"/>
        </w:rPr>
        <w:t>lists maintained by OFAC and/or the United States Department of Treasury, or identified in any related executive orders issued by the President of the United States.</w:t>
      </w:r>
    </w:p>
    <w:p>
      <w:pPr>
        <w:spacing w:after="0" w:line="132" w:lineRule="exact"/>
        <w:rPr>
          <w:sz w:val="20"/>
          <w:szCs w:val="20"/>
          <w:color w:val="auto"/>
        </w:rPr>
      </w:pPr>
    </w:p>
    <w:p>
      <w:pPr>
        <w:jc w:val="both"/>
        <w:ind w:right="20"/>
        <w:spacing w:after="0" w:line="250" w:lineRule="auto"/>
        <w:rPr>
          <w:sz w:val="20"/>
          <w:szCs w:val="20"/>
          <w:color w:val="auto"/>
        </w:rPr>
      </w:pPr>
      <w:r>
        <w:rPr>
          <w:rFonts w:ascii="Arial" w:cs="Arial" w:eastAsia="Arial" w:hAnsi="Arial"/>
          <w:sz w:val="21"/>
          <w:szCs w:val="21"/>
          <w:color w:val="auto"/>
        </w:rPr>
        <w:t>Each notice delivered under this Section shall be accompanied by a written statement of a Responsible Officer of Holdings or the Borrower setting forth the details of the event or development requiring such notice and any action taken or proposed to be taken with respect thereto.</w:t>
      </w:r>
    </w:p>
    <w:p>
      <w:pPr>
        <w:spacing w:after="0" w:line="132"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Information Regarding Collateral</w:t>
      </w:r>
      <w:r>
        <w:rPr>
          <w:rFonts w:ascii="Arial" w:cs="Arial" w:eastAsia="Arial" w:hAnsi="Arial"/>
          <w:sz w:val="19"/>
          <w:szCs w:val="19"/>
          <w:color w:val="auto"/>
        </w:rPr>
        <w:t>. (a) Holdings or the Borrower will furnish to the Administrative Agent prompt (and in any event within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w:t>
      </w:r>
    </w:p>
    <w:p>
      <w:pPr>
        <w:spacing w:after="0" w:line="2" w:lineRule="exact"/>
        <w:rPr>
          <w:sz w:val="20"/>
          <w:szCs w:val="20"/>
          <w:color w:val="auto"/>
        </w:rPr>
      </w:pPr>
    </w:p>
    <w:p>
      <w:pPr>
        <w:ind w:left="380" w:hanging="371"/>
        <w:spacing w:after="0"/>
        <w:tabs>
          <w:tab w:leader="none" w:pos="38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in any Loan Party’s organizational identification number.</w:t>
      </w:r>
    </w:p>
    <w:p>
      <w:pPr>
        <w:spacing w:after="0" w:line="150" w:lineRule="exact"/>
        <w:rPr>
          <w:rFonts w:ascii="Arial" w:cs="Arial" w:eastAsia="Arial" w:hAnsi="Arial"/>
          <w:sz w:val="21"/>
          <w:szCs w:val="21"/>
          <w:color w:val="auto"/>
        </w:rPr>
      </w:pPr>
    </w:p>
    <w:p>
      <w:pPr>
        <w:jc w:val="both"/>
        <w:ind w:firstLine="644"/>
        <w:spacing w:after="0" w:line="253" w:lineRule="auto"/>
        <w:tabs>
          <w:tab w:leader="none" w:pos="956" w:val="left"/>
        </w:tabs>
        <w:numPr>
          <w:ilvl w:val="1"/>
          <w:numId w:val="184"/>
        </w:numPr>
        <w:rPr>
          <w:rFonts w:ascii="Arial" w:cs="Arial" w:eastAsia="Arial" w:hAnsi="Arial"/>
          <w:sz w:val="20"/>
          <w:szCs w:val="20"/>
          <w:color w:val="auto"/>
        </w:rPr>
      </w:pPr>
      <w:r>
        <w:rPr>
          <w:rFonts w:ascii="Arial" w:cs="Arial" w:eastAsia="Arial" w:hAnsi="Arial"/>
          <w:sz w:val="20"/>
          <w:szCs w:val="20"/>
          <w:color w:val="auto"/>
        </w:rPr>
        <w:t>Not later than five days after delivery of financial statements pursuant to Section 5.01(a) or (b) (and, in any event, not later than five days after the date on which such financial statements were required to have been delivered), Holdings or the Borrower shall deliver to the Administrative Agent a certificate executed by a Responsible Officer of Holdings or the Borrower (i) setting forth the information required pursuant to Sections 1(a)(i), 1(b), 2, 5, 6 and 8 (other than 8(f)) of the Perfection Certificate or confirming that there has been no change in such information since the date of the Perfection Certificate delivered prior to the Restatement Effective Date or the date of the most recent certificate delivered pursuant to this Section or Section 4.03(j), (ii) identifying any Wholly Owned Subsidiary that has become, or ceased to be, a Material Subsidiary during the most recently ended fiscal quarter and (iii) certifying that all notices required to be given prior to the date of such certificate by Section 5.03 have been given.</w:t>
      </w:r>
    </w:p>
    <w:p>
      <w:pPr>
        <w:spacing w:after="0" w:line="146" w:lineRule="exact"/>
        <w:rPr>
          <w:sz w:val="20"/>
          <w:szCs w:val="20"/>
          <w:color w:val="auto"/>
        </w:rPr>
      </w:pPr>
    </w:p>
    <w:p>
      <w:pPr>
        <w:jc w:val="both"/>
        <w:ind w:firstLine="635"/>
        <w:spacing w:after="0" w:line="254"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i w:val="1"/>
          <w:iCs w:val="1"/>
          <w:color w:val="auto"/>
        </w:rPr>
        <w:t>Existence; Conduct of Business.</w:t>
      </w:r>
      <w:r>
        <w:rPr>
          <w:rFonts w:ascii="Arial" w:cs="Arial" w:eastAsia="Arial" w:hAnsi="Arial"/>
          <w:sz w:val="20"/>
          <w:szCs w:val="20"/>
          <w:color w:val="auto"/>
        </w:rPr>
        <w:t xml:space="preserve"> Each of Holdings and the Borrower will, and will cause each Intermediate Parent and Restricted Subsidiary to, do or cause to be done all things necessary to obtain, preserve, renew and keep in full force and effect its legal existence and the rights, licenses, permits, privileges, franchises (including exchange memberships), patents, copyrights, trademarks, trade names and Governmental Approvals material to the conduct of its business, except to the extent (other than with respect to the preservation of the existence of Holdings and the Borrower) that the failure to do so, individually or in the aggregate, could not reasonably be expected to have a Material Adverse Effect;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foregoing shall not prohibit any merger, consolidation, liquidation or dissolution permitted under Section 6.03 or any Disposition permitted by Section 6.05.</w:t>
      </w:r>
    </w:p>
    <w:p>
      <w:pPr>
        <w:spacing w:after="0" w:line="130" w:lineRule="exact"/>
        <w:rPr>
          <w:sz w:val="20"/>
          <w:szCs w:val="20"/>
          <w:color w:val="auto"/>
        </w:rPr>
      </w:pPr>
    </w:p>
    <w:p>
      <w:pPr>
        <w:jc w:val="both"/>
        <w:ind w:firstLine="635"/>
        <w:spacing w:after="0" w:line="261"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i w:val="1"/>
          <w:iCs w:val="1"/>
          <w:color w:val="auto"/>
        </w:rPr>
        <w:t>Payment of Taxes, Etc.</w:t>
      </w:r>
      <w:r>
        <w:rPr>
          <w:rFonts w:ascii="Arial" w:cs="Arial" w:eastAsia="Arial" w:hAnsi="Arial"/>
          <w:sz w:val="20"/>
          <w:szCs w:val="20"/>
          <w:color w:val="auto"/>
        </w:rPr>
        <w:t xml:space="preserve"> Each of Holdings and the Borrower will, and will cause each Intermediate Parent and Restricted Subsidiary to, pay its obligations in respect of Tax liabilities, assessments and governmental charges, before the same shall become delinquent or in default, except where the failure to make such payment could not reasonably be expected, individually or in the aggregate, to result in a Material Adverse Effect.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91" w:name="page292"/>
    <w:bookmarkEnd w:id="291"/>
    <w:p>
      <w:pPr>
        <w:jc w:val="both"/>
        <w:ind w:firstLine="635"/>
        <w:spacing w:after="0" w:line="245"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i w:val="1"/>
          <w:iCs w:val="1"/>
          <w:color w:val="auto"/>
        </w:rPr>
        <w:t>Maintenance of Properties.</w:t>
      </w:r>
      <w:r>
        <w:rPr>
          <w:rFonts w:ascii="Arial" w:cs="Arial" w:eastAsia="Arial" w:hAnsi="Arial"/>
          <w:sz w:val="21"/>
          <w:szCs w:val="21"/>
          <w:color w:val="auto"/>
        </w:rPr>
        <w:t xml:space="preserve"> Each of Holdings and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w:t>
      </w:r>
    </w:p>
    <w:p>
      <w:pPr>
        <w:spacing w:after="0" w:line="152"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i w:val="1"/>
          <w:iCs w:val="1"/>
          <w:color w:val="auto"/>
        </w:rPr>
        <w:t>Insurance.</w:t>
      </w:r>
      <w:r>
        <w:rPr>
          <w:rFonts w:ascii="Arial" w:cs="Arial" w:eastAsia="Arial" w:hAnsi="Arial"/>
          <w:sz w:val="19"/>
          <w:szCs w:val="19"/>
          <w:color w:val="auto"/>
        </w:rPr>
        <w:t xml:space="preserve"> Each of Holdings and the Borrower will, and will cause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of the management of Holdings) are reasonable and prudent in light of the size and nature of its business, and will furnish to the Lenders, upon written request from the Administrative Agent, information presented in reasonable detail as to the insurance so carried. Each such policy of insurance shall (a) name the Administrative Agent, on behalf of the Lenders, as an additional insured thereunder as its interests may appear and (b) in the case of each casualty insurance policy, contain a loss payable clause or endorsement that names the Administrative Agent, on behalf of the Lenders, as the loss payee thereunder.</w:t>
      </w:r>
    </w:p>
    <w:p>
      <w:pPr>
        <w:spacing w:after="0" w:line="118"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i w:val="1"/>
          <w:iCs w:val="1"/>
          <w:color w:val="auto"/>
        </w:rPr>
        <w:t>Books and Records; Inspection and Audit Rights; Quarterly Teleconferences</w:t>
      </w:r>
      <w:r>
        <w:rPr>
          <w:rFonts w:ascii="Arial" w:cs="Arial" w:eastAsia="Arial" w:hAnsi="Arial"/>
          <w:sz w:val="19"/>
          <w:szCs w:val="19"/>
          <w:color w:val="auto"/>
        </w:rPr>
        <w:t xml:space="preserve">. (a) Each of Holdings and the Borrower will, and will cause each Intermediate Parent and Restricted Subsidiary to, maintain proper books of record and account in which entries that are full, true and correct in all material respects and are in conformity with GAAP consistently applied shall be made of all material financial transactions and matters involving the assets and business of Holdings, the Borrower, such Intermediate Parent or such Restricted Subsidiary, as the case may be. Each of Holdings and the Borrower will, and will cause each Intermediate Parent and Restricted Subsidiary to, permit any representatives designated by the Administrative Agent or any Lender,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excluding any such visits and inspections during the continuation of an Event of Default, only the Administrative Agent on behalf of the Lenders may exercise visitation and inspection rights of the Administrative Agent and the Lenders under this Section 5.08 and the Administrative Agent shall not exercise such rights more often than two times during any calendar year absent the existence of an Event of Default and only one such time shall be at the Borrower’s expense;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 when an Event of Default exists, the Administrative Agent or any Lender (or any of their respective representatives or independent contractors) may do any of the foregoing at the expense of the Borrower at any time during normal business hours and upon reasonable advance notice and (ii) the Administrative Agent and the Lenders shall give Holdings and the Borrower the opportunity to participate in any discussions with Holdings’ or the Borrower’s independent public accountants.</w:t>
      </w:r>
    </w:p>
    <w:p>
      <w:pPr>
        <w:spacing w:after="0" w:line="372" w:lineRule="exact"/>
        <w:rPr>
          <w:sz w:val="20"/>
          <w:szCs w:val="20"/>
          <w:color w:val="auto"/>
        </w:rPr>
      </w:pPr>
    </w:p>
    <w:p>
      <w:pPr>
        <w:ind w:right="20" w:firstLine="644"/>
        <w:spacing w:after="0" w:line="263" w:lineRule="auto"/>
        <w:tabs>
          <w:tab w:leader="none" w:pos="942" w:val="left"/>
        </w:tabs>
        <w:numPr>
          <w:ilvl w:val="0"/>
          <w:numId w:val="185"/>
        </w:numPr>
        <w:rPr>
          <w:rFonts w:ascii="Arial" w:cs="Arial" w:eastAsia="Arial" w:hAnsi="Arial"/>
          <w:sz w:val="21"/>
          <w:szCs w:val="21"/>
          <w:color w:val="auto"/>
        </w:rPr>
      </w:pPr>
      <w:r>
        <w:rPr>
          <w:rFonts w:ascii="Arial" w:cs="Arial" w:eastAsia="Arial" w:hAnsi="Arial"/>
          <w:sz w:val="21"/>
          <w:szCs w:val="21"/>
          <w:color w:val="auto"/>
        </w:rPr>
        <w:t>Within 10 Business Days of the earlier of (x) the delivery of any financial statements required to be delivered under Section 5.01(a) or (b) and (y) the date 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92" w:name="page293"/>
    <w:bookmarkEnd w:id="292"/>
    <w:p>
      <w:pPr>
        <w:jc w:val="both"/>
        <w:spacing w:after="0" w:line="250" w:lineRule="auto"/>
        <w:rPr>
          <w:sz w:val="20"/>
          <w:szCs w:val="20"/>
          <w:color w:val="auto"/>
        </w:rPr>
      </w:pPr>
      <w:r>
        <w:rPr>
          <w:rFonts w:ascii="Arial" w:cs="Arial" w:eastAsia="Arial" w:hAnsi="Arial"/>
          <w:sz w:val="21"/>
          <w:szCs w:val="21"/>
          <w:color w:val="auto"/>
        </w:rPr>
        <w:t>which such financial statements were required to have been delivered, the Borrower shall host a teleconference meeting with the Lenders to discuss the results presented therein or for the applicable period, as applicable, and such other matters reasonably related thereto.</w:t>
      </w:r>
    </w:p>
    <w:p>
      <w:pPr>
        <w:spacing w:after="0" w:line="145" w:lineRule="exact"/>
        <w:rPr>
          <w:sz w:val="20"/>
          <w:szCs w:val="20"/>
          <w:color w:val="auto"/>
        </w:rPr>
      </w:pPr>
    </w:p>
    <w:p>
      <w:pPr>
        <w:jc w:val="both"/>
        <w:ind w:firstLine="635"/>
        <w:spacing w:after="0" w:line="279"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i w:val="1"/>
          <w:iCs w:val="1"/>
          <w:color w:val="auto"/>
        </w:rPr>
        <w:t>Compliance with Laws.</w:t>
      </w:r>
      <w:r>
        <w:rPr>
          <w:rFonts w:ascii="Arial" w:cs="Arial" w:eastAsia="Arial" w:hAnsi="Arial"/>
          <w:sz w:val="19"/>
          <w:szCs w:val="19"/>
          <w:color w:val="auto"/>
        </w:rPr>
        <w:t xml:space="preserve"> Each of Holdings and the Borrower will, and will cause each Intermediate Parent and Restricted Subsidiary to, comply with its Organizational Documents and all Requirements of Law (including Environmental Laws, ERISA and the USA Patriot Act) with respect to it, its property and operations, except where the failure to do so, individually or in the aggregate, could not reasonably be expected to result in a Material Adverse Effect.</w:t>
      </w:r>
    </w:p>
    <w:p>
      <w:pPr>
        <w:spacing w:after="0" w:line="108"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i w:val="1"/>
          <w:iCs w:val="1"/>
          <w:color w:val="auto"/>
        </w:rPr>
        <w:t>Use of Proceeds</w:t>
      </w:r>
      <w:r>
        <w:rPr>
          <w:rFonts w:ascii="Arial" w:cs="Arial" w:eastAsia="Arial" w:hAnsi="Arial"/>
          <w:sz w:val="21"/>
          <w:szCs w:val="21"/>
          <w:color w:val="auto"/>
        </w:rPr>
        <w:t xml:space="preserve">. (a) The </w:t>
      </w:r>
      <w:r>
        <w:rPr>
          <w:rFonts w:ascii="Arial" w:cs="Arial" w:eastAsia="Arial" w:hAnsi="Arial"/>
          <w:sz w:val="21"/>
          <w:szCs w:val="21"/>
          <w:color w:val="FF0000"/>
          <w:strike w:val="1"/>
        </w:rPr>
        <w:t>Borrower will use the</w:t>
      </w:r>
      <w:r>
        <w:rPr>
          <w:rFonts w:ascii="Arial" w:cs="Arial" w:eastAsia="Arial" w:hAnsi="Arial"/>
          <w:sz w:val="21"/>
          <w:szCs w:val="21"/>
          <w:color w:val="auto"/>
        </w:rPr>
        <w:t xml:space="preserve"> proceeds of the </w:t>
      </w:r>
      <w:r>
        <w:rPr>
          <w:rFonts w:ascii="Arial" w:cs="Arial" w:eastAsia="Arial" w:hAnsi="Arial"/>
          <w:sz w:val="21"/>
          <w:szCs w:val="21"/>
          <w:color w:val="FF0000"/>
          <w:strike w:val="1"/>
        </w:rPr>
        <w:t>Initial</w:t>
      </w:r>
      <w:r>
        <w:rPr>
          <w:rFonts w:ascii="Arial" w:cs="Arial" w:eastAsia="Arial" w:hAnsi="Arial"/>
          <w:sz w:val="21"/>
          <w:szCs w:val="21"/>
          <w:color w:val="auto"/>
        </w:rPr>
        <w:t xml:space="preserve"> Term </w:t>
      </w:r>
      <w:r>
        <w:rPr>
          <w:rFonts w:ascii="Arial" w:cs="Arial" w:eastAsia="Arial" w:hAnsi="Arial"/>
          <w:sz w:val="21"/>
          <w:szCs w:val="21"/>
          <w:color w:val="0000FF"/>
        </w:rPr>
        <w:t>B-1</w:t>
      </w:r>
      <w:r>
        <w:rPr>
          <w:rFonts w:ascii="Arial" w:cs="Arial" w:eastAsia="Arial" w:hAnsi="Arial"/>
          <w:sz w:val="21"/>
          <w:szCs w:val="21"/>
          <w:color w:val="auto"/>
        </w:rPr>
        <w:t xml:space="preserve"> Loans </w:t>
      </w:r>
      <w:r>
        <w:rPr>
          <w:rFonts w:ascii="Arial" w:cs="Arial" w:eastAsia="Arial" w:hAnsi="Arial"/>
          <w:sz w:val="21"/>
          <w:szCs w:val="21"/>
          <w:u w:val="single" w:color="auto"/>
          <w:color w:val="0000FF"/>
        </w:rPr>
        <w:t>received</w:t>
      </w:r>
      <w:r>
        <w:rPr>
          <w:rFonts w:ascii="Arial" w:cs="Arial" w:eastAsia="Arial" w:hAnsi="Arial"/>
          <w:sz w:val="21"/>
          <w:szCs w:val="21"/>
          <w:color w:val="auto"/>
        </w:rPr>
        <w:t xml:space="preserve"> on the </w:t>
      </w:r>
      <w:r>
        <w:rPr>
          <w:rFonts w:ascii="Arial" w:cs="Arial" w:eastAsia="Arial" w:hAnsi="Arial"/>
          <w:sz w:val="21"/>
          <w:szCs w:val="21"/>
          <w:color w:val="FF0000"/>
          <w:strike w:val="1"/>
        </w:rPr>
        <w:t>Restatement</w:t>
      </w:r>
      <w:r>
        <w:rPr>
          <w:rFonts w:ascii="Arial" w:cs="Arial" w:eastAsia="Arial" w:hAnsi="Arial"/>
          <w:sz w:val="21"/>
          <w:szCs w:val="21"/>
          <w:color w:val="0000FF"/>
        </w:rPr>
        <w:t>Amendment No. 1</w:t>
      </w:r>
      <w:r>
        <w:rPr>
          <w:rFonts w:ascii="Arial" w:cs="Arial" w:eastAsia="Arial" w:hAnsi="Arial"/>
          <w:sz w:val="21"/>
          <w:szCs w:val="21"/>
          <w:color w:val="auto"/>
        </w:rPr>
        <w:t xml:space="preserve"> Effective Date </w:t>
      </w:r>
      <w:r>
        <w:rPr>
          <w:rFonts w:ascii="Arial" w:cs="Arial" w:eastAsia="Arial" w:hAnsi="Arial"/>
          <w:sz w:val="21"/>
          <w:szCs w:val="21"/>
          <w:color w:val="FF0000"/>
          <w:strike w:val="1"/>
        </w:rPr>
        <w:t>(i) to consummate the Restatement</w:t>
      </w:r>
      <w:r>
        <w:rPr>
          <w:rFonts w:ascii="Arial" w:cs="Arial" w:eastAsia="Arial" w:hAnsi="Arial"/>
          <w:sz w:val="21"/>
          <w:szCs w:val="21"/>
          <w:u w:val="single" w:color="auto"/>
          <w:color w:val="0000FF"/>
        </w:rPr>
        <w:t>shall be used solely to repay a</w:t>
      </w:r>
      <w:r>
        <w:rPr>
          <w:rFonts w:ascii="Arial" w:cs="Arial" w:eastAsia="Arial" w:hAnsi="Arial"/>
          <w:sz w:val="21"/>
          <w:szCs w:val="21"/>
          <w:color w:val="auto"/>
        </w:rPr>
        <w:t xml:space="preserve"> </w:t>
      </w:r>
      <w:r>
        <w:rPr>
          <w:rFonts w:ascii="Arial" w:cs="Arial" w:eastAsia="Arial" w:hAnsi="Arial"/>
          <w:sz w:val="21"/>
          <w:szCs w:val="21"/>
          <w:u w:val="single" w:color="auto"/>
          <w:color w:val="0000FF"/>
        </w:rPr>
        <w:t>portion of the New Term Loans outstanding on the Amendment No. 1</w:t>
      </w:r>
      <w:r>
        <w:rPr>
          <w:rFonts w:ascii="Arial" w:cs="Arial" w:eastAsia="Arial" w:hAnsi="Arial"/>
          <w:sz w:val="21"/>
          <w:szCs w:val="21"/>
          <w:color w:val="0000FF"/>
        </w:rPr>
        <w:t xml:space="preserve"> </w:t>
      </w:r>
      <w:r>
        <w:rPr>
          <w:rFonts w:ascii="Arial" w:cs="Arial" w:eastAsia="Arial" w:hAnsi="Arial"/>
          <w:sz w:val="21"/>
          <w:szCs w:val="21"/>
          <w:color w:val="000000"/>
        </w:rPr>
        <w:t>Effective Date</w:t>
      </w:r>
      <w:r>
        <w:rPr>
          <w:rFonts w:ascii="Arial" w:cs="Arial" w:eastAsia="Arial" w:hAnsi="Arial"/>
          <w:sz w:val="21"/>
          <w:szCs w:val="21"/>
          <w:color w:val="0000FF"/>
        </w:rPr>
        <w:t xml:space="preserve"> </w:t>
      </w:r>
      <w:r>
        <w:rPr>
          <w:rFonts w:ascii="Arial" w:cs="Arial" w:eastAsia="Arial" w:hAnsi="Arial"/>
          <w:sz w:val="21"/>
          <w:szCs w:val="21"/>
          <w:color w:val="FF0000"/>
          <w:strike w:val="1"/>
        </w:rPr>
        <w:t>Refinancing, (ii)</w:t>
      </w:r>
      <w:r>
        <w:rPr>
          <w:rFonts w:ascii="Arial" w:cs="Arial" w:eastAsia="Arial" w:hAnsi="Arial"/>
          <w:sz w:val="21"/>
          <w:szCs w:val="21"/>
          <w:u w:val="single" w:color="auto"/>
          <w:color w:val="0000FF"/>
        </w:rPr>
        <w:t>and</w:t>
      </w:r>
      <w:r>
        <w:rPr>
          <w:rFonts w:ascii="Arial" w:cs="Arial" w:eastAsia="Arial" w:hAnsi="Arial"/>
          <w:sz w:val="21"/>
          <w:szCs w:val="21"/>
          <w:color w:val="0000FF"/>
        </w:rPr>
        <w:t xml:space="preserve"> </w:t>
      </w:r>
      <w:r>
        <w:rPr>
          <w:rFonts w:ascii="Arial" w:cs="Arial" w:eastAsia="Arial" w:hAnsi="Arial"/>
          <w:sz w:val="21"/>
          <w:szCs w:val="21"/>
          <w:color w:val="000000"/>
        </w:rPr>
        <w:t>to pay fees and</w:t>
      </w:r>
      <w:r>
        <w:rPr>
          <w:rFonts w:ascii="Arial" w:cs="Arial" w:eastAsia="Arial" w:hAnsi="Arial"/>
          <w:sz w:val="21"/>
          <w:szCs w:val="21"/>
          <w:color w:val="0000FF"/>
        </w:rPr>
        <w:t xml:space="preserve"> </w:t>
      </w:r>
      <w:r>
        <w:rPr>
          <w:rFonts w:ascii="Arial" w:cs="Arial" w:eastAsia="Arial" w:hAnsi="Arial"/>
          <w:sz w:val="21"/>
          <w:szCs w:val="21"/>
          <w:color w:val="000000"/>
        </w:rPr>
        <w:t xml:space="preserve">expenses in connection therewith </w:t>
      </w:r>
      <w:r>
        <w:rPr>
          <w:rFonts w:ascii="Arial" w:cs="Arial" w:eastAsia="Arial" w:hAnsi="Arial"/>
          <w:sz w:val="21"/>
          <w:szCs w:val="21"/>
          <w:color w:val="FF0000"/>
          <w:strike w:val="1"/>
        </w:rPr>
        <w:t>and (iii) to the extent such proceeds remain after application under clauses (i) and (ii),</w:t>
      </w:r>
      <w:r>
        <w:rPr>
          <w:rFonts w:ascii="Arial" w:cs="Arial" w:eastAsia="Arial" w:hAnsi="Arial"/>
          <w:sz w:val="21"/>
          <w:szCs w:val="21"/>
          <w:color w:val="000000"/>
        </w:rPr>
        <w:t xml:space="preserve"> </w:t>
      </w:r>
      <w:r>
        <w:rPr>
          <w:rFonts w:ascii="Arial" w:cs="Arial" w:eastAsia="Arial" w:hAnsi="Arial"/>
          <w:sz w:val="21"/>
          <w:szCs w:val="21"/>
          <w:color w:val="FF0000"/>
          <w:strike w:val="1"/>
        </w:rPr>
        <w:t>for working capital and general corporate purposes</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5322570</wp:posOffset>
            </wp:positionH>
            <wp:positionV relativeFrom="paragraph">
              <wp:posOffset>-619125</wp:posOffset>
            </wp:positionV>
            <wp:extent cx="24384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3">
                      <a:extLst>
                        <a:ext uri="{28A0092B-C50C-407E-A947-70E740481C1C}"/>
                      </a:extLst>
                    </a:blip>
                    <a:srcRect/>
                    <a:stretch>
                      <a:fillRect/>
                    </a:stretch>
                  </pic:blipFill>
                  <pic:spPr bwMode="auto">
                    <a:xfrm>
                      <a:off x="0" y="0"/>
                      <a:ext cx="243840" cy="25400"/>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-467995</wp:posOffset>
            </wp:positionV>
            <wp:extent cx="37782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a:extLst>
                        <a:ext uri="{28A0092B-C50C-407E-A947-70E740481C1C}"/>
                      </a:extLst>
                    </a:blip>
                    <a:srcRect/>
                    <a:stretch>
                      <a:fillRect/>
                    </a:stretch>
                  </pic:blipFill>
                  <pic:spPr bwMode="auto">
                    <a:xfrm>
                      <a:off x="0" y="0"/>
                      <a:ext cx="377825" cy="25400"/>
                    </a:xfrm>
                    <a:prstGeom prst="rect">
                      <a:avLst/>
                    </a:prstGeom>
                    <a:noFill/>
                  </pic:spPr>
                </pic:pic>
              </a:graphicData>
            </a:graphic>
          </wp:anchor>
        </w:drawing>
      </w:r>
    </w:p>
    <w:p>
      <w:pPr>
        <w:spacing w:after="0" w:line="120" w:lineRule="exact"/>
        <w:rPr>
          <w:sz w:val="20"/>
          <w:szCs w:val="20"/>
          <w:color w:val="auto"/>
        </w:rPr>
      </w:pPr>
    </w:p>
    <w:p>
      <w:pPr>
        <w:jc w:val="both"/>
        <w:ind w:firstLine="644"/>
        <w:spacing w:after="0" w:line="250" w:lineRule="auto"/>
        <w:tabs>
          <w:tab w:leader="none" w:pos="93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Borrower and its Restricted Subsidiaries will use the proceeds of borrowings under the Revolving Facility and any Incremental Revolving Facility or pursuant to any Incremental Term Facility for working capital and other general corporate purposes, including the financing of Permitted Acquisitions.</w:t>
      </w:r>
    </w:p>
    <w:p>
      <w:pPr>
        <w:spacing w:after="0" w:line="145"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i w:val="1"/>
          <w:iCs w:val="1"/>
          <w:color w:val="auto"/>
        </w:rPr>
        <w:t>Additional Subsidiaries</w:t>
      </w:r>
      <w:r>
        <w:rPr>
          <w:rFonts w:ascii="Arial" w:cs="Arial" w:eastAsia="Arial" w:hAnsi="Arial"/>
          <w:sz w:val="19"/>
          <w:szCs w:val="19"/>
          <w:color w:val="auto"/>
        </w:rPr>
        <w:t>. (a) If (i) any additional Restricted Subsidiary is formed or acquired after the Restatement Effective Date or (ii) if any Restricted Subsidiary ceases to be an Excluded Subsidiary, an Immaterial Subsidiary, a Foreign Subsidiary, a Regulated Subsidiary or an Excluded Domestic Subsidiary, Holdings or the Borrower will, within 30 days after such formation, acquisition or cessation, notify the Administrative Agent thereof, and will cause</w:t>
      </w:r>
    </w:p>
    <w:p>
      <w:pPr>
        <w:spacing w:after="0" w:line="2" w:lineRule="exact"/>
        <w:rPr>
          <w:sz w:val="20"/>
          <w:szCs w:val="20"/>
          <w:color w:val="auto"/>
        </w:rPr>
      </w:pPr>
    </w:p>
    <w:p>
      <w:pPr>
        <w:jc w:val="both"/>
        <w:ind w:firstLine="9"/>
        <w:spacing w:after="0" w:line="267" w:lineRule="auto"/>
        <w:tabs>
          <w:tab w:leader="none" w:pos="33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such Restricted Subsidiary (unless such Restricted Subsidiary is an Excluded Subsidiary, a Foreign Subsidiary, a Regulated Subsidiary or an Excluded Domestic Subsidiary) to satisfy the Collateral and Guarantee Requirement with respect to such Restricted Subsidiary and (y) any Loan Party that owns any Equity Interests in or Indebtedness of any such Restricted Subsidiary to satisfy the Collateral and Guarantee Requirement with respect to such Equity Interests and Indebtedness, in each case within 30 days after such notice (or such longer period as the Administrative Agent shall reasonably agree and the Administrative Agent shall have received a completed Perfection Certificate with respect to such Restricted Subsidiary signed by a Responsible Officer, together with all attachments contemplated thereby).</w:t>
      </w:r>
    </w:p>
    <w:p>
      <w:pPr>
        <w:spacing w:after="0" w:line="119" w:lineRule="exact"/>
        <w:rPr>
          <w:rFonts w:ascii="Arial" w:cs="Arial" w:eastAsia="Arial" w:hAnsi="Arial"/>
          <w:sz w:val="19"/>
          <w:szCs w:val="19"/>
          <w:color w:val="auto"/>
        </w:rPr>
      </w:pPr>
    </w:p>
    <w:p>
      <w:pPr>
        <w:jc w:val="both"/>
        <w:ind w:firstLine="644"/>
        <w:spacing w:after="0" w:line="245" w:lineRule="auto"/>
        <w:tabs>
          <w:tab w:leader="none" w:pos="934" w:val="left"/>
        </w:tabs>
        <w:numPr>
          <w:ilvl w:val="1"/>
          <w:numId w:val="187"/>
        </w:numPr>
        <w:rPr>
          <w:rFonts w:ascii="Arial" w:cs="Arial" w:eastAsia="Arial" w:hAnsi="Arial"/>
          <w:sz w:val="21"/>
          <w:szCs w:val="21"/>
          <w:color w:val="auto"/>
        </w:rPr>
      </w:pPr>
      <w:r>
        <w:rPr>
          <w:rFonts w:ascii="Arial" w:cs="Arial" w:eastAsia="Arial" w:hAnsi="Arial"/>
          <w:sz w:val="21"/>
          <w:szCs w:val="21"/>
          <w:color w:val="auto"/>
        </w:rPr>
        <w:t>Within 30 days (or such longer period as the Administrative Agent may reasonably agree) after Holdings or the Borrower identifies any new Material Subsidiary pursuant to Section 5.03(b), all actions (if any) required to be taken with respect to such Subsidiary in order to satisfy the Collateral and Guarantee Requirement shall have been taken with respect to such Subsidiary.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93" w:name="page294"/>
    <w:bookmarkEnd w:id="293"/>
    <w:p>
      <w:pPr>
        <w:jc w:val="both"/>
        <w:ind w:firstLine="635"/>
        <w:spacing w:after="0" w:line="242" w:lineRule="auto"/>
        <w:rPr>
          <w:sz w:val="20"/>
          <w:szCs w:val="20"/>
          <w:color w:val="auto"/>
        </w:rPr>
      </w:pPr>
      <w:r>
        <w:rPr>
          <w:rFonts w:ascii="Arial" w:cs="Arial" w:eastAsia="Arial" w:hAnsi="Arial"/>
          <w:sz w:val="21"/>
          <w:szCs w:val="21"/>
          <w:color w:val="auto"/>
        </w:rPr>
        <w:t xml:space="preserve">Section 5.12. </w:t>
      </w:r>
      <w:r>
        <w:rPr>
          <w:rFonts w:ascii="Arial" w:cs="Arial" w:eastAsia="Arial" w:hAnsi="Arial"/>
          <w:sz w:val="21"/>
          <w:szCs w:val="21"/>
          <w:i w:val="1"/>
          <w:iCs w:val="1"/>
          <w:color w:val="auto"/>
        </w:rPr>
        <w:t>Further Assurances</w:t>
      </w:r>
      <w:r>
        <w:rPr>
          <w:rFonts w:ascii="Arial" w:cs="Arial" w:eastAsia="Arial" w:hAnsi="Arial"/>
          <w:sz w:val="21"/>
          <w:szCs w:val="21"/>
          <w:color w:val="auto"/>
        </w:rPr>
        <w:t>. (a)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or the Required Lenders may reasonably request, to cause the Collateral and Guarantee Requirement to be and remain satisfied, all at the expense of the Loan Parties.</w:t>
      </w:r>
    </w:p>
    <w:p>
      <w:pPr>
        <w:spacing w:after="0" w:line="153" w:lineRule="exact"/>
        <w:rPr>
          <w:sz w:val="20"/>
          <w:szCs w:val="20"/>
          <w:color w:val="auto"/>
        </w:rPr>
      </w:pPr>
    </w:p>
    <w:p>
      <w:pPr>
        <w:jc w:val="both"/>
        <w:ind w:firstLine="644"/>
        <w:spacing w:after="0" w:line="267" w:lineRule="auto"/>
        <w:tabs>
          <w:tab w:leader="none" w:pos="937"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If, after the Restatement Effective Date, any material assets (including any owned (but not leased) real property or improvements thereto or any interest therein with a fair market value in excess of $5,000,000) are acquired by the Borrower or any other Loan Party or are held by any Subsidiary on or after the time it becomes a Loan Party pursuant to Section 5.11 (other than assets constituting Collateral under a Security Document that become subject to the Lien created by such Security Document upon acquisition thereof or constituting Excluded Assets), the Borrower will notify the Administrative Agent thereof, and, if requested by the Administrative Agent, the Borrower will cause such assets to be subjected to a Lien securing the Secured Obligations and will take, and cause the other Loan Parties to take, such actions as shall be necessary and reasonably requested by the Administrative Agent to grant and perfect such Liens, including actions described in paragraph (a) of this Section, all at the expense of the Loan Parties and subject to the last paragraph of the definition of the term “Collateral and Guarantee Requirement.”</w:t>
      </w:r>
    </w:p>
    <w:p>
      <w:pPr>
        <w:spacing w:after="0" w:line="122"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i w:val="1"/>
          <w:iCs w:val="1"/>
          <w:color w:val="auto"/>
        </w:rPr>
        <w:t>Designation of Subsidiaries.</w:t>
      </w:r>
      <w:r>
        <w:rPr>
          <w:rFonts w:ascii="Arial" w:cs="Arial" w:eastAsia="Arial" w:hAnsi="Arial"/>
          <w:sz w:val="19"/>
          <w:szCs w:val="19"/>
          <w:color w:val="auto"/>
        </w:rPr>
        <w:t xml:space="preserve"> The Borrower may at any time after the Restatement Effective Date designate any Restricted Subsidiary (other than the Borrower or any Intermediate Parent) as an Unrestricted Subsidiary or any Unrestricted Subsidiary as a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immediately before and after such designation on a Pro Forma Basis, no Event of Default shall have occurred and be continuing, (b) immediately after giving effect to such designation, the Borrower shall be in compliance, on a Pro Forma Basis, with the Financial Performance Covenants recomputed as of the last day of the most recent Test Period for which financial statements are available, (c) no Subsidiary may be designated as an Unrestricted Subsidiary or continue as an Unrestricted Subsidiary if it is a “Restricted Subsidiary” for the purpose of any other Indebtedness of Holdings or the Borrower and (d) if a Restricted Subsidiary is being designated as an Unrestricted Subsidiary hereunder, the sum of (A) the fair market value of assets of such Restricted Subsidiary as of such date of designation (the “</w:t>
      </w:r>
      <w:r>
        <w:rPr>
          <w:rFonts w:ascii="Arial" w:cs="Arial" w:eastAsia="Arial" w:hAnsi="Arial"/>
          <w:sz w:val="19"/>
          <w:szCs w:val="19"/>
          <w:b w:val="1"/>
          <w:bCs w:val="1"/>
          <w:color w:val="auto"/>
        </w:rPr>
        <w:t>Designation Date</w:t>
      </w:r>
      <w:r>
        <w:rPr>
          <w:rFonts w:ascii="Arial" w:cs="Arial" w:eastAsia="Arial" w:hAnsi="Arial"/>
          <w:sz w:val="19"/>
          <w:szCs w:val="19"/>
          <w:color w:val="auto"/>
        </w:rPr>
        <w:t>”), plus (B) the aggregate fair market value of assets of all Unrestricted Subsidiaries (in each case measured as of the date of each such Unrestricted Subsidiary’s designation as an Unrestricted Subsidiary) shall not exceed 5.0% of the Consolidated Total Assets of the Borrower and its Subsidiaries as of such Designation Date pro forma for such designation. The designation of any Subsidiary as an Unrestricted Subsidiary after the Restatement Effective Date shall constitute an Investment by the Borrower therein at the date of designation in an amount equal to the fair market value of the Borrower’s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94" w:name="page295"/>
    <w:bookmarkEnd w:id="294"/>
    <w:p>
      <w:pPr>
        <w:jc w:val="both"/>
        <w:spacing w:after="0" w:line="263" w:lineRule="auto"/>
        <w:rPr>
          <w:sz w:val="20"/>
          <w:szCs w:val="20"/>
          <w:color w:val="auto"/>
        </w:rPr>
      </w:pPr>
      <w:r>
        <w:rPr>
          <w:rFonts w:ascii="Arial" w:cs="Arial" w:eastAsia="Arial" w:hAnsi="Arial"/>
          <w:sz w:val="21"/>
          <w:szCs w:val="21"/>
          <w:color w:val="auto"/>
        </w:rPr>
        <w:t>equal to the fair market value at the date of such designation of the Borrower’s or its Subsidiary’s (as applicable) Investment in such Subsidiary.</w:t>
      </w:r>
    </w:p>
    <w:p>
      <w:pPr>
        <w:spacing w:after="0" w:line="132" w:lineRule="exact"/>
        <w:rPr>
          <w:sz w:val="20"/>
          <w:szCs w:val="20"/>
          <w:color w:val="auto"/>
        </w:rPr>
      </w:pPr>
    </w:p>
    <w:p>
      <w:pPr>
        <w:jc w:val="both"/>
        <w:ind w:right="20" w:firstLine="635"/>
        <w:spacing w:after="0" w:line="263" w:lineRule="auto"/>
        <w:rPr>
          <w:sz w:val="20"/>
          <w:szCs w:val="20"/>
          <w:color w:val="auto"/>
        </w:rPr>
      </w:pPr>
      <w:r>
        <w:rPr>
          <w:rFonts w:ascii="Arial" w:cs="Arial" w:eastAsia="Arial" w:hAnsi="Arial"/>
          <w:sz w:val="21"/>
          <w:szCs w:val="21"/>
          <w:color w:val="auto"/>
        </w:rPr>
        <w:t>Notwithstanding the foregoing, any Unrestricted Subsidiary that has been re-designated a Restricted Subsidiary may not be subsequently re-designated as an Unrestricted Subsidiary.</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Section 5.14. [</w:t>
      </w:r>
      <w:r>
        <w:rPr>
          <w:rFonts w:ascii="Arial" w:cs="Arial" w:eastAsia="Arial" w:hAnsi="Arial"/>
          <w:sz w:val="21"/>
          <w:szCs w:val="21"/>
          <w:i w:val="1"/>
          <w:iCs w:val="1"/>
          <w:color w:val="auto"/>
        </w:rPr>
        <w:t>Reserved</w:t>
      </w:r>
      <w:r>
        <w:rPr>
          <w:rFonts w:ascii="Arial" w:cs="Arial" w:eastAsia="Arial" w:hAnsi="Arial"/>
          <w:sz w:val="21"/>
          <w:szCs w:val="21"/>
          <w:color w:val="auto"/>
        </w:rPr>
        <w:t>.]</w:t>
      </w:r>
    </w:p>
    <w:p>
      <w:pPr>
        <w:spacing w:after="0" w:line="169"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 xml:space="preserve">Section 5.15. </w:t>
      </w:r>
      <w:r>
        <w:rPr>
          <w:rFonts w:ascii="Arial" w:cs="Arial" w:eastAsia="Arial" w:hAnsi="Arial"/>
          <w:sz w:val="21"/>
          <w:szCs w:val="21"/>
          <w:i w:val="1"/>
          <w:iCs w:val="1"/>
          <w:color w:val="auto"/>
        </w:rPr>
        <w:t>Maintenance of Ratings</w:t>
      </w:r>
      <w:r>
        <w:rPr>
          <w:rFonts w:ascii="Arial" w:cs="Arial" w:eastAsia="Arial" w:hAnsi="Arial"/>
          <w:sz w:val="21"/>
          <w:szCs w:val="21"/>
          <w:color w:val="auto"/>
        </w:rPr>
        <w:t>. The Borrower will use commercially reasonable efforts to maintain a corporate credit rating from S&amp;P and a corporate family rating from Moody’s, in each case with respect to the Borrower, and a rating of the Term Loans and (prior to the Revolving Maturity Date) the Revolving Facility by each of S&amp;P and Moody’s.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Section 5.16. [</w:t>
      </w:r>
      <w:r>
        <w:rPr>
          <w:rFonts w:ascii="Arial" w:cs="Arial" w:eastAsia="Arial" w:hAnsi="Arial"/>
          <w:sz w:val="21"/>
          <w:szCs w:val="21"/>
          <w:i w:val="1"/>
          <w:iCs w:val="1"/>
          <w:color w:val="auto"/>
        </w:rPr>
        <w:t>Reserved</w:t>
      </w:r>
      <w:r>
        <w:rPr>
          <w:rFonts w:ascii="Arial" w:cs="Arial" w:eastAsia="Arial" w:hAnsi="Arial"/>
          <w:sz w:val="21"/>
          <w:szCs w:val="21"/>
          <w:color w:val="auto"/>
        </w:rPr>
        <w:t>.]</w:t>
      </w:r>
    </w:p>
    <w:p>
      <w:pPr>
        <w:spacing w:after="0" w:line="169"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i w:val="1"/>
          <w:iCs w:val="1"/>
          <w:color w:val="auto"/>
        </w:rPr>
        <w:t>Regulatory Matters</w:t>
      </w:r>
      <w:r>
        <w:rPr>
          <w:rFonts w:ascii="Arial" w:cs="Arial" w:eastAsia="Arial" w:hAnsi="Arial"/>
          <w:sz w:val="20"/>
          <w:szCs w:val="20"/>
          <w:color w:val="auto"/>
        </w:rPr>
        <w:t>. The Borrower will, and will cause each of its Regulated Subsidiaries to, comply in all material respects with all material rules and regulations, as applicable, of the SEC, FINRA or any other applicable domestic or foreign Governmental Authority or Regulatory Supervising Organization (including such rules and regulations dealing with net capital or other applicable requirements), except, with respect to all such matters, other than noncompliance by such Regulated Subsidiaries with minimum capital requirements, to the extent that failure to comply therewith would not, in the aggregate, reasonably be expected to have a Material Adverse Effect.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NEGATIVE COVENANTS</w:t>
      </w:r>
    </w:p>
    <w:p>
      <w:pPr>
        <w:spacing w:after="0" w:line="164"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Until the Commitments have expired or been terminated and the principal of and interest on each Loan and all fees, expenses and other amounts payable (other than contingent amounts not yet due) under any Loan Document have been paid in full and all Letters of Credit have expired or been terminated and all LC Disbursements shall have been reimbursed, each of Holdings and the Borrower covenants and agrees with the Administrative Agent and each of the Lenders that:</w:t>
      </w:r>
    </w:p>
    <w:p>
      <w:pPr>
        <w:spacing w:after="0" w:line="140"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Indebtedness; Certain Equity Securities</w:t>
      </w:r>
      <w:r>
        <w:rPr>
          <w:rFonts w:ascii="Arial" w:cs="Arial" w:eastAsia="Arial" w:hAnsi="Arial"/>
          <w:sz w:val="21"/>
          <w:szCs w:val="21"/>
          <w:color w:val="auto"/>
        </w:rPr>
        <w:t>. (a) Holdings and the Borrower will not, and will not permit any Restricted Subsidiary to, create, incur, assume or permit to exist any Indebtedness, except:</w:t>
      </w:r>
    </w:p>
    <w:p>
      <w:pPr>
        <w:spacing w:after="0" w:line="119" w:lineRule="exact"/>
        <w:rPr>
          <w:sz w:val="20"/>
          <w:szCs w:val="20"/>
          <w:color w:val="auto"/>
        </w:rPr>
      </w:pPr>
    </w:p>
    <w:p>
      <w:pPr>
        <w:ind w:left="640" w:firstLine="639"/>
        <w:spacing w:after="0" w:line="263" w:lineRule="auto"/>
        <w:tabs>
          <w:tab w:leader="none" w:pos="1592" w:val="left"/>
        </w:tabs>
        <w:numPr>
          <w:ilvl w:val="0"/>
          <w:numId w:val="189"/>
        </w:numPr>
        <w:rPr>
          <w:rFonts w:ascii="Arial" w:cs="Arial" w:eastAsia="Arial" w:hAnsi="Arial"/>
          <w:sz w:val="21"/>
          <w:szCs w:val="21"/>
          <w:color w:val="auto"/>
        </w:rPr>
      </w:pPr>
      <w:r>
        <w:rPr>
          <w:rFonts w:ascii="Arial" w:cs="Arial" w:eastAsia="Arial" w:hAnsi="Arial"/>
          <w:sz w:val="21"/>
          <w:szCs w:val="21"/>
          <w:color w:val="auto"/>
        </w:rPr>
        <w:t>Indebtedness of Holdings, the Borrower and any of the Restricted Subsidiaries under the Loan Documents (including any Indebtedness incurred pursuant to Section 2.01(d), 2.18 or 2.19);</w:t>
      </w:r>
    </w:p>
    <w:p>
      <w:pPr>
        <w:spacing w:after="0" w:line="132" w:lineRule="exact"/>
        <w:rPr>
          <w:rFonts w:ascii="Arial" w:cs="Arial" w:eastAsia="Arial" w:hAnsi="Arial"/>
          <w:sz w:val="21"/>
          <w:szCs w:val="21"/>
          <w:color w:val="auto"/>
        </w:rPr>
      </w:pPr>
    </w:p>
    <w:p>
      <w:pPr>
        <w:jc w:val="both"/>
        <w:ind w:left="640" w:firstLine="639"/>
        <w:spacing w:after="0" w:line="250" w:lineRule="auto"/>
        <w:tabs>
          <w:tab w:leader="none" w:pos="160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(A) Indebtedness outstanding on the Restatement Effective Date and listed on Schedule 6.01 and any Permitted Refinancing thereof, (B) intercompany Indebtedness outstanding on the Restatement Effective Date and listed on Schedule 6.01, (C) if the Escrow Assumption occurs, Indebtedness 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295" w:name="page296"/>
    <w:bookmarkEnd w:id="295"/>
    <w:p>
      <w:pPr>
        <w:spacing w:after="0" w:line="263" w:lineRule="auto"/>
        <w:rPr>
          <w:sz w:val="20"/>
          <w:szCs w:val="20"/>
          <w:color w:val="auto"/>
        </w:rPr>
      </w:pPr>
      <w:r>
        <w:rPr>
          <w:rFonts w:ascii="Arial" w:cs="Arial" w:eastAsia="Arial" w:hAnsi="Arial"/>
          <w:sz w:val="21"/>
          <w:szCs w:val="21"/>
          <w:color w:val="auto"/>
        </w:rPr>
        <w:t>respect of the Second Lien Notes outstanding on the Escrow Assumption Date and any Permitted Refinancing thereof and (D) Indebtedness in respect of the Existing Yen Bonds;</w:t>
      </w:r>
    </w:p>
    <w:p>
      <w:pPr>
        <w:spacing w:after="0" w:line="132" w:lineRule="exact"/>
        <w:rPr>
          <w:sz w:val="20"/>
          <w:szCs w:val="20"/>
          <w:color w:val="auto"/>
        </w:rPr>
      </w:pPr>
    </w:p>
    <w:p>
      <w:pPr>
        <w:jc w:val="both"/>
        <w:ind w:firstLine="639"/>
        <w:spacing w:after="0" w:line="263" w:lineRule="auto"/>
        <w:tabs>
          <w:tab w:leader="none" w:pos="1007"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Guarantees by Holdings, the Borrower and the Restricted Subsidiaries in respect of Indebtedness of the Borrower or any Restricted Subsidiary otherwise permitted hereunder;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Guarantee is otherwise permitted by Section 6.04;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 no Guarantee by any Restricted Subsidiary of any Junior Financing shall be permitted unless such Restricted Subsidiary shall have also provided a Guarantee of the Loan Document Obligations pursuant to the Guarantee Agreement, (B) if the Indebtedness being Guaranteed is subordinated to the Loan Document Obligations, such Guarantee shall be subordinated to the Guarantee of the Loan Document Obligations on terms at least as favorable to the Lenders as those contained in the subordination of such Indebtedness, (C) no Guarantee by a Regulated Subsidiary of any Trading Debt of a non-Regulated Subsidiary shall be permitted unless such non-Regulated Subsidiary is consolidated with such Regulated Subsidiary for regulatory capital purposes, (D) no Guarantee by a Domestic Subsidiary that is not a Regulated Subsidiary of any Trading Debt shall be permitted unless such Domestic Subsidiary is a Subsidiary Loan Party and</w:t>
      </w:r>
    </w:p>
    <w:p>
      <w:pPr>
        <w:spacing w:after="0" w:line="3" w:lineRule="exact"/>
        <w:rPr>
          <w:rFonts w:ascii="Arial" w:cs="Arial" w:eastAsia="Arial" w:hAnsi="Arial"/>
          <w:sz w:val="19"/>
          <w:szCs w:val="19"/>
          <w:color w:val="auto"/>
        </w:rPr>
      </w:pPr>
    </w:p>
    <w:p>
      <w:pPr>
        <w:ind w:left="320" w:hanging="316"/>
        <w:spacing w:after="0"/>
        <w:tabs>
          <w:tab w:leader="none" w:pos="32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any such Guarantee of Trading Debt shall be unsecured;</w:t>
      </w:r>
    </w:p>
    <w:p>
      <w:pPr>
        <w:spacing w:after="0" w:line="150" w:lineRule="exact"/>
        <w:rPr>
          <w:rFonts w:ascii="Arial" w:cs="Arial" w:eastAsia="Arial" w:hAnsi="Arial"/>
          <w:sz w:val="21"/>
          <w:szCs w:val="21"/>
          <w:color w:val="auto"/>
        </w:rPr>
      </w:pPr>
    </w:p>
    <w:p>
      <w:pPr>
        <w:jc w:val="both"/>
        <w:ind w:firstLine="639"/>
        <w:spacing w:after="0" w:line="269" w:lineRule="auto"/>
        <w:tabs>
          <w:tab w:leader="none" w:pos="1033" w:val="left"/>
        </w:tabs>
        <w:numPr>
          <w:ilvl w:val="1"/>
          <w:numId w:val="191"/>
        </w:numPr>
        <w:rPr>
          <w:rFonts w:ascii="Arial" w:cs="Arial" w:eastAsia="Arial" w:hAnsi="Arial"/>
          <w:sz w:val="19"/>
          <w:szCs w:val="19"/>
          <w:color w:val="auto"/>
        </w:rPr>
      </w:pPr>
      <w:r>
        <w:rPr>
          <w:rFonts w:ascii="Arial" w:cs="Arial" w:eastAsia="Arial" w:hAnsi="Arial"/>
          <w:sz w:val="19"/>
          <w:szCs w:val="19"/>
          <w:color w:val="auto"/>
        </w:rPr>
        <w:t xml:space="preserve">Indebtedness of the Borrower owing to any Restricted Subsidiary or of any Restricted Subsidiary owing to any other Restricted Subsidiary or the Borrower or Holdings to the extent permitted by Section 6.04;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all such Indebtedness of any Loan Party owing to any Restricted Subsidiary that is not a Loan Party</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subordinated to the Loan Document Obligations (to the extent any such Indebtedness is outstanding at any time after the date that is 30 days after the Restatement Effective Date or such later date as the Administrative Agent may reasonably agree) (but only to the extent permitted by applicable law and not giving rise to adverse tax consequences) on terms (i) at least as favorable to the Lenders as those set forth in the form of intercompany note attached as Exhibit H or (ii) otherwise reasonably satisfactory to the Administrative Agent;</w:t>
      </w:r>
    </w:p>
    <w:p>
      <w:pPr>
        <w:spacing w:after="0" w:line="117" w:lineRule="exact"/>
        <w:rPr>
          <w:rFonts w:ascii="Arial" w:cs="Arial" w:eastAsia="Arial" w:hAnsi="Arial"/>
          <w:sz w:val="19"/>
          <w:szCs w:val="19"/>
          <w:color w:val="auto"/>
        </w:rPr>
      </w:pPr>
    </w:p>
    <w:p>
      <w:pPr>
        <w:jc w:val="both"/>
        <w:ind w:firstLine="639"/>
        <w:spacing w:after="0" w:line="253" w:lineRule="auto"/>
        <w:tabs>
          <w:tab w:leader="none" w:pos="94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 xml:space="preserve">(A) Indebtedness (including Capital Lease Obligations) of the Borrower or any Restricted Subsidiaries financing the acquisition, construction, repair, replacement or improvement of fixed or capital assets, other than software; provided that such Indebtedness is incurred concurrently with or within 270 days after the applicable acquisition, construction, repair, replacement or improvement, and (B) any Permitted Refinancing of any Indebtedness set forth in the immediately preceding clause (A);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at the time of any such incurrence of Indebtedness and after giving Pro Forma Effect thereto and the use of the proceeds thereof, the aggregate principal amount of Indebtedness that is outstanding in reliance on this clause (v) shall not exceed the greater of $50,000,000 and 15% of Consolidated EBITDA for the most recently ended Test Period for which financial statements are available as of such time;</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80"/>
          </w:cols>
          <w:pgMar w:left="1380" w:top="528" w:right="739" w:bottom="1440" w:gutter="0" w:footer="0" w:header="0"/>
        </w:sectPr>
      </w:pPr>
    </w:p>
    <w:bookmarkStart w:id="296" w:name="page297"/>
    <w:bookmarkEnd w:id="296"/>
    <w:p>
      <w:pPr>
        <w:ind w:left="940" w:hanging="361"/>
        <w:spacing w:after="0"/>
        <w:tabs>
          <w:tab w:leader="none" w:pos="940" w:val="left"/>
        </w:tabs>
        <w:numPr>
          <w:ilvl w:val="0"/>
          <w:numId w:val="192"/>
        </w:numPr>
        <w:rPr>
          <w:rFonts w:ascii="Arial" w:cs="Arial" w:eastAsia="Arial" w:hAnsi="Arial"/>
          <w:sz w:val="21"/>
          <w:szCs w:val="21"/>
          <w:color w:val="auto"/>
        </w:rPr>
      </w:pPr>
      <w:r>
        <w:rPr>
          <w:rFonts w:ascii="Arial" w:cs="Arial" w:eastAsia="Arial" w:hAnsi="Arial"/>
          <w:sz w:val="21"/>
          <w:szCs w:val="21"/>
          <w:color w:val="auto"/>
        </w:rPr>
        <w:t>Indebtedness in respect of Swap Agreements permitted by Section 6.07;</w:t>
      </w:r>
    </w:p>
    <w:p>
      <w:pPr>
        <w:spacing w:after="0" w:line="181" w:lineRule="exact"/>
        <w:rPr>
          <w:rFonts w:ascii="Arial" w:cs="Arial" w:eastAsia="Arial" w:hAnsi="Arial"/>
          <w:sz w:val="21"/>
          <w:szCs w:val="21"/>
          <w:color w:val="auto"/>
        </w:rPr>
      </w:pPr>
    </w:p>
    <w:p>
      <w:pPr>
        <w:jc w:val="both"/>
        <w:ind w:left="-60" w:firstLine="639"/>
        <w:spacing w:after="0" w:line="268" w:lineRule="auto"/>
        <w:tabs>
          <w:tab w:leader="none" w:pos="101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Indebtedness of any Person that becomes a Restricted Subsidiary (or of any Person not previously a Restricted Subsidiary that is merged or consolidated with or into Holdings or a Restricted Subsidiary) after the Restatement Effective Date as a result of a Permitted Acquisition or the Merger and Contribution, or Indebtedness of any Person that is assumed by Holdings or any Restricted Subsidiary in connection with an acquisition of assets by Holdings or such Restricted Subsidiary in a Permitted Acquisition, and Permitted Refinancings thereof;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such Indebtedness is not incurred in contemplation of or in connection with such Permitted</w:t>
      </w:r>
      <w:r>
        <w:rPr>
          <w:rFonts w:ascii="Arial" w:cs="Arial" w:eastAsia="Arial" w:hAnsi="Arial"/>
          <w:sz w:val="19"/>
          <w:szCs w:val="19"/>
          <w:i w:val="1"/>
          <w:iCs w:val="1"/>
          <w:color w:val="auto"/>
        </w:rPr>
        <w:t xml:space="preserve"> </w:t>
      </w:r>
      <w:r>
        <w:rPr>
          <w:rFonts w:ascii="Arial" w:cs="Arial" w:eastAsia="Arial" w:hAnsi="Arial"/>
          <w:sz w:val="19"/>
          <w:szCs w:val="19"/>
          <w:color w:val="auto"/>
        </w:rPr>
        <w:t>Acquisition or the Merger and Contribution, (B) the Borrower will be in Pro Forma Compliance with the Financial Performance Covenants for, or as of the last day of, the most recently ended Test Period for which financial statements are available and (C) no Default or Event of Default shall exist or result therefrom;</w:t>
      </w:r>
    </w:p>
    <w:p>
      <w:pPr>
        <w:spacing w:after="0" w:line="119" w:lineRule="exact"/>
        <w:rPr>
          <w:rFonts w:ascii="Arial" w:cs="Arial" w:eastAsia="Arial" w:hAnsi="Arial"/>
          <w:sz w:val="19"/>
          <w:szCs w:val="19"/>
          <w:color w:val="auto"/>
        </w:rPr>
      </w:pPr>
    </w:p>
    <w:p>
      <w:pPr>
        <w:jc w:val="both"/>
        <w:ind w:left="-60" w:firstLine="639"/>
        <w:spacing w:after="0" w:line="264" w:lineRule="auto"/>
        <w:tabs>
          <w:tab w:leader="none" w:pos="1093"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Indebtedness of the Loan Parties incurred to finance a Permitted Acquisition and any Permitted Refinancing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primary obligor in respect of, and any Person that Guarantees, such Indebtedness shall be a Loan Party and no other Person shall be an obligor in respect of such Indebtedness, (B) such Indebtedness is (x) unsecured and has terms and conditions (other than pricing, optional prepayment, redemption premiums and subordination terms), taken as a whole, that are not materially less favorable to Holdings and its Restricted Subsidiaries as the terms and conditions of this Agreement or (y) so long as there is availability under the Incremental Cap, secured by the Collateral (and no other assets) on a pari passu or junior basis with the Secured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such secured debt shall reduce availability under the Incremental Cap on a dollar-for-dollar basis, (2) such secured debt shall not have a Weighted Average Life to Maturity shorter than the Weighted Average Life to Maturity of the Term Loans, (3) such secured debt shall not have any mandatory prepayment provisions (other than provisions related to customary asset sale and change of control offers) that could result in prepayments of such Indebtedness prior to the Term Loans, (4) such secured debt has terms and conditions (other than pricing, optional prepayment, redemption premiums and subordination terms), taken as a whole, that are substantially identical to or no more favorable to the investors providing such debt than the terms and conditions of this Agreement (except for covenants or other provisions applicable only to periods after the Latest Maturity Date), (5) the security agreements relating to such Indebtedness shall be substantially the same as the Security Documents (with such differences as are reasonably satisfactory to the Administrative Agent) and (6) such Indebtedness and any agent or trustee under the agreements or indenture governing such Indebtedness shall be subject to the First Lien Intercreditor Agreement or Junior Lien Intercreditor Agreement, as applicable;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issued pursuant to an agreement or indenture that has not previously been made subject thereto, then the Loan Parties, the Administrative Agent and the Senior Representative for such Indebtedness shall have executed and delivered the First Lien Intercreditor Agreement or the Junior Lien Intercreditor Agreement, 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528" w:right="739" w:bottom="1440" w:gutter="0" w:footer="0" w:header="0"/>
        </w:sectPr>
      </w:pPr>
    </w:p>
    <w:bookmarkStart w:id="297" w:name="page298"/>
    <w:bookmarkEnd w:id="297"/>
    <w:p>
      <w:pPr>
        <w:spacing w:after="0"/>
        <w:rPr>
          <w:sz w:val="20"/>
          <w:szCs w:val="20"/>
          <w:color w:val="auto"/>
        </w:rPr>
      </w:pPr>
      <w:r>
        <w:rPr>
          <w:rFonts w:ascii="Arial" w:cs="Arial" w:eastAsia="Arial" w:hAnsi="Arial"/>
          <w:sz w:val="19"/>
          <w:szCs w:val="19"/>
          <w:color w:val="auto"/>
        </w:rPr>
        <w:t>applicable, (C) such Indebtedness does not mature prior to the date that is 180 days after the Latest Maturity Date,</w:t>
      </w:r>
    </w:p>
    <w:p>
      <w:pPr>
        <w:spacing w:after="0" w:line="38" w:lineRule="exact"/>
        <w:rPr>
          <w:sz w:val="20"/>
          <w:szCs w:val="20"/>
          <w:color w:val="auto"/>
        </w:rPr>
      </w:pPr>
    </w:p>
    <w:p>
      <w:pPr>
        <w:jc w:val="both"/>
        <w:ind w:firstLine="4"/>
        <w:spacing w:after="0" w:line="265" w:lineRule="auto"/>
        <w:tabs>
          <w:tab w:leader="none" w:pos="34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such Indebtedness has no scheduled amortization or payments, repurchases or redemptions of principal prior to the date that is 180 days after the Latest Maturity Date and (E) immediately after giving effect thereto and the use of the proceeds thereof, (x) no Default or Event of Default shall exist or result therefrom and (y) the Borrower will be in Pro Forma Compliance with the Financial Performance Covenants for, or as of the last day of, the most recently ended Test Period for which financial statements are available;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have delivered a certificate of a Responsible Officer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requirements;</w:t>
      </w:r>
    </w:p>
    <w:p>
      <w:pPr>
        <w:spacing w:after="0" w:line="139" w:lineRule="exact"/>
        <w:rPr>
          <w:rFonts w:ascii="Arial" w:cs="Arial" w:eastAsia="Arial" w:hAnsi="Arial"/>
          <w:sz w:val="19"/>
          <w:szCs w:val="19"/>
          <w:color w:val="auto"/>
        </w:rPr>
      </w:pPr>
    </w:p>
    <w:p>
      <w:pPr>
        <w:jc w:val="both"/>
        <w:ind w:firstLine="639"/>
        <w:spacing w:after="0" w:line="241" w:lineRule="auto"/>
        <w:tabs>
          <w:tab w:leader="none" w:pos="1036" w:val="left"/>
        </w:tabs>
        <w:numPr>
          <w:ilvl w:val="1"/>
          <w:numId w:val="193"/>
        </w:numPr>
        <w:rPr>
          <w:rFonts w:ascii="Arial" w:cs="Arial" w:eastAsia="Arial" w:hAnsi="Arial"/>
          <w:sz w:val="21"/>
          <w:szCs w:val="21"/>
          <w:color w:val="auto"/>
        </w:rPr>
      </w:pPr>
      <w:r>
        <w:rPr>
          <w:rFonts w:ascii="Arial" w:cs="Arial" w:eastAsia="Arial" w:hAnsi="Arial"/>
          <w:sz w:val="21"/>
          <w:szCs w:val="21"/>
          <w:color w:val="auto"/>
        </w:rPr>
        <w:t xml:space="preserve">Indebtedness incurred by a Restricted Subsidiary that is not a Loan Party to finance a Permitted Acquisition and any Permitted Refinancing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immediately after giving effect thereto and the use of the proceeds thereof, (x) no Default or Event of Default shall exist or result therefrom and (y) the Borrower will be in Pro Forma Compliance with the Financial Performance Covenants for, or as of the last day of, the most recently ended Test Period for which financial statements are available and (B) the aggregate principal amount of outstanding Indebtedness incurred in reliance on this clause (ix) shall not exceed $10,000,000 at any time;</w:t>
      </w:r>
    </w:p>
    <w:p>
      <w:pPr>
        <w:spacing w:after="0" w:line="141" w:lineRule="exact"/>
        <w:rPr>
          <w:rFonts w:ascii="Arial" w:cs="Arial" w:eastAsia="Arial" w:hAnsi="Arial"/>
          <w:sz w:val="21"/>
          <w:szCs w:val="21"/>
          <w:color w:val="auto"/>
        </w:rPr>
      </w:pPr>
    </w:p>
    <w:p>
      <w:pPr>
        <w:ind w:firstLine="639"/>
        <w:spacing w:after="0" w:line="263" w:lineRule="auto"/>
        <w:tabs>
          <w:tab w:leader="none" w:pos="1015" w:val="left"/>
        </w:tabs>
        <w:numPr>
          <w:ilvl w:val="1"/>
          <w:numId w:val="193"/>
        </w:numPr>
        <w:rPr>
          <w:rFonts w:ascii="Arial" w:cs="Arial" w:eastAsia="Arial" w:hAnsi="Arial"/>
          <w:sz w:val="21"/>
          <w:szCs w:val="21"/>
          <w:color w:val="auto"/>
        </w:rPr>
      </w:pPr>
      <w:r>
        <w:rPr>
          <w:rFonts w:ascii="Arial" w:cs="Arial" w:eastAsia="Arial" w:hAnsi="Arial"/>
          <w:sz w:val="21"/>
          <w:szCs w:val="21"/>
          <w:color w:val="auto"/>
        </w:rPr>
        <w:t>Indebtedness representing deferred compensation to employees of Holdings and its Restricted Subsidiaries incurred in the ordinary course of business;</w:t>
      </w:r>
    </w:p>
    <w:p>
      <w:pPr>
        <w:spacing w:after="0" w:line="118" w:lineRule="exact"/>
        <w:rPr>
          <w:rFonts w:ascii="Arial" w:cs="Arial" w:eastAsia="Arial" w:hAnsi="Arial"/>
          <w:sz w:val="21"/>
          <w:szCs w:val="21"/>
          <w:color w:val="auto"/>
        </w:rPr>
      </w:pPr>
    </w:p>
    <w:p>
      <w:pPr>
        <w:jc w:val="both"/>
        <w:ind w:firstLine="639"/>
        <w:spacing w:after="0" w:line="279" w:lineRule="auto"/>
        <w:tabs>
          <w:tab w:leader="none" w:pos="1007" w:val="left"/>
        </w:tabs>
        <w:numPr>
          <w:ilvl w:val="1"/>
          <w:numId w:val="193"/>
        </w:numPr>
        <w:rPr>
          <w:rFonts w:ascii="Arial" w:cs="Arial" w:eastAsia="Arial" w:hAnsi="Arial"/>
          <w:sz w:val="19"/>
          <w:szCs w:val="19"/>
          <w:color w:val="auto"/>
        </w:rPr>
      </w:pPr>
      <w:r>
        <w:rPr>
          <w:rFonts w:ascii="Arial" w:cs="Arial" w:eastAsia="Arial" w:hAnsi="Arial"/>
          <w:sz w:val="19"/>
          <w:szCs w:val="19"/>
          <w:color w:val="auto"/>
        </w:rPr>
        <w:t>Indebtedness consisting of unsecured promissory notes issued by any Loan Party to current or former officers, directors and employees, their permitted transferees, or their respective estates, executors, trustees, administrators, heirs, legatees or distributees to finance the purchase or redemption of Equity Interests of Holdings (or any direct or indirect parent thereof or any Employee Holding Vehicle) permitted by Section 6.08(a);</w:t>
      </w:r>
    </w:p>
    <w:p>
      <w:pPr>
        <w:spacing w:after="0" w:line="121" w:lineRule="exact"/>
        <w:rPr>
          <w:rFonts w:ascii="Arial" w:cs="Arial" w:eastAsia="Arial" w:hAnsi="Arial"/>
          <w:sz w:val="19"/>
          <w:szCs w:val="19"/>
          <w:color w:val="auto"/>
        </w:rPr>
      </w:pPr>
    </w:p>
    <w:p>
      <w:pPr>
        <w:jc w:val="both"/>
        <w:ind w:firstLine="639"/>
        <w:spacing w:after="0" w:line="250" w:lineRule="auto"/>
        <w:tabs>
          <w:tab w:leader="none" w:pos="1081" w:val="left"/>
        </w:tabs>
        <w:numPr>
          <w:ilvl w:val="1"/>
          <w:numId w:val="193"/>
        </w:numPr>
        <w:rPr>
          <w:rFonts w:ascii="Arial" w:cs="Arial" w:eastAsia="Arial" w:hAnsi="Arial"/>
          <w:sz w:val="21"/>
          <w:szCs w:val="21"/>
          <w:color w:val="auto"/>
        </w:rPr>
      </w:pPr>
      <w:r>
        <w:rPr>
          <w:rFonts w:ascii="Arial" w:cs="Arial" w:eastAsia="Arial" w:hAnsi="Arial"/>
          <w:sz w:val="21"/>
          <w:szCs w:val="21"/>
          <w:color w:val="auto"/>
        </w:rPr>
        <w:t>Indebtedness constituting indemnification obligations or obligations in respect of purchase price or other similar adjustments incurred in a Permitted Acquisition, any other Investment or any Disposition, in each case permitted under this Agreement;</w:t>
      </w:r>
    </w:p>
    <w:p>
      <w:pPr>
        <w:spacing w:after="0" w:line="131" w:lineRule="exact"/>
        <w:rPr>
          <w:rFonts w:ascii="Arial" w:cs="Arial" w:eastAsia="Arial" w:hAnsi="Arial"/>
          <w:sz w:val="21"/>
          <w:szCs w:val="21"/>
          <w:color w:val="auto"/>
        </w:rPr>
      </w:pPr>
    </w:p>
    <w:p>
      <w:pPr>
        <w:ind w:firstLine="639"/>
        <w:spacing w:after="0" w:line="288" w:lineRule="auto"/>
        <w:tabs>
          <w:tab w:leader="none" w:pos="1142" w:val="left"/>
        </w:tabs>
        <w:numPr>
          <w:ilvl w:val="1"/>
          <w:numId w:val="193"/>
        </w:numPr>
        <w:rPr>
          <w:rFonts w:ascii="Arial" w:cs="Arial" w:eastAsia="Arial" w:hAnsi="Arial"/>
          <w:sz w:val="20"/>
          <w:szCs w:val="20"/>
          <w:color w:val="auto"/>
        </w:rPr>
      </w:pPr>
      <w:r>
        <w:rPr>
          <w:rFonts w:ascii="Arial" w:cs="Arial" w:eastAsia="Arial" w:hAnsi="Arial"/>
          <w:sz w:val="20"/>
          <w:szCs w:val="20"/>
          <w:color w:val="auto"/>
        </w:rPr>
        <w:t>Indebtedness consisting of obligations under deferred compensation or other similar arrangements incurred in connection with any Permitted Acquisition or other Investment permitted hereunder;</w:t>
      </w:r>
    </w:p>
    <w:p>
      <w:pPr>
        <w:spacing w:after="0" w:line="96" w:lineRule="exact"/>
        <w:rPr>
          <w:rFonts w:ascii="Arial" w:cs="Arial" w:eastAsia="Arial" w:hAnsi="Arial"/>
          <w:sz w:val="20"/>
          <w:szCs w:val="20"/>
          <w:color w:val="auto"/>
        </w:rPr>
      </w:pPr>
    </w:p>
    <w:p>
      <w:pPr>
        <w:jc w:val="both"/>
        <w:ind w:firstLine="639"/>
        <w:spacing w:after="0" w:line="250" w:lineRule="auto"/>
        <w:tabs>
          <w:tab w:leader="none" w:pos="1157" w:val="left"/>
        </w:tabs>
        <w:numPr>
          <w:ilvl w:val="1"/>
          <w:numId w:val="193"/>
        </w:numPr>
        <w:rPr>
          <w:rFonts w:ascii="Arial" w:cs="Arial" w:eastAsia="Arial" w:hAnsi="Arial"/>
          <w:sz w:val="21"/>
          <w:szCs w:val="21"/>
          <w:color w:val="auto"/>
        </w:rPr>
      </w:pPr>
      <w:r>
        <w:rPr>
          <w:rFonts w:ascii="Arial" w:cs="Arial" w:eastAsia="Arial" w:hAnsi="Arial"/>
          <w:sz w:val="21"/>
          <w:szCs w:val="21"/>
          <w:color w:val="auto"/>
        </w:rPr>
        <w:t>Cash Management Obligations and other Indebtedness in respect of netting services, overdraft protections and similar arrangements, in each case, incurred in the ordinary course of business in connection with deposit accounts;</w:t>
      </w:r>
    </w:p>
    <w:p>
      <w:pPr>
        <w:spacing w:after="0" w:line="383"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80"/>
          </w:cols>
          <w:pgMar w:left="1380" w:top="528" w:right="739" w:bottom="1440" w:gutter="0" w:footer="0" w:header="0"/>
        </w:sectPr>
      </w:pPr>
    </w:p>
    <w:bookmarkStart w:id="298" w:name="page299"/>
    <w:bookmarkEnd w:id="298"/>
    <w:p>
      <w:pPr>
        <w:jc w:val="both"/>
        <w:ind w:left="-60" w:firstLine="639"/>
        <w:spacing w:after="0" w:line="275" w:lineRule="auto"/>
        <w:tabs>
          <w:tab w:leader="none" w:pos="100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Indebtedness of Holdings and its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of the incurrence thereof and after giving Pro Forma Effect thereto and the use of the proceeds thereof, (A) the aggregate principal amount of Indebtedness outstanding in reliance on this clause (xv) shall not exceed $50,000,000 and (B) the aggregate principal amount of Indebtedness outstanding in reliance on this clause (xv) in respect of which the primary obligor or a guarantor is a Restricted Subsidiary that is not a Loan Party shall not exceed $20,000,000;</w:t>
      </w:r>
    </w:p>
    <w:p>
      <w:pPr>
        <w:spacing w:after="0" w:line="124" w:lineRule="exact"/>
        <w:rPr>
          <w:rFonts w:ascii="Arial" w:cs="Arial" w:eastAsia="Arial" w:hAnsi="Arial"/>
          <w:sz w:val="19"/>
          <w:szCs w:val="19"/>
          <w:color w:val="auto"/>
        </w:rPr>
      </w:pPr>
    </w:p>
    <w:p>
      <w:pPr>
        <w:ind w:left="-60" w:firstLine="639"/>
        <w:spacing w:after="0" w:line="263" w:lineRule="auto"/>
        <w:tabs>
          <w:tab w:leader="none" w:pos="106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Indebtedness consisting of (A) the financing of insurance premiums or (B) take-or-pay obligations contained in supply arrangements, in each case in the ordinary course of business;</w:t>
      </w:r>
    </w:p>
    <w:p>
      <w:pPr>
        <w:spacing w:after="0" w:line="118" w:lineRule="exact"/>
        <w:rPr>
          <w:rFonts w:ascii="Arial" w:cs="Arial" w:eastAsia="Arial" w:hAnsi="Arial"/>
          <w:sz w:val="21"/>
          <w:szCs w:val="21"/>
          <w:color w:val="auto"/>
        </w:rPr>
      </w:pPr>
    </w:p>
    <w:p>
      <w:pPr>
        <w:jc w:val="both"/>
        <w:ind w:left="-60" w:firstLine="639"/>
        <w:spacing w:after="0" w:line="243" w:lineRule="auto"/>
        <w:tabs>
          <w:tab w:leader="none" w:pos="1115" w:val="left"/>
        </w:tabs>
        <w:numPr>
          <w:ilvl w:val="0"/>
          <w:numId w:val="194"/>
        </w:numPr>
        <w:rPr>
          <w:rFonts w:ascii="Arial" w:cs="Arial" w:eastAsia="Arial" w:hAnsi="Arial"/>
          <w:sz w:val="21"/>
          <w:szCs w:val="21"/>
          <w:color w:val="auto"/>
        </w:rPr>
      </w:pPr>
      <w:r>
        <w:rPr>
          <w:rFonts w:ascii="Arial" w:cs="Arial" w:eastAsia="Arial" w:hAnsi="Arial"/>
          <w:sz w:val="21"/>
          <w:szCs w:val="21"/>
          <w:color w:val="auto"/>
        </w:rPr>
        <w:t>Indebtedness incurred by the Borrower or any of the Restricted Subsidiaries in respect of letters of credit, bank guarantees, bankers’ acceptances or similar instruments issued or created in the ordinary course of business, including in respect of workers compensation claims, health, disability or other employee benefits or property, casualty or liability insurance or self-insurance or other reimbursement-type obligations regarding workers compensation claims;</w:t>
      </w:r>
    </w:p>
    <w:p>
      <w:pPr>
        <w:spacing w:after="0" w:line="140" w:lineRule="exact"/>
        <w:rPr>
          <w:rFonts w:ascii="Arial" w:cs="Arial" w:eastAsia="Arial" w:hAnsi="Arial"/>
          <w:sz w:val="21"/>
          <w:szCs w:val="21"/>
          <w:color w:val="auto"/>
        </w:rPr>
      </w:pPr>
    </w:p>
    <w:p>
      <w:pPr>
        <w:jc w:val="both"/>
        <w:ind w:left="-60" w:firstLine="639"/>
        <w:spacing w:after="0" w:line="245" w:lineRule="auto"/>
        <w:tabs>
          <w:tab w:leader="none" w:pos="1159" w:val="left"/>
        </w:tabs>
        <w:numPr>
          <w:ilvl w:val="0"/>
          <w:numId w:val="194"/>
        </w:numPr>
        <w:rPr>
          <w:rFonts w:ascii="Arial" w:cs="Arial" w:eastAsia="Arial" w:hAnsi="Arial"/>
          <w:sz w:val="21"/>
          <w:szCs w:val="21"/>
          <w:color w:val="auto"/>
        </w:rPr>
      </w:pPr>
      <w:r>
        <w:rPr>
          <w:rFonts w:ascii="Arial" w:cs="Arial" w:eastAsia="Arial" w:hAnsi="Arial"/>
          <w:sz w:val="21"/>
          <w:szCs w:val="21"/>
          <w:color w:val="auto"/>
        </w:rPr>
        <w:t>obligations in respect of performance, bid, appeal and surety bonds and performance and completion guarantees and similar obligations provided by Holdings or any of its Restricted Subsidiaries or obligations in respect of letters of credit, bank guarantees or similar instruments related thereto, in each case in the ordinary course of business or consistent with past practice;</w:t>
      </w:r>
    </w:p>
    <w:p>
      <w:pPr>
        <w:spacing w:after="0" w:line="151" w:lineRule="exact"/>
        <w:rPr>
          <w:rFonts w:ascii="Arial" w:cs="Arial" w:eastAsia="Arial" w:hAnsi="Arial"/>
          <w:sz w:val="21"/>
          <w:szCs w:val="21"/>
          <w:color w:val="auto"/>
        </w:rPr>
      </w:pPr>
    </w:p>
    <w:p>
      <w:pPr>
        <w:ind w:left="1040" w:hanging="461"/>
        <w:spacing w:after="0"/>
        <w:tabs>
          <w:tab w:leader="none" w:pos="104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[reserved];</w:t>
      </w:r>
    </w:p>
    <w:p>
      <w:pPr>
        <w:spacing w:after="0" w:line="168" w:lineRule="exact"/>
        <w:rPr>
          <w:rFonts w:ascii="Arial" w:cs="Arial" w:eastAsia="Arial" w:hAnsi="Arial"/>
          <w:sz w:val="21"/>
          <w:szCs w:val="21"/>
          <w:color w:val="auto"/>
        </w:rPr>
      </w:pPr>
    </w:p>
    <w:p>
      <w:pPr>
        <w:ind w:left="980" w:hanging="401"/>
        <w:spacing w:after="0"/>
        <w:tabs>
          <w:tab w:leader="none" w:pos="98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Permitted Unsecured Refinancing Debt, and any Permitted Refinancing thereof;</w:t>
      </w:r>
    </w:p>
    <w:p>
      <w:pPr>
        <w:spacing w:after="0" w:line="168" w:lineRule="exact"/>
        <w:rPr>
          <w:rFonts w:ascii="Arial" w:cs="Arial" w:eastAsia="Arial" w:hAnsi="Arial"/>
          <w:sz w:val="21"/>
          <w:szCs w:val="21"/>
          <w:color w:val="auto"/>
        </w:rPr>
      </w:pPr>
    </w:p>
    <w:p>
      <w:pPr>
        <w:ind w:left="-60" w:right="20" w:firstLine="639"/>
        <w:spacing w:after="0" w:line="263" w:lineRule="auto"/>
        <w:tabs>
          <w:tab w:leader="none" w:pos="1083" w:val="left"/>
        </w:tabs>
        <w:numPr>
          <w:ilvl w:val="0"/>
          <w:numId w:val="194"/>
        </w:numPr>
        <w:rPr>
          <w:rFonts w:ascii="Arial" w:cs="Arial" w:eastAsia="Arial" w:hAnsi="Arial"/>
          <w:sz w:val="21"/>
          <w:szCs w:val="21"/>
          <w:color w:val="auto"/>
        </w:rPr>
      </w:pPr>
      <w:r>
        <w:rPr>
          <w:rFonts w:ascii="Arial" w:cs="Arial" w:eastAsia="Arial" w:hAnsi="Arial"/>
          <w:sz w:val="21"/>
          <w:szCs w:val="21"/>
          <w:color w:val="auto"/>
        </w:rPr>
        <w:t>Permitted First Priority Refinancing Debt and Permitted Junior Lien Refinancing Debt, and any Permitted Refinancing thereof;</w:t>
      </w:r>
    </w:p>
    <w:p>
      <w:pPr>
        <w:spacing w:after="0" w:line="132" w:lineRule="exact"/>
        <w:rPr>
          <w:rFonts w:ascii="Arial" w:cs="Arial" w:eastAsia="Arial" w:hAnsi="Arial"/>
          <w:sz w:val="21"/>
          <w:szCs w:val="21"/>
          <w:color w:val="auto"/>
        </w:rPr>
      </w:pPr>
    </w:p>
    <w:p>
      <w:pPr>
        <w:jc w:val="both"/>
        <w:ind w:left="-60" w:firstLine="639"/>
        <w:spacing w:after="0" w:line="252" w:lineRule="auto"/>
        <w:tabs>
          <w:tab w:leader="none" w:pos="1121" w:val="left"/>
        </w:tabs>
        <w:numPr>
          <w:ilvl w:val="0"/>
          <w:numId w:val="194"/>
        </w:numPr>
        <w:rPr>
          <w:rFonts w:ascii="Arial" w:cs="Arial" w:eastAsia="Arial" w:hAnsi="Arial"/>
          <w:sz w:val="20"/>
          <w:szCs w:val="20"/>
          <w:color w:val="auto"/>
        </w:rPr>
      </w:pPr>
      <w:r>
        <w:rPr>
          <w:rFonts w:ascii="Arial" w:cs="Arial" w:eastAsia="Arial" w:hAnsi="Arial"/>
          <w:sz w:val="20"/>
          <w:szCs w:val="20"/>
          <w:color w:val="auto"/>
        </w:rPr>
        <w:t>Indebtedness of the Borrower in respect of one or more series of senior unsecured notes or senior secured notes that will be secured by the Collateral on a pari passu or junior basis with the Secured Obligations, that are issued or made in lieu of Incremental Revolving Facilities and/or Incremental Term Facilities pursuant to an indenture or a note purchase agreement or otherwise and any extensions, renewals, refinancings and replacements thereof (the “</w:t>
      </w:r>
      <w:r>
        <w:rPr>
          <w:rFonts w:ascii="Arial" w:cs="Arial" w:eastAsia="Arial" w:hAnsi="Arial"/>
          <w:sz w:val="20"/>
          <w:szCs w:val="20"/>
          <w:b w:val="1"/>
          <w:bCs w:val="1"/>
          <w:color w:val="auto"/>
        </w:rPr>
        <w:t>Additional Notes</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 such Additional Notes are not scheduled to mature prior to the date that is 91 days after the Latest Maturity Date then in effect and such Additional Notes shall not have a Weighted Average Life to Maturity shorter than the Weighted Average Life to Maturity of the Term Loans then in effect, (ii) such Additional Notes shall not have any mandatory prepayment provisions (other than provisions related to customary asset sale and change of control offers) that could result in prepayments of such Additional Notes prior to the Term Loans then in effect, (iii) such Additional Notes have terms and conditions (other than pricing, optional prepayment,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528" w:right="739" w:bottom="1440" w:gutter="0" w:footer="0" w:header="0"/>
        </w:sectPr>
      </w:pPr>
    </w:p>
    <w:bookmarkStart w:id="299" w:name="page300"/>
    <w:bookmarkEnd w:id="299"/>
    <w:p>
      <w:pPr>
        <w:jc w:val="both"/>
        <w:ind w:left="640"/>
        <w:spacing w:after="0" w:line="250" w:lineRule="auto"/>
        <w:rPr>
          <w:sz w:val="20"/>
          <w:szCs w:val="20"/>
          <w:color w:val="auto"/>
        </w:rPr>
      </w:pPr>
      <w:r>
        <w:rPr>
          <w:rFonts w:ascii="Arial" w:cs="Arial" w:eastAsia="Arial" w:hAnsi="Arial"/>
          <w:sz w:val="20"/>
          <w:szCs w:val="20"/>
          <w:color w:val="auto"/>
        </w:rPr>
        <w:t xml:space="preserve">redemption premiums and subordination terms), taken as a whole, that are substantially identical to or no more favorable to the investors providing such Additional Notes than the terms and conditions of this Agreement (except for covenants or other provisions applicable only to periods after the Latest Maturity Date), (iv) the aggregate principal amount of all Additional Notes issued pursuant to this paragraph (xxii) shall not exceed (x) the Incremental Cap less (y) the amount of all Incremental Revolving Facilities and Incremental Term Facilities and the aggregate principal amount of all secured Indebtedness incurred after the Restatement Effective Date pursuant to Section 6.01(a)(viii), and such Additional Notes shall reduce availability under the Incremental Cap on a dollar-for-dollar basis, (v) such Additional Notes shall not be Guaranteed by any Person other than a Loan Party, (vi) in the case of Additional Notes that are secured, the obligations in respect thereof shall not be secured by any Lien on any asset of the Holdings or any Restricted Subsidiary other than any asset constituting Collateral, (vii) at the time of such incurrence (except in the case of any extension, renewal, refinancing or replacement thereof that does not exceed the principal amount (or accreted value, if applicable) of the Indebtedness so extended, renewed, refinanced or replaced) and immediately after giving effect thereto, the Borrower shall be in compliance with the Financial Performance Covenants on a Pro Forma Basis as of the end of the most recent Test Period for which financial statements are available, (viii) no Default or Event of Default shall have occurred and be continuing or would exist immediately after giving effect to such incurrence, (ix) if such Additional Notes are secured, the security agreements relating to such Additional Notes shall be substantially the same as the Security Documents (with such differences as are reasonably satisfactory to the Administrative Agent) and (x) if such Additional Notes are secured, such Additional Notes and the trustee or other representative under the indenture or other agreement governing such Additional Notes shall be subject to the First Lien Intercreditor Agreement or Junior Lien Intercreditor Agreement, as applicable;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Additional Notes are issued pursuant to an indenture or other agreement that has not previously been made subject thereto, then Holdings, the Borrower, the Subsidiary Loan Parties, the Administrative Agent and the Senior Representative for such Additional Notes shall have executed and delivered the First Lien Intercreditor Agreement or the Junior Lien Intercreditor Agreement, as applicable;</w:t>
      </w:r>
    </w:p>
    <w:p>
      <w:pPr>
        <w:spacing w:after="0" w:line="136" w:lineRule="exact"/>
        <w:rPr>
          <w:sz w:val="20"/>
          <w:szCs w:val="20"/>
          <w:color w:val="auto"/>
        </w:rPr>
      </w:pPr>
    </w:p>
    <w:p>
      <w:pPr>
        <w:ind w:left="1900" w:hanging="621"/>
        <w:spacing w:after="0"/>
        <w:tabs>
          <w:tab w:leader="none" w:pos="1900" w:val="left"/>
        </w:tabs>
        <w:numPr>
          <w:ilvl w:val="1"/>
          <w:numId w:val="195"/>
        </w:numPr>
        <w:rPr>
          <w:rFonts w:ascii="Arial" w:cs="Arial" w:eastAsia="Arial" w:hAnsi="Arial"/>
          <w:sz w:val="20"/>
          <w:szCs w:val="20"/>
          <w:color w:val="auto"/>
        </w:rPr>
      </w:pPr>
      <w:r>
        <w:rPr>
          <w:rFonts w:ascii="Arial" w:cs="Arial" w:eastAsia="Arial" w:hAnsi="Arial"/>
          <w:sz w:val="20"/>
          <w:szCs w:val="20"/>
          <w:color w:val="auto"/>
        </w:rPr>
        <w:t>Trading Debt incurred in the ordinary course of business or in a manner consistent with past</w:t>
      </w:r>
    </w:p>
    <w:p>
      <w:pPr>
        <w:spacing w:after="0" w:line="26"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1"/>
          <w:szCs w:val="21"/>
          <w:color w:val="auto"/>
        </w:rPr>
        <w:t>practices; and</w:t>
      </w:r>
    </w:p>
    <w:p>
      <w:pPr>
        <w:spacing w:after="0" w:line="163" w:lineRule="exact"/>
        <w:rPr>
          <w:rFonts w:ascii="Arial" w:cs="Arial" w:eastAsia="Arial" w:hAnsi="Arial"/>
          <w:sz w:val="20"/>
          <w:szCs w:val="20"/>
          <w:color w:val="auto"/>
        </w:rPr>
      </w:pPr>
    </w:p>
    <w:p>
      <w:pPr>
        <w:jc w:val="both"/>
        <w:ind w:left="640" w:firstLine="639"/>
        <w:spacing w:after="0" w:line="250" w:lineRule="auto"/>
        <w:tabs>
          <w:tab w:leader="none" w:pos="1895" w:val="left"/>
        </w:tabs>
        <w:numPr>
          <w:ilvl w:val="1"/>
          <w:numId w:val="195"/>
        </w:numPr>
        <w:rPr>
          <w:rFonts w:ascii="Arial" w:cs="Arial" w:eastAsia="Arial" w:hAnsi="Arial"/>
          <w:sz w:val="21"/>
          <w:szCs w:val="21"/>
          <w:color w:val="auto"/>
        </w:rPr>
      </w:pPr>
      <w:r>
        <w:rPr>
          <w:rFonts w:ascii="Arial" w:cs="Arial" w:eastAsia="Arial" w:hAnsi="Arial"/>
          <w:sz w:val="21"/>
          <w:szCs w:val="21"/>
          <w:color w:val="auto"/>
        </w:rPr>
        <w:t>all premiums (if any), interest (including post-petition interest and capitalized or paid in kind interest), fees, expenses, charges and additional or contingent interest on obligations described in clauses (i) through (xxiii) above.</w:t>
      </w:r>
    </w:p>
    <w:p>
      <w:pPr>
        <w:spacing w:after="0" w:line="131" w:lineRule="exact"/>
        <w:rPr>
          <w:rFonts w:ascii="Arial" w:cs="Arial" w:eastAsia="Arial" w:hAnsi="Arial"/>
          <w:sz w:val="21"/>
          <w:szCs w:val="21"/>
          <w:color w:val="auto"/>
        </w:rPr>
      </w:pPr>
    </w:p>
    <w:p>
      <w:pPr>
        <w:ind w:left="940" w:hanging="296"/>
        <w:spacing w:after="0"/>
        <w:tabs>
          <w:tab w:leader="none" w:pos="94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[Reserved].</w:t>
      </w:r>
    </w:p>
    <w:p>
      <w:pPr>
        <w:spacing w:after="0" w:line="168" w:lineRule="exact"/>
        <w:rPr>
          <w:rFonts w:ascii="Arial" w:cs="Arial" w:eastAsia="Arial" w:hAnsi="Arial"/>
          <w:sz w:val="21"/>
          <w:szCs w:val="21"/>
          <w:color w:val="auto"/>
        </w:rPr>
      </w:pPr>
    </w:p>
    <w:p>
      <w:pPr>
        <w:jc w:val="both"/>
        <w:ind w:firstLine="644"/>
        <w:spacing w:after="0" w:line="268" w:lineRule="auto"/>
        <w:tabs>
          <w:tab w:leader="none" w:pos="933" w:val="left"/>
        </w:tabs>
        <w:numPr>
          <w:ilvl w:val="0"/>
          <w:numId w:val="196"/>
        </w:numPr>
        <w:rPr>
          <w:rFonts w:ascii="Arial" w:cs="Arial" w:eastAsia="Arial" w:hAnsi="Arial"/>
          <w:sz w:val="20"/>
          <w:szCs w:val="20"/>
          <w:color w:val="auto"/>
        </w:rPr>
      </w:pPr>
      <w:r>
        <w:rPr>
          <w:rFonts w:ascii="Arial" w:cs="Arial" w:eastAsia="Arial" w:hAnsi="Arial"/>
          <w:sz w:val="20"/>
          <w:szCs w:val="20"/>
          <w:color w:val="auto"/>
        </w:rPr>
        <w:t>Neither Holdings nor the Borrower will, nor will they permit any Restricted Subsidiary to, issue any preferred Equity Interests or any Disqualified Equity Interests, except (A) in the case of Holdings, preferred Equity Interests that are Qualified Equity Interests and (B) in the case of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2">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00" w:name="page301"/>
    <w:bookmarkEnd w:id="300"/>
    <w:p>
      <w:pPr>
        <w:spacing w:after="0"/>
        <w:rPr>
          <w:sz w:val="20"/>
          <w:szCs w:val="20"/>
          <w:color w:val="auto"/>
        </w:rPr>
      </w:pPr>
      <w:r>
        <w:rPr>
          <w:rFonts w:ascii="Arial" w:cs="Arial" w:eastAsia="Arial" w:hAnsi="Arial"/>
          <w:sz w:val="21"/>
          <w:szCs w:val="21"/>
          <w:color w:val="auto"/>
        </w:rPr>
        <w:t>preferred Equity Interests issued to and held by Holdings, the Borrower or any Restricted Subsidiary.</w:t>
      </w:r>
    </w:p>
    <w:p>
      <w:pPr>
        <w:spacing w:after="0" w:line="169" w:lineRule="exact"/>
        <w:rPr>
          <w:sz w:val="20"/>
          <w:szCs w:val="20"/>
          <w:color w:val="auto"/>
        </w:rPr>
      </w:pPr>
    </w:p>
    <w:p>
      <w:pPr>
        <w:ind w:firstLine="635"/>
        <w:spacing w:after="0" w:line="316"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i w:val="1"/>
          <w:iCs w:val="1"/>
          <w:color w:val="auto"/>
        </w:rPr>
        <w:t>Liens.</w:t>
      </w:r>
      <w:r>
        <w:rPr>
          <w:rFonts w:ascii="Arial" w:cs="Arial" w:eastAsia="Arial" w:hAnsi="Arial"/>
          <w:sz w:val="19"/>
          <w:szCs w:val="19"/>
          <w:color w:val="auto"/>
        </w:rPr>
        <w:t xml:space="preserve"> Neither Holdings nor the Borrower will, nor will they permit any Restricted Subsidiary to, create, incur, assume or permit to exist any Lien on any property or asset now owned or hereafter acquired by it, except:</w:t>
      </w:r>
    </w:p>
    <w:p>
      <w:pPr>
        <w:spacing w:after="0" w:line="86" w:lineRule="exact"/>
        <w:rPr>
          <w:sz w:val="20"/>
          <w:szCs w:val="20"/>
          <w:color w:val="auto"/>
        </w:rPr>
      </w:pPr>
    </w:p>
    <w:p>
      <w:pPr>
        <w:ind w:left="2160" w:hanging="246"/>
        <w:spacing w:after="0"/>
        <w:tabs>
          <w:tab w:leader="none" w:pos="216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Liens created under the Loan Documents;</w:t>
      </w:r>
    </w:p>
    <w:p>
      <w:pPr>
        <w:spacing w:after="0" w:line="168" w:lineRule="exact"/>
        <w:rPr>
          <w:rFonts w:ascii="Arial" w:cs="Arial" w:eastAsia="Arial" w:hAnsi="Arial"/>
          <w:sz w:val="21"/>
          <w:szCs w:val="21"/>
          <w:color w:val="auto"/>
        </w:rPr>
      </w:pPr>
    </w:p>
    <w:p>
      <w:pPr>
        <w:ind w:left="2220" w:hanging="306"/>
        <w:spacing w:after="0"/>
        <w:tabs>
          <w:tab w:leader="none" w:pos="222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Permitted Encumbrances;</w:t>
      </w:r>
    </w:p>
    <w:p>
      <w:pPr>
        <w:spacing w:after="0" w:line="168" w:lineRule="exact"/>
        <w:rPr>
          <w:rFonts w:ascii="Arial" w:cs="Arial" w:eastAsia="Arial" w:hAnsi="Arial"/>
          <w:sz w:val="21"/>
          <w:szCs w:val="21"/>
          <w:color w:val="auto"/>
        </w:rPr>
      </w:pPr>
    </w:p>
    <w:p>
      <w:pPr>
        <w:jc w:val="both"/>
        <w:ind w:left="640" w:firstLine="1274"/>
        <w:spacing w:after="0" w:line="256" w:lineRule="auto"/>
        <w:tabs>
          <w:tab w:leader="none" w:pos="232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Liens existing on the Restatement Effective Date and set forth on Schedule 6.02 and any modifications, replacements, renewals or extensions thereof;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modified, replacement, renewal or extension Lien does not extend to any additional property other than (x) after-acquired property that is affixed or incorporated into the property covered by such Lien and (y) proceeds and products thereof, and (B) the obligations secured or benefited by such modified, replacement, renewal or extension Lien are, if Indebtedness, permitted by Section 6.01 or, if not Indebtedness, not prohibited hereunder;</w:t>
      </w:r>
    </w:p>
    <w:p>
      <w:pPr>
        <w:spacing w:after="0" w:line="142" w:lineRule="exact"/>
        <w:rPr>
          <w:rFonts w:ascii="Arial" w:cs="Arial" w:eastAsia="Arial" w:hAnsi="Arial"/>
          <w:sz w:val="20"/>
          <w:szCs w:val="20"/>
          <w:color w:val="auto"/>
        </w:rPr>
      </w:pPr>
    </w:p>
    <w:p>
      <w:pPr>
        <w:jc w:val="both"/>
        <w:ind w:left="640" w:firstLine="1274"/>
        <w:spacing w:after="0" w:line="254" w:lineRule="auto"/>
        <w:tabs>
          <w:tab w:leader="none" w:pos="2287"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Section 6.01(a)(v);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Liens attach concurrently with or within 270 days after the acquisition, repair, replacement, construction or improvement (as applicable) of the property subject to such Liens, (B) such Liens do not at any time encumber any property other than the property financed by such Indebtedness except for accessions to such property and the proceeds and the products thereof and (C) with respect to Capital Lease Obligations, such Liens do not at any time extend to or cover any assets (except for accessions to or proceeds of such assets) other than the assets subject to such Capital Lease Obligations; </w:t>
      </w:r>
      <w:r>
        <w:rPr>
          <w:rFonts w:ascii="Arial" w:cs="Arial" w:eastAsia="Arial" w:hAnsi="Arial"/>
          <w:sz w:val="20"/>
          <w:szCs w:val="20"/>
          <w:i w:val="1"/>
          <w:iCs w:val="1"/>
          <w:color w:val="auto"/>
        </w:rPr>
        <w:t>provided further</w:t>
      </w:r>
      <w:r>
        <w:rPr>
          <w:rFonts w:ascii="Arial" w:cs="Arial" w:eastAsia="Arial" w:hAnsi="Arial"/>
          <w:sz w:val="20"/>
          <w:szCs w:val="20"/>
          <w:color w:val="auto"/>
        </w:rPr>
        <w:t xml:space="preserve"> that individual financings of equipment provided by one lender may be cross collateralized to other financings of equipment provided by such lender;</w:t>
      </w:r>
    </w:p>
    <w:p>
      <w:pPr>
        <w:spacing w:after="0" w:line="129" w:lineRule="exact"/>
        <w:rPr>
          <w:rFonts w:ascii="Arial" w:cs="Arial" w:eastAsia="Arial" w:hAnsi="Arial"/>
          <w:sz w:val="20"/>
          <w:szCs w:val="20"/>
          <w:color w:val="auto"/>
        </w:rPr>
      </w:pPr>
    </w:p>
    <w:p>
      <w:pPr>
        <w:jc w:val="both"/>
        <w:ind w:left="640" w:right="20" w:firstLine="1274"/>
        <w:spacing w:after="0" w:line="250" w:lineRule="auto"/>
        <w:tabs>
          <w:tab w:leader="none" w:pos="2252" w:val="left"/>
        </w:tabs>
        <w:numPr>
          <w:ilvl w:val="0"/>
          <w:numId w:val="197"/>
        </w:numPr>
        <w:rPr>
          <w:rFonts w:ascii="Arial" w:cs="Arial" w:eastAsia="Arial" w:hAnsi="Arial"/>
          <w:sz w:val="21"/>
          <w:szCs w:val="21"/>
          <w:color w:val="auto"/>
        </w:rPr>
      </w:pPr>
      <w:r>
        <w:rPr>
          <w:rFonts w:ascii="Arial" w:cs="Arial" w:eastAsia="Arial" w:hAnsi="Arial"/>
          <w:sz w:val="21"/>
          <w:szCs w:val="21"/>
          <w:color w:val="auto"/>
        </w:rPr>
        <w:t>leases, licenses, subleases or sublicenses granted to others that do not (A) interfere in any material respect with the business of Holdings and its Restricted Subsidiaries, taken as a whole, or (B) secure any Indebtedness;</w:t>
      </w:r>
    </w:p>
    <w:p>
      <w:pPr>
        <w:spacing w:after="0" w:line="131" w:lineRule="exact"/>
        <w:rPr>
          <w:rFonts w:ascii="Arial" w:cs="Arial" w:eastAsia="Arial" w:hAnsi="Arial"/>
          <w:sz w:val="21"/>
          <w:szCs w:val="21"/>
          <w:color w:val="auto"/>
        </w:rPr>
      </w:pPr>
    </w:p>
    <w:p>
      <w:pPr>
        <w:ind w:left="640" w:firstLine="1274"/>
        <w:spacing w:after="0" w:line="263" w:lineRule="auto"/>
        <w:tabs>
          <w:tab w:leader="none" w:pos="2279" w:val="left"/>
        </w:tabs>
        <w:numPr>
          <w:ilvl w:val="0"/>
          <w:numId w:val="197"/>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customs duties in connection with the importation of goods;</w:t>
      </w:r>
    </w:p>
    <w:p>
      <w:pPr>
        <w:spacing w:after="0" w:line="132" w:lineRule="exact"/>
        <w:rPr>
          <w:rFonts w:ascii="Arial" w:cs="Arial" w:eastAsia="Arial" w:hAnsi="Arial"/>
          <w:sz w:val="21"/>
          <w:szCs w:val="21"/>
          <w:color w:val="auto"/>
        </w:rPr>
      </w:pPr>
    </w:p>
    <w:p>
      <w:pPr>
        <w:jc w:val="both"/>
        <w:ind w:left="640" w:firstLine="1274"/>
        <w:spacing w:after="0" w:line="245" w:lineRule="auto"/>
        <w:tabs>
          <w:tab w:leader="none" w:pos="234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w:t>
      </w:r>
    </w:p>
    <w:p>
      <w:pPr>
        <w:spacing w:after="0" w:line="138" w:lineRule="exact"/>
        <w:rPr>
          <w:rFonts w:ascii="Arial" w:cs="Arial" w:eastAsia="Arial" w:hAnsi="Arial"/>
          <w:sz w:val="21"/>
          <w:szCs w:val="21"/>
          <w:color w:val="auto"/>
        </w:rPr>
      </w:pPr>
    </w:p>
    <w:p>
      <w:pPr>
        <w:ind w:left="640" w:firstLine="1274"/>
        <w:spacing w:after="0" w:line="263" w:lineRule="auto"/>
        <w:tabs>
          <w:tab w:leader="none" w:pos="2412" w:val="left"/>
        </w:tabs>
        <w:numPr>
          <w:ilvl w:val="0"/>
          <w:numId w:val="197"/>
        </w:numPr>
        <w:rPr>
          <w:rFonts w:ascii="Arial" w:cs="Arial" w:eastAsia="Arial" w:hAnsi="Arial"/>
          <w:sz w:val="21"/>
          <w:szCs w:val="21"/>
          <w:color w:val="auto"/>
        </w:rPr>
      </w:pPr>
      <w:r>
        <w:rPr>
          <w:rFonts w:ascii="Arial" w:cs="Arial" w:eastAsia="Arial" w:hAnsi="Arial"/>
          <w:sz w:val="21"/>
          <w:szCs w:val="21"/>
          <w:color w:val="auto"/>
        </w:rPr>
        <w:t>Liens (A) on cash advances or escrow deposits in favor of the seller of any property to be acquired in an Investment permitted pursuant 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01" w:name="page302"/>
    <w:bookmarkEnd w:id="301"/>
    <w:p>
      <w:pPr>
        <w:jc w:val="both"/>
        <w:spacing w:after="0" w:line="242" w:lineRule="auto"/>
        <w:rPr>
          <w:sz w:val="20"/>
          <w:szCs w:val="20"/>
          <w:color w:val="auto"/>
        </w:rPr>
      </w:pPr>
      <w:r>
        <w:rPr>
          <w:rFonts w:ascii="Arial" w:cs="Arial" w:eastAsia="Arial" w:hAnsi="Arial"/>
          <w:sz w:val="21"/>
          <w:szCs w:val="21"/>
          <w:color w:val="auto"/>
        </w:rPr>
        <w:t>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w:t>
      </w:r>
    </w:p>
    <w:p>
      <w:pPr>
        <w:spacing w:after="0" w:line="140" w:lineRule="exact"/>
        <w:rPr>
          <w:sz w:val="20"/>
          <w:szCs w:val="20"/>
          <w:color w:val="auto"/>
        </w:rPr>
      </w:pPr>
    </w:p>
    <w:p>
      <w:pPr>
        <w:jc w:val="both"/>
        <w:ind w:firstLine="1274"/>
        <w:spacing w:after="0" w:line="250" w:lineRule="auto"/>
        <w:tabs>
          <w:tab w:leader="none" w:pos="1683" w:val="left"/>
        </w:tabs>
        <w:numPr>
          <w:ilvl w:val="1"/>
          <w:numId w:val="198"/>
        </w:numPr>
        <w:rPr>
          <w:rFonts w:ascii="Arial" w:cs="Arial" w:eastAsia="Arial" w:hAnsi="Arial"/>
          <w:sz w:val="21"/>
          <w:szCs w:val="21"/>
          <w:color w:val="auto"/>
        </w:rPr>
      </w:pPr>
      <w:r>
        <w:rPr>
          <w:rFonts w:ascii="Arial" w:cs="Arial" w:eastAsia="Arial" w:hAnsi="Arial"/>
          <w:sz w:val="21"/>
          <w:szCs w:val="21"/>
          <w:color w:val="auto"/>
        </w:rPr>
        <w:t>Liens on property of any Restricted Subsidiary that is not a Loan Party or a Regulated Subsidiary, which Liens secure Indebtedness of such Restricted Subsidiary permitted under Section 6.01 or other obligations of such Restricted Subsidiary that are not prohibited hereunder;</w:t>
      </w:r>
    </w:p>
    <w:p>
      <w:pPr>
        <w:spacing w:after="0" w:line="144" w:lineRule="exact"/>
        <w:rPr>
          <w:rFonts w:ascii="Arial" w:cs="Arial" w:eastAsia="Arial" w:hAnsi="Arial"/>
          <w:sz w:val="21"/>
          <w:szCs w:val="21"/>
          <w:color w:val="auto"/>
        </w:rPr>
      </w:pPr>
    </w:p>
    <w:p>
      <w:pPr>
        <w:ind w:firstLine="1274"/>
        <w:spacing w:after="0" w:line="263" w:lineRule="auto"/>
        <w:tabs>
          <w:tab w:leader="none" w:pos="1574" w:val="left"/>
        </w:tabs>
        <w:numPr>
          <w:ilvl w:val="1"/>
          <w:numId w:val="198"/>
        </w:numPr>
        <w:rPr>
          <w:rFonts w:ascii="Arial" w:cs="Arial" w:eastAsia="Arial" w:hAnsi="Arial"/>
          <w:sz w:val="21"/>
          <w:szCs w:val="21"/>
          <w:color w:val="auto"/>
        </w:rPr>
      </w:pPr>
      <w:r>
        <w:rPr>
          <w:rFonts w:ascii="Arial" w:cs="Arial" w:eastAsia="Arial" w:hAnsi="Arial"/>
          <w:sz w:val="21"/>
          <w:szCs w:val="21"/>
          <w:color w:val="auto"/>
        </w:rPr>
        <w:t>Liens granted by a Restricted Subsidiary that is not a Loan Party in favor of any Loan Party and Liens granted by a Loan Party in favor of any other Loan Party;</w:t>
      </w:r>
    </w:p>
    <w:p>
      <w:pPr>
        <w:spacing w:after="0" w:line="118" w:lineRule="exact"/>
        <w:rPr>
          <w:rFonts w:ascii="Arial" w:cs="Arial" w:eastAsia="Arial" w:hAnsi="Arial"/>
          <w:sz w:val="21"/>
          <w:szCs w:val="21"/>
          <w:color w:val="auto"/>
        </w:rPr>
      </w:pPr>
    </w:p>
    <w:p>
      <w:pPr>
        <w:jc w:val="both"/>
        <w:ind w:firstLine="1274"/>
        <w:spacing w:after="0" w:line="252" w:lineRule="auto"/>
        <w:tabs>
          <w:tab w:leader="none" w:pos="1665" w:val="left"/>
        </w:tabs>
        <w:numPr>
          <w:ilvl w:val="1"/>
          <w:numId w:val="198"/>
        </w:numPr>
        <w:rPr>
          <w:rFonts w:ascii="Arial" w:cs="Arial" w:eastAsia="Arial" w:hAnsi="Arial"/>
          <w:sz w:val="20"/>
          <w:szCs w:val="20"/>
          <w:color w:val="auto"/>
        </w:rPr>
      </w:pPr>
      <w:r>
        <w:rPr>
          <w:rFonts w:ascii="Arial" w:cs="Arial" w:eastAsia="Arial" w:hAnsi="Arial"/>
          <w:sz w:val="20"/>
          <w:szCs w:val="20"/>
          <w:color w:val="auto"/>
        </w:rPr>
        <w:t xml:space="preserve">Liens existing on property at the time of its acquisition or existing on the property of any Person at the time such Person becomes a Restricted Subsidiary, in each case after the Restatement Effective Date (other than Liens on the Equity Interests of any Person that becomes a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Lien was not created in contemplation of or in connection with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hereunder that require or include, pursuant to their terms at such time, a pledge of after-acquired property, it being understood that such requirement shall not be permitted to apply to any property to which such requirement would not have applied but for such acquisition), and (C) if the obligations secured thereby constitute Indebtedness, such Indebtedness is permitted under Section 6.01(a)(v) or (vii);</w:t>
      </w:r>
    </w:p>
    <w:p>
      <w:pPr>
        <w:spacing w:after="0" w:line="135" w:lineRule="exact"/>
        <w:rPr>
          <w:rFonts w:ascii="Arial" w:cs="Arial" w:eastAsia="Arial" w:hAnsi="Arial"/>
          <w:sz w:val="20"/>
          <w:szCs w:val="20"/>
          <w:color w:val="auto"/>
        </w:rPr>
      </w:pPr>
    </w:p>
    <w:p>
      <w:pPr>
        <w:ind w:firstLine="1274"/>
        <w:spacing w:after="0" w:line="288" w:lineRule="auto"/>
        <w:tabs>
          <w:tab w:leader="none" w:pos="1732" w:val="left"/>
        </w:tabs>
        <w:numPr>
          <w:ilvl w:val="1"/>
          <w:numId w:val="198"/>
        </w:numPr>
        <w:rPr>
          <w:rFonts w:ascii="Arial" w:cs="Arial" w:eastAsia="Arial" w:hAnsi="Arial"/>
          <w:sz w:val="20"/>
          <w:szCs w:val="20"/>
          <w:color w:val="auto"/>
        </w:rPr>
      </w:pPr>
      <w:r>
        <w:rPr>
          <w:rFonts w:ascii="Arial" w:cs="Arial" w:eastAsia="Arial" w:hAnsi="Arial"/>
          <w:sz w:val="20"/>
          <w:szCs w:val="20"/>
          <w:color w:val="auto"/>
        </w:rPr>
        <w:t>any interest or title of a lessor under leases (other than leases constituting Capital Lease Obligations) entered into by Holdings or any Restricted Subsidiaries in the ordinary course of business;</w:t>
      </w:r>
    </w:p>
    <w:p>
      <w:pPr>
        <w:spacing w:after="0" w:line="109" w:lineRule="exact"/>
        <w:rPr>
          <w:rFonts w:ascii="Arial" w:cs="Arial" w:eastAsia="Arial" w:hAnsi="Arial"/>
          <w:sz w:val="20"/>
          <w:szCs w:val="20"/>
          <w:color w:val="auto"/>
        </w:rPr>
      </w:pPr>
    </w:p>
    <w:p>
      <w:pPr>
        <w:ind w:firstLine="1274"/>
        <w:spacing w:after="0" w:line="288" w:lineRule="auto"/>
        <w:tabs>
          <w:tab w:leader="none" w:pos="1761" w:val="left"/>
        </w:tabs>
        <w:numPr>
          <w:ilvl w:val="1"/>
          <w:numId w:val="198"/>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sale of goods by Holdings or any Restricted Subsidiaries in the ordinary course of business;</w:t>
      </w:r>
    </w:p>
    <w:p>
      <w:pPr>
        <w:spacing w:after="0" w:line="96" w:lineRule="exact"/>
        <w:rPr>
          <w:rFonts w:ascii="Arial" w:cs="Arial" w:eastAsia="Arial" w:hAnsi="Arial"/>
          <w:sz w:val="20"/>
          <w:szCs w:val="20"/>
          <w:color w:val="auto"/>
        </w:rPr>
      </w:pPr>
    </w:p>
    <w:p>
      <w:pPr>
        <w:ind w:left="1760" w:hanging="486"/>
        <w:spacing w:after="0"/>
        <w:tabs>
          <w:tab w:leader="none" w:pos="176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Liens deemed to exist in connection with Investments in repurchase agreements under clause</w:t>
      </w:r>
    </w:p>
    <w:p>
      <w:pPr>
        <w:spacing w:after="0" w:line="37" w:lineRule="exact"/>
        <w:rPr>
          <w:rFonts w:ascii="Arial" w:cs="Arial" w:eastAsia="Arial" w:hAnsi="Arial"/>
          <w:sz w:val="19"/>
          <w:szCs w:val="19"/>
          <w:color w:val="auto"/>
        </w:rPr>
      </w:pPr>
    </w:p>
    <w:p>
      <w:pPr>
        <w:ind w:left="300" w:hanging="296"/>
        <w:spacing w:after="0"/>
        <w:tabs>
          <w:tab w:leader="none" w:pos="30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of the definition of the term “Permitted Investments”;</w:t>
      </w:r>
    </w:p>
    <w:p>
      <w:pPr>
        <w:spacing w:after="0" w:line="150" w:lineRule="exact"/>
        <w:rPr>
          <w:rFonts w:ascii="Arial" w:cs="Arial" w:eastAsia="Arial" w:hAnsi="Arial"/>
          <w:sz w:val="21"/>
          <w:szCs w:val="21"/>
          <w:color w:val="auto"/>
        </w:rPr>
      </w:pPr>
    </w:p>
    <w:p>
      <w:pPr>
        <w:ind w:right="20" w:firstLine="1274"/>
        <w:spacing w:after="0" w:line="263" w:lineRule="auto"/>
        <w:tabs>
          <w:tab w:leader="none" w:pos="1676" w:val="left"/>
        </w:tabs>
        <w:numPr>
          <w:ilvl w:val="1"/>
          <w:numId w:val="199"/>
        </w:numPr>
        <w:rPr>
          <w:rFonts w:ascii="Arial" w:cs="Arial" w:eastAsia="Arial" w:hAnsi="Arial"/>
          <w:sz w:val="21"/>
          <w:szCs w:val="21"/>
          <w:color w:val="auto"/>
        </w:rPr>
      </w:pPr>
      <w:r>
        <w:rPr>
          <w:rFonts w:ascii="Arial" w:cs="Arial" w:eastAsia="Arial" w:hAnsi="Arial"/>
          <w:sz w:val="21"/>
          <w:szCs w:val="21"/>
          <w:color w:val="auto"/>
        </w:rPr>
        <w:t>Liens incurred in the ordinary course of business (A) encumbering reasonable customary initial deposits and margin deposits 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165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9780"/>
          </w:cols>
          <w:pgMar w:left="1380" w:top="356" w:right="739" w:bottom="1440" w:gutter="0" w:footer="0" w:header="0"/>
        </w:sectPr>
      </w:pPr>
    </w:p>
    <w:bookmarkStart w:id="302" w:name="page303"/>
    <w:bookmarkEnd w:id="302"/>
    <w:p>
      <w:pPr>
        <w:jc w:val="both"/>
        <w:spacing w:after="0" w:line="245" w:lineRule="auto"/>
        <w:rPr>
          <w:sz w:val="20"/>
          <w:szCs w:val="20"/>
          <w:color w:val="auto"/>
        </w:rPr>
      </w:pPr>
      <w:r>
        <w:rPr>
          <w:rFonts w:ascii="Arial" w:cs="Arial" w:eastAsia="Arial" w:hAnsi="Arial"/>
          <w:sz w:val="21"/>
          <w:szCs w:val="21"/>
          <w:color w:val="auto"/>
        </w:rPr>
        <w:t>similar Liens attaching to commodity trading accounts or other brokerage accounts, in each case not for speculative purposes or (B) in favor of clearing agencies, clearing firms, settlement banks and similar entities (acting in their capacities as such) involved in the clearance and settlement of transactions in, and custody of, financial assets;</w:t>
      </w:r>
    </w:p>
    <w:p>
      <w:pPr>
        <w:spacing w:after="0" w:line="138" w:lineRule="exact"/>
        <w:rPr>
          <w:sz w:val="20"/>
          <w:szCs w:val="20"/>
          <w:color w:val="auto"/>
        </w:rPr>
      </w:pPr>
    </w:p>
    <w:p>
      <w:pPr>
        <w:jc w:val="both"/>
        <w:ind w:firstLine="1274"/>
        <w:spacing w:after="0" w:line="258" w:lineRule="auto"/>
        <w:tabs>
          <w:tab w:leader="none" w:pos="1779" w:val="left"/>
        </w:tabs>
        <w:numPr>
          <w:ilvl w:val="0"/>
          <w:numId w:val="200"/>
        </w:numPr>
        <w:rPr>
          <w:rFonts w:ascii="Arial" w:cs="Arial" w:eastAsia="Arial" w:hAnsi="Arial"/>
          <w:sz w:val="20"/>
          <w:szCs w:val="20"/>
          <w:color w:val="auto"/>
        </w:rPr>
      </w:pPr>
      <w:r>
        <w:rPr>
          <w:rFonts w:ascii="Arial" w:cs="Arial" w:eastAsia="Arial" w:hAnsi="Arial"/>
          <w:sz w:val="20"/>
          <w:szCs w:val="20"/>
          <w:color w:val="auto"/>
        </w:rPr>
        <w:t>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of Holdings and its Restricted Subsidiaries or (C) relating to purchase orders and other agreements entered into with customers of the Holdings or any Restricted Subsidiary in the ordinary course of business;</w:t>
      </w:r>
    </w:p>
    <w:p>
      <w:pPr>
        <w:spacing w:after="0" w:line="139" w:lineRule="exact"/>
        <w:rPr>
          <w:rFonts w:ascii="Arial" w:cs="Arial" w:eastAsia="Arial" w:hAnsi="Arial"/>
          <w:sz w:val="20"/>
          <w:szCs w:val="20"/>
          <w:color w:val="auto"/>
        </w:rPr>
      </w:pPr>
    </w:p>
    <w:p>
      <w:pPr>
        <w:ind w:firstLine="1274"/>
        <w:spacing w:after="0" w:line="263" w:lineRule="auto"/>
        <w:tabs>
          <w:tab w:leader="none" w:pos="1806" w:val="left"/>
        </w:tabs>
        <w:numPr>
          <w:ilvl w:val="0"/>
          <w:numId w:val="200"/>
        </w:numPr>
        <w:rPr>
          <w:rFonts w:ascii="Arial" w:cs="Arial" w:eastAsia="Arial" w:hAnsi="Arial"/>
          <w:sz w:val="21"/>
          <w:szCs w:val="21"/>
          <w:color w:val="auto"/>
        </w:rPr>
      </w:pPr>
      <w:r>
        <w:rPr>
          <w:rFonts w:ascii="Arial" w:cs="Arial" w:eastAsia="Arial" w:hAnsi="Arial"/>
          <w:sz w:val="21"/>
          <w:szCs w:val="21"/>
          <w:color w:val="auto"/>
        </w:rPr>
        <w:t>ground leases in respect of real property on which facilities owned or leased by Holdings or any of the Restricted Subsidiaries are located;</w:t>
      </w:r>
    </w:p>
    <w:p>
      <w:pPr>
        <w:spacing w:after="0" w:line="118" w:lineRule="exact"/>
        <w:rPr>
          <w:rFonts w:ascii="Arial" w:cs="Arial" w:eastAsia="Arial" w:hAnsi="Arial"/>
          <w:sz w:val="21"/>
          <w:szCs w:val="21"/>
          <w:color w:val="auto"/>
        </w:rPr>
      </w:pPr>
    </w:p>
    <w:p>
      <w:pPr>
        <w:ind w:left="1860" w:hanging="586"/>
        <w:spacing w:after="0"/>
        <w:tabs>
          <w:tab w:leader="none" w:pos="186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the financing of the premiums</w:t>
      </w:r>
    </w:p>
    <w:p>
      <w:pPr>
        <w:spacing w:after="0" w:line="3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with respect thereto;</w:t>
      </w:r>
    </w:p>
    <w:p>
      <w:pPr>
        <w:spacing w:after="0" w:line="150" w:lineRule="exact"/>
        <w:rPr>
          <w:rFonts w:ascii="Arial" w:cs="Arial" w:eastAsia="Arial" w:hAnsi="Arial"/>
          <w:sz w:val="19"/>
          <w:szCs w:val="19"/>
          <w:color w:val="auto"/>
        </w:rPr>
      </w:pPr>
    </w:p>
    <w:p>
      <w:pPr>
        <w:jc w:val="both"/>
        <w:ind w:firstLine="1274"/>
        <w:spacing w:after="0" w:line="250" w:lineRule="auto"/>
        <w:tabs>
          <w:tab w:leader="none" w:pos="1755" w:val="left"/>
        </w:tabs>
        <w:numPr>
          <w:ilvl w:val="0"/>
          <w:numId w:val="200"/>
        </w:numPr>
        <w:rPr>
          <w:rFonts w:ascii="Arial" w:cs="Arial" w:eastAsia="Arial" w:hAnsi="Arial"/>
          <w:sz w:val="21"/>
          <w:szCs w:val="21"/>
          <w:color w:val="auto"/>
        </w:rPr>
      </w:pPr>
      <w:r>
        <w:rPr>
          <w:rFonts w:ascii="Arial" w:cs="Arial" w:eastAsia="Arial" w:hAnsi="Arial"/>
          <w:sz w:val="21"/>
          <w:szCs w:val="21"/>
          <w:color w:val="auto"/>
        </w:rPr>
        <w:t>Liens on the Collateral securing Permitted First Priority Refinancing Debt, Permitted Junior Lien Refinancing Debt, Additional Notes and Indebtedness incurred to finance a Permitted Acquisition to the extent permitted to be secured pursuant to Section 6.01(a)(viii);</w:t>
      </w:r>
    </w:p>
    <w:p>
      <w:pPr>
        <w:spacing w:after="0" w:line="144" w:lineRule="exact"/>
        <w:rPr>
          <w:rFonts w:ascii="Arial" w:cs="Arial" w:eastAsia="Arial" w:hAnsi="Arial"/>
          <w:sz w:val="21"/>
          <w:szCs w:val="21"/>
          <w:color w:val="auto"/>
        </w:rPr>
      </w:pPr>
    </w:p>
    <w:p>
      <w:pPr>
        <w:jc w:val="both"/>
        <w:ind w:firstLine="1274"/>
        <w:spacing w:after="0" w:line="252" w:lineRule="auto"/>
        <w:tabs>
          <w:tab w:leader="none" w:pos="1678"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Liens securing Trading Debt;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Liens securing Trading Debt shall be limited to the commodity, futures and other accounts (including deposit accounts and securities accounts) maintained by the relevant debtor with the financial institution providing such Trading Debt (or with any of its Affiliates or third parties acting as a securities, commodities, futures or other financial intermediary or performing a similar role on behalf of such financial institutions in connection with such Trading Debt) and all cash, securities, investment property (excluding any Equity Interests of the Borrower or its Subsidiaries), instruments, payment intangibles and other assets,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the relevant debtor are executed or cleared and all proceeds of any of the foregoing);</w:t>
      </w:r>
    </w:p>
    <w:p>
      <w:pPr>
        <w:spacing w:after="0" w:line="131" w:lineRule="exact"/>
        <w:rPr>
          <w:rFonts w:ascii="Arial" w:cs="Arial" w:eastAsia="Arial" w:hAnsi="Arial"/>
          <w:sz w:val="20"/>
          <w:szCs w:val="20"/>
          <w:color w:val="auto"/>
        </w:rPr>
      </w:pPr>
    </w:p>
    <w:p>
      <w:pPr>
        <w:jc w:val="both"/>
        <w:ind w:firstLine="1274"/>
        <w:spacing w:after="0" w:line="243" w:lineRule="auto"/>
        <w:tabs>
          <w:tab w:leader="none" w:pos="1747"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other Liens;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at the time of the granting of and after giving Pro Forma Effect to any such Lien and the obligations secured thereby (including the use of proceeds thereof) the aggregate face amount of obligations secured by Liens existing in reliance on this clause (xxi) shall not exceed the greater of $20,000,000 and 7.5% of Consolidated EBITDA for the most recently ended Test Period for which financial statements are available;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80"/>
          </w:cols>
          <w:pgMar w:left="1380" w:top="356" w:right="739" w:bottom="1440" w:gutter="0" w:footer="0" w:header="0"/>
        </w:sectPr>
      </w:pPr>
    </w:p>
    <w:bookmarkStart w:id="303" w:name="page304"/>
    <w:bookmarkEnd w:id="303"/>
    <w:p>
      <w:pPr>
        <w:jc w:val="both"/>
        <w:ind w:left="640" w:firstLine="1274"/>
        <w:spacing w:after="0" w:line="250" w:lineRule="auto"/>
        <w:tabs>
          <w:tab w:leader="none" w:pos="2458"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xml:space="preserve">Liens securing the Second Lien Notes outstanding on the Escrow Assumption Date or any Permitted Refinancing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Liens are junior to the Liens created under the Loan Documents pursuant to a Junior Lien Intercreditor Agreement.</w:t>
      </w:r>
    </w:p>
    <w:p>
      <w:pPr>
        <w:spacing w:after="0" w:line="132" w:lineRule="exact"/>
        <w:rPr>
          <w:sz w:val="20"/>
          <w:szCs w:val="20"/>
          <w:color w:val="auto"/>
        </w:rPr>
      </w:pPr>
    </w:p>
    <w:p>
      <w:pPr>
        <w:jc w:val="both"/>
        <w:ind w:firstLine="635"/>
        <w:spacing w:after="0" w:line="250" w:lineRule="auto"/>
        <w:rPr>
          <w:sz w:val="20"/>
          <w:szCs w:val="20"/>
          <w:color w:val="auto"/>
        </w:rPr>
      </w:pPr>
      <w:r>
        <w:rPr>
          <w:rFonts w:ascii="Arial" w:cs="Arial" w:eastAsia="Arial" w:hAnsi="Arial"/>
          <w:sz w:val="21"/>
          <w:szCs w:val="21"/>
          <w:color w:val="auto"/>
        </w:rPr>
        <w:t xml:space="preserve">Section 6.03. </w:t>
      </w:r>
      <w:r>
        <w:rPr>
          <w:rFonts w:ascii="Arial" w:cs="Arial" w:eastAsia="Arial" w:hAnsi="Arial"/>
          <w:sz w:val="21"/>
          <w:szCs w:val="21"/>
          <w:i w:val="1"/>
          <w:iCs w:val="1"/>
          <w:color w:val="auto"/>
        </w:rPr>
        <w:t>Fundamental Changes</w:t>
      </w:r>
      <w:r>
        <w:rPr>
          <w:rFonts w:ascii="Arial" w:cs="Arial" w:eastAsia="Arial" w:hAnsi="Arial"/>
          <w:sz w:val="21"/>
          <w:szCs w:val="21"/>
          <w:color w:val="auto"/>
        </w:rPr>
        <w:t>. (a) Neither Holdings nor the Borrower will, nor will they permit any other Restricted Subsidiary to, merge into or consolidate with any other Person, or permit any other Person to merge into or consolidate with it, or liquidate or dissolve, except that:</w:t>
      </w:r>
    </w:p>
    <w:p>
      <w:pPr>
        <w:spacing w:after="0" w:line="145" w:lineRule="exact"/>
        <w:rPr>
          <w:sz w:val="20"/>
          <w:szCs w:val="20"/>
          <w:color w:val="auto"/>
        </w:rPr>
      </w:pPr>
    </w:p>
    <w:p>
      <w:pPr>
        <w:jc w:val="both"/>
        <w:ind w:left="640" w:firstLine="1274"/>
        <w:spacing w:after="0" w:line="272" w:lineRule="auto"/>
        <w:tabs>
          <w:tab w:leader="none" w:pos="216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merge with (A)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Borrower shall be the continuing or surviving Person, or (B) in the case of any Restricted Subsidiary, any one or more other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when any Restricted Subsidiary Loan Party is merging with another Restricted Subsidiary (x) the continuing or surviving Person shall be a Subsidiary Loan Party or (y) if the continuing or surviving Person is not a Subsidiary Loan Party, the acquisition of such Subsidiary Loan Party by such surviving Restricted Subsidiary is otherwise permitted under Section 6.04;</w:t>
      </w:r>
    </w:p>
    <w:p>
      <w:pPr>
        <w:spacing w:after="0" w:line="114" w:lineRule="exact"/>
        <w:rPr>
          <w:rFonts w:ascii="Arial" w:cs="Arial" w:eastAsia="Arial" w:hAnsi="Arial"/>
          <w:sz w:val="19"/>
          <w:szCs w:val="19"/>
          <w:color w:val="auto"/>
        </w:rPr>
      </w:pPr>
    </w:p>
    <w:p>
      <w:pPr>
        <w:jc w:val="both"/>
        <w:ind w:left="640" w:firstLine="1274"/>
        <w:spacing w:after="0" w:line="261" w:lineRule="auto"/>
        <w:tabs>
          <w:tab w:leader="none" w:pos="2221"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 any Restricted Subsidiary that is not a Loan Party may merge or consolidate with or into any other Restricted Subsidiary that is not a Loan Party and (B) any Restricted Subsidiary may liquidate or dissolve or change its legal form if Holdings determines in good faith that such action is in the best interests of Holdings, the Borrower and its Restricted Subsidiaries and is not materially disadvantageous to the Lenders;</w:t>
      </w:r>
    </w:p>
    <w:p>
      <w:pPr>
        <w:spacing w:after="0" w:line="124" w:lineRule="exact"/>
        <w:rPr>
          <w:rFonts w:ascii="Arial" w:cs="Arial" w:eastAsia="Arial" w:hAnsi="Arial"/>
          <w:sz w:val="20"/>
          <w:szCs w:val="20"/>
          <w:color w:val="auto"/>
        </w:rPr>
      </w:pPr>
    </w:p>
    <w:p>
      <w:pPr>
        <w:jc w:val="both"/>
        <w:ind w:left="640" w:firstLine="1274"/>
        <w:spacing w:after="0" w:line="254" w:lineRule="auto"/>
        <w:tabs>
          <w:tab w:leader="none" w:pos="2313"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an Intermediate Parent or the Borrower) may make a Disposition of all or substantially all of its assets (upon voluntary liquidation or otherwise) to another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transferor in such a transaction is a Loan Party, then (A) the transferee must be a Loan Party, (B) to the extent constituting an Investment, such Investment must be a permitted Investment in a Restricted Subsidiary that is not a Loan Party in accordance with Section 6.04 or (C)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pacing w:after="0" w:line="142" w:lineRule="exact"/>
        <w:rPr>
          <w:rFonts w:ascii="Arial" w:cs="Arial" w:eastAsia="Arial" w:hAnsi="Arial"/>
          <w:sz w:val="20"/>
          <w:szCs w:val="20"/>
          <w:color w:val="auto"/>
        </w:rPr>
      </w:pPr>
    </w:p>
    <w:p>
      <w:pPr>
        <w:jc w:val="both"/>
        <w:ind w:left="640" w:firstLine="1274"/>
        <w:spacing w:after="0"/>
        <w:tabs>
          <w:tab w:leader="none" w:pos="2277"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the Borrower may merge or consolidate with any other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the Borrower shall be the continuing or surviving Person or (B) if the Person formed by or surviving any such merger or consolidation is not the Borrower (any such Person, the “</w:t>
      </w:r>
      <w:r>
        <w:rPr>
          <w:rFonts w:ascii="Arial" w:cs="Arial" w:eastAsia="Arial" w:hAnsi="Arial"/>
          <w:sz w:val="21"/>
          <w:szCs w:val="21"/>
          <w:b w:val="1"/>
          <w:bCs w:val="1"/>
          <w:color w:val="auto"/>
        </w:rPr>
        <w:t>Successor Borrower</w:t>
      </w:r>
      <w:r>
        <w:rPr>
          <w:rFonts w:ascii="Arial" w:cs="Arial" w:eastAsia="Arial" w:hAnsi="Arial"/>
          <w:sz w:val="21"/>
          <w:szCs w:val="21"/>
          <w:color w:val="auto"/>
        </w:rPr>
        <w:t>”), (w) the Successor Borrower shall be an entity organized or existing under the laws of the United States, any State thereof or the District of Columbia, (x) the Successor Borrower shall expressly assume all the obligations of the Borrower under this Agreement and the other Loan Documents to which the Borrower is a party pursuant to a supplement hereto or thereto in form and substance reasonably satisfactory to the Administrative Agent, (y) each Loan Party other than the Borrower, unless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04" w:name="page305"/>
    <w:bookmarkEnd w:id="304"/>
    <w:p>
      <w:pPr>
        <w:jc w:val="both"/>
        <w:spacing w:after="0" w:line="268" w:lineRule="auto"/>
        <w:rPr>
          <w:sz w:val="20"/>
          <w:szCs w:val="20"/>
          <w:color w:val="auto"/>
        </w:rPr>
      </w:pPr>
      <w:r>
        <w:rPr>
          <w:rFonts w:ascii="Arial" w:cs="Arial" w:eastAsia="Arial" w:hAnsi="Arial"/>
          <w:sz w:val="19"/>
          <w:szCs w:val="19"/>
          <w:color w:val="auto"/>
        </w:rPr>
        <w:t>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w:t>
      </w:r>
    </w:p>
    <w:p>
      <w:pPr>
        <w:jc w:val="both"/>
        <w:ind w:firstLine="4"/>
        <w:spacing w:after="0" w:line="261" w:lineRule="auto"/>
        <w:tabs>
          <w:tab w:leader="none" w:pos="31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the Borrower shall have delivered to the Administrative Agent a certificate of a Responsible Officer and an opinion of counsel, each stating that such merger or consolidation complies with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(1) if such Person is not a Loan Party, no Default exists after giving effect to such merger or consolidation and</w:t>
      </w:r>
    </w:p>
    <w:p>
      <w:pPr>
        <w:spacing w:after="0" w:line="1" w:lineRule="exact"/>
        <w:rPr>
          <w:rFonts w:ascii="Arial" w:cs="Arial" w:eastAsia="Arial" w:hAnsi="Arial"/>
          <w:sz w:val="19"/>
          <w:szCs w:val="19"/>
          <w:color w:val="auto"/>
        </w:rPr>
      </w:pPr>
    </w:p>
    <w:p>
      <w:pPr>
        <w:jc w:val="both"/>
        <w:spacing w:after="0" w:line="268" w:lineRule="auto"/>
        <w:rPr>
          <w:rFonts w:ascii="Arial" w:cs="Arial" w:eastAsia="Arial" w:hAnsi="Arial"/>
          <w:sz w:val="19"/>
          <w:szCs w:val="19"/>
          <w:color w:val="auto"/>
        </w:rPr>
      </w:pPr>
      <w:r>
        <w:rPr>
          <w:rFonts w:ascii="Arial" w:cs="Arial" w:eastAsia="Arial" w:hAnsi="Arial"/>
          <w:sz w:val="19"/>
          <w:szCs w:val="19"/>
          <w:color w:val="auto"/>
        </w:rPr>
        <w:t xml:space="preserve">(2) if the foregoing requirements are satisfied, the Successor Borrower will succeed to, and be substituted for, the Borrower under this Agreement and the other Loan Documents;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Borrower agrees to use commercially reasonable efforts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118" w:lineRule="exact"/>
        <w:rPr>
          <w:rFonts w:ascii="Arial" w:cs="Arial" w:eastAsia="Arial" w:hAnsi="Arial"/>
          <w:sz w:val="19"/>
          <w:szCs w:val="19"/>
          <w:color w:val="auto"/>
        </w:rPr>
      </w:pPr>
    </w:p>
    <w:p>
      <w:pPr>
        <w:jc w:val="both"/>
        <w:ind w:firstLine="1274"/>
        <w:spacing w:after="0" w:line="264" w:lineRule="auto"/>
        <w:tabs>
          <w:tab w:leader="none" w:pos="1573"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Holdings may merge or consolidate with any other Person, so long as no Event of Default exists after giving effect to such merger or consolidation;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Holdings shall be the continuing or surviving Person or (B) if the Person formed by or surviving any such merger or consolidation is not Holdings or is a Person into which Holdings has been liquidated (any such Person, the “</w:t>
      </w:r>
      <w:r>
        <w:rPr>
          <w:rFonts w:ascii="Arial" w:cs="Arial" w:eastAsia="Arial" w:hAnsi="Arial"/>
          <w:sz w:val="19"/>
          <w:szCs w:val="19"/>
          <w:b w:val="1"/>
          <w:bCs w:val="1"/>
          <w:color w:val="auto"/>
        </w:rPr>
        <w:t>Successor Holdings</w:t>
      </w:r>
      <w:r>
        <w:rPr>
          <w:rFonts w:ascii="Arial" w:cs="Arial" w:eastAsia="Arial" w:hAnsi="Arial"/>
          <w:sz w:val="19"/>
          <w:szCs w:val="19"/>
          <w:color w:val="auto"/>
        </w:rPr>
        <w:t xml:space="preserve">”), (w) the Successor Holdings shall expressly assume all the obligations of Holdings under this Agreement and the other Loan Documents to which Holdings is a party pursuant to a supplement hereto or thereto in form and substance reasonably satisfactory to the Administrative Agent, (x) each Loan Party other than Holdings,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Agreement, (y) the Successor Holdings shall, immediately following such merger or consolidation, directly or indirectly own all Subsidiaries owned by Holdings immediately prior to such merger and (z) Holdings shall have delivered to the Administrative Agent a certificate of a Responsible Officer and an opinion of counsel, each stating that such merger or consolidation complies with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the foregoing requirements are satisfied, the Successor Holdings will succeed to, and be substituted for, Holdings under this Agreement and the other Loan Documents;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Borrower agrees to use commercially reasonable efforts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without limitation the USA Patriot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165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9780"/>
          </w:cols>
          <w:pgMar w:left="1380" w:top="356" w:right="739" w:bottom="1440" w:gutter="0" w:footer="0" w:header="0"/>
        </w:sectPr>
      </w:pPr>
    </w:p>
    <w:bookmarkStart w:id="305" w:name="page306"/>
    <w:bookmarkEnd w:id="305"/>
    <w:p>
      <w:pPr>
        <w:jc w:val="both"/>
        <w:ind w:left="620" w:firstLine="1274"/>
        <w:spacing w:after="0" w:line="258" w:lineRule="auto"/>
        <w:tabs>
          <w:tab w:leader="none" w:pos="2279" w:val="left"/>
        </w:tabs>
        <w:numPr>
          <w:ilvl w:val="1"/>
          <w:numId w:val="204"/>
        </w:numPr>
        <w:rPr>
          <w:rFonts w:ascii="Arial" w:cs="Arial" w:eastAsia="Arial" w:hAnsi="Arial"/>
          <w:sz w:val="20"/>
          <w:szCs w:val="20"/>
          <w:color w:val="auto"/>
        </w:rPr>
      </w:pPr>
      <w:r>
        <w:rPr>
          <w:rFonts w:ascii="Arial" w:cs="Arial" w:eastAsia="Arial" w:hAnsi="Arial"/>
          <w:sz w:val="20"/>
          <w:szCs w:val="20"/>
          <w:color w:val="auto"/>
        </w:rPr>
        <w:t xml:space="preserve">any Restricted Subsidiary (other than the Borrower) may merge, consolidate or amalgamate with any other Person in order to effect an Investment permitted pursuant to Section 6.04;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continuing or surviving Person shall be a Restricted Subsidiary, which together with each of its Restricted Subsidiaries, shall have complied with the requirements of Sections 5.11 and 5.12 and if the other party to such transaction is not a Loan Party, no Default exists after giving effect to such transaction; and</w:t>
      </w:r>
    </w:p>
    <w:p>
      <w:pPr>
        <w:spacing w:after="0" w:line="126" w:lineRule="exact"/>
        <w:rPr>
          <w:rFonts w:ascii="Arial" w:cs="Arial" w:eastAsia="Arial" w:hAnsi="Arial"/>
          <w:sz w:val="20"/>
          <w:szCs w:val="20"/>
          <w:color w:val="auto"/>
        </w:rPr>
      </w:pPr>
    </w:p>
    <w:p>
      <w:pPr>
        <w:jc w:val="both"/>
        <w:ind w:left="620" w:firstLine="1274"/>
        <w:spacing w:after="0" w:line="289" w:lineRule="auto"/>
        <w:tabs>
          <w:tab w:leader="none" w:pos="2379" w:val="left"/>
        </w:tabs>
        <w:numPr>
          <w:ilvl w:val="1"/>
          <w:numId w:val="204"/>
        </w:numPr>
        <w:rPr>
          <w:rFonts w:ascii="Arial" w:cs="Arial" w:eastAsia="Arial" w:hAnsi="Arial"/>
          <w:sz w:val="19"/>
          <w:szCs w:val="19"/>
          <w:color w:val="auto"/>
        </w:rPr>
      </w:pPr>
      <w:r>
        <w:rPr>
          <w:rFonts w:ascii="Arial" w:cs="Arial" w:eastAsia="Arial" w:hAnsi="Arial"/>
          <w:sz w:val="19"/>
          <w:szCs w:val="19"/>
          <w:color w:val="auto"/>
        </w:rPr>
        <w:t xml:space="preserve">any Restricted Subsidiary (other than the Borrower) may effect a merger, dissolution, liquidation, consolidation or amalgamation to effect a Disposition permitted pursuant to Section 6.05;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other party to such transaction is not a Loan Party, no Default exists after giving effect to the transaction.</w:t>
      </w:r>
    </w:p>
    <w:p>
      <w:pPr>
        <w:spacing w:after="0" w:line="110" w:lineRule="exact"/>
        <w:rPr>
          <w:rFonts w:ascii="Arial" w:cs="Arial" w:eastAsia="Arial" w:hAnsi="Arial"/>
          <w:sz w:val="19"/>
          <w:szCs w:val="19"/>
          <w:color w:val="auto"/>
        </w:rPr>
      </w:pPr>
    </w:p>
    <w:p>
      <w:pPr>
        <w:jc w:val="both"/>
        <w:ind w:left="-20" w:firstLine="644"/>
        <w:spacing w:after="0" w:line="245" w:lineRule="auto"/>
        <w:tabs>
          <w:tab w:leader="none" w:pos="917"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Borrower will not, and Holdings and the Borrower will not permit any Restricted Subsidiary to, engage to any material extent in any business other than businesses of the type conducted by the Borrower and the Restricted Subsidiaries (and KCG and its subsidiaries) on the Restatement Effective Date and businesses reasonably related or ancillary thereto.</w:t>
      </w:r>
    </w:p>
    <w:p>
      <w:pPr>
        <w:spacing w:after="0" w:line="138" w:lineRule="exact"/>
        <w:rPr>
          <w:rFonts w:ascii="Arial" w:cs="Arial" w:eastAsia="Arial" w:hAnsi="Arial"/>
          <w:sz w:val="21"/>
          <w:szCs w:val="21"/>
          <w:color w:val="auto"/>
        </w:rPr>
      </w:pPr>
    </w:p>
    <w:p>
      <w:pPr>
        <w:jc w:val="both"/>
        <w:ind w:left="-20" w:firstLine="644"/>
        <w:spacing w:after="0" w:line="265" w:lineRule="auto"/>
        <w:tabs>
          <w:tab w:leader="none" w:pos="949" w:val="left"/>
        </w:tabs>
        <w:numPr>
          <w:ilvl w:val="0"/>
          <w:numId w:val="205"/>
        </w:numPr>
        <w:rPr>
          <w:rFonts w:ascii="Arial" w:cs="Arial" w:eastAsia="Arial" w:hAnsi="Arial"/>
          <w:sz w:val="19"/>
          <w:szCs w:val="19"/>
          <w:color w:val="auto"/>
        </w:rPr>
      </w:pPr>
      <w:r>
        <w:rPr>
          <w:rFonts w:ascii="Arial" w:cs="Arial" w:eastAsia="Arial" w:hAnsi="Arial"/>
          <w:sz w:val="19"/>
          <w:szCs w:val="19"/>
          <w:color w:val="auto"/>
        </w:rPr>
        <w:t>Holdings and any Intermediate Parent will not conduct, transact or otherwise engage in any business or operations other than (i) the ownership and/or acquisition of the Equity Interests of the Borrower and any Intermediate Parent, (ii) the maintenance of its legal existence, including the ability to incur fees, costs and expenses relating to such maintenance, (iii) participating in tax, accounting and other administrative matters, (iv) the performance of its obligations under and in connection with the Loan Documents, any documentation governing any Indebtedness or Guarantee permitted to be incurred or made by it under Article 6, the Holdings LLC Agreement, and the other agreements contemplated hereby, (v) any public offering of its common stock or any other issuance or registration of its Equity Interests for sale or resale not prohibited by this Agreement, including the costs, fees and expenses related thereto, (vi) any transaction that Holdings or any Intermediate Parent is permitted to enter into or consummate under Article 6 (including, but not limited to, the making of any Restricted Payment permitted by Section 6.08 or holding of any cash or Permitted Investments received in connection with Restricted Payments made in accordance with Section 6.08 pending application thereof in the manner contemplated by Section 6.04, the incurrence of any Indebtedness permitted to be incurred by it under Section 6.01 and the making of any Investment permitted to be made by it under Section 6.04), (vii) incurring fees, costs and expenses relating to overhead and general operating including professional fees for legal, tax and accounting issues and paying taxes, (viii) providing indemnification to officers and directors and as otherwise permitted in Section 6.09, (ix) activities incidental to the consummation of the Transactions and (x) activities incidental to the businesses or activities described in clauses (i) to (ix) of this paragraph.</w:t>
      </w:r>
    </w:p>
    <w:p>
      <w:pPr>
        <w:spacing w:after="0" w:line="118" w:lineRule="exact"/>
        <w:rPr>
          <w:rFonts w:ascii="Arial" w:cs="Arial" w:eastAsia="Arial" w:hAnsi="Arial"/>
          <w:sz w:val="19"/>
          <w:szCs w:val="19"/>
          <w:color w:val="auto"/>
        </w:rPr>
      </w:pPr>
    </w:p>
    <w:p>
      <w:pPr>
        <w:jc w:val="both"/>
        <w:ind w:left="-20" w:firstLine="644"/>
        <w:spacing w:after="0" w:line="245" w:lineRule="auto"/>
        <w:tabs>
          <w:tab w:leader="none" w:pos="915" w:val="left"/>
        </w:tabs>
        <w:numPr>
          <w:ilvl w:val="0"/>
          <w:numId w:val="205"/>
        </w:numPr>
        <w:rPr>
          <w:rFonts w:ascii="Arial" w:cs="Arial" w:eastAsia="Arial" w:hAnsi="Arial"/>
          <w:sz w:val="21"/>
          <w:szCs w:val="21"/>
          <w:color w:val="auto"/>
        </w:rPr>
      </w:pPr>
      <w:r>
        <w:rPr>
          <w:rFonts w:ascii="Arial" w:cs="Arial" w:eastAsia="Arial" w:hAnsi="Arial"/>
          <w:sz w:val="21"/>
          <w:szCs w:val="21"/>
          <w:color w:val="auto"/>
        </w:rPr>
        <w:t>Holdings and any Intermediate Parent will not own or acquire any assets (other than Equity Interests as referred to in paragraph (c)(i) above, cash, Permitted Investments, loans and advances made by Holdings or any Intermediate Parent under Section 6.04(b) and intercompany Investments permitted to be made by it under Section 6.04) or incur any liabilities (other than liabilities as referred to in paragraph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6610985" cy="165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8">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00"/>
          </w:cols>
          <w:pgMar w:left="760" w:top="356" w:right="739" w:bottom="1440" w:gutter="0" w:footer="0" w:header="0"/>
        </w:sectPr>
      </w:pPr>
    </w:p>
    <w:bookmarkStart w:id="306" w:name="page307"/>
    <w:bookmarkEnd w:id="306"/>
    <w:p>
      <w:pPr>
        <w:spacing w:after="0" w:line="263" w:lineRule="auto"/>
        <w:rPr>
          <w:sz w:val="20"/>
          <w:szCs w:val="20"/>
          <w:color w:val="auto"/>
        </w:rPr>
      </w:pPr>
      <w:r>
        <w:rPr>
          <w:rFonts w:ascii="Arial" w:cs="Arial" w:eastAsia="Arial" w:hAnsi="Arial"/>
          <w:sz w:val="21"/>
          <w:szCs w:val="21"/>
          <w:color w:val="auto"/>
        </w:rPr>
        <w:t>liabilities imposed by law, including tax liabilities, and other liabilities incidental to its existence and business and activities permitted by this Agreement).</w:t>
      </w:r>
    </w:p>
    <w:p>
      <w:pPr>
        <w:spacing w:after="0" w:line="119" w:lineRule="exact"/>
        <w:rPr>
          <w:sz w:val="20"/>
          <w:szCs w:val="20"/>
          <w:color w:val="auto"/>
        </w:rPr>
      </w:pPr>
    </w:p>
    <w:p>
      <w:pPr>
        <w:ind w:right="20" w:firstLine="644"/>
        <w:spacing w:after="0" w:line="263" w:lineRule="auto"/>
        <w:tabs>
          <w:tab w:leader="none" w:pos="959"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the Transactions (including the Merger and Contribution) shall be permitted.</w:t>
      </w:r>
    </w:p>
    <w:p>
      <w:pPr>
        <w:spacing w:after="0" w:line="132" w:lineRule="exact"/>
        <w:rPr>
          <w:sz w:val="20"/>
          <w:szCs w:val="20"/>
          <w:color w:val="auto"/>
        </w:rPr>
      </w:pPr>
    </w:p>
    <w:p>
      <w:pPr>
        <w:ind w:firstLine="635"/>
        <w:spacing w:after="0" w:line="288" w:lineRule="auto"/>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Investments, Loans, Advances, Guarantees and Acquisitions.</w:t>
      </w:r>
      <w:r>
        <w:rPr>
          <w:rFonts w:ascii="Arial" w:cs="Arial" w:eastAsia="Arial" w:hAnsi="Arial"/>
          <w:sz w:val="20"/>
          <w:szCs w:val="20"/>
          <w:color w:val="auto"/>
        </w:rPr>
        <w:t xml:space="preserve"> Neither Holdings nor the Borrower will, nor will they permit any Restricted Subsidiary or Intermediate Parent to, make or hold any Investment, except:</w:t>
      </w:r>
    </w:p>
    <w:p>
      <w:pPr>
        <w:spacing w:after="0" w:line="96" w:lineRule="exact"/>
        <w:rPr>
          <w:sz w:val="20"/>
          <w:szCs w:val="20"/>
          <w:color w:val="auto"/>
        </w:rPr>
      </w:pPr>
    </w:p>
    <w:p>
      <w:pPr>
        <w:ind w:left="940" w:hanging="296"/>
        <w:spacing w:after="0"/>
        <w:tabs>
          <w:tab w:leader="none" w:pos="940" w:val="left"/>
        </w:tabs>
        <w:numPr>
          <w:ilvl w:val="1"/>
          <w:numId w:val="207"/>
        </w:numPr>
        <w:rPr>
          <w:rFonts w:ascii="Arial" w:cs="Arial" w:eastAsia="Arial" w:hAnsi="Arial"/>
          <w:sz w:val="21"/>
          <w:szCs w:val="21"/>
          <w:color w:val="auto"/>
        </w:rPr>
      </w:pPr>
      <w:r>
        <w:rPr>
          <w:rFonts w:ascii="Arial" w:cs="Arial" w:eastAsia="Arial" w:hAnsi="Arial"/>
          <w:sz w:val="21"/>
          <w:szCs w:val="21"/>
          <w:color w:val="auto"/>
        </w:rPr>
        <w:t>Permitted Investments;</w:t>
      </w:r>
    </w:p>
    <w:p>
      <w:pPr>
        <w:spacing w:after="0" w:line="168" w:lineRule="exact"/>
        <w:rPr>
          <w:rFonts w:ascii="Arial" w:cs="Arial" w:eastAsia="Arial" w:hAnsi="Arial"/>
          <w:sz w:val="21"/>
          <w:szCs w:val="21"/>
          <w:color w:val="auto"/>
        </w:rPr>
      </w:pPr>
    </w:p>
    <w:p>
      <w:pPr>
        <w:jc w:val="both"/>
        <w:ind w:firstLine="644"/>
        <w:spacing w:after="0" w:line="241" w:lineRule="auto"/>
        <w:tabs>
          <w:tab w:leader="none" w:pos="1007" w:val="left"/>
        </w:tabs>
        <w:numPr>
          <w:ilvl w:val="1"/>
          <w:numId w:val="207"/>
        </w:numPr>
        <w:rPr>
          <w:rFonts w:ascii="Arial" w:cs="Arial" w:eastAsia="Arial" w:hAnsi="Arial"/>
          <w:sz w:val="21"/>
          <w:szCs w:val="21"/>
          <w:color w:val="auto"/>
        </w:rPr>
      </w:pPr>
      <w:r>
        <w:rPr>
          <w:rFonts w:ascii="Arial" w:cs="Arial" w:eastAsia="Arial" w:hAnsi="Arial"/>
          <w:sz w:val="21"/>
          <w:szCs w:val="21"/>
          <w:color w:val="auto"/>
        </w:rPr>
        <w:t>loans or advances to officers, directors and employees of Holdings, the Borrower and its Restricted Subsidiaries (i) for reasonable and customary business-related travel, entertainment, relocation and analogous ordinary business purposes, (ii) in connection with such Person’s purchase of Equity Interests of Holdings (or any direct or indirect parent thereof or any Employee Holding Vehicle)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amount of such loans and advances made in cash to such Person shall be contributed to the Borrower in cash as common equity or Qualified Equity Interests) and (iii) for purposes not described in the foregoing clauses (i) and (ii), in an aggregate principal amount outstanding at any time not to exceed $5,000,000;</w:t>
      </w:r>
    </w:p>
    <w:p>
      <w:pPr>
        <w:spacing w:after="0" w:line="154" w:lineRule="exact"/>
        <w:rPr>
          <w:rFonts w:ascii="Arial" w:cs="Arial" w:eastAsia="Arial" w:hAnsi="Arial"/>
          <w:sz w:val="21"/>
          <w:szCs w:val="21"/>
          <w:color w:val="auto"/>
        </w:rPr>
      </w:pPr>
    </w:p>
    <w:p>
      <w:pPr>
        <w:jc w:val="both"/>
        <w:ind w:firstLine="644"/>
        <w:spacing w:after="0" w:line="268" w:lineRule="auto"/>
        <w:tabs>
          <w:tab w:leader="none" w:pos="931" w:val="left"/>
        </w:tabs>
        <w:numPr>
          <w:ilvl w:val="1"/>
          <w:numId w:val="207"/>
        </w:numPr>
        <w:rPr>
          <w:rFonts w:ascii="Arial" w:cs="Arial" w:eastAsia="Arial" w:hAnsi="Arial"/>
          <w:sz w:val="19"/>
          <w:szCs w:val="19"/>
          <w:color w:val="auto"/>
        </w:rPr>
      </w:pPr>
      <w:r>
        <w:rPr>
          <w:rFonts w:ascii="Arial" w:cs="Arial" w:eastAsia="Arial" w:hAnsi="Arial"/>
          <w:sz w:val="19"/>
          <w:szCs w:val="19"/>
          <w:color w:val="auto"/>
        </w:rPr>
        <w:t>Investments (i) by Holdings, the Borrower or any Restricted Subsidiary in any Loan Party (excluding any new Restricted Subsidiary that becomes a Loan Party pursuant to such Investment), (ii) by any Restricted Subsidiary that is not a Loan Party in any other Restricted Subsidiary that is also not a Loan Party, (iii) by Holdings or any Restricted Subsidiary</w:t>
      </w:r>
    </w:p>
    <w:p>
      <w:pPr>
        <w:jc w:val="both"/>
        <w:ind w:firstLine="9"/>
        <w:spacing w:after="0" w:line="263" w:lineRule="auto"/>
        <w:tabs>
          <w:tab w:leader="none" w:pos="355" w:val="left"/>
        </w:tabs>
        <w:numPr>
          <w:ilvl w:val="0"/>
          <w:numId w:val="208"/>
        </w:numPr>
        <w:rPr>
          <w:rFonts w:ascii="Arial" w:cs="Arial" w:eastAsia="Arial" w:hAnsi="Arial"/>
          <w:sz w:val="19"/>
          <w:szCs w:val="19"/>
          <w:color w:val="auto"/>
        </w:rPr>
      </w:pPr>
      <w:r>
        <w:rPr>
          <w:rFonts w:ascii="Arial" w:cs="Arial" w:eastAsia="Arial" w:hAnsi="Arial"/>
          <w:sz w:val="19"/>
          <w:szCs w:val="19"/>
          <w:color w:val="auto"/>
        </w:rPr>
        <w:t xml:space="preserve">in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such Investments made by Loan Parties after the Restatement Effective Date in Restricted Subsidiaries that are not Loan Parties in reliance on this clause (iii)(A) (including any such Investments deemed to be made pursuant to Section 6.14) (together with the amount of Investments made in Restricted Subsidiaries (other than Regulated Subsidiaries) that are not Loan Parties pursuant to Section 6.04(h) and the amount of Investments and acquisitions made pursuant to Section 6.04(m), in each case, after the Restatement Effective Date) shall not exceed the Non-Loan Party Investment Amount at the time of any such Investment, (B) in any Regulated Subsidiary in the form of short-term intercompany advances and Indebtedness, in each case made in the ordinary course of business to provide for working capital and other operational requirements of such Regulated Subsidiary, (C) in any Restricted Subsidiary that is not a Loan Party, constituting an exchange of Equity Interests of such Restricted Subsidiary for Indebtedness of such Subsidiary, (D) constituting Guarantees of Indebtedness or other monetary obligations of Restricted Subsidiaries that are not Loan Parties owing to any Loan Party or (E) constituting unsecured Guarantees of Trading Debt to the extent such Guarantees are permitted under Section 6.01(a)(iii), (1) by Holdings, any Intermediate Parent, the Borrower or any Restricted Subsidiary in Restricted Subsidiaries that are not Loan Parties so long as such Investment is part of a series of simultaneous transactions that result in the proceeds of the initial transaction being invested in one or more Loan Parties or, if the proceeds were initially held by a non-Loan Party, in a Restricted Subsidiary that is not a Loan Party and (iv) by Holdings, the Borrower or any Restricted Subsidiary in any Restricted Subsidiary that is not a Loan Party, consisting of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07" w:name="page308"/>
    <w:bookmarkEnd w:id="307"/>
    <w:p>
      <w:pPr>
        <w:spacing w:after="0" w:line="263" w:lineRule="auto"/>
        <w:rPr>
          <w:sz w:val="20"/>
          <w:szCs w:val="20"/>
          <w:color w:val="auto"/>
        </w:rPr>
      </w:pPr>
      <w:r>
        <w:rPr>
          <w:rFonts w:ascii="Arial" w:cs="Arial" w:eastAsia="Arial" w:hAnsi="Arial"/>
          <w:sz w:val="21"/>
          <w:szCs w:val="21"/>
          <w:color w:val="auto"/>
        </w:rPr>
        <w:t>contribution of Equity Interests of any other Restricted Subsidiary that is not a Loan Party so long as the Equity Interests of the transferee Restricted Subsidiary is pledged to secure the Secured Obligations;</w:t>
      </w:r>
    </w:p>
    <w:p>
      <w:pPr>
        <w:spacing w:after="0" w:line="119" w:lineRule="exact"/>
        <w:rPr>
          <w:sz w:val="20"/>
          <w:szCs w:val="20"/>
          <w:color w:val="auto"/>
        </w:rPr>
      </w:pPr>
    </w:p>
    <w:p>
      <w:pPr>
        <w:ind w:left="940" w:hanging="296"/>
        <w:spacing w:after="0"/>
        <w:tabs>
          <w:tab w:leader="none" w:pos="94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Investments consisting of extensions of trade credit in the ordinary course of business;</w:t>
      </w:r>
    </w:p>
    <w:p>
      <w:pPr>
        <w:spacing w:after="0" w:line="181" w:lineRule="exact"/>
        <w:rPr>
          <w:rFonts w:ascii="Arial" w:cs="Arial" w:eastAsia="Arial" w:hAnsi="Arial"/>
          <w:sz w:val="21"/>
          <w:szCs w:val="21"/>
          <w:color w:val="auto"/>
        </w:rPr>
      </w:pPr>
    </w:p>
    <w:p>
      <w:pPr>
        <w:jc w:val="both"/>
        <w:ind w:firstLine="644"/>
        <w:spacing w:after="0" w:line="242" w:lineRule="auto"/>
        <w:tabs>
          <w:tab w:leader="none" w:pos="938" w:val="left"/>
        </w:tabs>
        <w:numPr>
          <w:ilvl w:val="0"/>
          <w:numId w:val="209"/>
        </w:numPr>
        <w:rPr>
          <w:rFonts w:ascii="Arial" w:cs="Arial" w:eastAsia="Arial" w:hAnsi="Arial"/>
          <w:sz w:val="21"/>
          <w:szCs w:val="21"/>
          <w:color w:val="auto"/>
        </w:rPr>
      </w:pPr>
      <w:r>
        <w:rPr>
          <w:rFonts w:ascii="Arial" w:cs="Arial" w:eastAsia="Arial" w:hAnsi="Arial"/>
          <w:sz w:val="21"/>
          <w:szCs w:val="21"/>
          <w:color w:val="auto"/>
        </w:rPr>
        <w:t xml:space="preserve">Investments (i) existing or contemplated on the Restatement Effective Date and set forth on Schedule 6.04(e) and any modification, replacement, renewal, reinvestment or extension thereof and (ii) existing on the Restatement Effective Date by Holdings, the Borrower or any Restricted Subsidiary in the Borrower or any Restricted Subsidiary and any modification, renewal or extension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each case the amount of the original Investment is not increased except by the terms of such Investment to the extent as set forth on Schedule 6.04(e) or as otherwise permitted by this Section 6.04;</w:t>
      </w:r>
    </w:p>
    <w:p>
      <w:pPr>
        <w:spacing w:after="0" w:line="139" w:lineRule="exact"/>
        <w:rPr>
          <w:rFonts w:ascii="Arial" w:cs="Arial" w:eastAsia="Arial" w:hAnsi="Arial"/>
          <w:sz w:val="21"/>
          <w:szCs w:val="21"/>
          <w:color w:val="auto"/>
        </w:rPr>
      </w:pPr>
    </w:p>
    <w:p>
      <w:pPr>
        <w:ind w:left="900" w:hanging="256"/>
        <w:spacing w:after="0"/>
        <w:tabs>
          <w:tab w:leader="none" w:pos="90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Investments in Swap Agreements permitted under Section 6.07;</w:t>
      </w:r>
    </w:p>
    <w:p>
      <w:pPr>
        <w:spacing w:after="0" w:line="168" w:lineRule="exact"/>
        <w:rPr>
          <w:rFonts w:ascii="Arial" w:cs="Arial" w:eastAsia="Arial" w:hAnsi="Arial"/>
          <w:sz w:val="21"/>
          <w:szCs w:val="21"/>
          <w:color w:val="auto"/>
        </w:rPr>
      </w:pPr>
    </w:p>
    <w:p>
      <w:pPr>
        <w:ind w:right="20" w:firstLine="644"/>
        <w:spacing w:after="0" w:line="263" w:lineRule="auto"/>
        <w:tabs>
          <w:tab w:leader="none" w:pos="974" w:val="left"/>
        </w:tabs>
        <w:numPr>
          <w:ilvl w:val="0"/>
          <w:numId w:val="209"/>
        </w:numPr>
        <w:rPr>
          <w:rFonts w:ascii="Arial" w:cs="Arial" w:eastAsia="Arial" w:hAnsi="Arial"/>
          <w:sz w:val="21"/>
          <w:szCs w:val="21"/>
          <w:color w:val="auto"/>
        </w:rPr>
      </w:pPr>
      <w:r>
        <w:rPr>
          <w:rFonts w:ascii="Arial" w:cs="Arial" w:eastAsia="Arial" w:hAnsi="Arial"/>
          <w:sz w:val="21"/>
          <w:szCs w:val="21"/>
          <w:color w:val="auto"/>
        </w:rPr>
        <w:t>promissory notes and other non-cash consideration received in connection with Dispositions permitted by Section 6.05;</w:t>
      </w:r>
    </w:p>
    <w:p>
      <w:pPr>
        <w:spacing w:after="0" w:line="132" w:lineRule="exact"/>
        <w:rPr>
          <w:rFonts w:ascii="Arial" w:cs="Arial" w:eastAsia="Arial" w:hAnsi="Arial"/>
          <w:sz w:val="21"/>
          <w:szCs w:val="21"/>
          <w:color w:val="auto"/>
        </w:rPr>
      </w:pPr>
    </w:p>
    <w:p>
      <w:pPr>
        <w:jc w:val="both"/>
        <w:ind w:firstLine="644"/>
        <w:spacing w:after="0" w:line="268" w:lineRule="auto"/>
        <w:tabs>
          <w:tab w:leader="none" w:pos="935"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Permitted Acquisitions;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consideration paid or provided by Holdings, any Intermediate Parent, the Borrower or any other Loan Party (including any Indebtedness incurred by any such Person to finance any portion of such consideration) after the Restatement Effective Date in reliance on this Section 6.04(h) (together with any Investments made in Subsidiaries that are not Loan Parties pursuant to Section 6.04(c)(iii)(A), Investments deemed to be made pursuant to Section 6.14 and the amount of Investments and acquisitions made pursuant to Section 6.04(m), in each case, after the Restatement Effective Date) for Permitted Acquisitions (including the aggregate principal amount of all Indebtedness assumed in connection with Permitted Acquisitions) of any Restricted Subsidiary (other than a Regulated Subsidiary) that shall not be or, after giving effect to such Permitted Acquisition, shall not become, a Loan Party, shall not exceed the Non-Loan Party Investment Amount at such time;</w:t>
      </w:r>
    </w:p>
    <w:p>
      <w:pPr>
        <w:spacing w:after="0" w:line="119" w:lineRule="exact"/>
        <w:rPr>
          <w:rFonts w:ascii="Arial" w:cs="Arial" w:eastAsia="Arial" w:hAnsi="Arial"/>
          <w:sz w:val="19"/>
          <w:szCs w:val="19"/>
          <w:color w:val="auto"/>
        </w:rPr>
      </w:pPr>
    </w:p>
    <w:p>
      <w:pPr>
        <w:jc w:val="both"/>
        <w:ind w:firstLine="644"/>
        <w:spacing w:after="0" w:line="250" w:lineRule="auto"/>
        <w:tabs>
          <w:tab w:leader="none" w:pos="899" w:val="left"/>
        </w:tabs>
        <w:numPr>
          <w:ilvl w:val="0"/>
          <w:numId w:val="209"/>
        </w:numPr>
        <w:rPr>
          <w:rFonts w:ascii="Arial" w:cs="Arial" w:eastAsia="Arial" w:hAnsi="Arial"/>
          <w:sz w:val="21"/>
          <w:szCs w:val="21"/>
          <w:color w:val="auto"/>
        </w:rPr>
      </w:pPr>
      <w:r>
        <w:rPr>
          <w:rFonts w:ascii="Arial" w:cs="Arial" w:eastAsia="Arial" w:hAnsi="Arial"/>
          <w:sz w:val="21"/>
          <w:szCs w:val="21"/>
          <w:color w:val="auto"/>
        </w:rPr>
        <w:t>prior to the Escrow Assumption Date, Investments in the Escrow Borrower to fund interest and other amounts owing or required to be pre-funded with respect to the Escrow Term Loans and, to the extent applicable, interest and other amounts owing or required to be pre-funded in respect of the Second Lien Notes;</w:t>
      </w:r>
    </w:p>
    <w:p>
      <w:pPr>
        <w:spacing w:after="0" w:line="131" w:lineRule="exact"/>
        <w:rPr>
          <w:rFonts w:ascii="Arial" w:cs="Arial" w:eastAsia="Arial" w:hAnsi="Arial"/>
          <w:sz w:val="21"/>
          <w:szCs w:val="21"/>
          <w:color w:val="auto"/>
        </w:rPr>
      </w:pPr>
    </w:p>
    <w:p>
      <w:pPr>
        <w:jc w:val="both"/>
        <w:ind w:firstLine="644"/>
        <w:spacing w:after="0" w:line="250" w:lineRule="auto"/>
        <w:tabs>
          <w:tab w:leader="none" w:pos="891"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44" w:lineRule="exact"/>
        <w:rPr>
          <w:rFonts w:ascii="Arial" w:cs="Arial" w:eastAsia="Arial" w:hAnsi="Arial"/>
          <w:sz w:val="21"/>
          <w:szCs w:val="21"/>
          <w:color w:val="auto"/>
        </w:rPr>
      </w:pPr>
    </w:p>
    <w:p>
      <w:pPr>
        <w:jc w:val="both"/>
        <w:ind w:firstLine="644"/>
        <w:spacing w:after="0" w:line="250" w:lineRule="auto"/>
        <w:tabs>
          <w:tab w:leader="none" w:pos="96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Investments (including debt obligations and Equity Interests) received in connection with the bankruptcy or reorganization of suppliers and customers or in settlement of delinquent obligations of, or other disputes with, customers and suppliers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08" w:name="page309"/>
    <w:bookmarkEnd w:id="308"/>
    <w:p>
      <w:pPr>
        <w:spacing w:after="0" w:line="263" w:lineRule="auto"/>
        <w:rPr>
          <w:sz w:val="20"/>
          <w:szCs w:val="20"/>
          <w:color w:val="auto"/>
        </w:rPr>
      </w:pPr>
      <w:r>
        <w:rPr>
          <w:rFonts w:ascii="Arial" w:cs="Arial" w:eastAsia="Arial" w:hAnsi="Arial"/>
          <w:sz w:val="21"/>
          <w:szCs w:val="21"/>
          <w:color w:val="auto"/>
        </w:rPr>
        <w:t>or upon the foreclosure with respect to any secured Investment or other transfer of title with respect to any secured Investment;</w:t>
      </w:r>
    </w:p>
    <w:p>
      <w:pPr>
        <w:spacing w:after="0" w:line="119" w:lineRule="exact"/>
        <w:rPr>
          <w:sz w:val="20"/>
          <w:szCs w:val="20"/>
          <w:color w:val="auto"/>
        </w:rPr>
      </w:pPr>
    </w:p>
    <w:p>
      <w:pPr>
        <w:jc w:val="both"/>
        <w:ind w:firstLine="644"/>
        <w:spacing w:after="0" w:line="245" w:lineRule="auto"/>
        <w:tabs>
          <w:tab w:leader="none" w:pos="90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loans and advances to Holdings (or any direct or indirect parent thereof) or any Intermediate Parent in lieu of, and not in excess of the amount of (after giving effect to any other loans, advances or Restricted Payments in respect thereof), Restricted Payments to the extent permitted to be made to Holdings (or such parent) in accordance with Section 6.08(a)(iv), (v), (vi), (vii) or (viii);</w:t>
      </w:r>
    </w:p>
    <w:p>
      <w:pPr>
        <w:spacing w:after="0" w:line="151" w:lineRule="exact"/>
        <w:rPr>
          <w:rFonts w:ascii="Arial" w:cs="Arial" w:eastAsia="Arial" w:hAnsi="Arial"/>
          <w:sz w:val="21"/>
          <w:szCs w:val="21"/>
          <w:color w:val="auto"/>
        </w:rPr>
      </w:pPr>
    </w:p>
    <w:p>
      <w:pPr>
        <w:jc w:val="both"/>
        <w:ind w:firstLine="644"/>
        <w:spacing w:after="0" w:line="267" w:lineRule="auto"/>
        <w:tabs>
          <w:tab w:leader="none" w:pos="994"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so long as immediately after giving effect to any such Investment or acquisition no Default shall have occurred and be continuing, other Investments and other acquisitions;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any such Investment (including any such Investments deemed to be made pursuant to Section 6.14) or other acquisition is made, the aggregate outstanding amount of all Investments made in reliance on this clause (m) (including all such Investments deemed made pursuant to Section 6.14), Investments made in Subsidiaries that are not Loan Parties pursuant to Section 6.04(c)(iii)(A) and Investments made in Restricted Subsidiaries (other than Regulated Subsidiaries) that are not Loan Parties pursuant to Section 6.04(h), together with the aggregate amount of all consideration paid in connection with all other acquisitions made in reliance on this clause (m) (including the aggregate principal amount of all Indebtedness assumed in connection with any such other acquisition), in each case, after the Restatement Effective Date, shall not exceed the Non-Loan Party Investment Amount at the time of any such Investment or acquisition;</w:t>
      </w:r>
    </w:p>
    <w:p>
      <w:pPr>
        <w:spacing w:after="0" w:line="122" w:lineRule="exact"/>
        <w:rPr>
          <w:rFonts w:ascii="Arial" w:cs="Arial" w:eastAsia="Arial" w:hAnsi="Arial"/>
          <w:sz w:val="19"/>
          <w:szCs w:val="19"/>
          <w:color w:val="auto"/>
        </w:rPr>
      </w:pPr>
    </w:p>
    <w:p>
      <w:pPr>
        <w:ind w:left="940" w:hanging="296"/>
        <w:spacing w:after="0"/>
        <w:tabs>
          <w:tab w:leader="none" w:pos="94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advances of payroll payments to employees in the ordinary course of business;</w:t>
      </w:r>
    </w:p>
    <w:p>
      <w:pPr>
        <w:spacing w:after="0" w:line="168" w:lineRule="exact"/>
        <w:rPr>
          <w:rFonts w:ascii="Arial" w:cs="Arial" w:eastAsia="Arial" w:hAnsi="Arial"/>
          <w:sz w:val="21"/>
          <w:szCs w:val="21"/>
          <w:color w:val="auto"/>
        </w:rPr>
      </w:pPr>
    </w:p>
    <w:p>
      <w:pPr>
        <w:ind w:firstLine="644"/>
        <w:spacing w:after="0" w:line="263" w:lineRule="auto"/>
        <w:tabs>
          <w:tab w:leader="none" w:pos="983" w:val="left"/>
        </w:tabs>
        <w:numPr>
          <w:ilvl w:val="0"/>
          <w:numId w:val="210"/>
        </w:numPr>
        <w:rPr>
          <w:rFonts w:ascii="Arial" w:cs="Arial" w:eastAsia="Arial" w:hAnsi="Arial"/>
          <w:sz w:val="21"/>
          <w:szCs w:val="21"/>
          <w:color w:val="auto"/>
        </w:rPr>
      </w:pPr>
      <w:r>
        <w:rPr>
          <w:rFonts w:ascii="Arial" w:cs="Arial" w:eastAsia="Arial" w:hAnsi="Arial"/>
          <w:sz w:val="21"/>
          <w:szCs w:val="21"/>
          <w:color w:val="auto"/>
        </w:rPr>
        <w:t>Investments and other acquisitions to the extent that payment for such Investments is made solely with Qualified Equity Interests (excluding Cure Amounts) of Holdings (or any direct or indirect parent thereof);</w:t>
      </w:r>
    </w:p>
    <w:p>
      <w:pPr>
        <w:spacing w:after="0" w:line="132" w:lineRule="exact"/>
        <w:rPr>
          <w:rFonts w:ascii="Arial" w:cs="Arial" w:eastAsia="Arial" w:hAnsi="Arial"/>
          <w:sz w:val="21"/>
          <w:szCs w:val="21"/>
          <w:color w:val="auto"/>
        </w:rPr>
      </w:pPr>
    </w:p>
    <w:p>
      <w:pPr>
        <w:jc w:val="both"/>
        <w:ind w:firstLine="644"/>
        <w:spacing w:after="0" w:line="275" w:lineRule="auto"/>
        <w:tabs>
          <w:tab w:leader="none" w:pos="1001"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Investments of a Subsidiary acquired after the Restatement Effective Date or of a Person merged or consolidated with any Subsidiary in accordance with this Section and Section 6.03 after the Restatement Effective Date (other than existing Investments in subsidiaries of such Subsidiary or Person, which must comply with the requirements of Section 6.04(h) or 6.04(m)) to the extent that such Investments were not made in contemplation of or in connection with such acquisition, merger or consolidation and were in existence on the date of such acquisition, merger or consolidation;</w:t>
      </w:r>
    </w:p>
    <w:p>
      <w:pPr>
        <w:spacing w:after="0" w:line="110" w:lineRule="exact"/>
        <w:rPr>
          <w:rFonts w:ascii="Arial" w:cs="Arial" w:eastAsia="Arial" w:hAnsi="Arial"/>
          <w:sz w:val="19"/>
          <w:szCs w:val="19"/>
          <w:color w:val="auto"/>
        </w:rPr>
      </w:pPr>
    </w:p>
    <w:p>
      <w:pPr>
        <w:ind w:firstLine="644"/>
        <w:spacing w:after="0" w:line="263" w:lineRule="auto"/>
        <w:tabs>
          <w:tab w:leader="none" w:pos="973" w:val="left"/>
        </w:tabs>
        <w:numPr>
          <w:ilvl w:val="0"/>
          <w:numId w:val="210"/>
        </w:numPr>
        <w:rPr>
          <w:rFonts w:ascii="Arial" w:cs="Arial" w:eastAsia="Arial" w:hAnsi="Arial"/>
          <w:sz w:val="21"/>
          <w:szCs w:val="21"/>
          <w:color w:val="auto"/>
        </w:rPr>
      </w:pPr>
      <w:r>
        <w:rPr>
          <w:rFonts w:ascii="Arial" w:cs="Arial" w:eastAsia="Arial" w:hAnsi="Arial"/>
          <w:sz w:val="21"/>
          <w:szCs w:val="21"/>
          <w:color w:val="auto"/>
        </w:rPr>
        <w:t>Investments made or acquired in the ordinary course trading activities of the Borrower and its Restricted Subsidiaries;</w:t>
      </w:r>
    </w:p>
    <w:p>
      <w:pPr>
        <w:spacing w:after="0" w:line="118" w:lineRule="exact"/>
        <w:rPr>
          <w:rFonts w:ascii="Arial" w:cs="Arial" w:eastAsia="Arial" w:hAnsi="Arial"/>
          <w:sz w:val="21"/>
          <w:szCs w:val="21"/>
          <w:color w:val="auto"/>
        </w:rPr>
      </w:pPr>
    </w:p>
    <w:p>
      <w:pPr>
        <w:jc w:val="both"/>
        <w:ind w:firstLine="644"/>
        <w:spacing w:after="0" w:line="250" w:lineRule="auto"/>
        <w:tabs>
          <w:tab w:leader="none" w:pos="915"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non-cash Investments in connection with tax planning and reorganization activities;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after giving effect to any such activities, the security interests of the Lenders in the Collateral, taken as a whole, would not be materially impaired;</w:t>
      </w:r>
    </w:p>
    <w:p>
      <w:pPr>
        <w:spacing w:after="0" w:line="144" w:lineRule="exact"/>
        <w:rPr>
          <w:rFonts w:ascii="Arial" w:cs="Arial" w:eastAsia="Arial" w:hAnsi="Arial"/>
          <w:sz w:val="21"/>
          <w:szCs w:val="21"/>
          <w:color w:val="auto"/>
        </w:rPr>
      </w:pPr>
    </w:p>
    <w:p>
      <w:pPr>
        <w:jc w:val="both"/>
        <w:ind w:firstLine="644"/>
        <w:spacing w:after="0" w:line="250" w:lineRule="auto"/>
        <w:tabs>
          <w:tab w:leader="none" w:pos="962"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Investments in any Foreign Subsidiary made for the purposes of providing such Foreign Subsidiary the necessary capital to comply with any capital or margin requirements of a Regulatory Supervisory Organization;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aggregate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09" w:name="page310"/>
    <w:bookmarkEnd w:id="309"/>
    <w:p>
      <w:pPr>
        <w:spacing w:after="0"/>
        <w:rPr>
          <w:sz w:val="20"/>
          <w:szCs w:val="20"/>
          <w:color w:val="auto"/>
        </w:rPr>
      </w:pPr>
      <w:r>
        <w:rPr>
          <w:rFonts w:ascii="Arial" w:cs="Arial" w:eastAsia="Arial" w:hAnsi="Arial"/>
          <w:sz w:val="21"/>
          <w:szCs w:val="21"/>
          <w:color w:val="auto"/>
        </w:rPr>
        <w:t>outstanding amount of Investments made pursuant to this clause shall not exceed $25,000,000 at any time;</w:t>
      </w:r>
    </w:p>
    <w:p>
      <w:pPr>
        <w:spacing w:after="0" w:line="169" w:lineRule="exact"/>
        <w:rPr>
          <w:sz w:val="20"/>
          <w:szCs w:val="20"/>
          <w:color w:val="auto"/>
        </w:rPr>
      </w:pPr>
    </w:p>
    <w:p>
      <w:pPr>
        <w:jc w:val="both"/>
        <w:ind w:firstLine="644"/>
        <w:spacing w:after="0" w:line="250" w:lineRule="auto"/>
        <w:tabs>
          <w:tab w:leader="none" w:pos="916" w:val="left"/>
        </w:tabs>
        <w:numPr>
          <w:ilvl w:val="0"/>
          <w:numId w:val="211"/>
        </w:numPr>
        <w:rPr>
          <w:rFonts w:ascii="Arial" w:cs="Arial" w:eastAsia="Arial" w:hAnsi="Arial"/>
          <w:sz w:val="21"/>
          <w:szCs w:val="21"/>
          <w:color w:val="auto"/>
        </w:rPr>
      </w:pPr>
      <w:r>
        <w:rPr>
          <w:rFonts w:ascii="Arial" w:cs="Arial" w:eastAsia="Arial" w:hAnsi="Arial"/>
          <w:sz w:val="21"/>
          <w:szCs w:val="21"/>
          <w:color w:val="auto"/>
        </w:rPr>
        <w:t>if the Escrow Assumption occurs, Investments as a result of the Transactions, including, without limitation, Investments of a Subsidiary acquired in the Merger and Contribution to the extent that such Investments are in existence on the Escrow Assumption Date; and</w:t>
      </w:r>
    </w:p>
    <w:p>
      <w:pPr>
        <w:spacing w:after="0" w:line="144" w:lineRule="exact"/>
        <w:rPr>
          <w:rFonts w:ascii="Arial" w:cs="Arial" w:eastAsia="Arial" w:hAnsi="Arial"/>
          <w:sz w:val="21"/>
          <w:szCs w:val="21"/>
          <w:color w:val="auto"/>
        </w:rPr>
      </w:pPr>
    </w:p>
    <w:p>
      <w:pPr>
        <w:jc w:val="both"/>
        <w:ind w:firstLine="644"/>
        <w:spacing w:after="0" w:line="250" w:lineRule="auto"/>
        <w:tabs>
          <w:tab w:leader="none" w:pos="954" w:val="left"/>
        </w:tabs>
        <w:numPr>
          <w:ilvl w:val="0"/>
          <w:numId w:val="211"/>
        </w:numPr>
        <w:rPr>
          <w:rFonts w:ascii="Arial" w:cs="Arial" w:eastAsia="Arial" w:hAnsi="Arial"/>
          <w:sz w:val="21"/>
          <w:szCs w:val="21"/>
          <w:color w:val="auto"/>
        </w:rPr>
      </w:pPr>
      <w:r>
        <w:rPr>
          <w:rFonts w:ascii="Arial" w:cs="Arial" w:eastAsia="Arial" w:hAnsi="Arial"/>
          <w:sz w:val="21"/>
          <w:szCs w:val="21"/>
          <w:color w:val="auto"/>
        </w:rPr>
        <w:t>Investments in market structure companies, including securities exchanges, venues and clearing firms, in the ordinary course of business; provided, that the aggregate amount of Investments at any one time outstanding under this clause (u) in any such market structure company shall not exceed $10,000,000.</w:t>
      </w:r>
    </w:p>
    <w:p>
      <w:pPr>
        <w:spacing w:after="0" w:line="132"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 xml:space="preserve">Section 6.05. </w:t>
      </w:r>
      <w:r>
        <w:rPr>
          <w:rFonts w:ascii="Arial" w:cs="Arial" w:eastAsia="Arial" w:hAnsi="Arial"/>
          <w:sz w:val="21"/>
          <w:szCs w:val="21"/>
          <w:i w:val="1"/>
          <w:iCs w:val="1"/>
          <w:color w:val="auto"/>
        </w:rPr>
        <w:t>Asset Sales.</w:t>
      </w:r>
      <w:r>
        <w:rPr>
          <w:rFonts w:ascii="Arial" w:cs="Arial" w:eastAsia="Arial" w:hAnsi="Arial"/>
          <w:sz w:val="21"/>
          <w:szCs w:val="21"/>
          <w:color w:val="auto"/>
        </w:rPr>
        <w:t xml:space="preserve"> Neither Holdings nor the Borrower will, nor will they permit any Restricted Subsidiary to, sell, transfer, lease or otherwise dispose of any asset, including any Equity Interest owned by it, nor will Holdings or the Borrower permit any Restricted Subsidiary to issue any additional Equity Interest in such Restricted Subsidiary (other than issuing directors’ qualifying shares, nominal shares issued to foreign nationals to the extent required by applicable Requirements of Law and other than issuing Equity Interests to Holdings, the Borrower or a Restricted Subsidiary in compliance with Section 6.04(c)) (each, a “</w:t>
      </w:r>
      <w:r>
        <w:rPr>
          <w:rFonts w:ascii="Arial" w:cs="Arial" w:eastAsia="Arial" w:hAnsi="Arial"/>
          <w:sz w:val="21"/>
          <w:szCs w:val="21"/>
          <w:b w:val="1"/>
          <w:bCs w:val="1"/>
          <w:color w:val="auto"/>
        </w:rPr>
        <w:t>Disposition</w:t>
      </w:r>
      <w:r>
        <w:rPr>
          <w:rFonts w:ascii="Arial" w:cs="Arial" w:eastAsia="Arial" w:hAnsi="Arial"/>
          <w:sz w:val="21"/>
          <w:szCs w:val="21"/>
          <w:color w:val="auto"/>
        </w:rPr>
        <w:t>”), except:</w:t>
      </w:r>
    </w:p>
    <w:p>
      <w:pPr>
        <w:spacing w:after="0" w:line="140" w:lineRule="exact"/>
        <w:rPr>
          <w:sz w:val="20"/>
          <w:szCs w:val="20"/>
          <w:color w:val="auto"/>
        </w:rPr>
      </w:pPr>
    </w:p>
    <w:p>
      <w:pPr>
        <w:jc w:val="both"/>
        <w:ind w:firstLine="708"/>
        <w:spacing w:after="0" w:line="250" w:lineRule="auto"/>
        <w:tabs>
          <w:tab w:leader="none" w:pos="1023" w:val="left"/>
        </w:tabs>
        <w:numPr>
          <w:ilvl w:val="0"/>
          <w:numId w:val="212"/>
        </w:numPr>
        <w:rPr>
          <w:rFonts w:ascii="Arial" w:cs="Arial" w:eastAsia="Arial" w:hAnsi="Arial"/>
          <w:sz w:val="21"/>
          <w:szCs w:val="21"/>
          <w:color w:val="auto"/>
        </w:rPr>
      </w:pPr>
      <w:r>
        <w:rPr>
          <w:rFonts w:ascii="Arial" w:cs="Arial" w:eastAsia="Arial" w:hAnsi="Arial"/>
          <w:sz w:val="21"/>
          <w:szCs w:val="21"/>
          <w:color w:val="auto"/>
        </w:rPr>
        <w:t>Dispositions of obsolete or worn out property, whether now owned or hereafter acquired, in the ordinary course of business and Dispositions of property no longer used or useful in the conduct of the business of Holdings, any Intermediate Parent, the Borrower and its Restricted Subsidiaries;</w:t>
      </w:r>
    </w:p>
    <w:p>
      <w:pPr>
        <w:spacing w:after="0" w:line="144" w:lineRule="exact"/>
        <w:rPr>
          <w:rFonts w:ascii="Arial" w:cs="Arial" w:eastAsia="Arial" w:hAnsi="Arial"/>
          <w:sz w:val="21"/>
          <w:szCs w:val="21"/>
          <w:color w:val="auto"/>
        </w:rPr>
      </w:pPr>
    </w:p>
    <w:p>
      <w:pPr>
        <w:ind w:left="1000" w:hanging="292"/>
        <w:spacing w:after="0"/>
        <w:tabs>
          <w:tab w:leader="none" w:pos="100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Dispositions of inventory and other assets in the ordinary course of business;</w:t>
      </w:r>
    </w:p>
    <w:p>
      <w:pPr>
        <w:spacing w:after="0" w:line="168" w:lineRule="exact"/>
        <w:rPr>
          <w:rFonts w:ascii="Arial" w:cs="Arial" w:eastAsia="Arial" w:hAnsi="Arial"/>
          <w:sz w:val="21"/>
          <w:szCs w:val="21"/>
          <w:color w:val="auto"/>
        </w:rPr>
      </w:pPr>
    </w:p>
    <w:p>
      <w:pPr>
        <w:jc w:val="both"/>
        <w:ind w:firstLine="708"/>
        <w:spacing w:after="0" w:line="250" w:lineRule="auto"/>
        <w:tabs>
          <w:tab w:leader="none" w:pos="997" w:val="left"/>
        </w:tabs>
        <w:numPr>
          <w:ilvl w:val="0"/>
          <w:numId w:val="212"/>
        </w:numPr>
        <w:rPr>
          <w:rFonts w:ascii="Arial" w:cs="Arial" w:eastAsia="Arial" w:hAnsi="Arial"/>
          <w:sz w:val="21"/>
          <w:szCs w:val="21"/>
          <w:color w:val="auto"/>
        </w:rPr>
      </w:pPr>
      <w:r>
        <w:rPr>
          <w:rFonts w:ascii="Arial" w:cs="Arial" w:eastAsia="Arial" w:hAnsi="Arial"/>
          <w:sz w:val="21"/>
          <w:szCs w:val="21"/>
          <w:color w:val="auto"/>
        </w:rPr>
        <w:t>Dispositions of property to the extent that (i) such property is exchanged for credit against the purchase price of similar replacement property or (ii) the proceeds of such Disposition are promptly applied to the purchase price of such replacement property;</w:t>
      </w:r>
    </w:p>
    <w:p>
      <w:pPr>
        <w:spacing w:after="0" w:line="131" w:lineRule="exact"/>
        <w:rPr>
          <w:rFonts w:ascii="Arial" w:cs="Arial" w:eastAsia="Arial" w:hAnsi="Arial"/>
          <w:sz w:val="21"/>
          <w:szCs w:val="21"/>
          <w:color w:val="auto"/>
        </w:rPr>
      </w:pPr>
    </w:p>
    <w:p>
      <w:pPr>
        <w:jc w:val="both"/>
        <w:ind w:firstLine="708"/>
        <w:spacing w:after="0" w:line="256" w:lineRule="auto"/>
        <w:tabs>
          <w:tab w:leader="none" w:pos="1015" w:val="left"/>
        </w:tabs>
        <w:numPr>
          <w:ilvl w:val="0"/>
          <w:numId w:val="212"/>
        </w:numPr>
        <w:rPr>
          <w:rFonts w:ascii="Arial" w:cs="Arial" w:eastAsia="Arial" w:hAnsi="Arial"/>
          <w:sz w:val="20"/>
          <w:szCs w:val="20"/>
          <w:color w:val="auto"/>
        </w:rPr>
      </w:pPr>
      <w:r>
        <w:rPr>
          <w:rFonts w:ascii="Arial" w:cs="Arial" w:eastAsia="Arial" w:hAnsi="Arial"/>
          <w:sz w:val="20"/>
          <w:szCs w:val="20"/>
          <w:color w:val="auto"/>
        </w:rPr>
        <w:t xml:space="preserve">Dispositions of property to the Borrower or a Restricted Subsidiary;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transferor in such a transaction is a Loan Party, then (i) the transferee must be a Loan Party, (ii) to the extent constituting an Investment, such Investment must be a permitted Investment in a Restricted Subsidiary that is not a Loan Party in accordance with Section 6.04 or (iii) to the extent constituting a Disposition to a Restricted Subsidiary that is not a Loan Party, such Disposition is for fair value and any promissory note or other non-cash consideration received in respect thereof is a permitted investment in a Restricted Subsidiary that is not a Loan Party in accordance with Section 6.04;</w:t>
      </w:r>
    </w:p>
    <w:p>
      <w:pPr>
        <w:spacing w:after="0" w:line="142" w:lineRule="exact"/>
        <w:rPr>
          <w:rFonts w:ascii="Arial" w:cs="Arial" w:eastAsia="Arial" w:hAnsi="Arial"/>
          <w:sz w:val="20"/>
          <w:szCs w:val="20"/>
          <w:color w:val="auto"/>
        </w:rPr>
      </w:pPr>
    </w:p>
    <w:p>
      <w:pPr>
        <w:ind w:firstLine="708"/>
        <w:spacing w:after="0" w:line="263" w:lineRule="auto"/>
        <w:tabs>
          <w:tab w:leader="none" w:pos="1019" w:val="left"/>
        </w:tabs>
        <w:numPr>
          <w:ilvl w:val="0"/>
          <w:numId w:val="212"/>
        </w:numPr>
        <w:rPr>
          <w:rFonts w:ascii="Arial" w:cs="Arial" w:eastAsia="Arial" w:hAnsi="Arial"/>
          <w:sz w:val="21"/>
          <w:szCs w:val="21"/>
          <w:color w:val="auto"/>
        </w:rPr>
      </w:pPr>
      <w:r>
        <w:rPr>
          <w:rFonts w:ascii="Arial" w:cs="Arial" w:eastAsia="Arial" w:hAnsi="Arial"/>
          <w:sz w:val="21"/>
          <w:szCs w:val="21"/>
          <w:color w:val="auto"/>
        </w:rPr>
        <w:t>Dispositions permitted by Section 6.03 (other than Section 6.03(a)(vii)), Investments permitted by Section 6.04, Restricted Payments permitted by Section 6.08 and Liens permitted by Section 6.02;</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5" w:right="739" w:bottom="1440" w:gutter="0" w:footer="0" w:header="0"/>
        </w:sectPr>
      </w:pPr>
    </w:p>
    <w:bookmarkStart w:id="310" w:name="page311"/>
    <w:bookmarkEnd w:id="310"/>
    <w:p>
      <w:pPr>
        <w:ind w:right="20" w:firstLine="644"/>
        <w:spacing w:after="0" w:line="263" w:lineRule="auto"/>
        <w:tabs>
          <w:tab w:leader="none" w:pos="932" w:val="left"/>
        </w:tabs>
        <w:numPr>
          <w:ilvl w:val="0"/>
          <w:numId w:val="213"/>
        </w:numPr>
        <w:rPr>
          <w:rFonts w:ascii="Arial" w:cs="Arial" w:eastAsia="Arial" w:hAnsi="Arial"/>
          <w:sz w:val="21"/>
          <w:szCs w:val="21"/>
          <w:color w:val="auto"/>
        </w:rPr>
      </w:pPr>
      <w:r>
        <w:rPr>
          <w:rFonts w:ascii="Arial" w:cs="Arial" w:eastAsia="Arial" w:hAnsi="Arial"/>
          <w:sz w:val="21"/>
          <w:szCs w:val="21"/>
          <w:color w:val="auto"/>
        </w:rPr>
        <w:t>Dispositions of property acquired by Holdings, the Borrower or any of its Restricted Subsidiaries after the Restatement Effective Date pursuant to sale-leaseback transactions permitted by Section 6.06;</w:t>
      </w:r>
    </w:p>
    <w:p>
      <w:pPr>
        <w:spacing w:after="0" w:line="118" w:lineRule="exact"/>
        <w:rPr>
          <w:rFonts w:ascii="Arial" w:cs="Arial" w:eastAsia="Arial" w:hAnsi="Arial"/>
          <w:sz w:val="21"/>
          <w:szCs w:val="21"/>
          <w:color w:val="auto"/>
        </w:rPr>
      </w:pPr>
    </w:p>
    <w:p>
      <w:pPr>
        <w:ind w:left="940" w:hanging="296"/>
        <w:spacing w:after="0"/>
        <w:tabs>
          <w:tab w:leader="none" w:pos="94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Dispositions of Permitted Investments;</w:t>
      </w:r>
    </w:p>
    <w:p>
      <w:pPr>
        <w:spacing w:after="0" w:line="181" w:lineRule="exact"/>
        <w:rPr>
          <w:rFonts w:ascii="Arial" w:cs="Arial" w:eastAsia="Arial" w:hAnsi="Arial"/>
          <w:sz w:val="21"/>
          <w:szCs w:val="21"/>
          <w:color w:val="auto"/>
        </w:rPr>
      </w:pPr>
    </w:p>
    <w:p>
      <w:pPr>
        <w:ind w:left="940" w:hanging="296"/>
        <w:spacing w:after="0"/>
        <w:tabs>
          <w:tab w:leader="none" w:pos="94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Dispositions of accounts receivable in connection with the collection or compromise thereof;</w:t>
      </w:r>
    </w:p>
    <w:p>
      <w:pPr>
        <w:spacing w:after="0" w:line="168" w:lineRule="exact"/>
        <w:rPr>
          <w:rFonts w:ascii="Arial" w:cs="Arial" w:eastAsia="Arial" w:hAnsi="Arial"/>
          <w:sz w:val="21"/>
          <w:szCs w:val="21"/>
          <w:color w:val="auto"/>
        </w:rPr>
      </w:pPr>
    </w:p>
    <w:p>
      <w:pPr>
        <w:jc w:val="both"/>
        <w:ind w:firstLine="644"/>
        <w:spacing w:after="0" w:line="250" w:lineRule="auto"/>
        <w:tabs>
          <w:tab w:leader="none" w:pos="897" w:val="left"/>
        </w:tabs>
        <w:numPr>
          <w:ilvl w:val="0"/>
          <w:numId w:val="213"/>
        </w:numPr>
        <w:rPr>
          <w:rFonts w:ascii="Arial" w:cs="Arial" w:eastAsia="Arial" w:hAnsi="Arial"/>
          <w:sz w:val="21"/>
          <w:szCs w:val="21"/>
          <w:color w:val="auto"/>
        </w:rPr>
      </w:pPr>
      <w:r>
        <w:rPr>
          <w:rFonts w:ascii="Arial" w:cs="Arial" w:eastAsia="Arial" w:hAnsi="Arial"/>
          <w:sz w:val="21"/>
          <w:szCs w:val="21"/>
          <w:color w:val="auto"/>
        </w:rPr>
        <w:t>leases, subleases, licenses or sublicenses (including the provision of software under an open source license), in each case in the ordinary course of business and that do not materially interfere with the business of Holdings, the Borrower and its Restricted Subsidiaries, taken as a whole;</w:t>
      </w:r>
    </w:p>
    <w:p>
      <w:pPr>
        <w:spacing w:after="0" w:line="131" w:lineRule="exact"/>
        <w:rPr>
          <w:rFonts w:ascii="Arial" w:cs="Arial" w:eastAsia="Arial" w:hAnsi="Arial"/>
          <w:sz w:val="21"/>
          <w:szCs w:val="21"/>
          <w:color w:val="auto"/>
        </w:rPr>
      </w:pPr>
    </w:p>
    <w:p>
      <w:pPr>
        <w:ind w:left="900" w:hanging="256"/>
        <w:spacing w:after="0"/>
        <w:tabs>
          <w:tab w:leader="none" w:pos="90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transfers of property subject to Casualty Events upon receipt of the Net Proceeds of such Casualty Event;</w:t>
      </w:r>
    </w:p>
    <w:p>
      <w:pPr>
        <w:spacing w:after="0" w:line="193" w:lineRule="exact"/>
        <w:rPr>
          <w:rFonts w:ascii="Arial" w:cs="Arial" w:eastAsia="Arial" w:hAnsi="Arial"/>
          <w:sz w:val="20"/>
          <w:szCs w:val="20"/>
          <w:color w:val="auto"/>
        </w:rPr>
      </w:pPr>
    </w:p>
    <w:p>
      <w:pPr>
        <w:jc w:val="both"/>
        <w:ind w:firstLine="644"/>
        <w:spacing w:after="0" w:line="264" w:lineRule="auto"/>
        <w:tabs>
          <w:tab w:leader="none" w:pos="942"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Dispositions of property to Persons other than Restricted Subsidiaries (including the sale or issuance of Equity Interests of a Restricted Subsidiary) not otherwise permitted under this Section 6.05;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aggregate amount of consideration received from Dispositions made in reliance on this clause (k) after the Restatement Effective Date shall not exceed $100,000,000, (ii) no Default shall exist at the time of, or would result from, such Disposition (other than any such Disposition made pursuant to a legally binding commitment entered into at a time when no Default existed or would have resulted from such Disposition) and (iii) with respect to any Disposition pursuant to this clause (k) for a purchase price in excess of $5,000,000, Holdings, the Borrower or a Restricted Subsidiary shall receive not less than 75% of such consideration in the form of cash or Permitted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the purposes of this clause (iii), (A) any liabilities (as shown on the most recent balance sheet of Holdings provided hereunder or in the footnotes thereto) of Holdings, the Borrower or such Restricted Subsidiary, other than liabilities that are by their terms subordinated in right of payment to the Loan Document Obligations, that are assumed by the transferee with respect to the applicable Disposition and for which Holdings, any Intermediate Parent, the Borrower and all of the Restricted Subsidiaries shall have been validly released by all applicable creditors in writing, shall be deemed to be cash, (B) any securities received by Holdings, any Intermediate Parent, the Borrower or such Restricted Subsidiary from such transferee that are converted by Holdings, any Intermediate Parent, the Borrower or such Restricted Subsidiary into cash or Permitted Investments (to the extent of the cash or Permitted Investments received) within 180 days following the closing of the applicable Disposition, shall be deemed to be cash and (C) any Designated Non-Cash Consideration received by Holdings, any Intermediate Parent, the Borrower or such Restricted Subsidiary in respect of such Disposition having an aggregate fair market value, taken together with all other Designated Non-Cash Consideration received pursuant to this clause (k) that is at that time outstanding, not in excess of $20,000,000 at the time of the receipt of such Designated Non-Cash Consideration, with the fair market value of each item of Designated Non-Cash Consideration being measured at the time received and without giving effect to subsequent changes in value, shall be deemed to be cash;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11" w:name="page312"/>
    <w:bookmarkEnd w:id="311"/>
    <w:p>
      <w:pPr>
        <w:ind w:firstLine="708"/>
        <w:spacing w:after="0" w:line="316" w:lineRule="auto"/>
        <w:tabs>
          <w:tab w:leader="none" w:pos="957" w:val="left"/>
        </w:tabs>
        <w:numPr>
          <w:ilvl w:val="0"/>
          <w:numId w:val="214"/>
        </w:numPr>
        <w:rPr>
          <w:rFonts w:ascii="Arial" w:cs="Arial" w:eastAsia="Arial" w:hAnsi="Arial"/>
          <w:sz w:val="19"/>
          <w:szCs w:val="19"/>
          <w:color w:val="auto"/>
        </w:rPr>
      </w:pPr>
      <w:r>
        <w:rPr>
          <w:rFonts w:ascii="Arial" w:cs="Arial" w:eastAsia="Arial" w:hAnsi="Arial"/>
          <w:sz w:val="19"/>
          <w:szCs w:val="19"/>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72" w:lineRule="exact"/>
        <w:rPr>
          <w:rFonts w:ascii="Arial" w:cs="Arial" w:eastAsia="Arial" w:hAnsi="Arial"/>
          <w:sz w:val="19"/>
          <w:szCs w:val="19"/>
          <w:color w:val="auto"/>
        </w:rPr>
      </w:pPr>
    </w:p>
    <w:p>
      <w:pPr>
        <w:ind w:left="1060" w:hanging="352"/>
        <w:spacing w:after="0"/>
        <w:tabs>
          <w:tab w:leader="none" w:pos="106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Dispositions of assets listed on Schedule 6.05;</w:t>
      </w:r>
    </w:p>
    <w:p>
      <w:pPr>
        <w:spacing w:after="0" w:line="181" w:lineRule="exact"/>
        <w:rPr>
          <w:rFonts w:ascii="Arial" w:cs="Arial" w:eastAsia="Arial" w:hAnsi="Arial"/>
          <w:sz w:val="21"/>
          <w:szCs w:val="21"/>
          <w:color w:val="auto"/>
        </w:rPr>
      </w:pPr>
    </w:p>
    <w:p>
      <w:pPr>
        <w:jc w:val="both"/>
        <w:ind w:firstLine="708"/>
        <w:spacing w:after="0" w:line="261" w:lineRule="auto"/>
        <w:tabs>
          <w:tab w:leader="none" w:pos="1025"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Dispositions of non-core assets acquired in (i) a Permitted Acquisition;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such assets were identified to the Administrative Agent in writing as non-core assets within thirty days of the time that the applicable Permitted Acquisition was consummated and (B) such Disposition is consummated within one year after the date on which the applicable Permitted Acquisition was consummated, or (ii) the Merger and Contribution; and</w:t>
      </w:r>
    </w:p>
    <w:p>
      <w:pPr>
        <w:spacing w:after="0" w:line="124" w:lineRule="exact"/>
        <w:rPr>
          <w:rFonts w:ascii="Arial" w:cs="Arial" w:eastAsia="Arial" w:hAnsi="Arial"/>
          <w:sz w:val="20"/>
          <w:szCs w:val="20"/>
          <w:color w:val="auto"/>
        </w:rPr>
      </w:pPr>
    </w:p>
    <w:p>
      <w:pPr>
        <w:ind w:firstLine="708"/>
        <w:spacing w:after="0" w:line="263" w:lineRule="auto"/>
        <w:tabs>
          <w:tab w:leader="none" w:pos="1025" w:val="left"/>
        </w:tabs>
        <w:numPr>
          <w:ilvl w:val="0"/>
          <w:numId w:val="214"/>
        </w:numPr>
        <w:rPr>
          <w:rFonts w:ascii="Arial" w:cs="Arial" w:eastAsia="Arial" w:hAnsi="Arial"/>
          <w:sz w:val="21"/>
          <w:szCs w:val="21"/>
          <w:color w:val="auto"/>
        </w:rPr>
      </w:pPr>
      <w:r>
        <w:rPr>
          <w:rFonts w:ascii="Arial" w:cs="Arial" w:eastAsia="Arial" w:hAnsi="Arial"/>
          <w:sz w:val="21"/>
          <w:szCs w:val="21"/>
          <w:color w:val="auto"/>
        </w:rPr>
        <w:t>Dispositions of securities, Swap Agreements and other financial instruments as part of the ordinary course trading business of the Borrower and its Restricted Subsidiaries;</w:t>
      </w:r>
    </w:p>
    <w:p>
      <w:pPr>
        <w:spacing w:after="0" w:line="119" w:lineRule="exact"/>
        <w:rPr>
          <w:sz w:val="20"/>
          <w:szCs w:val="20"/>
          <w:color w:val="auto"/>
        </w:rPr>
      </w:pPr>
    </w:p>
    <w:p>
      <w:pPr>
        <w:jc w:val="both"/>
        <w:spacing w:after="0" w:line="250"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any Disposition of any property pursuant to this Section 6.05 (except pursuant to Section 6.05(e) and except</w:t>
      </w:r>
      <w:r>
        <w:rPr>
          <w:rFonts w:ascii="Arial" w:cs="Arial" w:eastAsia="Arial" w:hAnsi="Arial"/>
          <w:sz w:val="21"/>
          <w:szCs w:val="21"/>
          <w:i w:val="1"/>
          <w:iCs w:val="1"/>
          <w:color w:val="auto"/>
        </w:rPr>
        <w:t xml:space="preserve"> </w:t>
      </w:r>
      <w:r>
        <w:rPr>
          <w:rFonts w:ascii="Arial" w:cs="Arial" w:eastAsia="Arial" w:hAnsi="Arial"/>
          <w:sz w:val="21"/>
          <w:szCs w:val="21"/>
          <w:color w:val="auto"/>
        </w:rPr>
        <w:t>for Dispositions by a Loan Party to another Loan Party), shall be for no less than the fair market value of such property at the time of such Disposition.</w:t>
      </w:r>
    </w:p>
    <w:p>
      <w:pPr>
        <w:spacing w:after="0" w:line="145"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i w:val="1"/>
          <w:iCs w:val="1"/>
          <w:color w:val="auto"/>
        </w:rPr>
        <w:t>Sale and Leaseback Transactions.</w:t>
      </w:r>
      <w:r>
        <w:rPr>
          <w:rFonts w:ascii="Arial" w:cs="Arial" w:eastAsia="Arial" w:hAnsi="Arial"/>
          <w:sz w:val="20"/>
          <w:szCs w:val="20"/>
          <w:color w:val="auto"/>
        </w:rPr>
        <w:t xml:space="preserve"> Neither Holdings nor the Borrower will, nor will they permit any Restricted Subsidiary or Intermediate Parent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Borrower or any Restricted Subsidiary that is made for cash consideration in an amount not less than the fair value of such fixed or capital asset and is consummated within 270 days after the Borrower or such Restricted Subsidiary, as applicable, acquires or completes the construction of such fixed or capital asset;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such sale and leaseback results in a Capital Lease Obligation, such Capital Lease Obligation is permitted by Section 6.01 and any Lien made the subject of such Capital Lease Obligation is permitted by Section 6.02.</w:t>
      </w:r>
    </w:p>
    <w:p>
      <w:pPr>
        <w:spacing w:after="0" w:line="138"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i w:val="1"/>
          <w:iCs w:val="1"/>
          <w:color w:val="auto"/>
        </w:rPr>
        <w:t>Swap Agreements.</w:t>
      </w:r>
      <w:r>
        <w:rPr>
          <w:rFonts w:ascii="Arial" w:cs="Arial" w:eastAsia="Arial" w:hAnsi="Arial"/>
          <w:sz w:val="19"/>
          <w:szCs w:val="19"/>
          <w:color w:val="auto"/>
        </w:rPr>
        <w:t xml:space="preserve"> Neither Holdings nor the Borrower will, nor will they permit any Restricted Subsidiary or Intermediate Parent to, enter into any Swap Agreement, except (a) (i) Swap Agreements entered into to hedge or mitigate risks to which Holdings, the Borrower or any Restricted Subsidiary has actual exposure (other than those in respect of shares of capital stock or other Equity Interests of Holdings, the Borrower or any Restricted Subsidiary) and (ii) Swap Agreements entered into in order to effectively cap, collar or exchange interest rates (from fixed to floating rates, from one floating rate to another floating rate or otherwise) with respect to any interest-bearing liability or investment of Holdings, the Borrower or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Swap Agreement entered into pursuant to this clause (a) shall be entered into in the ordinary course of business and not for speculative purposes and (b) Swap Agreements entered into in the ordinary course trading business of the Borrower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12" w:name="page313"/>
    <w:bookmarkEnd w:id="312"/>
    <w:p>
      <w:pPr>
        <w:jc w:val="both"/>
        <w:ind w:firstLine="635"/>
        <w:spacing w:after="0" w:line="250" w:lineRule="auto"/>
        <w:rPr>
          <w:sz w:val="20"/>
          <w:szCs w:val="20"/>
          <w:color w:val="auto"/>
        </w:rPr>
      </w:pPr>
      <w:r>
        <w:rPr>
          <w:rFonts w:ascii="Arial" w:cs="Arial" w:eastAsia="Arial" w:hAnsi="Arial"/>
          <w:sz w:val="21"/>
          <w:szCs w:val="21"/>
          <w:color w:val="auto"/>
        </w:rPr>
        <w:t xml:space="preserve">Section 6.08. </w:t>
      </w:r>
      <w:r>
        <w:rPr>
          <w:rFonts w:ascii="Arial" w:cs="Arial" w:eastAsia="Arial" w:hAnsi="Arial"/>
          <w:sz w:val="21"/>
          <w:szCs w:val="21"/>
          <w:i w:val="1"/>
          <w:iCs w:val="1"/>
          <w:color w:val="auto"/>
        </w:rPr>
        <w:t>Restricted Payments; Certain Payments ofIndebtedness</w:t>
      </w:r>
      <w:r>
        <w:rPr>
          <w:rFonts w:ascii="Arial" w:cs="Arial" w:eastAsia="Arial" w:hAnsi="Arial"/>
          <w:sz w:val="21"/>
          <w:szCs w:val="21"/>
          <w:color w:val="auto"/>
        </w:rPr>
        <w:t>. (a) Neither Holdings nor the Borrower will, nor will they permit any Restricted Subsidiary to declare or make, or agree to pay or make, directly or indirectly, any Restricted Payment, except:</w:t>
      </w:r>
    </w:p>
    <w:p>
      <w:pPr>
        <w:spacing w:after="0" w:line="132" w:lineRule="exact"/>
        <w:rPr>
          <w:sz w:val="20"/>
          <w:szCs w:val="20"/>
          <w:color w:val="auto"/>
        </w:rPr>
      </w:pPr>
    </w:p>
    <w:p>
      <w:pPr>
        <w:ind w:left="640" w:firstLine="1274"/>
        <w:spacing w:after="0" w:line="263" w:lineRule="auto"/>
        <w:tabs>
          <w:tab w:leader="none" w:pos="222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each Restricted Subsidiary may make Restricted Payments to the Borrower or any other Restricted Subsidiary;</w:t>
      </w:r>
    </w:p>
    <w:p>
      <w:pPr>
        <w:spacing w:after="0" w:line="132" w:lineRule="exact"/>
        <w:rPr>
          <w:rFonts w:ascii="Arial" w:cs="Arial" w:eastAsia="Arial" w:hAnsi="Arial"/>
          <w:sz w:val="21"/>
          <w:szCs w:val="21"/>
          <w:color w:val="auto"/>
        </w:rPr>
      </w:pPr>
    </w:p>
    <w:p>
      <w:pPr>
        <w:jc w:val="both"/>
        <w:ind w:left="640" w:firstLine="1274"/>
        <w:spacing w:after="0" w:line="242" w:lineRule="auto"/>
        <w:tabs>
          <w:tab w:leader="none" w:pos="2285"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Holdings, the Borrower and each Restricted Subsidiary may declare and make dividend payments or other distributions payable solely in the Equity Interests of such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case of any such Restricted Payment by a Restricted Subsidiary that is not a Wholly Owned Subsidiary of the Borrower, such Restricted Payment is made to the Borrower, any Restricted Subsidiary and to each other owner of Equity Interests of such Restricted Subsidiary based on their relative ownership interests of the relevant class of Equity Interests;</w:t>
      </w:r>
    </w:p>
    <w:p>
      <w:pPr>
        <w:spacing w:after="0" w:line="139" w:lineRule="exact"/>
        <w:rPr>
          <w:rFonts w:ascii="Arial" w:cs="Arial" w:eastAsia="Arial" w:hAnsi="Arial"/>
          <w:sz w:val="21"/>
          <w:szCs w:val="21"/>
          <w:color w:val="auto"/>
        </w:rPr>
      </w:pPr>
    </w:p>
    <w:p>
      <w:pPr>
        <w:jc w:val="both"/>
        <w:ind w:left="640" w:firstLine="1274"/>
        <w:spacing w:after="0" w:line="253" w:lineRule="auto"/>
        <w:tabs>
          <w:tab w:leader="none" w:pos="22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 xml:space="preserve">following the Escrow Assumption Date, so long as no Default has occurred and is continuing or would be caused thereby, the payment of quarterly distributions or dividends in an amount not to exceed $46,300,000 during each of the first four consecutive fiscal quarters beginning with the fiscal quarter in which the Escrow Assumption Date occurs;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(x) the Total Leverage Ratio as of the last day of the most recently ended Test Period prior to any such distribution or dividend, determined on a Pro Forma Basis, is less than or equal to 4.25 to 1.00, (y) for the avoidance of doubt, unused amounts with respect to any such fiscal quarter shall not be available in any other fiscal quarter and (z) any payment pursuant to this clause (iii) shall reduce Cumulative Excess Cash Flow that is Not Otherwise Applied (but not in excess of the amount by which Cumulative Excess Cash Flow that is Not Otherwise Applied exceeds zero at such time);</w:t>
      </w:r>
    </w:p>
    <w:p>
      <w:pPr>
        <w:spacing w:after="0" w:line="133" w:lineRule="exact"/>
        <w:rPr>
          <w:rFonts w:ascii="Arial" w:cs="Arial" w:eastAsia="Arial" w:hAnsi="Arial"/>
          <w:sz w:val="20"/>
          <w:szCs w:val="20"/>
          <w:color w:val="auto"/>
        </w:rPr>
      </w:pPr>
    </w:p>
    <w:p>
      <w:pPr>
        <w:jc w:val="both"/>
        <w:ind w:left="640" w:firstLine="1274"/>
        <w:spacing w:after="0" w:line="245" w:lineRule="auto"/>
        <w:tabs>
          <w:tab w:leader="none" w:pos="2311" w:val="left"/>
        </w:tabs>
        <w:numPr>
          <w:ilvl w:val="0"/>
          <w:numId w:val="215"/>
        </w:numPr>
        <w:rPr>
          <w:rFonts w:ascii="Arial" w:cs="Arial" w:eastAsia="Arial" w:hAnsi="Arial"/>
          <w:sz w:val="21"/>
          <w:szCs w:val="21"/>
          <w:color w:val="auto"/>
        </w:rPr>
      </w:pPr>
      <w:r>
        <w:rPr>
          <w:rFonts w:ascii="Arial" w:cs="Arial" w:eastAsia="Arial" w:hAnsi="Arial"/>
          <w:sz w:val="21"/>
          <w:szCs w:val="21"/>
          <w:color w:val="auto"/>
        </w:rPr>
        <w:t>repurchases of Equity Interests in Holdings (or Restricted Payments by Holdings to allow repurchases of Equity Interests in any direct or indirect parent of Holdings), the Borrower or any Restricted Subsidiary deemed to occur upon the exercise of stock options or warrants if such Equity Interests represent a portion of the exercise price of such options or warrants;</w:t>
      </w:r>
    </w:p>
    <w:p>
      <w:pPr>
        <w:spacing w:after="0" w:line="151" w:lineRule="exact"/>
        <w:rPr>
          <w:rFonts w:ascii="Arial" w:cs="Arial" w:eastAsia="Arial" w:hAnsi="Arial"/>
          <w:sz w:val="21"/>
          <w:szCs w:val="21"/>
          <w:color w:val="auto"/>
        </w:rPr>
      </w:pPr>
    </w:p>
    <w:p>
      <w:pPr>
        <w:jc w:val="both"/>
        <w:ind w:left="640" w:firstLine="1274"/>
        <w:spacing w:after="0"/>
        <w:tabs>
          <w:tab w:leader="none" w:pos="2256" w:val="left"/>
        </w:tabs>
        <w:numPr>
          <w:ilvl w:val="0"/>
          <w:numId w:val="215"/>
        </w:numPr>
        <w:rPr>
          <w:rFonts w:ascii="Arial" w:cs="Arial" w:eastAsia="Arial" w:hAnsi="Arial"/>
          <w:sz w:val="21"/>
          <w:szCs w:val="21"/>
          <w:color w:val="auto"/>
        </w:rPr>
      </w:pPr>
      <w:r>
        <w:rPr>
          <w:rFonts w:ascii="Arial" w:cs="Arial" w:eastAsia="Arial" w:hAnsi="Arial"/>
          <w:sz w:val="21"/>
          <w:szCs w:val="21"/>
          <w:color w:val="auto"/>
        </w:rPr>
        <w:t>Holdings may redeem, acquire, retire or repurchase its Equity Interests (or any options or warrants or stock appreciation rights issued with respect to any of such Equity Interests) (or make Restricted Payments to allow any of Holdings’ direct or indirect parent companies or any Employee Holding Vehicle to so redeem, retire, acquire or repurchase Equity Interests of Holdings or such entity) held by current or former officers, managers, consultants, directors and employees or their permitted transferees (or their respective estates, executors, trustees, administrators, heirs, legatees or distributes) of Holdings (or any direct or indirect parent thereof), the Borrower and the Restricted Subsidiaries, or held by any Employee Holding Vehicle for the benefit of any of the foregoing, upon the death, disability, retirement or termination of employment of any such Person or otherwise in accordance with any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13" w:name="page314"/>
    <w:bookmarkEnd w:id="313"/>
    <w:p>
      <w:pPr>
        <w:jc w:val="both"/>
        <w:spacing w:after="0" w:line="268" w:lineRule="auto"/>
        <w:rPr>
          <w:sz w:val="20"/>
          <w:szCs w:val="20"/>
          <w:color w:val="auto"/>
        </w:rPr>
      </w:pPr>
      <w:r>
        <w:rPr>
          <w:rFonts w:ascii="Arial" w:cs="Arial" w:eastAsia="Arial" w:hAnsi="Arial"/>
          <w:sz w:val="19"/>
          <w:szCs w:val="19"/>
          <w:color w:val="auto"/>
        </w:rPr>
        <w:t xml:space="preserve">option or stock appreciation rights plan, any management, director and/or employee stock ownership or incentive plan, stock subscription plan, employment termination agreement or any other employment agreements or equity holders’ agreement, in an aggregate amount after the Restatement Effective Date together with the aggregate amount of loans and advances to Holdings made pursuant to Section 6.04(l) in lieu of Restricted Payments permitted by this clause (v) not to exceed $5,000,000 in any calendar year with unused amounts in any calendar year being carried over to succeeding calendar years subject to a maximum of $15,000,000 in any calendar year (without giving effect to the following proviso);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 in any calendar year may be increased by an amount not to exceed the cash proceeds of key man life insurance policies received by the Borrower or its Restricted Subsidiaries after the Restatement Effective Date and not previously applied pursuant to this clause (v);</w:t>
      </w:r>
    </w:p>
    <w:p>
      <w:pPr>
        <w:spacing w:after="0" w:line="119" w:lineRule="exact"/>
        <w:rPr>
          <w:sz w:val="20"/>
          <w:szCs w:val="20"/>
          <w:color w:val="auto"/>
        </w:rPr>
      </w:pPr>
    </w:p>
    <w:p>
      <w:pPr>
        <w:jc w:val="both"/>
        <w:ind w:firstLine="1274"/>
        <w:spacing w:after="0" w:line="267" w:lineRule="auto"/>
        <w:tabs>
          <w:tab w:leader="none" w:pos="1628" w:val="left"/>
        </w:tabs>
        <w:numPr>
          <w:ilvl w:val="0"/>
          <w:numId w:val="216"/>
        </w:numPr>
        <w:rPr>
          <w:rFonts w:ascii="Arial" w:cs="Arial" w:eastAsia="Arial" w:hAnsi="Arial"/>
          <w:sz w:val="19"/>
          <w:szCs w:val="19"/>
          <w:color w:val="auto"/>
        </w:rPr>
      </w:pPr>
      <w:r>
        <w:rPr>
          <w:rFonts w:ascii="Arial" w:cs="Arial" w:eastAsia="Arial" w:hAnsi="Arial"/>
          <w:sz w:val="19"/>
          <w:szCs w:val="19"/>
          <w:color w:val="auto"/>
        </w:rPr>
        <w:t>so long as the Borrower and Holdings are each treated as a pass-through or disregarded entity (a “</w:t>
      </w:r>
      <w:r>
        <w:rPr>
          <w:rFonts w:ascii="Arial" w:cs="Arial" w:eastAsia="Arial" w:hAnsi="Arial"/>
          <w:sz w:val="19"/>
          <w:szCs w:val="19"/>
          <w:b w:val="1"/>
          <w:bCs w:val="1"/>
          <w:color w:val="auto"/>
        </w:rPr>
        <w:t>Flow-Through Entity</w:t>
      </w:r>
      <w:r>
        <w:rPr>
          <w:rFonts w:ascii="Arial" w:cs="Arial" w:eastAsia="Arial" w:hAnsi="Arial"/>
          <w:sz w:val="19"/>
          <w:szCs w:val="19"/>
          <w:color w:val="auto"/>
        </w:rPr>
        <w:t xml:space="preserve">”) for U.S. federal and state income tax purposes, Borrower may make distributions to Holdings and Holdings may make distributions to its members for Permitted Tax Distributions at such times and with respect to such periods as Tax Distributions (as defined in the Holdings LLC Agreement) are required to be made or designated pursuant to the Holdings LLC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Holdings is not a Flow-Through Entity, so long as Borrower is a Flow-Through Entity, Borrower may make Permitted Tax Distributions to Holdings on a quarterly basis and at the end of a Taxable Year (with the determination of the Permitted Tax Distributions to be made by substituting Borrower for Holdings in the applicable definitions);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Restricted Payments under this clause (vi) in respect of any taxes attributable to the income of any Unrestricted Subsidiaries of the Borrower may be made only to the extent that such Unrestricted Subsidiaries have made cash payments for such purpose to the Borrower or its Restricted Subsidiaries;</w:t>
      </w:r>
    </w:p>
    <w:p>
      <w:pPr>
        <w:spacing w:after="0" w:line="130" w:lineRule="exact"/>
        <w:rPr>
          <w:rFonts w:ascii="Arial" w:cs="Arial" w:eastAsia="Arial" w:hAnsi="Arial"/>
          <w:sz w:val="19"/>
          <w:szCs w:val="19"/>
          <w:color w:val="auto"/>
        </w:rPr>
      </w:pPr>
    </w:p>
    <w:p>
      <w:pPr>
        <w:jc w:val="both"/>
        <w:ind w:right="20" w:firstLine="1274"/>
        <w:spacing w:after="0" w:line="250" w:lineRule="auto"/>
        <w:tabs>
          <w:tab w:leader="none" w:pos="1714"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any Intermediate Parent, the Borrower and the Restricted Subsidiaries may make Restricted Payments in cash to Holdings and any Intermediate Parent and, where applicable, Holdings and such Intermediate Parent may make Restricted Payments in cash:</w:t>
      </w:r>
    </w:p>
    <w:p>
      <w:pPr>
        <w:spacing w:after="0" w:line="131" w:lineRule="exact"/>
        <w:rPr>
          <w:rFonts w:ascii="Arial" w:cs="Arial" w:eastAsia="Arial" w:hAnsi="Arial"/>
          <w:sz w:val="21"/>
          <w:szCs w:val="21"/>
          <w:color w:val="auto"/>
        </w:rPr>
      </w:pPr>
    </w:p>
    <w:p>
      <w:pPr>
        <w:jc w:val="both"/>
        <w:ind w:left="640" w:firstLine="1269"/>
        <w:spacing w:after="0" w:line="269" w:lineRule="auto"/>
        <w:tabs>
          <w:tab w:leader="none" w:pos="2258"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proceeds of which shall be used by Holdings or any Intermediate Parent to pay (or to make Restricted Payments to allow any direct or indirect parent of Holdings to pay) (1) its operating expenses incurred in the ordinary course of business and other corporate overhead costs and expenses (including administrative, legal, accounting and similar expenses payable to third parties) that are reasonable and customary and incurred in the ordinary course of business, in an aggregate amount together with the aggregate amount of loans and advances to Holdings made pursuant to Section 6.04(l) in lieu of Restricted Payments permitted by this clause (a)(vii)(A) not to exceed $4,000,000 in any fiscal year, plus any reasonable and customary indemnification claims made by directors or officers of</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80"/>
          </w:cols>
          <w:pgMar w:left="1380" w:top="356" w:right="739" w:bottom="1440" w:gutter="0" w:footer="0" w:header="0"/>
        </w:sectPr>
      </w:pPr>
    </w:p>
    <w:bookmarkStart w:id="314" w:name="page315"/>
    <w:bookmarkEnd w:id="314"/>
    <w:p>
      <w:pPr>
        <w:jc w:val="both"/>
        <w:ind w:left="580"/>
        <w:spacing w:after="0" w:line="261" w:lineRule="auto"/>
        <w:rPr>
          <w:sz w:val="20"/>
          <w:szCs w:val="20"/>
          <w:color w:val="auto"/>
        </w:rPr>
      </w:pPr>
      <w:r>
        <w:rPr>
          <w:rFonts w:ascii="Arial" w:cs="Arial" w:eastAsia="Arial" w:hAnsi="Arial"/>
          <w:sz w:val="20"/>
          <w:szCs w:val="20"/>
          <w:color w:val="auto"/>
        </w:rPr>
        <w:t>Holdings (or any parent thereof) attributable to the ownership or operations of Holdings and the Restricted Subsidiaries or otherwise payable by Holdings pursuant to the Holdings LLC Agreement and (2) fees and expenses (x) due and payable by any of the Restricted Subsidiaries and (y) otherwise permitted to be paid (but not paid) by such Restricted Subsidiary under this Agreement;</w:t>
      </w:r>
    </w:p>
    <w:p>
      <w:pPr>
        <w:spacing w:after="0" w:line="124" w:lineRule="exact"/>
        <w:rPr>
          <w:sz w:val="20"/>
          <w:szCs w:val="20"/>
          <w:color w:val="auto"/>
        </w:rPr>
      </w:pPr>
    </w:p>
    <w:p>
      <w:pPr>
        <w:ind w:left="580" w:right="20" w:firstLine="1269"/>
        <w:spacing w:after="0" w:line="288" w:lineRule="auto"/>
        <w:tabs>
          <w:tab w:leader="none" w:pos="2221" w:val="left"/>
        </w:tabs>
        <w:numPr>
          <w:ilvl w:val="2"/>
          <w:numId w:val="217"/>
        </w:numPr>
        <w:rPr>
          <w:rFonts w:ascii="Arial" w:cs="Arial" w:eastAsia="Arial" w:hAnsi="Arial"/>
          <w:sz w:val="20"/>
          <w:szCs w:val="20"/>
          <w:color w:val="auto"/>
        </w:rPr>
      </w:pPr>
      <w:r>
        <w:rPr>
          <w:rFonts w:ascii="Arial" w:cs="Arial" w:eastAsia="Arial" w:hAnsi="Arial"/>
          <w:sz w:val="20"/>
          <w:szCs w:val="20"/>
          <w:color w:val="auto"/>
        </w:rPr>
        <w:t>the proceeds of which shall be used by Holdings or any Intermediate Parent to pay franchise taxes and other fees and expenses required to maintain its organizational existence;</w:t>
      </w:r>
    </w:p>
    <w:p>
      <w:pPr>
        <w:spacing w:after="0" w:line="109" w:lineRule="exact"/>
        <w:rPr>
          <w:rFonts w:ascii="Arial" w:cs="Arial" w:eastAsia="Arial" w:hAnsi="Arial"/>
          <w:sz w:val="20"/>
          <w:szCs w:val="20"/>
          <w:color w:val="auto"/>
        </w:rPr>
      </w:pPr>
    </w:p>
    <w:p>
      <w:pPr>
        <w:ind w:left="580" w:right="20" w:firstLine="1269"/>
        <w:spacing w:after="0" w:line="263" w:lineRule="auto"/>
        <w:tabs>
          <w:tab w:leader="none" w:pos="2188" w:val="left"/>
        </w:tabs>
        <w:numPr>
          <w:ilvl w:val="2"/>
          <w:numId w:val="217"/>
        </w:numPr>
        <w:rPr>
          <w:rFonts w:ascii="Arial" w:cs="Arial" w:eastAsia="Arial" w:hAnsi="Arial"/>
          <w:sz w:val="21"/>
          <w:szCs w:val="21"/>
          <w:color w:val="auto"/>
        </w:rPr>
      </w:pPr>
      <w:r>
        <w:rPr>
          <w:rFonts w:ascii="Arial" w:cs="Arial" w:eastAsia="Arial" w:hAnsi="Arial"/>
          <w:sz w:val="21"/>
          <w:szCs w:val="21"/>
          <w:color w:val="auto"/>
        </w:rPr>
        <w:t>the proceeds of which shall be used by Holdings to make Restricted Payments permitted by Section 6.08(a)(iv) or Section 6.08(a)(v);</w:t>
      </w:r>
    </w:p>
    <w:p>
      <w:pPr>
        <w:spacing w:after="0" w:line="118" w:lineRule="exact"/>
        <w:rPr>
          <w:rFonts w:ascii="Arial" w:cs="Arial" w:eastAsia="Arial" w:hAnsi="Arial"/>
          <w:sz w:val="21"/>
          <w:szCs w:val="21"/>
          <w:color w:val="auto"/>
        </w:rPr>
      </w:pPr>
    </w:p>
    <w:p>
      <w:pPr>
        <w:ind w:left="2200" w:hanging="351"/>
        <w:spacing w:after="0"/>
        <w:tabs>
          <w:tab w:leader="none" w:pos="2200" w:val="left"/>
        </w:tabs>
        <w:numPr>
          <w:ilvl w:val="2"/>
          <w:numId w:val="217"/>
        </w:numPr>
        <w:rPr>
          <w:rFonts w:ascii="Arial" w:cs="Arial" w:eastAsia="Arial" w:hAnsi="Arial"/>
          <w:sz w:val="19"/>
          <w:szCs w:val="19"/>
          <w:color w:val="auto"/>
        </w:rPr>
      </w:pPr>
      <w:r>
        <w:rPr>
          <w:rFonts w:ascii="Arial" w:cs="Arial" w:eastAsia="Arial" w:hAnsi="Arial"/>
          <w:sz w:val="19"/>
          <w:szCs w:val="19"/>
          <w:color w:val="auto"/>
        </w:rPr>
        <w:t xml:space="preserve">to finance any Investment permitted to be made pursuant to Section 6.04;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37" w:lineRule="exact"/>
        <w:rPr>
          <w:rFonts w:ascii="Arial" w:cs="Arial" w:eastAsia="Arial" w:hAnsi="Arial"/>
          <w:sz w:val="19"/>
          <w:szCs w:val="19"/>
          <w:color w:val="auto"/>
        </w:rPr>
      </w:pPr>
    </w:p>
    <w:p>
      <w:pPr>
        <w:jc w:val="both"/>
        <w:ind w:left="580" w:hanging="1"/>
        <w:spacing w:after="0" w:line="267" w:lineRule="auto"/>
        <w:tabs>
          <w:tab w:leader="none" w:pos="938" w:val="left"/>
        </w:tabs>
        <w:numPr>
          <w:ilvl w:val="0"/>
          <w:numId w:val="218"/>
        </w:numPr>
        <w:rPr>
          <w:rFonts w:ascii="Arial" w:cs="Arial" w:eastAsia="Arial" w:hAnsi="Arial"/>
          <w:sz w:val="19"/>
          <w:szCs w:val="19"/>
          <w:color w:val="auto"/>
        </w:rPr>
      </w:pPr>
      <w:r>
        <w:rPr>
          <w:rFonts w:ascii="Arial" w:cs="Arial" w:eastAsia="Arial" w:hAnsi="Arial"/>
          <w:sz w:val="19"/>
          <w:szCs w:val="19"/>
          <w:color w:val="auto"/>
        </w:rPr>
        <w:t>such Restricted Payment shall be made substantially concurrently with the closing of such Investment and (B) Holdings or any Intermediate Parent shall, immediately following the closing thereof, cause (1) all property acquired (whether assets or Equity Interests but not including any loans or advances made pursuant to Section 6.04(b)) to be contributed to the Borrower or the Restricted Subsidiaries or (2) the Person formed or acquired to merge into or consolidate with the Borrower or any of the Restricted Subsidiaries (to the extent such merger or consolidation is permitted under Section 6.03) in order to consummate such Investment, in each case in accordance with the requirements of Sections 5.11 and 5.12;</w:t>
      </w:r>
    </w:p>
    <w:p>
      <w:pPr>
        <w:spacing w:after="0" w:line="119" w:lineRule="exact"/>
        <w:rPr>
          <w:rFonts w:ascii="Arial" w:cs="Arial" w:eastAsia="Arial" w:hAnsi="Arial"/>
          <w:sz w:val="19"/>
          <w:szCs w:val="19"/>
          <w:color w:val="auto"/>
        </w:rPr>
      </w:pPr>
    </w:p>
    <w:p>
      <w:pPr>
        <w:jc w:val="both"/>
        <w:ind w:left="580" w:firstLine="1269"/>
        <w:spacing w:after="0" w:line="250" w:lineRule="auto"/>
        <w:tabs>
          <w:tab w:leader="none" w:pos="2176" w:val="left"/>
        </w:tabs>
        <w:numPr>
          <w:ilvl w:val="2"/>
          <w:numId w:val="218"/>
        </w:numPr>
        <w:rPr>
          <w:rFonts w:ascii="Arial" w:cs="Arial" w:eastAsia="Arial" w:hAnsi="Arial"/>
          <w:sz w:val="21"/>
          <w:szCs w:val="21"/>
          <w:color w:val="auto"/>
        </w:rPr>
      </w:pPr>
      <w:r>
        <w:rPr>
          <w:rFonts w:ascii="Arial" w:cs="Arial" w:eastAsia="Arial" w:hAnsi="Arial"/>
          <w:sz w:val="21"/>
          <w:szCs w:val="21"/>
          <w:color w:val="auto"/>
        </w:rPr>
        <w:t>the proceeds of which shall be used to pay (or to make Restricted Payments to allow any direct or indirect parent thereof to pay) fees and expenses related to any equity or debt offering permitted by this Agreement; and</w:t>
      </w:r>
    </w:p>
    <w:p>
      <w:pPr>
        <w:spacing w:after="0" w:line="144" w:lineRule="exact"/>
        <w:rPr>
          <w:rFonts w:ascii="Arial" w:cs="Arial" w:eastAsia="Arial" w:hAnsi="Arial"/>
          <w:sz w:val="21"/>
          <w:szCs w:val="21"/>
          <w:color w:val="auto"/>
        </w:rPr>
      </w:pPr>
    </w:p>
    <w:p>
      <w:pPr>
        <w:ind w:left="2160" w:hanging="311"/>
        <w:spacing w:after="0"/>
        <w:tabs>
          <w:tab w:leader="none" w:pos="2160" w:val="left"/>
        </w:tabs>
        <w:numPr>
          <w:ilvl w:val="2"/>
          <w:numId w:val="218"/>
        </w:numPr>
        <w:rPr>
          <w:rFonts w:ascii="Arial" w:cs="Arial" w:eastAsia="Arial" w:hAnsi="Arial"/>
          <w:sz w:val="19"/>
          <w:szCs w:val="19"/>
          <w:color w:val="auto"/>
        </w:rPr>
      </w:pPr>
      <w:r>
        <w:rPr>
          <w:rFonts w:ascii="Arial" w:cs="Arial" w:eastAsia="Arial" w:hAnsi="Arial"/>
          <w:sz w:val="19"/>
          <w:szCs w:val="19"/>
          <w:color w:val="auto"/>
        </w:rPr>
        <w:t>the proceeds of which shall be used to make payments permitted by clause (b)(iv) of this</w:t>
      </w:r>
    </w:p>
    <w:p>
      <w:pPr>
        <w:spacing w:after="0" w:line="37"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1"/>
          <w:szCs w:val="21"/>
          <w:color w:val="auto"/>
        </w:rPr>
        <w:t>Section 6.08;</w:t>
      </w:r>
    </w:p>
    <w:p>
      <w:pPr>
        <w:spacing w:after="0" w:line="150" w:lineRule="exact"/>
        <w:rPr>
          <w:rFonts w:ascii="Arial" w:cs="Arial" w:eastAsia="Arial" w:hAnsi="Arial"/>
          <w:sz w:val="19"/>
          <w:szCs w:val="19"/>
          <w:color w:val="auto"/>
        </w:rPr>
      </w:pPr>
    </w:p>
    <w:p>
      <w:pPr>
        <w:jc w:val="both"/>
        <w:ind w:left="-60" w:firstLine="1274"/>
        <w:spacing w:after="0" w:line="268" w:lineRule="auto"/>
        <w:tabs>
          <w:tab w:leader="none" w:pos="1717" w:val="left"/>
        </w:tabs>
        <w:numPr>
          <w:ilvl w:val="1"/>
          <w:numId w:val="218"/>
        </w:numPr>
        <w:rPr>
          <w:rFonts w:ascii="Arial" w:cs="Arial" w:eastAsia="Arial" w:hAnsi="Arial"/>
          <w:sz w:val="19"/>
          <w:szCs w:val="19"/>
          <w:color w:val="auto"/>
        </w:rPr>
      </w:pPr>
      <w:r>
        <w:rPr>
          <w:rFonts w:ascii="Arial" w:cs="Arial" w:eastAsia="Arial" w:hAnsi="Arial"/>
          <w:sz w:val="19"/>
          <w:szCs w:val="19"/>
          <w:color w:val="auto"/>
        </w:rPr>
        <w:t>in addition to the foregoing Restricted Payments and so long as (x) no Default shall have occurred and be continuing or would result therefrom and (y) the Borrower would be in compliance with the Financial Performance Covenants on a Pro Forma Basis as of the end of the most recent Test Period for which financial statements are available (after giving Pro Forma Effect to such additional Restricted Payments), the Borrower and any Intermediate Parent may make additional Restricted Payments to any Intermediate Parent and Holdings the proceeds of which may be utilized by Holdings to make additional Restricted Payments, in an aggregate amount, together with the aggregate amount of (1) prepayments, redemptions, purchases, defeasances and other payments in respect of Junior Financings made pursuant to Section 6.08(b)(iv) and (2) loans and advances made pursuant to Section 6.04(l) in lieu of Restricted Payments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60"/>
        <w:spacing w:after="0"/>
        <w:rPr>
          <w:sz w:val="20"/>
          <w:szCs w:val="20"/>
          <w:color w:val="auto"/>
        </w:rPr>
      </w:pPr>
      <w:r>
        <w:rPr>
          <w:rFonts w:ascii="Arial" w:cs="Arial" w:eastAsia="Arial" w:hAnsi="Arial"/>
          <w:sz w:val="21"/>
          <w:szCs w:val="21"/>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78740</wp:posOffset>
            </wp:positionV>
            <wp:extent cx="661098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20"/>
          </w:cols>
          <w:pgMar w:left="1440" w:top="356" w:right="739" w:bottom="1440" w:gutter="0" w:footer="0" w:header="0"/>
        </w:sectPr>
      </w:pPr>
    </w:p>
    <w:bookmarkStart w:id="315" w:name="page316"/>
    <w:bookmarkEnd w:id="315"/>
    <w:p>
      <w:pPr>
        <w:jc w:val="both"/>
        <w:ind w:left="640"/>
        <w:spacing w:after="0" w:line="263" w:lineRule="auto"/>
        <w:rPr>
          <w:sz w:val="20"/>
          <w:szCs w:val="20"/>
          <w:color w:val="auto"/>
        </w:rPr>
      </w:pPr>
      <w:r>
        <w:rPr>
          <w:rFonts w:ascii="Arial" w:cs="Arial" w:eastAsia="Arial" w:hAnsi="Arial"/>
          <w:sz w:val="19"/>
          <w:szCs w:val="19"/>
          <w:color w:val="auto"/>
        </w:rPr>
        <w:t xml:space="preserve">permitted by this clause (viii), in each case, after the Restatement Effective Date, not to exceed (x) $25,000,000 (or, if the Escrow Assumption Date has occurred, $50,000,000) </w:t>
      </w:r>
      <w:r>
        <w:rPr>
          <w:rFonts w:ascii="Arial" w:cs="Arial" w:eastAsia="Arial" w:hAnsi="Arial"/>
          <w:sz w:val="19"/>
          <w:szCs w:val="19"/>
          <w:i w:val="1"/>
          <w:iCs w:val="1"/>
          <w:color w:val="auto"/>
        </w:rPr>
        <w:t>plus</w:t>
      </w:r>
      <w:r>
        <w:rPr>
          <w:rFonts w:ascii="Arial" w:cs="Arial" w:eastAsia="Arial" w:hAnsi="Arial"/>
          <w:sz w:val="19"/>
          <w:szCs w:val="19"/>
          <w:color w:val="auto"/>
        </w:rPr>
        <w:t xml:space="preserve"> (y) (I) prior to the Escrow Assumption Date, the aggregate amount of the Net Proceeds of the issuance of, or contribution in respect of existing, Qualified Equity Interests, in each case to the extent contributed to the Borrower as cash common equity after the Restatement Effective Date (other than any such issuance or contribution made pursuant to Section 7.02 or any issuance to or contribution from a Restricted Subsidiary) that are Not Otherwise Applied and (II) if the Escrow Assumption Date has occurred, the aggregate amount of the Net Proceeds of the issuance of, or contribution in respect of existing, Qualified Equity Interests, in each case to the extent contributed to the Borrower as cash common equity after the Escrow Assumption Date (other than any such issuance or contribution made pursuant to Section 7.02 or any issuance to or contribution from a Restricted Subsidiary) that are Not Otherwise Applied, </w:t>
      </w:r>
      <w:r>
        <w:rPr>
          <w:rFonts w:ascii="Arial" w:cs="Arial" w:eastAsia="Arial" w:hAnsi="Arial"/>
          <w:sz w:val="19"/>
          <w:szCs w:val="19"/>
          <w:i w:val="1"/>
          <w:iCs w:val="1"/>
          <w:color w:val="auto"/>
        </w:rPr>
        <w:t>plus</w:t>
      </w:r>
    </w:p>
    <w:p>
      <w:pPr>
        <w:spacing w:after="0" w:line="5" w:lineRule="exact"/>
        <w:rPr>
          <w:sz w:val="20"/>
          <w:szCs w:val="20"/>
          <w:color w:val="auto"/>
        </w:rPr>
      </w:pPr>
    </w:p>
    <w:p>
      <w:pPr>
        <w:jc w:val="both"/>
        <w:ind w:left="640" w:firstLine="4"/>
        <w:spacing w:after="0" w:line="252" w:lineRule="auto"/>
        <w:tabs>
          <w:tab w:leader="none" w:pos="966"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the amount of Cumulative Excess Cash Flow that is Not Otherwise Applied;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the Escrow Assumption Date has occurred, the Total Leverage Ratio at such time, determined on a Pro Forma Basis, is less than or equal to (A) 4.25 to 1.00, in the case of any Restricted Payment prior to March 31, 2019, (B) 3.75 to 1.00, in the case of any Restricted Payment on or after March 31, 2019 but prior to March 31, 2020, (C) 3.00 to 1.00, in the case of any Restricted Payment on or after March 31, 2020 but prior to March 31, 2021 and (D) 2.50 to 1.00 in the case of any Restricted Payment on or after March 31, 2021;</w:t>
      </w:r>
    </w:p>
    <w:p>
      <w:pPr>
        <w:spacing w:after="0" w:line="133" w:lineRule="exact"/>
        <w:rPr>
          <w:rFonts w:ascii="Arial" w:cs="Arial" w:eastAsia="Arial" w:hAnsi="Arial"/>
          <w:sz w:val="20"/>
          <w:szCs w:val="20"/>
          <w:color w:val="auto"/>
        </w:rPr>
      </w:pPr>
    </w:p>
    <w:p>
      <w:pPr>
        <w:jc w:val="both"/>
        <w:ind w:left="640" w:firstLine="1274"/>
        <w:spacing w:after="0" w:line="279" w:lineRule="auto"/>
        <w:tabs>
          <w:tab w:leader="none" w:pos="2294" w:val="left"/>
        </w:tabs>
        <w:numPr>
          <w:ilvl w:val="1"/>
          <w:numId w:val="219"/>
        </w:numPr>
        <w:rPr>
          <w:rFonts w:ascii="Arial" w:cs="Arial" w:eastAsia="Arial" w:hAnsi="Arial"/>
          <w:sz w:val="19"/>
          <w:szCs w:val="19"/>
          <w:color w:val="auto"/>
        </w:rPr>
      </w:pPr>
      <w:r>
        <w:rPr>
          <w:rFonts w:ascii="Arial" w:cs="Arial" w:eastAsia="Arial" w:hAnsi="Arial"/>
          <w:sz w:val="19"/>
          <w:szCs w:val="19"/>
          <w:color w:val="auto"/>
        </w:rPr>
        <w:t xml:space="preserve">redemptions in whole or in part of any of its Equity Interests for another class of its Equity Interests or with proceeds from substantially concurrent equity contributions or issuances of new Equity Interests;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new Equity Interests contain terms and provisions at least as advantageous to the Lenders in all</w:t>
      </w:r>
      <w:r>
        <w:rPr>
          <w:rFonts w:ascii="Arial" w:cs="Arial" w:eastAsia="Arial" w:hAnsi="Arial"/>
          <w:sz w:val="19"/>
          <w:szCs w:val="19"/>
          <w:i w:val="1"/>
          <w:iCs w:val="1"/>
          <w:color w:val="auto"/>
        </w:rPr>
        <w:t xml:space="preserve"> </w:t>
      </w:r>
      <w:r>
        <w:rPr>
          <w:rFonts w:ascii="Arial" w:cs="Arial" w:eastAsia="Arial" w:hAnsi="Arial"/>
          <w:sz w:val="19"/>
          <w:szCs w:val="19"/>
          <w:color w:val="auto"/>
        </w:rPr>
        <w:t>respects material to their interests as those contained in the Equity Interests redeemed thereby;</w:t>
      </w:r>
    </w:p>
    <w:p>
      <w:pPr>
        <w:spacing w:after="0" w:line="121" w:lineRule="exact"/>
        <w:rPr>
          <w:rFonts w:ascii="Arial" w:cs="Arial" w:eastAsia="Arial" w:hAnsi="Arial"/>
          <w:sz w:val="19"/>
          <w:szCs w:val="19"/>
          <w:color w:val="auto"/>
        </w:rPr>
      </w:pPr>
    </w:p>
    <w:p>
      <w:pPr>
        <w:ind w:left="2220" w:hanging="306"/>
        <w:spacing w:after="0"/>
        <w:tabs>
          <w:tab w:leader="none" w:pos="2220" w:val="left"/>
        </w:tabs>
        <w:numPr>
          <w:ilvl w:val="1"/>
          <w:numId w:val="219"/>
        </w:numPr>
        <w:rPr>
          <w:rFonts w:ascii="Arial" w:cs="Arial" w:eastAsia="Arial" w:hAnsi="Arial"/>
          <w:sz w:val="21"/>
          <w:szCs w:val="21"/>
          <w:color w:val="auto"/>
        </w:rPr>
      </w:pPr>
      <w:r>
        <w:rPr>
          <w:rFonts w:ascii="Arial" w:cs="Arial" w:eastAsia="Arial" w:hAnsi="Arial"/>
          <w:sz w:val="21"/>
          <w:szCs w:val="21"/>
          <w:color w:val="auto"/>
        </w:rPr>
        <w:t>Restricted Payments contemplated by the Merger Agreement; and</w:t>
      </w:r>
    </w:p>
    <w:p>
      <w:pPr>
        <w:spacing w:after="0" w:line="168" w:lineRule="exact"/>
        <w:rPr>
          <w:rFonts w:ascii="Arial" w:cs="Arial" w:eastAsia="Arial" w:hAnsi="Arial"/>
          <w:sz w:val="21"/>
          <w:szCs w:val="21"/>
          <w:color w:val="auto"/>
        </w:rPr>
      </w:pPr>
    </w:p>
    <w:p>
      <w:pPr>
        <w:jc w:val="both"/>
        <w:ind w:left="640" w:firstLine="1274"/>
        <w:spacing w:after="0" w:line="245" w:lineRule="auto"/>
        <w:tabs>
          <w:tab w:leader="none" w:pos="2315" w:val="left"/>
        </w:tabs>
        <w:numPr>
          <w:ilvl w:val="1"/>
          <w:numId w:val="219"/>
        </w:numPr>
        <w:rPr>
          <w:rFonts w:ascii="Arial" w:cs="Arial" w:eastAsia="Arial" w:hAnsi="Arial"/>
          <w:sz w:val="21"/>
          <w:szCs w:val="21"/>
          <w:color w:val="auto"/>
        </w:rPr>
      </w:pPr>
      <w:r>
        <w:rPr>
          <w:rFonts w:ascii="Arial" w:cs="Arial" w:eastAsia="Arial" w:hAnsi="Arial"/>
          <w:sz w:val="21"/>
          <w:szCs w:val="21"/>
          <w:color w:val="auto"/>
        </w:rPr>
        <w:t>prior to the Escrow Assumption Date, Restricted Payments to be provided to the Escrow Borrower to fund interest and other amounts owing or required to be pre-funded with respect to the Escrow Term Loans and, to the extent applicable, interest and other amounts owing or required to be pre-funded in respect of the Second Lien Notes.</w:t>
      </w:r>
    </w:p>
    <w:p>
      <w:pPr>
        <w:spacing w:after="0" w:line="138" w:lineRule="exact"/>
        <w:rPr>
          <w:sz w:val="20"/>
          <w:szCs w:val="20"/>
          <w:color w:val="auto"/>
        </w:rPr>
      </w:pPr>
    </w:p>
    <w:p>
      <w:pPr>
        <w:jc w:val="both"/>
        <w:ind w:firstLine="644"/>
        <w:spacing w:after="0" w:line="256" w:lineRule="auto"/>
        <w:tabs>
          <w:tab w:leader="none" w:pos="954" w:val="left"/>
        </w:tabs>
        <w:numPr>
          <w:ilvl w:val="0"/>
          <w:numId w:val="220"/>
        </w:numPr>
        <w:rPr>
          <w:rFonts w:ascii="Arial" w:cs="Arial" w:eastAsia="Arial" w:hAnsi="Arial"/>
          <w:sz w:val="20"/>
          <w:szCs w:val="20"/>
          <w:color w:val="auto"/>
        </w:rPr>
      </w:pPr>
      <w:r>
        <w:rPr>
          <w:rFonts w:ascii="Arial" w:cs="Arial" w:eastAsia="Arial" w:hAnsi="Arial"/>
          <w:sz w:val="20"/>
          <w:szCs w:val="20"/>
          <w:color w:val="auto"/>
        </w:rPr>
        <w:t>Neither Holdings nor the Borrower will, nor will they permit any Restricted Subsidiary to, make or agree to pay or make, directly or indirectly, any payment or other distribution (whether in cash, securities or other property) of or in respect of principal of or interest on any Junior Financing, or any payment or other distribution (whether in cash, securities or other property), including any sinking fund or similar deposit, on account of the purchase, redemption, retirement, acquisition, cancellation or termination of any Junior Financing, or any other payment (including any payment under any Swap Agreement) that has a substantially similar effect to any of the foregoing,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8">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16" w:name="page317"/>
    <w:bookmarkEnd w:id="316"/>
    <w:p>
      <w:pPr>
        <w:ind w:firstLine="771"/>
        <w:spacing w:after="0" w:line="316" w:lineRule="auto"/>
        <w:tabs>
          <w:tab w:leader="none" w:pos="1083" w:val="left"/>
        </w:tabs>
        <w:numPr>
          <w:ilvl w:val="0"/>
          <w:numId w:val="221"/>
        </w:numPr>
        <w:rPr>
          <w:rFonts w:ascii="Arial" w:cs="Arial" w:eastAsia="Arial" w:hAnsi="Arial"/>
          <w:sz w:val="19"/>
          <w:szCs w:val="19"/>
          <w:color w:val="auto"/>
        </w:rPr>
      </w:pPr>
      <w:r>
        <w:rPr>
          <w:rFonts w:ascii="Arial" w:cs="Arial" w:eastAsia="Arial" w:hAnsi="Arial"/>
          <w:sz w:val="19"/>
          <w:szCs w:val="19"/>
          <w:color w:val="auto"/>
        </w:rPr>
        <w:t>payment of regularly scheduled interest and principal payments as and when due in respect of any Indebtedness, other than payments in respect of any Junior Financing prohibited by the subordination provisions thereof;</w:t>
      </w:r>
    </w:p>
    <w:p>
      <w:pPr>
        <w:spacing w:after="0" w:line="72" w:lineRule="exact"/>
        <w:rPr>
          <w:rFonts w:ascii="Arial" w:cs="Arial" w:eastAsia="Arial" w:hAnsi="Arial"/>
          <w:sz w:val="19"/>
          <w:szCs w:val="19"/>
          <w:color w:val="auto"/>
        </w:rPr>
      </w:pPr>
    </w:p>
    <w:p>
      <w:pPr>
        <w:ind w:left="1080" w:hanging="309"/>
        <w:spacing w:after="0"/>
        <w:tabs>
          <w:tab w:leader="none" w:pos="1080" w:val="left"/>
        </w:tabs>
        <w:numPr>
          <w:ilvl w:val="0"/>
          <w:numId w:val="221"/>
        </w:numPr>
        <w:rPr>
          <w:rFonts w:ascii="Arial" w:cs="Arial" w:eastAsia="Arial" w:hAnsi="Arial"/>
          <w:sz w:val="21"/>
          <w:szCs w:val="21"/>
          <w:color w:val="auto"/>
        </w:rPr>
      </w:pPr>
      <w:r>
        <w:rPr>
          <w:rFonts w:ascii="Arial" w:cs="Arial" w:eastAsia="Arial" w:hAnsi="Arial"/>
          <w:sz w:val="21"/>
          <w:szCs w:val="21"/>
          <w:color w:val="auto"/>
        </w:rPr>
        <w:t>refinancings of Indebtedness to the extent permitted by Section 6.01;</w:t>
      </w:r>
    </w:p>
    <w:p>
      <w:pPr>
        <w:spacing w:after="0" w:line="181" w:lineRule="exact"/>
        <w:rPr>
          <w:rFonts w:ascii="Arial" w:cs="Arial" w:eastAsia="Arial" w:hAnsi="Arial"/>
          <w:sz w:val="21"/>
          <w:szCs w:val="21"/>
          <w:color w:val="auto"/>
        </w:rPr>
      </w:pPr>
    </w:p>
    <w:p>
      <w:pPr>
        <w:ind w:firstLine="771"/>
        <w:spacing w:after="0" w:line="263" w:lineRule="auto"/>
        <w:tabs>
          <w:tab w:leader="none" w:pos="1172" w:val="left"/>
        </w:tabs>
        <w:numPr>
          <w:ilvl w:val="0"/>
          <w:numId w:val="221"/>
        </w:numPr>
        <w:rPr>
          <w:rFonts w:ascii="Arial" w:cs="Arial" w:eastAsia="Arial" w:hAnsi="Arial"/>
          <w:sz w:val="21"/>
          <w:szCs w:val="21"/>
          <w:color w:val="auto"/>
        </w:rPr>
      </w:pPr>
      <w:r>
        <w:rPr>
          <w:rFonts w:ascii="Arial" w:cs="Arial" w:eastAsia="Arial" w:hAnsi="Arial"/>
          <w:sz w:val="21"/>
          <w:szCs w:val="21"/>
          <w:color w:val="auto"/>
        </w:rPr>
        <w:t>the conversion of any Junior Financing to Equity Interests (other than Disqualified Equity Interests) of Holdings or any of its direct or indirect parent companies or any Intermediate Parent; and</w:t>
      </w:r>
    </w:p>
    <w:p>
      <w:pPr>
        <w:spacing w:after="0" w:line="118" w:lineRule="exact"/>
        <w:rPr>
          <w:rFonts w:ascii="Arial" w:cs="Arial" w:eastAsia="Arial" w:hAnsi="Arial"/>
          <w:sz w:val="21"/>
          <w:szCs w:val="21"/>
          <w:color w:val="auto"/>
        </w:rPr>
      </w:pPr>
    </w:p>
    <w:p>
      <w:pPr>
        <w:jc w:val="both"/>
        <w:ind w:firstLine="771"/>
        <w:spacing w:after="0" w:line="250" w:lineRule="auto"/>
        <w:tabs>
          <w:tab w:leader="none" w:pos="1159"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so long as (x) no Default shall have occurred and be continuing or would result therefrom and (y) the Borrower would be in compliance with the Financial Performance Covenants on a Pro Forma Basis as of the end of the most recent Test Period for which financial statements are available (after giving Pro Forma Effect to such prepayments, redemptions, purchases, defeasances and other payments), prepayments, redemptions, purchases, defeasances and other payments in respect of Junior Financings prior to their scheduled maturity in an aggregate amount, together with the aggregate amount of (1) Restricted Payments made pursuant to clause (a)(viii) and (2) loans and advances made pursuant to Section 6.04(l) in lieu thereof, in each case, after the Restatement Effective Date, not to exceed the sum of (I) prior to the Escrow Assumption Date, (x) $25,000,000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(y) the amount of the Net Proceeds of issuances of, or contributions in respect of existing, Qualified Equity Interests, in each case to the extent contributed to the Borrower as cash common equity after the Restatement Effective Date (other than any such issuance or contribution made pursuant to Section 7.02 or any issuance to or contribution from a Restricted Subsidiary) that are Not Otherwise Applied </w:t>
      </w:r>
      <w:r>
        <w:rPr>
          <w:rFonts w:ascii="Arial" w:cs="Arial" w:eastAsia="Arial" w:hAnsi="Arial"/>
          <w:sz w:val="20"/>
          <w:szCs w:val="20"/>
          <w:i w:val="1"/>
          <w:iCs w:val="1"/>
          <w:color w:val="auto"/>
        </w:rPr>
        <w:t>plus</w:t>
      </w:r>
      <w:r>
        <w:rPr>
          <w:rFonts w:ascii="Arial" w:cs="Arial" w:eastAsia="Arial" w:hAnsi="Arial"/>
          <w:sz w:val="20"/>
          <w:szCs w:val="20"/>
          <w:color w:val="auto"/>
        </w:rPr>
        <w:t xml:space="preserve"> (z) the amount of Cumulative Excess Cash Flow that is Not Otherwise Applied and (II) if the Escrow Assumption Date occurs, (x) $50,000,000 </w:t>
      </w:r>
      <w:r>
        <w:rPr>
          <w:rFonts w:ascii="Arial" w:cs="Arial" w:eastAsia="Arial" w:hAnsi="Arial"/>
          <w:sz w:val="20"/>
          <w:szCs w:val="20"/>
          <w:i w:val="1"/>
          <w:iCs w:val="1"/>
          <w:color w:val="auto"/>
        </w:rPr>
        <w:t>plus</w:t>
      </w:r>
      <w:r>
        <w:rPr>
          <w:rFonts w:ascii="Arial" w:cs="Arial" w:eastAsia="Arial" w:hAnsi="Arial"/>
          <w:sz w:val="20"/>
          <w:szCs w:val="20"/>
          <w:color w:val="auto"/>
        </w:rPr>
        <w:t xml:space="preserve"> (y) the amount of the Net Proceeds of issuances of, or contributions in respect of existing, Qualified Equity Interests, in each case to the extent contributed to the Borrower as cash common equity after the Escrow Assumption Date (other than any such issuance or contribution made pursuant to Section 7.02 or any issuance to or contribution from a Restricted Subsidiary) that are Not Otherwise Applied </w:t>
      </w:r>
      <w:r>
        <w:rPr>
          <w:rFonts w:ascii="Arial" w:cs="Arial" w:eastAsia="Arial" w:hAnsi="Arial"/>
          <w:sz w:val="20"/>
          <w:szCs w:val="20"/>
          <w:i w:val="1"/>
          <w:iCs w:val="1"/>
          <w:color w:val="auto"/>
        </w:rPr>
        <w:t>plus</w:t>
      </w:r>
      <w:r>
        <w:rPr>
          <w:rFonts w:ascii="Arial" w:cs="Arial" w:eastAsia="Arial" w:hAnsi="Arial"/>
          <w:sz w:val="20"/>
          <w:szCs w:val="20"/>
          <w:color w:val="auto"/>
        </w:rPr>
        <w:t xml:space="preserve"> (z) the amount of Cumulative Excess Cash Flow that is Not Otherwise Applied;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that the Total Leverage Ratio at such time, determined on a Pro Forma Basis, is less than or equal to (I) 4.25 to 1.00, in the case of any payment prior to the March 31, 2019, (II) 3.75 to 1.00, in the case of any payment on or after March 31, 2019 but prior to March 31, 2020, (III) 3.00 to 1.00, in the case of any payment on or after March 31, 2020 but prior to March 31, 2021 and (IV) 2.50 to 1.00 with respect to any payment on or after March 31, 2021.</w:t>
      </w:r>
    </w:p>
    <w:p>
      <w:pPr>
        <w:spacing w:after="0" w:line="142"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6.09. </w:t>
      </w:r>
      <w:r>
        <w:rPr>
          <w:rFonts w:ascii="Arial" w:cs="Arial" w:eastAsia="Arial" w:hAnsi="Arial"/>
          <w:sz w:val="21"/>
          <w:szCs w:val="21"/>
          <w:i w:val="1"/>
          <w:iCs w:val="1"/>
          <w:color w:val="auto"/>
        </w:rPr>
        <w:t>Transactions with Affiliates.</w:t>
      </w:r>
      <w:r>
        <w:rPr>
          <w:rFonts w:ascii="Arial" w:cs="Arial" w:eastAsia="Arial" w:hAnsi="Arial"/>
          <w:sz w:val="21"/>
          <w:szCs w:val="21"/>
          <w:color w:val="auto"/>
        </w:rPr>
        <w:t xml:space="preserve"> Neither Holdings nor the Borrower will, nor will they permit any Restricted Subsidiary to, sell, lease or otherwise transfer any property or assets to, or purchase, lease or otherwise acquire any property or assets from, or otherwise engage in any other transactions with, any of its Affiliates, except (a) transactions with Holdings, the Borrower or any Restricted Subsidiary, (b) on terms substantially as favorable to Holdings, the Borrower or such Restricted Subsidiary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9">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17" w:name="page318"/>
    <w:bookmarkEnd w:id="317"/>
    <w:p>
      <w:pPr>
        <w:jc w:val="both"/>
        <w:spacing w:after="0" w:line="265" w:lineRule="auto"/>
        <w:rPr>
          <w:sz w:val="20"/>
          <w:szCs w:val="20"/>
          <w:color w:val="auto"/>
        </w:rPr>
      </w:pPr>
      <w:r>
        <w:rPr>
          <w:rFonts w:ascii="Arial" w:cs="Arial" w:eastAsia="Arial" w:hAnsi="Arial"/>
          <w:sz w:val="19"/>
          <w:szCs w:val="19"/>
          <w:color w:val="auto"/>
        </w:rPr>
        <w:t>would be obtainable by such Person at the time in a comparable arm’s-length transaction with a Person other than an Affiliate, (c) Holdings, the Borrower or any Restricted Subsidiary shall be permitted to enter any underwriting agreements, stock purchase agreements or other similar agreements in connection with offerings of securities and provide customary representations, warranties, covenants and indemnities in respect of Virtu Financial, Inc., its subsidiaries and such offering in connection therewith, (d) issuances of Equity Interests of Holdings to the extent otherwise permitted by this Agreement,</w:t>
      </w:r>
    </w:p>
    <w:p>
      <w:pPr>
        <w:spacing w:after="0" w:line="2" w:lineRule="exact"/>
        <w:rPr>
          <w:sz w:val="20"/>
          <w:szCs w:val="20"/>
          <w:color w:val="auto"/>
        </w:rPr>
      </w:pPr>
    </w:p>
    <w:p>
      <w:pPr>
        <w:jc w:val="both"/>
        <w:ind w:firstLine="9"/>
        <w:spacing w:after="0" w:line="250" w:lineRule="auto"/>
        <w:tabs>
          <w:tab w:leader="none" w:pos="311"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employment and severance arrangements between Holdings, the Borrower and the Restricted Subsidiaries and their respective officers and employees in the ordinary course of business (including loans and advances pursuant to Sections 6.04(b) and 6.04(n)), (f) payments by Holdings (and any direct or indirect parent thereof), the Borrower and the Restricted Subsidiaries pursuant to tax sharing agreements among Holdings (and any such parent thereof), the Borrower and the Restricted Subsidiaries on customary terms to the extent attributable to the ownership or operation of the Borrower and the Restricted Subsidiaries, to the extent payments are Permitted Tax Distributions, (g) the payment of customary fees and reasonable out-of-pocket costs to, and indemnities provided on behalf of, directors, officers and employees of Holdings, the Borrower and the Restricted Subsidiaries in the ordinary course of business to the extent attributable to the ownership or operation of Holdings, the Borrower and the Restricted Subsidiaries, (h) transactions pursuant to any permitted agreements in existence or contemplated on the Restatement Effective Date and set forth on Schedule 6.09 or any amendment thereto to the extent such an amendment is not adverse to the Lenders in any material respect, (i) Restricted Payments permitted under Section 6.08, (j) Investments, loans or advances that are permitted to be made in lieu of Restricted Payments pursuant to Section 6.04 and (k) transactions in connection with the establishment of the Escrow Term Loans.</w:t>
      </w:r>
    </w:p>
    <w:p>
      <w:pPr>
        <w:spacing w:after="0" w:line="134"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i w:val="1"/>
          <w:iCs w:val="1"/>
          <w:color w:val="auto"/>
        </w:rPr>
        <w:t>Restrictive Agreements.</w:t>
      </w:r>
      <w:r>
        <w:rPr>
          <w:rFonts w:ascii="Arial" w:cs="Arial" w:eastAsia="Arial" w:hAnsi="Arial"/>
          <w:sz w:val="19"/>
          <w:szCs w:val="19"/>
          <w:color w:val="auto"/>
        </w:rPr>
        <w:t xml:space="preserve"> Neither Holdings nor the Borrower will, nor will they permit any Restricted Subsidiary to, directly or indirectly, enter into, incur or permit to exist any agreement or other arrangement that prohibits, restricts or imposes any condition upon (a) the ability of Holdings, the Borrower or any other Subsidiary Loan Party to create, incur or permit to exist any Lien upon any of its property or assets to secure the Secured Obligations or (b) the ability of any Restricted Subsidiary that is not a Loan Party to pay dividends or other distributions with respect to any of its Equity Interests or to make or repay loans or advances to any Restricted Subsidiary or to Guarantee Indebtedness of any Restricted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clauses (a) and (b) shall not apply to any such restrictions that (i)(x) exist on the Restatement Effective Date and (to the extent not otherwise permitted by this Section 6.10) are listed on Schedule 6.10 or in the indenture governing the Second Lien Notes and (y) any renewal or extension of a restriction permitted by clause (i)(x) or any agreement evidencing such restriction so long as such renewal or extension does not expand the scope of such restrictions, (ii)(x) are binding on a Restricted Subsidiary at the time such Restricted Subsidiary first becomes a Restricted Subsidiary, so long as such restrictions were not entered into solely in contemplation of such Person becoming a Restricted Subsidiary and (y) any renewal or extension of a restriction permitted by clause (ii)(x) or any agreement evidencing such restriction so long as such renewal or extension does not expand the scope of such restrictions, (iii) represent Indebtedness of a Restricted Subsidiary that is not a Loan Party that is permitted by Section 6.01, (iv) are customary restrictions that arise in connection with any Disposition permitted by Section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5" w:right="739" w:bottom="1440" w:gutter="0" w:footer="0" w:header="0"/>
        </w:sectPr>
      </w:pPr>
    </w:p>
    <w:bookmarkStart w:id="318" w:name="page319"/>
    <w:bookmarkEnd w:id="318"/>
    <w:p>
      <w:pPr>
        <w:jc w:val="both"/>
        <w:spacing w:after="0" w:line="265" w:lineRule="auto"/>
        <w:rPr>
          <w:sz w:val="20"/>
          <w:szCs w:val="20"/>
          <w:color w:val="auto"/>
        </w:rPr>
      </w:pPr>
      <w:r>
        <w:rPr>
          <w:rFonts w:ascii="Arial" w:cs="Arial" w:eastAsia="Arial" w:hAnsi="Arial"/>
          <w:sz w:val="19"/>
          <w:szCs w:val="19"/>
          <w:color w:val="auto"/>
        </w:rPr>
        <w:t>6.05 applicable pending such Disposition solely to the assets subject to such Disposition, (v) are customary provisions in joint venture agreements and other similar agreements applicable to joint ventures permitted under Section 6.04, (vi) are negative pledges and restrictions on Liens in favor of any holder of Indebtedness permitted under Section 6.01 but solely to the extent any negative pledge relates to the property financed by or securing such Indebtedness (and excluding in any event any Indebtedness constituting any Junior Financing), (vii) are imposed by Requirements of Law, (viii) are customary restrictions contained in leases, subleases, licenses or asset sale agreements otherwise permitted hereby so long as such restrictions relate only to the assets subject thereto, (ix) comprise restrictions imposed by any agreement relating to secured Indebtedness permitted pursuant to Section 6.01(a)(v) to the extent that such restrictions apply only to the property or assets securing such Indebtedness, (x) are customary provisions restricting subletting or assignment of any lease governing a leasehold interest of Holdings, any Intermediate Parent, the Borrower or any Restricted Subsidiary, (xi) are customary provisions restricting assignment of any license, lease or other agreement, (xii) are restrictions on cash (or Permitted Investments) or deposits imposed by customers under contracts entered into in the ordinary course of business (or otherwise constituting Permitted Encumbrances on such cash or Permitted Investments or deposits) or (xiii) are customary net worth provisions contained in real property leases or licenses of intellectual property entered into by the Borrower or any Restricted Subsidiary, so long as the Borrower has determined in good faith that such net worth provisions could not reasonably be expected to impair the ability of the Borrower and its subsidiaries to meet their ongoing obligations under the Loan Documents.</w:t>
      </w:r>
    </w:p>
    <w:p>
      <w:pPr>
        <w:spacing w:after="0" w:line="119"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 xml:space="preserve">Section 6.11. </w:t>
      </w:r>
      <w:r>
        <w:rPr>
          <w:rFonts w:ascii="Arial" w:cs="Arial" w:eastAsia="Arial" w:hAnsi="Arial"/>
          <w:sz w:val="21"/>
          <w:szCs w:val="21"/>
          <w:i w:val="1"/>
          <w:iCs w:val="1"/>
          <w:color w:val="auto"/>
        </w:rPr>
        <w:t>Amendment ofJunior Financing.</w:t>
      </w:r>
      <w:r>
        <w:rPr>
          <w:rFonts w:ascii="Arial" w:cs="Arial" w:eastAsia="Arial" w:hAnsi="Arial"/>
          <w:sz w:val="21"/>
          <w:szCs w:val="21"/>
          <w:color w:val="auto"/>
        </w:rPr>
        <w:t xml:space="preserve"> Neither Holdings nor the Borrower will, nor will they permit any Restricted Subsidiary or any Intermediate Parent to, amend, modify, waive, terminate or release the documentation governing any Junior Financing, in each case if the effect of such amendment, modification, waiver, termination or release is materially adverse to the Lenders.</w:t>
      </w:r>
    </w:p>
    <w:p>
      <w:pPr>
        <w:spacing w:after="0" w:line="152" w:lineRule="exact"/>
        <w:rPr>
          <w:sz w:val="20"/>
          <w:szCs w:val="20"/>
          <w:color w:val="auto"/>
        </w:rPr>
      </w:pPr>
    </w:p>
    <w:p>
      <w:pPr>
        <w:jc w:val="both"/>
        <w:ind w:firstLine="635"/>
        <w:spacing w:after="0" w:line="272"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i w:val="1"/>
          <w:iCs w:val="1"/>
          <w:color w:val="auto"/>
        </w:rPr>
        <w:t>Interest Coverage Ratio.</w:t>
      </w:r>
      <w:r>
        <w:rPr>
          <w:rFonts w:ascii="Arial" w:cs="Arial" w:eastAsia="Arial" w:hAnsi="Arial"/>
          <w:sz w:val="19"/>
          <w:szCs w:val="19"/>
          <w:color w:val="auto"/>
        </w:rPr>
        <w:t xml:space="preserve"> Prior to the Escrow Assumption Date, Holdings will not permit the Interest Coverage Ratio for any period of four consecutive fiscal quarters of Holdings, beginning with the four fiscal quarter period ended June 30, 2017, to be less than 3.00:1.00. If the Escrow Assumption Date occurs, Holdings will not permit the Interest Coverage Ratio for any period of four consecutive fiscal quarters of Holdings, beginning with the first four fiscal quarter period ending after the Escrow Assumption Date, to exceed (I) for any four fiscal quarter period ending prior to March 31, 2019, 2.75:1.00 and (II) for any four fiscal quarter ending on or after March 31, 2019, 3.00:1.00.</w:t>
      </w:r>
    </w:p>
    <w:p>
      <w:pPr>
        <w:spacing w:after="0" w:line="115"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0"/>
          <w:szCs w:val="20"/>
          <w:color w:val="auto"/>
        </w:rPr>
        <w:t xml:space="preserve">Section 6.13. </w:t>
      </w:r>
      <w:r>
        <w:rPr>
          <w:rFonts w:ascii="Arial" w:cs="Arial" w:eastAsia="Arial" w:hAnsi="Arial"/>
          <w:sz w:val="20"/>
          <w:szCs w:val="20"/>
          <w:i w:val="1"/>
          <w:iCs w:val="1"/>
          <w:color w:val="auto"/>
        </w:rPr>
        <w:t>Leverage Ratio.</w:t>
      </w:r>
      <w:r>
        <w:rPr>
          <w:rFonts w:ascii="Arial" w:cs="Arial" w:eastAsia="Arial" w:hAnsi="Arial"/>
          <w:sz w:val="20"/>
          <w:szCs w:val="20"/>
          <w:color w:val="auto"/>
        </w:rPr>
        <w:t xml:space="preserve"> Prior to the Escrow Assumption Date, Holdings will not permit the Total Net Leverage Ratio as of the last day of any fiscal quarter of the Borrower, beginning with the fiscal quarter ending June 30, 2017, to exceed 2.75:1.00. If the Escrow Assumption Date occurs, Holdings will not permit the Total Leverage Ratio as of the last day of any fiscal quarter of the Borrower, beginning with the first fiscal quarter ending after the Escrow Assumption Date, to exceed (I) for any fiscal quarter ending prior to March 31, 2019, 5.00:1.00, (II) for any fiscal quarter ending on or after March 31, 2019 but prior to March 31, 2020, 4.25:1.00, (III) for any fiscal quarter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19" w:name="page320"/>
    <w:bookmarkEnd w:id="319"/>
    <w:p>
      <w:pPr>
        <w:jc w:val="both"/>
        <w:spacing w:after="0" w:line="263" w:lineRule="auto"/>
        <w:rPr>
          <w:sz w:val="20"/>
          <w:szCs w:val="20"/>
          <w:color w:val="auto"/>
        </w:rPr>
      </w:pPr>
      <w:r>
        <w:rPr>
          <w:rFonts w:ascii="Arial" w:cs="Arial" w:eastAsia="Arial" w:hAnsi="Arial"/>
          <w:sz w:val="21"/>
          <w:szCs w:val="21"/>
          <w:color w:val="auto"/>
        </w:rPr>
        <w:t>ending on or after March 31, 2020 but prior to March 31, 2021, 3.50:1.00 and (IV) for any fiscal quarter ending on or after March 31, 2021, 3.25:1.00.</w:t>
      </w:r>
    </w:p>
    <w:p>
      <w:pPr>
        <w:spacing w:after="0" w:line="119"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i w:val="1"/>
          <w:iCs w:val="1"/>
          <w:color w:val="auto"/>
        </w:rPr>
        <w:t>Equity Interests</w:t>
      </w:r>
      <w:r>
        <w:rPr>
          <w:rFonts w:ascii="Arial" w:cs="Arial" w:eastAsia="Arial" w:hAnsi="Arial"/>
          <w:sz w:val="19"/>
          <w:szCs w:val="19"/>
          <w:color w:val="auto"/>
        </w:rPr>
        <w:t xml:space="preserve">. (a) Holdings and the Borrower will not permit any Restricted Subsidiary to be a non-Wholly Owned Subsidiary and be released from its Guarantee (if applicable), except (x) as a result of a Disposition of Equity Interests of such Subsidiary to a Person other than Holdings, the Borrower or any other Restricted Subsidiary that is permitted by the other terms of this Agreement or an Investment in any Person permitted under Section 6.04;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Default has occurred or is continuing on the date of such release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Restricted Subsidiary immediately after the release of such Guarantee, as reasonably determined by a Financial Officer, is deemed to be an Investment by a Loan Party on the date of such release in a Subsidiary that is not a Loan Party for purposes of either Section 6.04(c) or 6.04(m), as designated by Holdings to the Administrative Agent prior to such release, (iv) such Investment is permitted under such designated section, (v) after giving effect to such transaction on a Pro Forma Basis, not more than 10% of Consolidated EBITDA for the most recently ended Test Period for which financial statements are available shall be attributable to such Restricted Subsidiary together with all other Restricted Subsidiaries (or any successors thereto) that were released from being Loan Parties pursuant to the provisions of Sections 6.14(a) and 6.14(b) and (vi) the Borrower shall have provided the Administrative Agent such certifications or documents as the Administrative Agent shall reasonably request in order to demonstrate compliance with this Agreement or (y) so long as such Restricted Subsidiary continues to be a Subsidiary Loan Party, in which case the release provisions of Section 9.14 will not apply.</w:t>
      </w:r>
    </w:p>
    <w:p>
      <w:pPr>
        <w:spacing w:after="0" w:line="383" w:lineRule="exact"/>
        <w:rPr>
          <w:sz w:val="20"/>
          <w:szCs w:val="20"/>
          <w:color w:val="auto"/>
        </w:rPr>
      </w:pPr>
    </w:p>
    <w:p>
      <w:pPr>
        <w:jc w:val="both"/>
        <w:ind w:firstLine="644"/>
        <w:spacing w:after="0" w:line="265" w:lineRule="auto"/>
        <w:tabs>
          <w:tab w:leader="none" w:pos="962" w:val="left"/>
        </w:tabs>
        <w:numPr>
          <w:ilvl w:val="0"/>
          <w:numId w:val="223"/>
        </w:numPr>
        <w:rPr>
          <w:rFonts w:ascii="Arial" w:cs="Arial" w:eastAsia="Arial" w:hAnsi="Arial"/>
          <w:sz w:val="19"/>
          <w:szCs w:val="19"/>
          <w:color w:val="auto"/>
        </w:rPr>
      </w:pPr>
      <w:r>
        <w:rPr>
          <w:rFonts w:ascii="Arial" w:cs="Arial" w:eastAsia="Arial" w:hAnsi="Arial"/>
          <w:sz w:val="19"/>
          <w:szCs w:val="19"/>
          <w:color w:val="auto"/>
        </w:rPr>
        <w:t>Holdings may notify the Administrative Agent that it wishes to obtain the release of the Guarantee of, and grants of Liens by, any Subsidiary Loan Party under the Security Documents (any Subsidiary in respect of which such a release is given, a “</w:t>
      </w:r>
      <w:r>
        <w:rPr>
          <w:rFonts w:ascii="Arial" w:cs="Arial" w:eastAsia="Arial" w:hAnsi="Arial"/>
          <w:sz w:val="19"/>
          <w:szCs w:val="19"/>
          <w:b w:val="1"/>
          <w:bCs w:val="1"/>
          <w:color w:val="auto"/>
        </w:rPr>
        <w:t>Released Subsidiary</w:t>
      </w:r>
      <w:r>
        <w:rPr>
          <w:rFonts w:ascii="Arial" w:cs="Arial" w:eastAsia="Arial" w:hAnsi="Arial"/>
          <w:sz w:val="19"/>
          <w:szCs w:val="19"/>
          <w:color w:val="auto"/>
        </w:rPr>
        <w:t xml:space="preserve">”), and the Administrative Agent will, and is hereby authorized to, promptly release such Guarantee and grants of Liens of such Subsidiary Loan Party pursuant to a written notification thereof given to Holdings;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no Default has occurred or is continuing on the date of such request or would result immediately after giving effect to such release, and the Administrative Agent has been furnished with a certificate of a Financial Officer confirming satisfaction of such condition, (ii) after such release is effected, such Restricted Subsidiary shall thereafter be treated as a Restricted Subsidiary that is not a Loan Party for purposes of this Agreement, (iii) the fair market value of such Released Subsidiary immediately after the release of such Guarantee, as reasonably determined by a Financial Officer, is deemed to be an Investment by a Loan Party on the date of such release in a Subsidiary that is not a Loan Party for purposes of either Section 6.04(c) or 6.04(m), as designated by Holdings to the Administrative Agent prior to such release, (iv) such Investment is permitted under such designated section, (v) after giving effect to such transaction on a Pro Forma Basis, not more than 10% of Consolidated EBITDA for the most recently ended Test Period for which financial statements are available shall be attributable to such Restricted Subsidiary together with all other Restricted Subsidiaries (or any successors thereto) that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0" w:name="page321"/>
    <w:bookmarkEnd w:id="320"/>
    <w:p>
      <w:pPr>
        <w:jc w:val="both"/>
        <w:spacing w:after="0" w:line="250" w:lineRule="auto"/>
        <w:rPr>
          <w:sz w:val="20"/>
          <w:szCs w:val="20"/>
          <w:color w:val="auto"/>
        </w:rPr>
      </w:pPr>
      <w:r>
        <w:rPr>
          <w:rFonts w:ascii="Arial" w:cs="Arial" w:eastAsia="Arial" w:hAnsi="Arial"/>
          <w:sz w:val="21"/>
          <w:szCs w:val="21"/>
          <w:color w:val="auto"/>
        </w:rPr>
        <w:t>were released from being Loan Parties pursuant to the provisions of Sections 6.14(a) and 6.14(b) and (vi) the Borrower shall have provided the Administrative Agent such certifications or documents as the Administrative Agent shall reasonably request in order to demonstrate compliance with this Agreement.</w:t>
      </w:r>
    </w:p>
    <w:p>
      <w:pPr>
        <w:spacing w:after="0" w:line="132"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6.15. </w:t>
      </w:r>
      <w:r>
        <w:rPr>
          <w:rFonts w:ascii="Arial" w:cs="Arial" w:eastAsia="Arial" w:hAnsi="Arial"/>
          <w:sz w:val="21"/>
          <w:szCs w:val="21"/>
          <w:i w:val="1"/>
          <w:iCs w:val="1"/>
          <w:color w:val="auto"/>
        </w:rPr>
        <w:t>Changes in Fiscal Periods.</w:t>
      </w:r>
      <w:r>
        <w:rPr>
          <w:rFonts w:ascii="Arial" w:cs="Arial" w:eastAsia="Arial" w:hAnsi="Arial"/>
          <w:sz w:val="21"/>
          <w:szCs w:val="21"/>
          <w:color w:val="auto"/>
        </w:rPr>
        <w:t xml:space="preserve"> Neither Holdings nor the Borrower will make any change in fiscal year;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Holdings and the Borrower may, upon written notice to the Administrative Agent, change its</w:t>
      </w:r>
      <w:r>
        <w:rPr>
          <w:rFonts w:ascii="Arial" w:cs="Arial" w:eastAsia="Arial" w:hAnsi="Arial"/>
          <w:sz w:val="21"/>
          <w:szCs w:val="21"/>
          <w:i w:val="1"/>
          <w:iCs w:val="1"/>
          <w:color w:val="auto"/>
        </w:rPr>
        <w:t xml:space="preserve"> </w:t>
      </w:r>
      <w:r>
        <w:rPr>
          <w:rFonts w:ascii="Arial" w:cs="Arial" w:eastAsia="Arial" w:hAnsi="Arial"/>
          <w:sz w:val="21"/>
          <w:szCs w:val="21"/>
          <w:color w:val="auto"/>
        </w:rPr>
        <w:t>fiscal year to any other fiscal year reasonably acceptable to the Administrative Agent, in which case, Holdings, the Borrower and the Administrative Agent will, and are hereby authorized by the Lenders to, make any adjustments to this Agreement that are necessary to reflect such change in fiscal year.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EVENTS OF DEFAULT</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i w:val="1"/>
          <w:iCs w:val="1"/>
          <w:color w:val="auto"/>
        </w:rPr>
        <w:t>Events ofDefault.</w:t>
      </w:r>
      <w:r>
        <w:rPr>
          <w:rFonts w:ascii="Arial" w:cs="Arial" w:eastAsia="Arial" w:hAnsi="Arial"/>
          <w:sz w:val="19"/>
          <w:szCs w:val="19"/>
          <w:color w:val="auto"/>
        </w:rPr>
        <w:t xml:space="preserve"> If any of the following events (any such event, an “</w:t>
      </w:r>
      <w:r>
        <w:rPr>
          <w:rFonts w:ascii="Arial" w:cs="Arial" w:eastAsia="Arial" w:hAnsi="Arial"/>
          <w:sz w:val="19"/>
          <w:szCs w:val="19"/>
          <w:b w:val="1"/>
          <w:bCs w:val="1"/>
          <w:color w:val="auto"/>
        </w:rPr>
        <w:t>Event of Default</w:t>
      </w:r>
      <w:r>
        <w:rPr>
          <w:rFonts w:ascii="Arial" w:cs="Arial" w:eastAsia="Arial" w:hAnsi="Arial"/>
          <w:sz w:val="19"/>
          <w:szCs w:val="19"/>
          <w:color w:val="auto"/>
        </w:rPr>
        <w:t>”) shall occur:</w:t>
      </w:r>
    </w:p>
    <w:p>
      <w:pPr>
        <w:spacing w:after="0" w:line="198" w:lineRule="exact"/>
        <w:rPr>
          <w:sz w:val="20"/>
          <w:szCs w:val="20"/>
          <w:color w:val="auto"/>
        </w:rPr>
      </w:pPr>
    </w:p>
    <w:p>
      <w:pPr>
        <w:jc w:val="both"/>
        <w:ind w:firstLine="644"/>
        <w:spacing w:after="0" w:line="250" w:lineRule="auto"/>
        <w:tabs>
          <w:tab w:leader="none" w:pos="938" w:val="left"/>
        </w:tabs>
        <w:numPr>
          <w:ilvl w:val="0"/>
          <w:numId w:val="224"/>
        </w:numPr>
        <w:rPr>
          <w:rFonts w:ascii="Arial" w:cs="Arial" w:eastAsia="Arial" w:hAnsi="Arial"/>
          <w:sz w:val="21"/>
          <w:szCs w:val="21"/>
          <w:color w:val="auto"/>
        </w:rPr>
      </w:pPr>
      <w:r>
        <w:rPr>
          <w:rFonts w:ascii="Arial" w:cs="Arial" w:eastAsia="Arial" w:hAnsi="Arial"/>
          <w:sz w:val="21"/>
          <w:szCs w:val="21"/>
          <w:color w:val="auto"/>
        </w:rPr>
        <w:t>any Loan Party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4" w:lineRule="exact"/>
        <w:rPr>
          <w:rFonts w:ascii="Arial" w:cs="Arial" w:eastAsia="Arial" w:hAnsi="Arial"/>
          <w:sz w:val="21"/>
          <w:szCs w:val="21"/>
          <w:color w:val="auto"/>
        </w:rPr>
      </w:pPr>
    </w:p>
    <w:p>
      <w:pPr>
        <w:jc w:val="both"/>
        <w:ind w:firstLine="644"/>
        <w:spacing w:after="0" w:line="268" w:lineRule="auto"/>
        <w:tabs>
          <w:tab w:leader="none" w:pos="939" w:val="left"/>
        </w:tabs>
        <w:numPr>
          <w:ilvl w:val="0"/>
          <w:numId w:val="224"/>
        </w:numPr>
        <w:rPr>
          <w:rFonts w:ascii="Arial" w:cs="Arial" w:eastAsia="Arial" w:hAnsi="Arial"/>
          <w:sz w:val="20"/>
          <w:szCs w:val="20"/>
          <w:color w:val="auto"/>
        </w:rPr>
      </w:pPr>
      <w:r>
        <w:rPr>
          <w:rFonts w:ascii="Arial" w:cs="Arial" w:eastAsia="Arial" w:hAnsi="Arial"/>
          <w:sz w:val="20"/>
          <w:szCs w:val="20"/>
          <w:color w:val="auto"/>
        </w:rPr>
        <w:t>any Loan Party shall fail to pay any interest on any Loan or any fee or any other amount (other than an amount referred to in paragraph (a) of this Section) payable under any Loan Document, when and as the same shall become due and payable, and such failure shall continue unremedied for a period of five Business Days;</w:t>
      </w:r>
    </w:p>
    <w:p>
      <w:pPr>
        <w:spacing w:after="0" w:line="115" w:lineRule="exact"/>
        <w:rPr>
          <w:rFonts w:ascii="Arial" w:cs="Arial" w:eastAsia="Arial" w:hAnsi="Arial"/>
          <w:sz w:val="20"/>
          <w:szCs w:val="20"/>
          <w:color w:val="auto"/>
        </w:rPr>
      </w:pPr>
    </w:p>
    <w:p>
      <w:pPr>
        <w:jc w:val="both"/>
        <w:ind w:firstLine="644"/>
        <w:spacing w:after="0" w:line="243" w:lineRule="auto"/>
        <w:tabs>
          <w:tab w:leader="none" w:pos="934" w:val="left"/>
        </w:tabs>
        <w:numPr>
          <w:ilvl w:val="0"/>
          <w:numId w:val="224"/>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or on behalf of Holdings, the Borrower or any of its Restricted Subsidiaries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40" w:lineRule="exact"/>
        <w:rPr>
          <w:rFonts w:ascii="Arial" w:cs="Arial" w:eastAsia="Arial" w:hAnsi="Arial"/>
          <w:sz w:val="21"/>
          <w:szCs w:val="21"/>
          <w:color w:val="auto"/>
        </w:rPr>
      </w:pPr>
    </w:p>
    <w:p>
      <w:pPr>
        <w:jc w:val="both"/>
        <w:ind w:firstLine="644"/>
        <w:spacing w:after="0" w:line="261" w:lineRule="auto"/>
        <w:tabs>
          <w:tab w:leader="none" w:pos="963"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Holdings, the Borrower or any of its Restricted Subsidiaries shall fail to observe or perform any covenant, condition or agreement contained in Sections 5.02, 5.04 (with respect to the existence of Holdings, the Borrower or such Restricted Subsidiaries), 5.10 or in Article 6 (other than Section 6.09);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Event of Default under the Financial Performance Covenants is subject to the cure period provided in Section 7.02;</w:t>
      </w:r>
    </w:p>
    <w:p>
      <w:pPr>
        <w:spacing w:after="0" w:line="137" w:lineRule="exact"/>
        <w:rPr>
          <w:rFonts w:ascii="Arial" w:cs="Arial" w:eastAsia="Arial" w:hAnsi="Arial"/>
          <w:sz w:val="20"/>
          <w:szCs w:val="20"/>
          <w:color w:val="auto"/>
        </w:rPr>
      </w:pPr>
    </w:p>
    <w:p>
      <w:pPr>
        <w:jc w:val="both"/>
        <w:ind w:firstLine="644"/>
        <w:spacing w:after="0" w:line="245" w:lineRule="auto"/>
        <w:tabs>
          <w:tab w:leader="none" w:pos="952" w:val="left"/>
        </w:tabs>
        <w:numPr>
          <w:ilvl w:val="0"/>
          <w:numId w:val="224"/>
        </w:numPr>
        <w:rPr>
          <w:rFonts w:ascii="Arial" w:cs="Arial" w:eastAsia="Arial" w:hAnsi="Arial"/>
          <w:sz w:val="21"/>
          <w:szCs w:val="21"/>
          <w:color w:val="auto"/>
        </w:rPr>
      </w:pPr>
      <w:r>
        <w:rPr>
          <w:rFonts w:ascii="Arial" w:cs="Arial" w:eastAsia="Arial" w:hAnsi="Arial"/>
          <w:sz w:val="21"/>
          <w:szCs w:val="21"/>
          <w:color w:val="auto"/>
        </w:rPr>
        <w:t>Holdings, the Borrower or any of its Restricted Subsidiaries shall fail to observe or perform any covenant, condition or agreement contained in any Loan Document (other than those specified in paragraph (a), (b) or (d) of this Section), and such failure shall continue unremedied for a period of 30 days after notice thereof from the Administrative Agent to the Borrower;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1" w:name="page322"/>
    <w:bookmarkEnd w:id="321"/>
    <w:p>
      <w:pPr>
        <w:jc w:val="both"/>
        <w:ind w:firstLine="708"/>
        <w:spacing w:after="0" w:line="250" w:lineRule="auto"/>
        <w:tabs>
          <w:tab w:leader="none" w:pos="1002" w:val="left"/>
        </w:tabs>
        <w:numPr>
          <w:ilvl w:val="1"/>
          <w:numId w:val="225"/>
        </w:numPr>
        <w:rPr>
          <w:rFonts w:ascii="Arial" w:cs="Arial" w:eastAsia="Arial" w:hAnsi="Arial"/>
          <w:sz w:val="21"/>
          <w:szCs w:val="21"/>
          <w:color w:val="auto"/>
        </w:rPr>
      </w:pPr>
      <w:r>
        <w:rPr>
          <w:rFonts w:ascii="Arial" w:cs="Arial" w:eastAsia="Arial" w:hAnsi="Arial"/>
          <w:sz w:val="21"/>
          <w:szCs w:val="21"/>
          <w:color w:val="auto"/>
        </w:rPr>
        <w:t>Holdings, the Borrower or any of its Restricted Subsidiaries shall fail to make any payment (whether of principal or interest and regardless of amount) in respect of any Material Indebtedness, when and as the same shall become due and payable (after giving effect to any applicable grace period);</w:t>
      </w:r>
    </w:p>
    <w:p>
      <w:pPr>
        <w:spacing w:after="0" w:line="131" w:lineRule="exact"/>
        <w:rPr>
          <w:rFonts w:ascii="Arial" w:cs="Arial" w:eastAsia="Arial" w:hAnsi="Arial"/>
          <w:sz w:val="21"/>
          <w:szCs w:val="21"/>
          <w:color w:val="auto"/>
        </w:rPr>
      </w:pPr>
    </w:p>
    <w:p>
      <w:pPr>
        <w:jc w:val="both"/>
        <w:ind w:firstLine="708"/>
        <w:spacing w:after="0" w:line="266" w:lineRule="auto"/>
        <w:tabs>
          <w:tab w:leader="none" w:pos="1018" w:val="left"/>
        </w:tabs>
        <w:numPr>
          <w:ilvl w:val="1"/>
          <w:numId w:val="225"/>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paragraph</w:t>
      </w:r>
    </w:p>
    <w:p>
      <w:pPr>
        <w:spacing w:after="0" w:line="1" w:lineRule="exact"/>
        <w:rPr>
          <w:rFonts w:ascii="Arial" w:cs="Arial" w:eastAsia="Arial" w:hAnsi="Arial"/>
          <w:sz w:val="19"/>
          <w:szCs w:val="19"/>
          <w:color w:val="auto"/>
        </w:rPr>
      </w:pPr>
    </w:p>
    <w:p>
      <w:pPr>
        <w:jc w:val="both"/>
        <w:ind w:firstLine="9"/>
        <w:spacing w:after="0" w:line="238" w:lineRule="auto"/>
        <w:tabs>
          <w:tab w:leader="none" w:pos="336" w:val="left"/>
        </w:tabs>
        <w:numPr>
          <w:ilvl w:val="0"/>
          <w:numId w:val="226"/>
        </w:numPr>
        <w:rPr>
          <w:rFonts w:ascii="Arial" w:cs="Arial" w:eastAsia="Arial" w:hAnsi="Arial"/>
          <w:sz w:val="21"/>
          <w:szCs w:val="21"/>
          <w:color w:val="auto"/>
        </w:rPr>
      </w:pPr>
      <w:r>
        <w:rPr>
          <w:rFonts w:ascii="Arial" w:cs="Arial" w:eastAsia="Arial" w:hAnsi="Arial"/>
          <w:sz w:val="21"/>
          <w:szCs w:val="21"/>
          <w:color w:val="auto"/>
        </w:rPr>
        <w:t>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Trading Debt (it being understood that paragraph (f) of this Section will apply to any failure to make any payment in respect of any Trading Debt) or (iii) termination events or similar events occurring under any Swap Agreement that constitutes Material Indebtedness (it being understood that paragraph (f) of this Section will apply to any failure to make any payment required as a result of any such termination or similar event);</w:t>
      </w:r>
    </w:p>
    <w:p>
      <w:pPr>
        <w:spacing w:after="0" w:line="157" w:lineRule="exact"/>
        <w:rPr>
          <w:rFonts w:ascii="Arial" w:cs="Arial" w:eastAsia="Arial" w:hAnsi="Arial"/>
          <w:sz w:val="21"/>
          <w:szCs w:val="21"/>
          <w:color w:val="auto"/>
        </w:rPr>
      </w:pPr>
    </w:p>
    <w:p>
      <w:pPr>
        <w:jc w:val="both"/>
        <w:ind w:firstLine="708"/>
        <w:spacing w:after="0" w:line="255" w:lineRule="auto"/>
        <w:tabs>
          <w:tab w:leader="none" w:pos="1002" w:val="left"/>
        </w:tabs>
        <w:numPr>
          <w:ilvl w:val="1"/>
          <w:numId w:val="226"/>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court protection, reorganization or other relief in respect of Holdings, the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Material Subsidiary or for a material part of its assets, and, in any such case, such proceeding or petition shall continue undismissed or unstayed for 60 days or an order or decree approving or ordering any of the foregoing shall be entered;</w:t>
      </w:r>
    </w:p>
    <w:p>
      <w:pPr>
        <w:spacing w:after="0" w:line="128" w:lineRule="exact"/>
        <w:rPr>
          <w:rFonts w:ascii="Arial" w:cs="Arial" w:eastAsia="Arial" w:hAnsi="Arial"/>
          <w:sz w:val="20"/>
          <w:szCs w:val="20"/>
          <w:color w:val="auto"/>
        </w:rPr>
      </w:pPr>
    </w:p>
    <w:p>
      <w:pPr>
        <w:jc w:val="both"/>
        <w:ind w:firstLine="708"/>
        <w:spacing w:after="0"/>
        <w:tabs>
          <w:tab w:leader="none" w:pos="955" w:val="left"/>
        </w:tabs>
        <w:numPr>
          <w:ilvl w:val="1"/>
          <w:numId w:val="226"/>
        </w:numPr>
        <w:rPr>
          <w:rFonts w:ascii="Arial" w:cs="Arial" w:eastAsia="Arial" w:hAnsi="Arial"/>
          <w:sz w:val="21"/>
          <w:szCs w:val="21"/>
          <w:color w:val="auto"/>
        </w:rPr>
      </w:pPr>
      <w:r>
        <w:rPr>
          <w:rFonts w:ascii="Arial" w:cs="Arial" w:eastAsia="Arial" w:hAnsi="Arial"/>
          <w:sz w:val="21"/>
          <w:szCs w:val="21"/>
          <w:color w:val="auto"/>
        </w:rPr>
        <w:t>Holdings, the Borrower or any other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Section, (iii) apply for or consent to the appointment of a receiver, trustee, examiner, custodian, sequestrator, conservator or similar official for Holdings, the Borrower or any Material Subsidiary or for a material part of its assets, (iv) file an answer admitting the material allegations of a petition filed against it in any such proceeding or (v) make a general assignment for the benefit of creditors;</w:t>
      </w:r>
    </w:p>
    <w:p>
      <w:pPr>
        <w:spacing w:after="0" w:line="145" w:lineRule="exact"/>
        <w:rPr>
          <w:rFonts w:ascii="Arial" w:cs="Arial" w:eastAsia="Arial" w:hAnsi="Arial"/>
          <w:sz w:val="21"/>
          <w:szCs w:val="21"/>
          <w:color w:val="auto"/>
        </w:rPr>
      </w:pPr>
    </w:p>
    <w:p>
      <w:pPr>
        <w:jc w:val="both"/>
        <w:ind w:right="20" w:firstLine="708"/>
        <w:spacing w:after="0" w:line="245" w:lineRule="auto"/>
        <w:tabs>
          <w:tab w:leader="none" w:pos="951" w:val="left"/>
        </w:tabs>
        <w:numPr>
          <w:ilvl w:val="1"/>
          <w:numId w:val="226"/>
        </w:numPr>
        <w:rPr>
          <w:rFonts w:ascii="Arial" w:cs="Arial" w:eastAsia="Arial" w:hAnsi="Arial"/>
          <w:sz w:val="21"/>
          <w:szCs w:val="21"/>
          <w:color w:val="auto"/>
        </w:rPr>
      </w:pPr>
      <w:r>
        <w:rPr>
          <w:rFonts w:ascii="Arial" w:cs="Arial" w:eastAsia="Arial" w:hAnsi="Arial"/>
          <w:sz w:val="21"/>
          <w:szCs w:val="21"/>
          <w:color w:val="auto"/>
        </w:rPr>
        <w:t>one or more enforceable judgments for the payment of money in an aggregate amount in excess of $15,000,000 (to the extent not covered by insurance as to which the insurer has been notified of such judgment or order and has not denied coverage) shall be rendered against Holdings, the Borrower and any of its Restricted Subsidiaries or any combination thereof and the same shall remain undischarged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2" w:name="page323"/>
    <w:bookmarkEnd w:id="322"/>
    <w:p>
      <w:pPr>
        <w:jc w:val="both"/>
        <w:spacing w:after="0" w:line="268" w:lineRule="auto"/>
        <w:rPr>
          <w:sz w:val="20"/>
          <w:szCs w:val="20"/>
          <w:color w:val="auto"/>
        </w:rPr>
      </w:pPr>
      <w:r>
        <w:rPr>
          <w:rFonts w:ascii="Arial" w:cs="Arial" w:eastAsia="Arial" w:hAnsi="Arial"/>
          <w:sz w:val="20"/>
          <w:szCs w:val="20"/>
          <w:color w:val="auto"/>
        </w:rPr>
        <w:t>period of 60 consecutive days during which execution shall not be effectively stayed, or any judgment creditor shall legally attach or levy upon assets of any such Loan Party that are material to the businesses and operations of Holdings, the Borrower and its Restricted Subsidiaries, taken as a whole, to enforce any such judgment;</w:t>
      </w:r>
    </w:p>
    <w:p>
      <w:pPr>
        <w:spacing w:after="0" w:line="116" w:lineRule="exact"/>
        <w:rPr>
          <w:sz w:val="20"/>
          <w:szCs w:val="20"/>
          <w:color w:val="auto"/>
        </w:rPr>
      </w:pPr>
    </w:p>
    <w:p>
      <w:pPr>
        <w:jc w:val="both"/>
        <w:ind w:firstLine="644"/>
        <w:spacing w:after="0" w:line="258" w:lineRule="auto"/>
        <w:tabs>
          <w:tab w:leader="none" w:pos="947" w:val="left"/>
        </w:tabs>
        <w:numPr>
          <w:ilvl w:val="1"/>
          <w:numId w:val="227"/>
        </w:numPr>
        <w:rPr>
          <w:rFonts w:ascii="Arial" w:cs="Arial" w:eastAsia="Arial" w:hAnsi="Arial"/>
          <w:sz w:val="20"/>
          <w:szCs w:val="20"/>
          <w:color w:val="auto"/>
        </w:rPr>
      </w:pPr>
      <w:r>
        <w:rPr>
          <w:rFonts w:ascii="Arial" w:cs="Arial" w:eastAsia="Arial" w:hAnsi="Arial"/>
          <w:sz w:val="20"/>
          <w:szCs w:val="20"/>
          <w:color w:val="auto"/>
        </w:rPr>
        <w:t>(i) an ERISA Event occurs that has resulted or could reasonably be expected to result in liability of any Loan Party in an aggregate amount that could reasonably be expected to result in a Material Adverse Effect, or (ii) any Loan Party or any ERISA Affiliate fails to pay when due, after the expiration of any applicable grace period, any installment payment with respect to its withdrawal liability under Section 4201 of ERISA under a Multiemployer Plan in an aggregate amount that could reasonably be expected to result in a Material Adverse Effect;</w:t>
      </w:r>
    </w:p>
    <w:p>
      <w:pPr>
        <w:spacing w:after="0" w:line="139" w:lineRule="exact"/>
        <w:rPr>
          <w:rFonts w:ascii="Arial" w:cs="Arial" w:eastAsia="Arial" w:hAnsi="Arial"/>
          <w:sz w:val="20"/>
          <w:szCs w:val="20"/>
          <w:color w:val="auto"/>
        </w:rPr>
      </w:pPr>
    </w:p>
    <w:p>
      <w:pPr>
        <w:jc w:val="both"/>
        <w:ind w:firstLine="644"/>
        <w:spacing w:after="0" w:line="265" w:lineRule="auto"/>
        <w:tabs>
          <w:tab w:leader="none" w:pos="907" w:val="left"/>
        </w:tabs>
        <w:numPr>
          <w:ilvl w:val="1"/>
          <w:numId w:val="227"/>
        </w:numPr>
        <w:rPr>
          <w:rFonts w:ascii="Arial" w:cs="Arial" w:eastAsia="Arial" w:hAnsi="Arial"/>
          <w:sz w:val="19"/>
          <w:szCs w:val="19"/>
          <w:color w:val="auto"/>
        </w:rPr>
      </w:pPr>
      <w:r>
        <w:rPr>
          <w:rFonts w:ascii="Arial" w:cs="Arial" w:eastAsia="Arial" w:hAnsi="Arial"/>
          <w:sz w:val="19"/>
          <w:szCs w:val="19"/>
          <w:color w:val="auto"/>
        </w:rPr>
        <w:t>any Lien purported to be created under any Security Document shall cease to be, or shall be asserted by any Loan Party not to be, a valid and perfected Lien on any material portion of the Collateral, with the priority required by the applicable Security Document, except (i) as a result of the sale or other disposition of the applicable Collateral in a transaction permitted under the Loan Documents, (ii) as a result of the Administrative Agent’s failure to (A) maintain possession of any stock certificates, promissory notes or other instruments delivered to it under the Security Documents or</w:t>
      </w:r>
    </w:p>
    <w:p>
      <w:pPr>
        <w:spacing w:after="0" w:line="2" w:lineRule="exact"/>
        <w:rPr>
          <w:rFonts w:ascii="Arial" w:cs="Arial" w:eastAsia="Arial" w:hAnsi="Arial"/>
          <w:sz w:val="19"/>
          <w:szCs w:val="19"/>
          <w:color w:val="auto"/>
        </w:rPr>
      </w:pPr>
    </w:p>
    <w:p>
      <w:pPr>
        <w:jc w:val="both"/>
        <w:ind w:firstLine="9"/>
        <w:spacing w:after="0" w:line="259" w:lineRule="auto"/>
        <w:tabs>
          <w:tab w:leader="none" w:pos="34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file Uniform Commercial Code continuation statements, (iii) as to Collateral consisting of real property to the extent that such losses are covered by a lender’s title insurance policy and such insurer has not denied coverage or (iv) as the direct exclusive result of acts or omissions of the Administrative Agent or any Lender within its sole control;</w:t>
      </w:r>
    </w:p>
    <w:p>
      <w:pPr>
        <w:spacing w:after="0" w:line="123" w:lineRule="exact"/>
        <w:rPr>
          <w:rFonts w:ascii="Arial" w:cs="Arial" w:eastAsia="Arial" w:hAnsi="Arial"/>
          <w:sz w:val="20"/>
          <w:szCs w:val="20"/>
          <w:color w:val="auto"/>
        </w:rPr>
      </w:pPr>
    </w:p>
    <w:p>
      <w:pPr>
        <w:jc w:val="both"/>
        <w:ind w:right="20" w:firstLine="644"/>
        <w:spacing w:after="0" w:line="250" w:lineRule="auto"/>
        <w:tabs>
          <w:tab w:leader="none" w:pos="1007" w:val="left"/>
        </w:tabs>
        <w:numPr>
          <w:ilvl w:val="1"/>
          <w:numId w:val="228"/>
        </w:numPr>
        <w:rPr>
          <w:rFonts w:ascii="Arial" w:cs="Arial" w:eastAsia="Arial" w:hAnsi="Arial"/>
          <w:sz w:val="21"/>
          <w:szCs w:val="21"/>
          <w:color w:val="auto"/>
        </w:rPr>
      </w:pPr>
      <w:r>
        <w:rPr>
          <w:rFonts w:ascii="Arial" w:cs="Arial" w:eastAsia="Arial" w:hAnsi="Arial"/>
          <w:sz w:val="21"/>
          <w:szCs w:val="21"/>
          <w:color w:val="auto"/>
        </w:rPr>
        <w:t>any material provision of any Loan Document or any Guarantee of the Loan Document Obligations shall for any reason be asserted by any Loan Party not to be a legal, valid and binding obligation of any Loan Party party thereto or subject thereto other than as expressly permitted hereunder or thereunder;</w:t>
      </w:r>
    </w:p>
    <w:p>
      <w:pPr>
        <w:spacing w:after="0" w:line="131" w:lineRule="exact"/>
        <w:rPr>
          <w:rFonts w:ascii="Arial" w:cs="Arial" w:eastAsia="Arial" w:hAnsi="Arial"/>
          <w:sz w:val="21"/>
          <w:szCs w:val="21"/>
          <w:color w:val="auto"/>
        </w:rPr>
      </w:pPr>
    </w:p>
    <w:p>
      <w:pPr>
        <w:ind w:firstLine="644"/>
        <w:spacing w:after="0" w:line="316" w:lineRule="auto"/>
        <w:tabs>
          <w:tab w:leader="none" w:pos="959" w:val="left"/>
        </w:tabs>
        <w:numPr>
          <w:ilvl w:val="1"/>
          <w:numId w:val="228"/>
        </w:numPr>
        <w:rPr>
          <w:rFonts w:ascii="Arial" w:cs="Arial" w:eastAsia="Arial" w:hAnsi="Arial"/>
          <w:sz w:val="19"/>
          <w:szCs w:val="19"/>
          <w:color w:val="auto"/>
        </w:rPr>
      </w:pPr>
      <w:r>
        <w:rPr>
          <w:rFonts w:ascii="Arial" w:cs="Arial" w:eastAsia="Arial" w:hAnsi="Arial"/>
          <w:sz w:val="19"/>
          <w:szCs w:val="19"/>
          <w:color w:val="auto"/>
        </w:rPr>
        <w:t>any Guarantee of the Loan Document Obligations by any Loan Party pursuant to the Guarantee Agreement shall cease to be in full force and effect (in each case, other than in accordance with the terms of the Loan Documents);</w:t>
      </w:r>
    </w:p>
    <w:p>
      <w:pPr>
        <w:spacing w:after="0" w:line="86" w:lineRule="exact"/>
        <w:rPr>
          <w:rFonts w:ascii="Arial" w:cs="Arial" w:eastAsia="Arial" w:hAnsi="Arial"/>
          <w:sz w:val="19"/>
          <w:szCs w:val="19"/>
          <w:color w:val="auto"/>
        </w:rPr>
      </w:pPr>
    </w:p>
    <w:p>
      <w:pPr>
        <w:ind w:left="940" w:hanging="296"/>
        <w:spacing w:after="0"/>
        <w:tabs>
          <w:tab w:leader="none" w:pos="94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a Change in Control shall occur;</w:t>
      </w:r>
    </w:p>
    <w:p>
      <w:pPr>
        <w:spacing w:after="0" w:line="168" w:lineRule="exact"/>
        <w:rPr>
          <w:rFonts w:ascii="Arial" w:cs="Arial" w:eastAsia="Arial" w:hAnsi="Arial"/>
          <w:sz w:val="21"/>
          <w:szCs w:val="21"/>
          <w:color w:val="auto"/>
        </w:rPr>
      </w:pPr>
    </w:p>
    <w:p>
      <w:pPr>
        <w:ind w:left="940" w:hanging="296"/>
        <w:spacing w:after="0"/>
        <w:tabs>
          <w:tab w:leader="none" w:pos="94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[Reserved];</w:t>
      </w:r>
    </w:p>
    <w:p>
      <w:pPr>
        <w:spacing w:after="0" w:line="168" w:lineRule="exact"/>
        <w:rPr>
          <w:rFonts w:ascii="Arial" w:cs="Arial" w:eastAsia="Arial" w:hAnsi="Arial"/>
          <w:sz w:val="21"/>
          <w:szCs w:val="21"/>
          <w:color w:val="auto"/>
        </w:rPr>
      </w:pPr>
    </w:p>
    <w:p>
      <w:pPr>
        <w:ind w:left="940" w:hanging="296"/>
        <w:spacing w:after="0"/>
        <w:tabs>
          <w:tab w:leader="none" w:pos="940" w:val="left"/>
        </w:tabs>
        <w:numPr>
          <w:ilvl w:val="1"/>
          <w:numId w:val="228"/>
        </w:numPr>
        <w:rPr>
          <w:rFonts w:ascii="Arial" w:cs="Arial" w:eastAsia="Arial" w:hAnsi="Arial"/>
          <w:sz w:val="21"/>
          <w:szCs w:val="21"/>
          <w:color w:val="auto"/>
        </w:rPr>
      </w:pPr>
      <w:r>
        <w:rPr>
          <w:rFonts w:ascii="Arial" w:cs="Arial" w:eastAsia="Arial" w:hAnsi="Arial"/>
          <w:sz w:val="21"/>
          <w:szCs w:val="21"/>
          <w:color w:val="auto"/>
        </w:rPr>
        <w:t>[Reserved];</w:t>
      </w:r>
    </w:p>
    <w:p>
      <w:pPr>
        <w:spacing w:after="0" w:line="181" w:lineRule="exact"/>
        <w:rPr>
          <w:rFonts w:ascii="Arial" w:cs="Arial" w:eastAsia="Arial" w:hAnsi="Arial"/>
          <w:sz w:val="21"/>
          <w:szCs w:val="21"/>
          <w:color w:val="auto"/>
        </w:rPr>
      </w:pPr>
    </w:p>
    <w:p>
      <w:pPr>
        <w:jc w:val="both"/>
        <w:ind w:firstLine="644"/>
        <w:spacing w:after="0" w:line="250" w:lineRule="auto"/>
        <w:tabs>
          <w:tab w:leader="none" w:pos="906" w:val="left"/>
        </w:tabs>
        <w:numPr>
          <w:ilvl w:val="1"/>
          <w:numId w:val="228"/>
        </w:numPr>
        <w:rPr>
          <w:rFonts w:ascii="Arial" w:cs="Arial" w:eastAsia="Arial" w:hAnsi="Arial"/>
          <w:sz w:val="21"/>
          <w:szCs w:val="21"/>
          <w:color w:val="auto"/>
        </w:rPr>
      </w:pPr>
      <w:r>
        <w:rPr>
          <w:rFonts w:ascii="Arial" w:cs="Arial" w:eastAsia="Arial" w:hAnsi="Arial"/>
          <w:sz w:val="21"/>
          <w:szCs w:val="21"/>
          <w:color w:val="auto"/>
        </w:rPr>
        <w:t>one or more Regulated Subsidiaries shall become subject to regulatory restrictions on its business as a result of falling below capital early warning levels and such restrictions are material and adverse to the business of Holdings, the Borrower and the Restricted Subsidiaries, taken as a whole; or</w:t>
      </w:r>
    </w:p>
    <w:p>
      <w:pPr>
        <w:spacing w:after="0" w:line="131" w:lineRule="exact"/>
        <w:rPr>
          <w:rFonts w:ascii="Arial" w:cs="Arial" w:eastAsia="Arial" w:hAnsi="Arial"/>
          <w:sz w:val="21"/>
          <w:szCs w:val="21"/>
          <w:color w:val="auto"/>
        </w:rPr>
      </w:pPr>
    </w:p>
    <w:p>
      <w:pPr>
        <w:jc w:val="both"/>
        <w:ind w:firstLine="644"/>
        <w:spacing w:after="0" w:line="250" w:lineRule="auto"/>
        <w:tabs>
          <w:tab w:leader="none" w:pos="914" w:val="left"/>
        </w:tabs>
        <w:numPr>
          <w:ilvl w:val="1"/>
          <w:numId w:val="228"/>
        </w:numPr>
        <w:rPr>
          <w:rFonts w:ascii="Arial" w:cs="Arial" w:eastAsia="Arial" w:hAnsi="Arial"/>
          <w:sz w:val="21"/>
          <w:szCs w:val="21"/>
          <w:color w:val="auto"/>
        </w:rPr>
      </w:pPr>
      <w:r>
        <w:rPr>
          <w:rFonts w:ascii="Arial" w:cs="Arial" w:eastAsia="Arial" w:hAnsi="Arial"/>
          <w:sz w:val="21"/>
          <w:szCs w:val="21"/>
          <w:color w:val="auto"/>
        </w:rPr>
        <w:t xml:space="preserve">any disqualification of the Borrower or Holdings from owning any Regulated Subsidiary which disqualification remains in effect and unwaived for a period of 30 days from receipt of notification thereof by the Borrower or Holdings; </w:t>
      </w:r>
      <w:r>
        <w:rPr>
          <w:rFonts w:ascii="Arial" w:cs="Arial" w:eastAsia="Arial" w:hAnsi="Arial"/>
          <w:sz w:val="21"/>
          <w:szCs w:val="21"/>
          <w:i w:val="1"/>
          <w:iCs w:val="1"/>
          <w:color w:val="auto"/>
        </w:rPr>
        <w:t>provided</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3" w:name="page324"/>
    <w:bookmarkEnd w:id="323"/>
    <w:p>
      <w:pPr>
        <w:jc w:val="both"/>
        <w:spacing w:after="0" w:line="268" w:lineRule="auto"/>
        <w:rPr>
          <w:sz w:val="20"/>
          <w:szCs w:val="20"/>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if the Borrower or Holdings becomes the subject of a waiver application within such 30 day period, then</w:t>
      </w:r>
      <w:r>
        <w:rPr>
          <w:rFonts w:ascii="Arial" w:cs="Arial" w:eastAsia="Arial" w:hAnsi="Arial"/>
          <w:sz w:val="19"/>
          <w:szCs w:val="19"/>
          <w:i w:val="1"/>
          <w:iCs w:val="1"/>
          <w:color w:val="auto"/>
        </w:rPr>
        <w:t xml:space="preserve"> </w:t>
      </w:r>
      <w:r>
        <w:rPr>
          <w:rFonts w:ascii="Arial" w:cs="Arial" w:eastAsia="Arial" w:hAnsi="Arial"/>
          <w:sz w:val="19"/>
          <w:szCs w:val="19"/>
          <w:color w:val="auto"/>
        </w:rPr>
        <w:t>such disqualification shall not constitute an Event Of Default for so long as such waiver application has not been denied; then, and in every such event (other than an event with respect to Holdings or the Borrower described in paragraph (h) or</w:t>
      </w:r>
    </w:p>
    <w:p>
      <w:pPr>
        <w:jc w:val="both"/>
        <w:ind w:firstLine="9"/>
        <w:spacing w:after="0" w:line="261" w:lineRule="auto"/>
        <w:tabs>
          <w:tab w:leader="none" w:pos="262" w:val="left"/>
        </w:tabs>
        <w:numPr>
          <w:ilvl w:val="0"/>
          <w:numId w:val="229"/>
        </w:numPr>
        <w:rPr>
          <w:rFonts w:ascii="Arial" w:cs="Arial" w:eastAsia="Arial" w:hAnsi="Arial"/>
          <w:sz w:val="19"/>
          <w:szCs w:val="19"/>
          <w:color w:val="auto"/>
        </w:rPr>
      </w:pPr>
      <w:r>
        <w:rPr>
          <w:rFonts w:ascii="Arial" w:cs="Arial" w:eastAsia="Arial" w:hAnsi="Arial"/>
          <w:sz w:val="19"/>
          <w:szCs w:val="19"/>
          <w:color w:val="auto"/>
        </w:rPr>
        <w:t>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w:t>
      </w:r>
    </w:p>
    <w:p>
      <w:pPr>
        <w:spacing w:after="0" w:line="1" w:lineRule="exact"/>
        <w:rPr>
          <w:rFonts w:ascii="Arial" w:cs="Arial" w:eastAsia="Arial" w:hAnsi="Arial"/>
          <w:sz w:val="19"/>
          <w:szCs w:val="19"/>
          <w:color w:val="auto"/>
        </w:rPr>
      </w:pPr>
    </w:p>
    <w:p>
      <w:pPr>
        <w:jc w:val="both"/>
        <w:ind w:firstLine="9"/>
        <w:spacing w:after="0" w:line="251" w:lineRule="auto"/>
        <w:tabs>
          <w:tab w:leader="none" w:pos="33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in case of any event with respect to Holdings or the Borrower described in paragraph (h) or (i) of this Article, the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32"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Right to Cure</w:t>
      </w:r>
      <w:r>
        <w:rPr>
          <w:rFonts w:ascii="Arial" w:cs="Arial" w:eastAsia="Arial" w:hAnsi="Arial"/>
          <w:sz w:val="19"/>
          <w:szCs w:val="19"/>
          <w:color w:val="auto"/>
        </w:rPr>
        <w:t>. (a) Notwithstanding anything to the contrary contained in Section 7.01, in the event that the Borrower and the Restricted Subsidiaries fail to comply with the requirements of either Financial Performance Covenant as of the last day of any fiscal quarter of the Borrower, then at any time after the beginning of such fiscal quarter until the expiration of the 10th day subsequent to the earlier of (i) the date on which a Compliance Certificate with respect to such fiscal quarter (or the fiscal year ended on the last day of such fiscal quarter) is delivered in accordance with Section 5.01(d) and (ii) the date on which the financial statements with respect to such fiscal quarter (or the fiscal year ended on the last day of such fiscal quarter) are required to be delivered pursuant to Section 5.01(a) or (b), as applicable, Holdings shall have the right to issue Qualified Equity Interests for cash or otherwise receive cash contributions to the capital of Holdings as cash common equity or other Qualified Equity Interests (which Holdings shall contribute through its Subsidiaries of which the Borrower is a Subsidiary to the Borrower as cash common equity) (collectively, the “</w:t>
      </w:r>
      <w:r>
        <w:rPr>
          <w:rFonts w:ascii="Arial" w:cs="Arial" w:eastAsia="Arial" w:hAnsi="Arial"/>
          <w:sz w:val="19"/>
          <w:szCs w:val="19"/>
          <w:b w:val="1"/>
          <w:bCs w:val="1"/>
          <w:color w:val="auto"/>
        </w:rPr>
        <w:t>Cure</w:t>
      </w:r>
      <w:r>
        <w:rPr>
          <w:rFonts w:ascii="Arial" w:cs="Arial" w:eastAsia="Arial" w:hAnsi="Arial"/>
          <w:sz w:val="19"/>
          <w:szCs w:val="19"/>
          <w:color w:val="auto"/>
        </w:rPr>
        <w:t xml:space="preserve"> </w:t>
      </w:r>
      <w:r>
        <w:rPr>
          <w:rFonts w:ascii="Arial" w:cs="Arial" w:eastAsia="Arial" w:hAnsi="Arial"/>
          <w:sz w:val="19"/>
          <w:szCs w:val="19"/>
          <w:b w:val="1"/>
          <w:bCs w:val="1"/>
          <w:color w:val="auto"/>
        </w:rPr>
        <w:t>Right</w:t>
      </w:r>
      <w:r>
        <w:rPr>
          <w:rFonts w:ascii="Arial" w:cs="Arial" w:eastAsia="Arial" w:hAnsi="Arial"/>
          <w:sz w:val="19"/>
          <w:szCs w:val="19"/>
          <w:color w:val="auto"/>
        </w:rPr>
        <w:t>”), and upon the receipt by the Borrower of the Net Proceeds of such issuance that are Not Otherwise Applied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Cure Amount</w:t>
      </w:r>
      <w:r>
        <w:rPr>
          <w:rFonts w:ascii="Arial" w:cs="Arial" w:eastAsia="Arial" w:hAnsi="Arial"/>
          <w:sz w:val="19"/>
          <w:szCs w:val="19"/>
          <w:color w:val="auto"/>
        </w:rPr>
        <w:t>”) pursuant to the exercise by Holdings of such Cure Right such Financial Performance Covenant shall be recalculated giving effect to the following pro forma adjustment:</w:t>
      </w:r>
    </w:p>
    <w:p>
      <w:pPr>
        <w:spacing w:after="0" w:line="133" w:lineRule="exact"/>
        <w:rPr>
          <w:sz w:val="20"/>
          <w:szCs w:val="20"/>
          <w:color w:val="auto"/>
        </w:rPr>
      </w:pPr>
    </w:p>
    <w:p>
      <w:pPr>
        <w:jc w:val="both"/>
        <w:ind w:left="640" w:firstLine="639"/>
        <w:spacing w:after="0" w:line="245" w:lineRule="auto"/>
        <w:tabs>
          <w:tab w:leader="none" w:pos="1745" w:val="left"/>
        </w:tabs>
        <w:numPr>
          <w:ilvl w:val="0"/>
          <w:numId w:val="230"/>
        </w:numPr>
        <w:rPr>
          <w:rFonts w:ascii="Arial" w:cs="Arial" w:eastAsia="Arial" w:hAnsi="Arial"/>
          <w:sz w:val="21"/>
          <w:szCs w:val="21"/>
          <w:color w:val="auto"/>
        </w:rPr>
      </w:pPr>
      <w:r>
        <w:rPr>
          <w:rFonts w:ascii="Arial" w:cs="Arial" w:eastAsia="Arial" w:hAnsi="Arial"/>
          <w:sz w:val="21"/>
          <w:szCs w:val="21"/>
          <w:color w:val="auto"/>
        </w:rPr>
        <w:t>Consolidated EBITDA shall be increased with respect to such applicable fiscal quarter and any four fiscal quarter period that contains such fiscal quarter, solely for the purpose of measuring the Financial Performance Covenants and not for any other purpose under this Agreement, by an amount equal to the Cure Amount; and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4" w:name="page325"/>
    <w:bookmarkEnd w:id="324"/>
    <w:p>
      <w:pPr>
        <w:jc w:val="both"/>
        <w:ind w:left="640" w:firstLine="639"/>
        <w:spacing w:after="0" w:line="269" w:lineRule="auto"/>
        <w:tabs>
          <w:tab w:leader="none" w:pos="1595" w:val="left"/>
        </w:tabs>
        <w:numPr>
          <w:ilvl w:val="0"/>
          <w:numId w:val="231"/>
        </w:numPr>
        <w:rPr>
          <w:rFonts w:ascii="Arial" w:cs="Arial" w:eastAsia="Arial" w:hAnsi="Arial"/>
          <w:sz w:val="19"/>
          <w:szCs w:val="19"/>
          <w:color w:val="auto"/>
        </w:rPr>
      </w:pPr>
      <w:r>
        <w:rPr>
          <w:rFonts w:ascii="Arial" w:cs="Arial" w:eastAsia="Arial" w:hAnsi="Arial"/>
          <w:sz w:val="19"/>
          <w:szCs w:val="19"/>
          <w:color w:val="auto"/>
        </w:rPr>
        <w:t>if, after giving effect to the foregoing pro forma adjustment (without giving effect to any repayment of any Indebtedness with any portion of the Cure Amount or any portion of the Cure Amount on the balance sheet of the Borrower and its Restricted Subsidiaries, in each case, with respect to such fiscal quarter only), the Borrower and its Restricted Subsidiaries shall then be in compliance with the requirements of the Financial Performance Covenants, the Borrower and its Restricted Subsidiaries shall be deemed to have satisfied the requirements of the Financial Performance Covenants as of the relevant date of determination with the same effect as though there had been no failure to comply therewith at such date, and the applicable breach or default of the Financial Performance Covenants that had occurred shall be deemed cured for the purposes of this Agreement;</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Borrower shall have notified the Administrative Agent of the exercise of such Cure Right within five (5)</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Days of the issuance of the relevant Qualified Equity Interests for cash or the receipt of the cash contributions by Holdings.</w:t>
      </w:r>
    </w:p>
    <w:p>
      <w:pPr>
        <w:spacing w:after="0" w:line="145" w:lineRule="exact"/>
        <w:rPr>
          <w:sz w:val="20"/>
          <w:szCs w:val="20"/>
          <w:color w:val="auto"/>
        </w:rPr>
      </w:pPr>
    </w:p>
    <w:p>
      <w:pPr>
        <w:jc w:val="both"/>
        <w:ind w:firstLine="644"/>
        <w:spacing w:after="0"/>
        <w:tabs>
          <w:tab w:leader="none" w:pos="978" w:val="left"/>
        </w:tabs>
        <w:numPr>
          <w:ilvl w:val="0"/>
          <w:numId w:val="232"/>
        </w:numPr>
        <w:rPr>
          <w:rFonts w:ascii="Arial" w:cs="Arial" w:eastAsia="Arial" w:hAnsi="Arial"/>
          <w:sz w:val="21"/>
          <w:szCs w:val="21"/>
          <w:color w:val="auto"/>
        </w:rPr>
      </w:pPr>
      <w:r>
        <w:rPr>
          <w:rFonts w:ascii="Arial" w:cs="Arial" w:eastAsia="Arial" w:hAnsi="Arial"/>
          <w:sz w:val="21"/>
          <w:szCs w:val="21"/>
          <w:color w:val="auto"/>
        </w:rPr>
        <w:t>Notwithstanding anything herein to the contrary, (i) in each four consecutive fiscal quarter period of the Borrower there shall be at least two fiscal quarters in which the Cure Right is not exercised, (ii) during the life of this Agreement, the Cure Right shall not be exercised more than four times and (iii) for purposes of this Section 7.02, the Cure Amount shall be no greater than the amount required for purposes of complying with the Financial Performance Covenants and any amounts in excess thereof shall not be deemed to be a Cure Amount. Notwithstanding any other provision in this Agreement to the contrary, the Cure Amount received pursuant to any exercise of the Cure Right shall be disregarded for purposes of determining any financial ratio based conditions or any available basket under Article 6 of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ADMINISTRATIVE AGENT AND COLLATERAL AGENT</w:t>
      </w:r>
    </w:p>
    <w:p>
      <w:pPr>
        <w:spacing w:after="0" w:line="151"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Each Lender hereby irrevocably appoints the Administrative Agent its agent and authorizes the Administrative Agent to take such actions on its behalf and to exercise such powers as are delegated to it by the terms of the Loan Documents, together with such actions and powers as are reasonably incidental thereto. The Administrative Agent shall also act as the “collateral agent” under the Loan Documents (and for purposes of this Article 8, the Administrative Agent acting in its capacity as such and acting in its capacity as collateral agent shall be referred to collectively as the “</w:t>
      </w:r>
      <w:r>
        <w:rPr>
          <w:rFonts w:ascii="Arial" w:cs="Arial" w:eastAsia="Arial" w:hAnsi="Arial"/>
          <w:sz w:val="19"/>
          <w:szCs w:val="19"/>
          <w:b w:val="1"/>
          <w:bCs w:val="1"/>
          <w:color w:val="auto"/>
        </w:rPr>
        <w:t>Agent</w:t>
      </w:r>
      <w:r>
        <w:rPr>
          <w:rFonts w:ascii="Arial" w:cs="Arial" w:eastAsia="Arial" w:hAnsi="Arial"/>
          <w:sz w:val="19"/>
          <w:szCs w:val="19"/>
          <w:color w:val="auto"/>
        </w:rPr>
        <w:t>” or the “</w:t>
      </w:r>
      <w:r>
        <w:rPr>
          <w:rFonts w:ascii="Arial" w:cs="Arial" w:eastAsia="Arial" w:hAnsi="Arial"/>
          <w:sz w:val="19"/>
          <w:szCs w:val="19"/>
          <w:b w:val="1"/>
          <w:bCs w:val="1"/>
          <w:color w:val="auto"/>
        </w:rPr>
        <w:t>Agents</w:t>
      </w:r>
      <w:r>
        <w:rPr>
          <w:rFonts w:ascii="Arial" w:cs="Arial" w:eastAsia="Arial" w:hAnsi="Arial"/>
          <w:sz w:val="19"/>
          <w:szCs w:val="19"/>
          <w:color w:val="auto"/>
        </w:rPr>
        <w:t>”), and each of the Lenders hereby irrevocably appoints and authorizes the Administrative Agent to act as the agent of such Lender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hereunder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8 and Article 9 (including Section 9.03 as though such co-agents, sub-agents and attorneys-in-fact were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5" w:right="739" w:bottom="1440" w:gutter="0" w:footer="0" w:header="0"/>
        </w:sectPr>
      </w:pPr>
    </w:p>
    <w:bookmarkStart w:id="325" w:name="page326"/>
    <w:bookmarkEnd w:id="325"/>
    <w:p>
      <w:pPr>
        <w:spacing w:after="0"/>
        <w:rPr>
          <w:sz w:val="20"/>
          <w:szCs w:val="20"/>
          <w:color w:val="auto"/>
        </w:rPr>
      </w:pPr>
      <w:r>
        <w:rPr>
          <w:rFonts w:ascii="Arial" w:cs="Arial" w:eastAsia="Arial" w:hAnsi="Arial"/>
          <w:sz w:val="21"/>
          <w:szCs w:val="21"/>
          <w:color w:val="auto"/>
        </w:rPr>
        <w:t>the “collateral agent” under the Loan Documents) as if set forth in full herein with respect thereto.</w:t>
      </w:r>
    </w:p>
    <w:p>
      <w:pPr>
        <w:spacing w:after="0" w:line="169" w:lineRule="exact"/>
        <w:rPr>
          <w:sz w:val="20"/>
          <w:szCs w:val="20"/>
          <w:color w:val="auto"/>
        </w:rPr>
      </w:pPr>
    </w:p>
    <w:p>
      <w:pPr>
        <w:jc w:val="both"/>
        <w:ind w:firstLine="635"/>
        <w:spacing w:after="0" w:line="253" w:lineRule="auto"/>
        <w:rPr>
          <w:sz w:val="20"/>
          <w:szCs w:val="20"/>
          <w:color w:val="auto"/>
        </w:rPr>
      </w:pPr>
      <w:r>
        <w:rPr>
          <w:rFonts w:ascii="Arial" w:cs="Arial" w:eastAsia="Arial" w:hAnsi="Arial"/>
          <w:sz w:val="20"/>
          <w:szCs w:val="20"/>
          <w:color w:val="auto"/>
        </w:rPr>
        <w:t>Without limiting the generality of the foregoing, the Agents are hereby expressly authorized to (i) execute any and all documents (including releases) with respect to the Collateral and the rights of the Secured Parties with respect thereto, as contemplated by and in accordance with the provisions of this Agreement and the Security Documents and (ii) negotiate, enforce or settle any claim, action or proceeding affecting the Lenders in their capacity as such, at the direction of the Required Lenders, which negotiation, enforcement or settlement will be binding upon each Lender. In the event that any obligations (other than the Secured Obligations) are permitted to be incurred hereunder and secured by Liens permitted to be incurred hereunder on all or a portion of the Collateral, each Lender authorizes each Agent to enter into intercreditor agreements, subordination agreements and amendments to the Security Documents to reflect such arrangements on terms acceptable to such Agent.</w:t>
      </w:r>
    </w:p>
    <w:p>
      <w:pPr>
        <w:spacing w:after="0" w:line="146"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The institution serving as the Administrative Agent and/or the Collateral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the Agent hereunder in its individual capacity. Such bank and its Affiliates may accept deposits from, lend money to and generally engage in any kind of business with Holdings, the Borrower or any Subsidiary or other Affiliate thereof as if it were not an Agent hereunder.</w:t>
      </w:r>
    </w:p>
    <w:p>
      <w:pPr>
        <w:spacing w:after="0" w:line="140"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9"/>
          <w:szCs w:val="19"/>
          <w:color w:val="auto"/>
        </w:rPr>
        <w:t xml:space="preserve">Neither Agent shall have any duties or obligations except those expressly set forth in the Loan Documents. Without limiting the generality of the foregoing, (a) neither Agent shall be subject to any fiduciary or other implied duties, regardless of whether a Default has occurred and is continuing, (b) neither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9.02);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neither Agent shall be required to take any action that, in its opinion or the opinion of its counsel, may expose such Agent to liability or that is contrary to any Loan Document or applicable law, and (c) except as expressly set forth in the Loan Documents, neither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Neither Agent shall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court of competent jurisdiction in a final and non-appealable judgment. Neither Agent shall be deemed to have knowledge of any Default unless and until written notice thereof is given to such Agent by Holdings, the Borrower or a Lender and neither Agent shall be responsible for or have any duty to ascertain or inquire into</w:t>
      </w:r>
    </w:p>
    <w:p>
      <w:pPr>
        <w:spacing w:after="0" w:line="12" w:lineRule="exact"/>
        <w:rPr>
          <w:sz w:val="20"/>
          <w:szCs w:val="20"/>
          <w:color w:val="auto"/>
        </w:rPr>
      </w:pPr>
    </w:p>
    <w:p>
      <w:pPr>
        <w:ind w:left="260" w:hanging="251"/>
        <w:spacing w:after="0"/>
        <w:tabs>
          <w:tab w:leader="none" w:pos="26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any statement, warranty or representation made in or in connection with any Loan Document, (ii) the contents of</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5060"/>
        <w:spacing w:after="0"/>
        <w:rPr>
          <w:rFonts w:ascii="Arial" w:cs="Arial" w:eastAsia="Arial" w:hAnsi="Arial"/>
          <w:sz w:val="20"/>
          <w:szCs w:val="20"/>
          <w:color w:val="auto"/>
        </w:rPr>
      </w:pPr>
      <w:r>
        <w:rPr>
          <w:rFonts w:ascii="Arial" w:cs="Arial" w:eastAsia="Arial" w:hAnsi="Arial"/>
          <w:sz w:val="21"/>
          <w:szCs w:val="2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6" w:name="page327"/>
    <w:bookmarkEnd w:id="326"/>
    <w:p>
      <w:pPr>
        <w:jc w:val="both"/>
        <w:spacing w:after="0" w:line="253" w:lineRule="auto"/>
        <w:rPr>
          <w:sz w:val="20"/>
          <w:szCs w:val="20"/>
          <w:color w:val="auto"/>
        </w:rPr>
      </w:pPr>
      <w:r>
        <w:rPr>
          <w:rFonts w:ascii="Arial" w:cs="Arial" w:eastAsia="Arial" w:hAnsi="Arial"/>
          <w:sz w:val="20"/>
          <w:szCs w:val="20"/>
          <w:color w:val="auto"/>
        </w:rPr>
        <w:t>any certificate, report or other document delivered thereunder or in connection therewith,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any Lien purported to be created by the Security Documents, (vi) the value or the sufficiency of any Collateral, (vii) the financial condition or business affairs of any Loan Party or any other Person liable for the payment of any Secured Obligations or as to the use of the proceeds of the Loans, (viii) the properties, books or records of any Loan Party, (ix) the existence or possible existence of any Event of Default or Default or (x) the satisfaction of any condition set forth in Article 4 or elsewhere in any Loan Document, other than to confirm receipt of items expressly required to be delivered to such Agent.</w:t>
      </w:r>
    </w:p>
    <w:p>
      <w:pPr>
        <w:spacing w:after="0" w:line="133" w:lineRule="exact"/>
        <w:rPr>
          <w:sz w:val="20"/>
          <w:szCs w:val="20"/>
          <w:color w:val="auto"/>
        </w:rPr>
      </w:pPr>
    </w:p>
    <w:p>
      <w:pPr>
        <w:jc w:val="both"/>
        <w:ind w:firstLine="635"/>
        <w:spacing w:after="0" w:line="270" w:lineRule="auto"/>
        <w:rPr>
          <w:sz w:val="20"/>
          <w:szCs w:val="20"/>
          <w:color w:val="auto"/>
        </w:rPr>
      </w:pPr>
      <w:r>
        <w:rPr>
          <w:rFonts w:ascii="Arial" w:cs="Arial" w:eastAsia="Arial" w:hAnsi="Arial"/>
          <w:sz w:val="19"/>
          <w:szCs w:val="19"/>
          <w:color w:val="auto"/>
        </w:rPr>
        <w:t>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Each Agent may also rely upon any statement made to it orally or by telephone and believed by it to have been made by the proper Person, and shall not incur any liability for relying thereon.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31"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Each Agent may perform any and all its duties and exercise its rights and powers by or through any one or more sub-agents appointed by it. Each Agent and any such sub-agent may perform any and all its duties and exercise its rights and powers by or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Agent.</w:t>
      </w:r>
    </w:p>
    <w:p>
      <w:pPr>
        <w:spacing w:after="0" w:line="140" w:lineRule="exact"/>
        <w:rPr>
          <w:sz w:val="20"/>
          <w:szCs w:val="20"/>
          <w:color w:val="auto"/>
        </w:rPr>
      </w:pPr>
    </w:p>
    <w:p>
      <w:pPr>
        <w:jc w:val="both"/>
        <w:ind w:firstLine="635"/>
        <w:spacing w:after="0" w:line="266" w:lineRule="auto"/>
        <w:rPr>
          <w:sz w:val="20"/>
          <w:szCs w:val="20"/>
          <w:color w:val="auto"/>
        </w:rPr>
      </w:pPr>
      <w:r>
        <w:rPr>
          <w:rFonts w:ascii="Arial" w:cs="Arial" w:eastAsia="Arial" w:hAnsi="Arial"/>
          <w:sz w:val="19"/>
          <w:szCs w:val="19"/>
          <w:color w:val="auto"/>
        </w:rPr>
        <w:t>Subject to the appointment and acceptance of a successor Agent as provided below, either Agent may resign at any time upon 30 days’ notice to the Lenders and the Borrower. If the Administrative Agent becomes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and the Administrative Agent is not performing its role hereunder as Administrative Agent, then the Administrative Agent may be removed as the Administrative Agent hereunder at the request of the Borrower and the Required Lenders. Upon receipt of any such notice of resignation or upon such removal, the Required Lenders shall have the right, with the Borrower’s consent (such consent not to be unreasonably withheld or delayed) (provided that no consent of the Borrower shall be required if an Event of Default under Section 7.01(a), (b), (h) or (i) has occurred and is continuing), to appoint a successor. If no successor shall have been so appointed by the Required Lenders and shall have accepted such appointment within 30 days after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7" w:name="page328"/>
    <w:bookmarkEnd w:id="327"/>
    <w:p>
      <w:pPr>
        <w:jc w:val="both"/>
        <w:spacing w:after="0" w:line="265" w:lineRule="auto"/>
        <w:rPr>
          <w:sz w:val="20"/>
          <w:szCs w:val="20"/>
          <w:color w:val="auto"/>
        </w:rPr>
      </w:pPr>
      <w:r>
        <w:rPr>
          <w:rFonts w:ascii="Arial" w:cs="Arial" w:eastAsia="Arial" w:hAnsi="Arial"/>
          <w:sz w:val="19"/>
          <w:szCs w:val="19"/>
          <w:color w:val="auto"/>
        </w:rPr>
        <w:t>retiring Agent gives notice of its resignation, then the retiring Agent may, on behalf of the Lenders and each Issuing Bank, appoint a successor Agent which shall be a bank with an office in New York, New York, or an Affiliate of any such bank. If no successor Agent has been appointed pursuant to the immediately preceding sentence by the 30th day after the date such notice of resignation was given by such Agent, such Agent’s resignation shall become effective and the Required Lenders shall thereafter perform all the duties of such Agent hereunder and/or under any other Loan Document until such time, if any, as the Required Lenders appoint a successor Administrative Agent and/or Collateral Agent, as the case may be.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an Agent’s resignation hereunder, the provisions of this Article and Section 9.03 shall continue in effect for the benefit of such retiring Agent, its sub-agents and their respective Related Parties in respect of any actions taken or omitted to be taken by any of them while acting as Agent. For the avoidance of doubt, the Former Agent shall have all the right, privileges and immunities provided to the “Administrative Agent” in the Loan Documents in connection with its acting as the Administrative Agent under the Existing Credit Agreement.</w:t>
      </w:r>
    </w:p>
    <w:p>
      <w:pPr>
        <w:spacing w:after="0" w:line="125"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Each Lender acknowledges and represents and warrants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the Agents or any other Lender and based on such documents and information as it shall from time to time deem appropriate, continue to make its own decisions in taking or not taking action under or based upon this Agreement or any other Loan Document, any related agreement or any document furnished hereunder or thereunder. Neither Agent shall have any duty or responsibility, either initially or on a continuing basis, to make any investigation or any appraisal on behalf of Lenders or to provide any Lender with any credit or other information with respect thereto, whether coming into its possession before the making of the Loans or at any time or times thereafter, and neither Agent shall have any responsibility with respect to the accuracy or completeness of any information provided to Lenders.</w:t>
      </w:r>
    </w:p>
    <w:p>
      <w:pPr>
        <w:spacing w:after="0" w:line="136"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40" w:lineRule="exact"/>
        <w:rPr>
          <w:sz w:val="20"/>
          <w:szCs w:val="20"/>
          <w:color w:val="auto"/>
        </w:rPr>
      </w:pPr>
    </w:p>
    <w:p>
      <w:pPr>
        <w:jc w:val="both"/>
        <w:ind w:firstLine="9"/>
        <w:spacing w:after="0" w:line="268" w:lineRule="auto"/>
        <w:tabs>
          <w:tab w:leader="none" w:pos="296"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outstanding Letters of Credit and all other Secured Obligations that are owing and unpaid and to file such other documents as may be necessary or advisable in order to have the claims of the Lenders and the Agents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8" w:name="page329"/>
    <w:bookmarkEnd w:id="328"/>
    <w:p>
      <w:pPr>
        <w:jc w:val="both"/>
        <w:spacing w:after="0" w:line="250" w:lineRule="auto"/>
        <w:rPr>
          <w:sz w:val="20"/>
          <w:szCs w:val="20"/>
          <w:color w:val="auto"/>
        </w:rPr>
      </w:pPr>
      <w:r>
        <w:rPr>
          <w:rFonts w:ascii="Arial" w:cs="Arial" w:eastAsia="Arial" w:hAnsi="Arial"/>
          <w:sz w:val="21"/>
          <w:szCs w:val="21"/>
          <w:color w:val="auto"/>
        </w:rPr>
        <w:t>(including any claim for the reasonable compensation, expenses, disbursements and advances of the Lenders and the Agents and their respective agents and counsel and all other amounts due the Lenders and the Agents under Sections 2.12 and 9.03) allowed in such judicial proceeding; and</w:t>
      </w:r>
    </w:p>
    <w:p>
      <w:pPr>
        <w:spacing w:after="0" w:line="132" w:lineRule="exact"/>
        <w:rPr>
          <w:sz w:val="20"/>
          <w:szCs w:val="20"/>
          <w:color w:val="auto"/>
        </w:rPr>
      </w:pPr>
    </w:p>
    <w:p>
      <w:pPr>
        <w:ind w:firstLine="9"/>
        <w:spacing w:after="0" w:line="263" w:lineRule="auto"/>
        <w:tabs>
          <w:tab w:leader="none" w:pos="322" w:val="left"/>
        </w:tabs>
        <w:numPr>
          <w:ilvl w:val="0"/>
          <w:numId w:val="235"/>
        </w:numPr>
        <w:rPr>
          <w:rFonts w:ascii="Arial" w:cs="Arial" w:eastAsia="Arial" w:hAnsi="Arial"/>
          <w:sz w:val="21"/>
          <w:szCs w:val="21"/>
          <w:color w:val="auto"/>
        </w:rPr>
      </w:pPr>
      <w:r>
        <w:rPr>
          <w:rFonts w:ascii="Arial" w:cs="Arial" w:eastAsia="Arial" w:hAnsi="Arial"/>
          <w:sz w:val="21"/>
          <w:szCs w:val="21"/>
          <w:color w:val="auto"/>
        </w:rPr>
        <w:t>to collect and receive any monies or other property payable or deliverable on any such claims and to distribute the same;</w:t>
      </w:r>
    </w:p>
    <w:p>
      <w:pPr>
        <w:spacing w:after="0" w:line="132"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each Agent any amount due for the reasonable compensation, expenses, disbursements and advances of such Agent and its agents and counsel, and any other amounts due such Agent under Sections 2.12 and 9.03.</w:t>
      </w:r>
    </w:p>
    <w:p>
      <w:pPr>
        <w:spacing w:after="0" w:line="140"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Nothing contained herein shall be deemed to authorize the Administrative Agent to authorize or consent to or accept or adopt on behalf of any Lender any plan of reorganization, arrangement, adjustment or composition affecting the Secured Obligations or the rights of any Lender to authorize the Administrative Agent to vote in respect of the claim of any Lender in any such proceeding.</w:t>
      </w:r>
    </w:p>
    <w:p>
      <w:pPr>
        <w:spacing w:after="0" w:line="138"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To the extent required by any applicable law, the Administrative Agent may deduct or withhold from any payment to any Lender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for any reason (including, without limitation, because the appropriate form was not delivered or not property executed, or because such Lender failed to notify the Administrative Agent of a change in circumstance that rendered the exemption from, or reduction of withholding Tax ineffective, or for any other reason), such Lender shall indemnify and hold harmless the Administrative Agent (to the extent that the Administrative Agent has not already been reimbursed by the Borrower pursuant to Section 2.15 and without limiting any obligation of the Borrower to do so pursuant to such Section) fully for all amounts paid, directly or indirectly, by the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Article 8. The agreements in this Article 8 shall survive the resignation and/or replacement of the Administrative Agent, any assignment of rights by, or the replacement of, a Lender, the termination of this Agreement and the repayment, satisfaction or discharge of all other obligations.</w:t>
      </w:r>
    </w:p>
    <w:p>
      <w:pPr>
        <w:spacing w:after="0" w:line="132"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21"/>
          <w:szCs w:val="21"/>
          <w:color w:val="auto"/>
        </w:rPr>
        <w:t>Notwithstanding any other provision of this Agreement or any provision of any other Loan Document, the Lead Arranger is named as such for recognition purposes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29" w:name="page330"/>
    <w:bookmarkEnd w:id="329"/>
    <w:p>
      <w:pPr>
        <w:jc w:val="both"/>
        <w:spacing w:after="0" w:line="275" w:lineRule="auto"/>
        <w:rPr>
          <w:sz w:val="20"/>
          <w:szCs w:val="20"/>
          <w:color w:val="auto"/>
        </w:rPr>
      </w:pPr>
      <w:r>
        <w:rPr>
          <w:rFonts w:ascii="Arial" w:cs="Arial" w:eastAsia="Arial" w:hAnsi="Arial"/>
          <w:sz w:val="19"/>
          <w:szCs w:val="19"/>
          <w:color w:val="auto"/>
        </w:rPr>
        <w:t>only, and in its capacity as such shall have no duties, responsibilities or liabilities with respect to this Agreement or any other Loan Document; it being understood and agreed that the Lead Arranger shall be entitled to all indemnification and reimbursement rights in favor of the Agents provided herein and in the other Loan Documents. Without limitation of the foregoing, the Lead Arranger in its capacity as such shall not, by reason of this Agreement or any other Loan Document, have any fiduciary relationship in respect of any Lender, any Loan Party or any other Person.</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term “Lender” in this Article 8 shall include any Issuing Bank.</w:t>
      </w:r>
    </w:p>
    <w:p>
      <w:pPr>
        <w:spacing w:after="0" w:line="182"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ARTICLE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MISCELLANEOUS</w:t>
      </w:r>
    </w:p>
    <w:p>
      <w:pPr>
        <w:spacing w:after="0" w:line="151" w:lineRule="exact"/>
        <w:rPr>
          <w:sz w:val="20"/>
          <w:szCs w:val="20"/>
          <w:color w:val="auto"/>
        </w:rPr>
      </w:pPr>
    </w:p>
    <w:p>
      <w:pPr>
        <w:jc w:val="both"/>
        <w:ind w:firstLine="635"/>
        <w:spacing w:after="0" w:line="245"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i w:val="1"/>
          <w:iCs w:val="1"/>
          <w:color w:val="auto"/>
        </w:rPr>
        <w:t>Notices</w:t>
      </w:r>
      <w:r>
        <w:rPr>
          <w:rFonts w:ascii="Arial" w:cs="Arial" w:eastAsia="Arial" w:hAnsi="Arial"/>
          <w:sz w:val="21"/>
          <w:szCs w:val="21"/>
          <w:color w:val="auto"/>
        </w:rPr>
        <w:t>. (a)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w:t>
      </w:r>
    </w:p>
    <w:p>
      <w:pPr>
        <w:spacing w:after="0" w:line="138" w:lineRule="exact"/>
        <w:rPr>
          <w:sz w:val="20"/>
          <w:szCs w:val="20"/>
          <w:color w:val="auto"/>
        </w:rPr>
      </w:pPr>
    </w:p>
    <w:p>
      <w:pPr>
        <w:ind w:left="640" w:right="20" w:firstLine="1274"/>
        <w:spacing w:after="0" w:line="288" w:lineRule="auto"/>
        <w:tabs>
          <w:tab w:leader="none" w:pos="2177" w:val="left"/>
        </w:tabs>
        <w:numPr>
          <w:ilvl w:val="0"/>
          <w:numId w:val="236"/>
        </w:numPr>
        <w:rPr>
          <w:rFonts w:ascii="Arial" w:cs="Arial" w:eastAsia="Arial" w:hAnsi="Arial"/>
          <w:sz w:val="20"/>
          <w:szCs w:val="20"/>
          <w:color w:val="auto"/>
        </w:rPr>
      </w:pPr>
      <w:r>
        <w:rPr>
          <w:rFonts w:ascii="Arial" w:cs="Arial" w:eastAsia="Arial" w:hAnsi="Arial"/>
          <w:sz w:val="20"/>
          <w:szCs w:val="20"/>
          <w:color w:val="auto"/>
        </w:rPr>
        <w:t>if to Holdings, the Borrower, the Administrative Agent or the Issuing Bank, to the address, fax number, e-mail address or telephone number specified for such Person on Schedule 9.01; and</w:t>
      </w:r>
    </w:p>
    <w:p>
      <w:pPr>
        <w:spacing w:after="0" w:line="109" w:lineRule="exact"/>
        <w:rPr>
          <w:rFonts w:ascii="Arial" w:cs="Arial" w:eastAsia="Arial" w:hAnsi="Arial"/>
          <w:sz w:val="20"/>
          <w:szCs w:val="20"/>
          <w:color w:val="auto"/>
        </w:rPr>
      </w:pPr>
    </w:p>
    <w:p>
      <w:pPr>
        <w:jc w:val="both"/>
        <w:ind w:left="640" w:firstLine="1274"/>
        <w:spacing w:after="0" w:line="245" w:lineRule="auto"/>
        <w:tabs>
          <w:tab w:leader="none" w:pos="2246"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if to any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38"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21"/>
          <w:szCs w:val="21"/>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40" w:lineRule="exact"/>
        <w:rPr>
          <w:sz w:val="20"/>
          <w:szCs w:val="20"/>
          <w:color w:val="auto"/>
        </w:rPr>
      </w:pPr>
    </w:p>
    <w:p>
      <w:pPr>
        <w:jc w:val="both"/>
        <w:ind w:firstLine="644"/>
        <w:spacing w:after="0" w:line="275" w:lineRule="auto"/>
        <w:tabs>
          <w:tab w:leader="none" w:pos="935" w:val="left"/>
        </w:tabs>
        <w:numPr>
          <w:ilvl w:val="0"/>
          <w:numId w:val="237"/>
        </w:numPr>
        <w:rPr>
          <w:rFonts w:ascii="Arial" w:cs="Arial" w:eastAsia="Arial" w:hAnsi="Arial"/>
          <w:sz w:val="19"/>
          <w:szCs w:val="19"/>
          <w:color w:val="auto"/>
        </w:rPr>
      </w:pPr>
      <w:r>
        <w:rPr>
          <w:rFonts w:ascii="Arial" w:cs="Arial" w:eastAsia="Arial" w:hAnsi="Arial"/>
          <w:sz w:val="19"/>
          <w:szCs w:val="19"/>
          <w:i w:val="1"/>
          <w:iCs w:val="1"/>
          <w:color w:val="auto"/>
        </w:rPr>
        <w:t>Electronic Communications</w:t>
      </w:r>
      <w:r>
        <w:rPr>
          <w:rFonts w:ascii="Arial" w:cs="Arial" w:eastAsia="Arial" w:hAnsi="Arial"/>
          <w:sz w:val="19"/>
          <w:szCs w:val="19"/>
          <w:color w:val="auto"/>
        </w:rPr>
        <w:t>. Notices and other communications to the Lenders and the Issuing Bank hereunder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may be delivered or furnished by electronic communication (including e-mail and Internet or intranet websites) pursuant to procedures reasonably approved by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notices to any Lender or the Issuing Bank pursuant to Article 2 if such Lender or the Issuing Bank, as applicable has notified the Administrative Agent that it is incapable of receiving notices under such Article by electronic communication.</w:t>
      </w:r>
    </w:p>
    <w:p>
      <w:pPr>
        <w:spacing w:after="0" w:line="124" w:lineRule="exact"/>
        <w:rPr>
          <w:sz w:val="20"/>
          <w:szCs w:val="20"/>
          <w:color w:val="auto"/>
        </w:rPr>
      </w:pPr>
    </w:p>
    <w:p>
      <w:pPr>
        <w:ind w:firstLine="635"/>
        <w:spacing w:after="0" w:line="263" w:lineRule="auto"/>
        <w:rPr>
          <w:sz w:val="20"/>
          <w:szCs w:val="20"/>
          <w:color w:val="auto"/>
        </w:rPr>
      </w:pPr>
      <w:r>
        <w:rPr>
          <w:rFonts w:ascii="Arial" w:cs="Arial" w:eastAsia="Arial" w:hAnsi="Arial"/>
          <w:sz w:val="21"/>
          <w:szCs w:val="21"/>
          <w:color w:val="auto"/>
        </w:rPr>
        <w:t>Unless the Administrative Agent otherwise prescribes, (i) notices and other communications sent to an e-mail address shall be deemed received upon the sender’s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0" w:name="page331"/>
    <w:bookmarkEnd w:id="330"/>
    <w:p>
      <w:pPr>
        <w:jc w:val="both"/>
        <w:spacing w:after="0" w:line="241" w:lineRule="auto"/>
        <w:rPr>
          <w:sz w:val="20"/>
          <w:szCs w:val="20"/>
          <w:color w:val="auto"/>
        </w:rPr>
      </w:pPr>
      <w:r>
        <w:rPr>
          <w:rFonts w:ascii="Arial" w:cs="Arial" w:eastAsia="Arial" w:hAnsi="Arial"/>
          <w:sz w:val="21"/>
          <w:szCs w:val="21"/>
          <w:color w:val="auto"/>
        </w:rPr>
        <w:t xml:space="preserve">receipt of an acknowledgement from the intended recipient (such as by the “return receipt requested” function, as available, return e-mail or other written acknowledgement),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41" w:lineRule="exact"/>
        <w:rPr>
          <w:sz w:val="20"/>
          <w:szCs w:val="20"/>
          <w:color w:val="auto"/>
        </w:rPr>
      </w:pPr>
    </w:p>
    <w:p>
      <w:pPr>
        <w:jc w:val="both"/>
        <w:ind w:firstLine="708"/>
        <w:spacing w:after="0" w:line="251" w:lineRule="auto"/>
        <w:tabs>
          <w:tab w:leader="none" w:pos="991" w:val="left"/>
        </w:tabs>
        <w:numPr>
          <w:ilvl w:val="0"/>
          <w:numId w:val="238"/>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The Platform. </w:t>
      </w:r>
      <w:r>
        <w:rPr>
          <w:rFonts w:ascii="Arial" w:cs="Arial" w:eastAsia="Arial" w:hAnsi="Arial"/>
          <w:sz w:val="20"/>
          <w:szCs w:val="20"/>
          <w:color w:val="auto"/>
        </w:rPr>
        <w:t>THE PLATFORM IS PROVIDED “AS IS” AND “AS AVAILABLE.” THE AGENT PARTIES</w:t>
      </w:r>
      <w:r>
        <w:rPr>
          <w:rFonts w:ascii="Arial" w:cs="Arial" w:eastAsia="Arial" w:hAnsi="Arial"/>
          <w:sz w:val="20"/>
          <w:szCs w:val="20"/>
          <w:i w:val="1"/>
          <w:iCs w:val="1"/>
          <w:color w:val="auto"/>
        </w:rPr>
        <w:t xml:space="preserve"> </w:t>
      </w:r>
      <w:r>
        <w:rPr>
          <w:rFonts w:ascii="Arial" w:cs="Arial" w:eastAsia="Arial" w:hAnsi="Arial"/>
          <w:sz w:val="20"/>
          <w:szCs w:val="20"/>
          <w:color w:val="auto"/>
        </w:rPr>
        <w:t>(AS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20"/>
          <w:szCs w:val="20"/>
          <w:b w:val="1"/>
          <w:bCs w:val="1"/>
          <w:color w:val="auto"/>
        </w:rPr>
        <w:t>Agent Parties</w:t>
      </w:r>
      <w:r>
        <w:rPr>
          <w:rFonts w:ascii="Arial" w:cs="Arial" w:eastAsia="Arial" w:hAnsi="Arial"/>
          <w:sz w:val="20"/>
          <w:szCs w:val="20"/>
          <w:color w:val="auto"/>
        </w:rPr>
        <w:t xml:space="preserve">”) have any liability to Holdings, the Borrower, any Lender, the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in no event shall any Agent Party have any liability to Holdings, the Borrower, any Lender,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Issuing Bank or any other Person for indirect, special, incidental, consequential or punitive damages (as opposed to direct or actual damages).</w:t>
      </w:r>
    </w:p>
    <w:p>
      <w:pPr>
        <w:spacing w:after="0" w:line="146" w:lineRule="exact"/>
        <w:rPr>
          <w:rFonts w:ascii="Arial" w:cs="Arial" w:eastAsia="Arial" w:hAnsi="Arial"/>
          <w:sz w:val="20"/>
          <w:szCs w:val="20"/>
          <w:i w:val="1"/>
          <w:iCs w:val="1"/>
          <w:color w:val="auto"/>
        </w:rPr>
      </w:pPr>
    </w:p>
    <w:p>
      <w:pPr>
        <w:jc w:val="both"/>
        <w:ind w:firstLine="708"/>
        <w:spacing w:after="0" w:line="241" w:lineRule="auto"/>
        <w:tabs>
          <w:tab w:leader="none" w:pos="1025" w:val="left"/>
        </w:tabs>
        <w:numPr>
          <w:ilvl w:val="0"/>
          <w:numId w:val="238"/>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Public Lenders. </w:t>
      </w:r>
      <w:r>
        <w:rPr>
          <w:rFonts w:ascii="Arial" w:cs="Arial" w:eastAsia="Arial" w:hAnsi="Arial"/>
          <w:sz w:val="21"/>
          <w:szCs w:val="21"/>
          <w:color w:val="auto"/>
        </w:rPr>
        <w:t>Each Public Lender agrees to cause at least one individual at or on behalf of such Public</w:t>
      </w:r>
      <w:r>
        <w:rPr>
          <w:rFonts w:ascii="Arial" w:cs="Arial" w:eastAsia="Arial" w:hAnsi="Arial"/>
          <w:sz w:val="21"/>
          <w:szCs w:val="21"/>
          <w:i w:val="1"/>
          <w:iCs w:val="1"/>
          <w:color w:val="auto"/>
        </w:rPr>
        <w:t xml:space="preserve"> </w:t>
      </w:r>
      <w:r>
        <w:rPr>
          <w:rFonts w:ascii="Arial" w:cs="Arial" w:eastAsia="Arial" w:hAnsi="Arial"/>
          <w:sz w:val="21"/>
          <w:szCs w:val="21"/>
          <w:color w:val="auto"/>
        </w:rPr>
        <w:t>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41" w:lineRule="exact"/>
        <w:rPr>
          <w:rFonts w:ascii="Arial" w:cs="Arial" w:eastAsia="Arial" w:hAnsi="Arial"/>
          <w:sz w:val="21"/>
          <w:szCs w:val="21"/>
          <w:i w:val="1"/>
          <w:iCs w:val="1"/>
          <w:color w:val="auto"/>
        </w:rPr>
      </w:pPr>
    </w:p>
    <w:p>
      <w:pPr>
        <w:jc w:val="both"/>
        <w:ind w:firstLine="708"/>
        <w:spacing w:after="0" w:line="243" w:lineRule="auto"/>
        <w:tabs>
          <w:tab w:leader="none" w:pos="993" w:val="left"/>
        </w:tabs>
        <w:numPr>
          <w:ilvl w:val="0"/>
          <w:numId w:val="238"/>
        </w:numPr>
        <w:rPr>
          <w:rFonts w:ascii="Arial" w:cs="Arial" w:eastAsia="Arial" w:hAnsi="Arial"/>
          <w:sz w:val="21"/>
          <w:szCs w:val="21"/>
          <w:i w:val="1"/>
          <w:iCs w:val="1"/>
          <w:color w:val="auto"/>
        </w:rPr>
      </w:pPr>
      <w:r>
        <w:rPr>
          <w:rFonts w:ascii="Arial" w:cs="Arial" w:eastAsia="Arial" w:hAnsi="Arial"/>
          <w:sz w:val="21"/>
          <w:szCs w:val="21"/>
          <w:i w:val="1"/>
          <w:iCs w:val="1"/>
          <w:color w:val="auto"/>
        </w:rPr>
        <w:t>Change of Address, Etc</w:t>
      </w:r>
      <w:r>
        <w:rPr>
          <w:rFonts w:ascii="Arial" w:cs="Arial" w:eastAsia="Arial" w:hAnsi="Arial"/>
          <w:sz w:val="21"/>
          <w:szCs w:val="21"/>
          <w:color w:val="auto"/>
        </w:rPr>
        <w:t>. Each of Holdings, the Borrower, the Administrative Agent and the Issuing Bank may</w:t>
      </w:r>
      <w:r>
        <w:rPr>
          <w:rFonts w:ascii="Arial" w:cs="Arial" w:eastAsia="Arial" w:hAnsi="Arial"/>
          <w:sz w:val="21"/>
          <w:szCs w:val="21"/>
          <w:i w:val="1"/>
          <w:iCs w:val="1"/>
          <w:color w:val="auto"/>
        </w:rPr>
        <w:t xml:space="preserve"> </w:t>
      </w:r>
      <w:r>
        <w:rPr>
          <w:rFonts w:ascii="Arial" w:cs="Arial" w:eastAsia="Arial" w:hAnsi="Arial"/>
          <w:sz w:val="21"/>
          <w:szCs w:val="21"/>
          <w:color w:val="auto"/>
        </w:rPr>
        <w:t>change its address, electronic mail address, fax or telephone number for notices and other communications or website hereunder by notice to the other parties hereto. Each Lender may change its address, fax or telephone number for notices and other communications hereunder by notice to the Borrower, the Administrative Agent and the Issuing Bank. In addition,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1" w:name="page332"/>
    <w:bookmarkEnd w:id="331"/>
    <w:p>
      <w:pPr>
        <w:jc w:val="both"/>
        <w:spacing w:after="0" w:line="250" w:lineRule="auto"/>
        <w:rPr>
          <w:sz w:val="20"/>
          <w:szCs w:val="20"/>
          <w:color w:val="auto"/>
        </w:rPr>
      </w:pPr>
      <w:r>
        <w:rPr>
          <w:rFonts w:ascii="Arial" w:cs="Arial" w:eastAsia="Arial" w:hAnsi="Arial"/>
          <w:sz w:val="21"/>
          <w:szCs w:val="21"/>
          <w:color w:val="auto"/>
        </w:rPr>
        <w:t>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32" w:lineRule="exact"/>
        <w:rPr>
          <w:sz w:val="20"/>
          <w:szCs w:val="20"/>
          <w:color w:val="auto"/>
        </w:rPr>
      </w:pPr>
    </w:p>
    <w:p>
      <w:pPr>
        <w:jc w:val="both"/>
        <w:ind w:firstLine="644"/>
        <w:spacing w:after="0" w:line="252" w:lineRule="auto"/>
        <w:tabs>
          <w:tab w:leader="none" w:pos="899" w:val="left"/>
        </w:tabs>
        <w:numPr>
          <w:ilvl w:val="0"/>
          <w:numId w:val="239"/>
        </w:numPr>
        <w:rPr>
          <w:rFonts w:ascii="Arial" w:cs="Arial" w:eastAsia="Arial" w:hAnsi="Arial"/>
          <w:sz w:val="20"/>
          <w:szCs w:val="20"/>
          <w:color w:val="auto"/>
        </w:rPr>
      </w:pPr>
      <w:r>
        <w:rPr>
          <w:rFonts w:ascii="Arial" w:cs="Arial" w:eastAsia="Arial" w:hAnsi="Arial"/>
          <w:sz w:val="20"/>
          <w:szCs w:val="20"/>
          <w:i w:val="1"/>
          <w:iCs w:val="1"/>
          <w:color w:val="auto"/>
        </w:rPr>
        <w:t>Reliance by Administrative Agent, Issuing Bank and Lenders</w:t>
      </w:r>
      <w:r>
        <w:rPr>
          <w:rFonts w:ascii="Arial" w:cs="Arial" w:eastAsia="Arial" w:hAnsi="Arial"/>
          <w:sz w:val="20"/>
          <w:szCs w:val="20"/>
          <w:color w:val="auto"/>
        </w:rPr>
        <w:t>. The Administrative Agent, the Issuing Bank and</w:t>
      </w:r>
      <w:r>
        <w:rPr>
          <w:rFonts w:ascii="Arial" w:cs="Arial" w:eastAsia="Arial" w:hAnsi="Arial"/>
          <w:sz w:val="20"/>
          <w:szCs w:val="20"/>
          <w:i w:val="1"/>
          <w:iCs w:val="1"/>
          <w:color w:val="auto"/>
        </w:rPr>
        <w:t xml:space="preserve"> </w:t>
      </w:r>
      <w:r>
        <w:rPr>
          <w:rFonts w:ascii="Arial" w:cs="Arial" w:eastAsia="Arial" w:hAnsi="Arial"/>
          <w:sz w:val="20"/>
          <w:szCs w:val="20"/>
          <w:color w:val="auto"/>
        </w:rPr>
        <w:t>the Lenders shall be entitled to rely and act upon any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Issuing Bank, each Lender and the Related Parties from all losses, costs, expenses and liabilities resulting from the reliance by such Person on each notice purportedly given by or on behalf of the Borrower in the absence of gross negligence or willful misconduct as determined in a final and non-appealable judgment by a court of competent jurisdiction. All telephonic notices to and other telephonic communications with the Administrative Agent may be recorded by the Administrative Agent and each of the parties hereto hereby consents to such recording.</w:t>
      </w:r>
    </w:p>
    <w:p>
      <w:pPr>
        <w:spacing w:after="0" w:line="152" w:lineRule="exact"/>
        <w:rPr>
          <w:sz w:val="20"/>
          <w:szCs w:val="20"/>
          <w:color w:val="auto"/>
        </w:rPr>
      </w:pPr>
    </w:p>
    <w:p>
      <w:pPr>
        <w:jc w:val="both"/>
        <w:ind w:firstLine="635"/>
        <w:spacing w:after="0" w:line="251"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i w:val="1"/>
          <w:iCs w:val="1"/>
          <w:color w:val="auto"/>
        </w:rPr>
        <w:t>Waivers; Amendments</w:t>
      </w:r>
      <w:r>
        <w:rPr>
          <w:rFonts w:ascii="Arial" w:cs="Arial" w:eastAsia="Arial" w:hAnsi="Arial"/>
          <w:sz w:val="20"/>
          <w:szCs w:val="20"/>
          <w:color w:val="auto"/>
        </w:rPr>
        <w:t>. (a)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or Holdings in any case shall entitle the Borrower or Holdings to any other or further notice or demand in similar or other circumstances.</w:t>
      </w:r>
    </w:p>
    <w:p>
      <w:pPr>
        <w:spacing w:after="0" w:line="138" w:lineRule="exact"/>
        <w:rPr>
          <w:sz w:val="20"/>
          <w:szCs w:val="20"/>
          <w:color w:val="auto"/>
        </w:rPr>
      </w:pPr>
    </w:p>
    <w:p>
      <w:pPr>
        <w:jc w:val="both"/>
        <w:ind w:firstLine="644"/>
        <w:spacing w:after="0" w:line="241" w:lineRule="auto"/>
        <w:tabs>
          <w:tab w:leader="none" w:pos="99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Except as provided in Section 2.18 with respect to any Incremental Revolving Facility Amendment or Incremental Term Facility Amendment (including to provide for provisions relating to the issuance of letters of credit and swingline loans and provisions with respect to “defaulting lenders”), Section 2.19 with respect to any Refinancing Amendment </w:t>
      </w:r>
      <w:r>
        <w:rPr>
          <w:rFonts w:ascii="Arial" w:cs="Arial" w:eastAsia="Arial" w:hAnsi="Arial"/>
          <w:sz w:val="21"/>
          <w:szCs w:val="21"/>
          <w:color w:val="FF0000"/>
        </w:rPr>
        <w:t>or</w:t>
      </w:r>
      <w:r>
        <w:rPr>
          <w:rFonts w:ascii="Arial" w:cs="Arial" w:eastAsia="Arial" w:hAnsi="Arial"/>
          <w:sz w:val="21"/>
          <w:szCs w:val="21"/>
          <w:color w:val="0000FF"/>
        </w:rPr>
        <w:t>,</w:t>
      </w:r>
      <w:r>
        <w:rPr>
          <w:rFonts w:ascii="Arial" w:cs="Arial" w:eastAsia="Arial" w:hAnsi="Arial"/>
          <w:sz w:val="21"/>
          <w:szCs w:val="21"/>
          <w:color w:val="auto"/>
        </w:rPr>
        <w:t xml:space="preserve"> Section 6.15 with respect to a change in the fiscal year of Holdings and the Borrower </w:t>
      </w:r>
      <w:r>
        <w:rPr>
          <w:rFonts w:ascii="Arial" w:cs="Arial" w:eastAsia="Arial" w:hAnsi="Arial"/>
          <w:sz w:val="21"/>
          <w:szCs w:val="21"/>
          <w:color w:val="0000FF"/>
        </w:rPr>
        <w:t>or Section 2.12(b)</w:t>
      </w:r>
      <w:r>
        <w:rPr>
          <w:rFonts w:ascii="Arial" w:cs="Arial" w:eastAsia="Arial" w:hAnsi="Arial"/>
          <w:sz w:val="21"/>
          <w:szCs w:val="21"/>
          <w:color w:val="auto"/>
        </w:rPr>
        <w:t xml:space="preserve"> </w:t>
      </w:r>
      <w:r>
        <w:rPr>
          <w:rFonts w:ascii="Arial" w:cs="Arial" w:eastAsia="Arial" w:hAnsi="Arial"/>
          <w:sz w:val="21"/>
          <w:szCs w:val="21"/>
          <w:u w:val="single" w:color="auto"/>
          <w:color w:val="0000FF"/>
        </w:rPr>
        <w:t>with respect to an alternate rate of interest,</w:t>
      </w:r>
      <w:r>
        <w:rPr>
          <w:rFonts w:ascii="Arial" w:cs="Arial" w:eastAsia="Arial" w:hAnsi="Arial"/>
          <w:sz w:val="21"/>
          <w:szCs w:val="21"/>
          <w:color w:val="0000FF"/>
        </w:rPr>
        <w:t xml:space="preserve"> </w:t>
      </w:r>
      <w:r>
        <w:rPr>
          <w:rFonts w:ascii="Arial" w:cs="Arial" w:eastAsia="Arial" w:hAnsi="Arial"/>
          <w:sz w:val="21"/>
          <w:szCs w:val="21"/>
          <w:color w:val="000000"/>
        </w:rPr>
        <w:t>neither this Agreement nor any Loan Document nor any provision hereof or</w:t>
      </w:r>
      <w:r>
        <w:rPr>
          <w:rFonts w:ascii="Arial" w:cs="Arial" w:eastAsia="Arial" w:hAnsi="Arial"/>
          <w:sz w:val="21"/>
          <w:szCs w:val="21"/>
          <w:color w:val="0000FF"/>
        </w:rPr>
        <w:t xml:space="preserve"> </w:t>
      </w:r>
      <w:r>
        <w:rPr>
          <w:rFonts w:ascii="Arial" w:cs="Arial" w:eastAsia="Arial" w:hAnsi="Arial"/>
          <w:sz w:val="21"/>
          <w:szCs w:val="21"/>
          <w:color w:val="000000"/>
        </w:rPr>
        <w:t>thereof may be waived, amended or modified except, in the case of this Agreement, pursuant to an agreement or agreements in writing entered into by Holdings, the Borrower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-534670</wp:posOffset>
            </wp:positionV>
            <wp:extent cx="1454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-467360</wp:posOffset>
            </wp:positionV>
            <wp:extent cx="3365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5">
                      <a:extLst>
                        <a:ext uri="{28A0092B-C50C-407E-A947-70E740481C1C}"/>
                      </a:extLst>
                    </a:blip>
                    <a:srcRect/>
                    <a:stretch>
                      <a:fillRect/>
                    </a:stretch>
                  </pic:blipFill>
                  <pic:spPr bwMode="auto">
                    <a:xfrm>
                      <a:off x="0" y="0"/>
                      <a:ext cx="33655" cy="25400"/>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-467360</wp:posOffset>
            </wp:positionV>
            <wp:extent cx="103314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6">
                      <a:extLst>
                        <a:ext uri="{28A0092B-C50C-407E-A947-70E740481C1C}"/>
                      </a:extLst>
                    </a:blip>
                    <a:srcRect/>
                    <a:stretch>
                      <a:fillRect/>
                    </a:stretch>
                  </pic:blipFill>
                  <pic:spPr bwMode="auto">
                    <a:xfrm>
                      <a:off x="0" y="0"/>
                      <a:ext cx="103314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5" w:right="739" w:bottom="1440" w:gutter="0" w:footer="0" w:header="0"/>
        </w:sectPr>
      </w:pPr>
    </w:p>
    <w:bookmarkStart w:id="332" w:name="page333"/>
    <w:bookmarkEnd w:id="332"/>
    <w:p>
      <w:pPr>
        <w:jc w:val="both"/>
        <w:spacing w:after="0" w:line="263" w:lineRule="auto"/>
        <w:rPr>
          <w:sz w:val="20"/>
          <w:szCs w:val="20"/>
          <w:color w:val="auto"/>
        </w:rPr>
      </w:pPr>
      <w:r>
        <w:rPr>
          <w:rFonts w:ascii="Arial" w:cs="Arial" w:eastAsia="Arial" w:hAnsi="Arial"/>
          <w:sz w:val="19"/>
          <w:szCs w:val="19"/>
          <w:color w:val="auto"/>
        </w:rPr>
        <w:t xml:space="preserve">Required Lenders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 such agreement shall (i) increase the Commitment of any Lender without the written consent of such Lender (it being understood that (x) a waiver of any condition precedent set forth in paragraphs (a) and (b) of Section 4.02 or the waiver of any Default, mandatory prepayment or mandatory reduction of the Commitments shall not constitute an extension or increase of any Commitment of any Lender and (y) a waiver of any condition precedent set forth in paragraph (c) of Section 4.02 shall require the consent of each Revolving Lender), (ii) reduce the principal amount of any Loan or LC Disbursement or reduce the rate of interest thereon, or reduce any fees payable hereunder, without the written consent of each Lender directly and adversely affected thereby (it being understood that any change to the definition of Total Leverage Ratio, Total Net Leverage Ratio or in the component definitions thereof shall not constitute a reduction of interest or fees),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only the consent of the Required Lenders shall be necessary to waive any obligation of the Borrower to pay default interest pursuant to Section 2.11(c), (iii) postpone the maturity of any Loan, or the date of any scheduled amortization payment of the principal amount of any Term Loan under Section 2.08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(iv) change Section 2.16(b) or (c) </w:t>
      </w:r>
      <w:r>
        <w:rPr>
          <w:rFonts w:ascii="Arial" w:cs="Arial" w:eastAsia="Arial" w:hAnsi="Arial"/>
          <w:sz w:val="19"/>
          <w:szCs w:val="19"/>
          <w:color w:val="FF0000"/>
          <w:strike w:val="1"/>
        </w:rPr>
        <w:t>or Section 2.23</w:t>
      </w:r>
      <w:r>
        <w:rPr>
          <w:rFonts w:ascii="Arial" w:cs="Arial" w:eastAsia="Arial" w:hAnsi="Arial"/>
          <w:sz w:val="19"/>
          <w:szCs w:val="19"/>
          <w:color w:val="auto"/>
        </w:rPr>
        <w:t xml:space="preserve"> in a manner that would alter the pro rata sharing of payments required thereby, without the written consent of the Lenders holding a Majority in Interest of the outstanding Loans and unused Commitments of each adversely affected Class, (v) change any of the provisions of this Section without the written consent of each Lender directly and adversely affected thereby, (vi) change the percentage set forth in the definition of “Required Lenders”</w:t>
      </w:r>
      <w:r>
        <w:rPr>
          <w:rFonts w:ascii="Arial" w:cs="Arial" w:eastAsia="Arial" w:hAnsi="Arial"/>
          <w:sz w:val="19"/>
          <w:szCs w:val="19"/>
          <w:u w:val="single" w:color="auto"/>
          <w:color w:val="0000FF"/>
        </w:rPr>
        <w:t>, “Majority in Interest”</w:t>
      </w:r>
      <w:r>
        <w:rPr>
          <w:rFonts w:ascii="Arial" w:cs="Arial" w:eastAsia="Arial" w:hAnsi="Arial"/>
          <w:sz w:val="19"/>
          <w:szCs w:val="19"/>
          <w:color w:val="auto"/>
        </w:rPr>
        <w:t xml:space="preserve">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all or substantially all the value of the Guarantees under the Guarantee Agreement (except as expressly provided in the Guarantee Agreement) without the written consent of each Lender (other than a Defaulting Lender) (except as expressly provided in the Security Documents), (viii) release all or substantially all the Collateral from the Liens of the Security Documents, without the written consent of each Lender (other than a Defaulting Lender), (ix) change any provisions of any Loan Document in a manner that by its terms adversely affects the rights in respect of payments due to Lenders holding Loans of any Class differently than those holding Loans of any other Class, without the written consent of Lenders (other than a Defaulting Lender) holding a Majority in Interest of the outstanding Loans and unused Commitments of each affected Class, or (x) change the rights of the Term Lenders to decline mandatory prepayments as provided in Section 2.09 or the rights of any Additional Lenders of any Class to decline mandatory prepayments of Term Loans of such Class as provided in the applicable Refinancing Amendment, without the written consent of a Majority in Interest of the Term Lenders or Additional Lenders of such Class, as applicable;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(A) no such agreement shall amend, modify or otherwise affect the rights or duties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3" w:name="page334"/>
    <w:bookmarkEnd w:id="333"/>
    <w:p>
      <w:pPr>
        <w:jc w:val="both"/>
        <w:spacing w:after="0" w:line="250" w:lineRule="auto"/>
        <w:rPr>
          <w:sz w:val="20"/>
          <w:szCs w:val="20"/>
          <w:color w:val="auto"/>
        </w:rPr>
      </w:pPr>
      <w:r>
        <w:rPr>
          <w:rFonts w:ascii="Arial" w:cs="Arial" w:eastAsia="Arial" w:hAnsi="Arial"/>
          <w:sz w:val="20"/>
          <w:szCs w:val="20"/>
          <w:color w:val="auto"/>
        </w:rPr>
        <w:t>Administrative Agent or any Issuing Bank without the prior written consent of the Administrative Agent or such Issuing Bank, as the case may be, and (B) any provision of this Agreement or any other Loan Document may be amended by an agreement in writing entered into by Holdings,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Notwithstanding the foregoing, (a) this Agreement may be amended (or amended and restated) with the written consent of the Required Lenders, the Administrative Agent, Holdings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executed by Foreign Subsidiaries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w:t>
      </w:r>
    </w:p>
    <w:p>
      <w:pPr>
        <w:spacing w:after="0" w:line="140" w:lineRule="exact"/>
        <w:rPr>
          <w:sz w:val="20"/>
          <w:szCs w:val="20"/>
          <w:color w:val="auto"/>
        </w:rPr>
      </w:pPr>
    </w:p>
    <w:p>
      <w:pPr>
        <w:jc w:val="both"/>
        <w:ind w:firstLine="644"/>
        <w:spacing w:after="0" w:line="265" w:lineRule="auto"/>
        <w:tabs>
          <w:tab w:leader="none" w:pos="955" w:val="left"/>
        </w:tabs>
        <w:numPr>
          <w:ilvl w:val="0"/>
          <w:numId w:val="241"/>
        </w:numPr>
        <w:rPr>
          <w:rFonts w:ascii="Arial" w:cs="Arial" w:eastAsia="Arial" w:hAnsi="Arial"/>
          <w:sz w:val="19"/>
          <w:szCs w:val="19"/>
          <w:color w:val="auto"/>
        </w:rPr>
      </w:pPr>
      <w:r>
        <w:rPr>
          <w:rFonts w:ascii="Arial" w:cs="Arial" w:eastAsia="Arial" w:hAnsi="Arial"/>
          <w:sz w:val="19"/>
          <w:szCs w:val="19"/>
          <w:color w:val="auto"/>
        </w:rPr>
        <w:t>In connection with any proposed amendment, modification, waiver or termination (a “</w:t>
      </w:r>
      <w:r>
        <w:rPr>
          <w:rFonts w:ascii="Arial" w:cs="Arial" w:eastAsia="Arial" w:hAnsi="Arial"/>
          <w:sz w:val="19"/>
          <w:szCs w:val="19"/>
          <w:b w:val="1"/>
          <w:bCs w:val="1"/>
          <w:color w:val="auto"/>
        </w:rPr>
        <w:t>Proposed Change</w:t>
      </w:r>
      <w:r>
        <w:rPr>
          <w:rFonts w:ascii="Arial" w:cs="Arial" w:eastAsia="Arial" w:hAnsi="Arial"/>
          <w:sz w:val="19"/>
          <w:szCs w:val="19"/>
          <w:color w:val="auto"/>
        </w:rPr>
        <w:t>”) requiring the consent of all Lenders or all directly and adversely affected Lenders, if the consent of the Required Lenders (and, to the extent any Proposed Change requires the consent of Lenders holding Loans of any Class pursuant to clause (iv), (ix) or (x) of paragraph (b) of this Section,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9"/>
          <w:szCs w:val="19"/>
          <w:b w:val="1"/>
          <w:bCs w:val="1"/>
          <w:color w:val="auto"/>
        </w:rPr>
        <w:t>Non-Consenting Lender</w:t>
      </w:r>
      <w:r>
        <w:rPr>
          <w:rFonts w:ascii="Arial" w:cs="Arial" w:eastAsia="Arial" w:hAnsi="Arial"/>
          <w:sz w:val="19"/>
          <w:szCs w:val="19"/>
          <w:color w:val="auto"/>
        </w:rPr>
        <w:t xml:space="preserve">”), then, so long as the Lender that is acting as Administrative Agent is not a Non-Consenting Lender,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Borrower shall have received the prior written consent of the Administrative Agent to the extent such consent would be required under Section 9.04(b) for an assignment of Loans or Commitments, as applicable (and, if a Revolving Commitment is being assigned, each Issuing Bank), which consent shall not unreasonably be withheld, (b) such Non-Consenting Lender shall have received payment of an amount equal to the outstanding par principal amount of its Loans and participations in LC Disbursements, accrued interest thereon, accrued fees and all other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4" w:name="page335"/>
    <w:bookmarkEnd w:id="334"/>
    <w:p>
      <w:pPr>
        <w:jc w:val="both"/>
        <w:spacing w:after="0" w:line="245" w:lineRule="auto"/>
        <w:rPr>
          <w:sz w:val="20"/>
          <w:szCs w:val="20"/>
          <w:color w:val="auto"/>
        </w:rPr>
      </w:pPr>
      <w:r>
        <w:rPr>
          <w:rFonts w:ascii="Arial" w:cs="Arial" w:eastAsia="Arial" w:hAnsi="Arial"/>
          <w:sz w:val="21"/>
          <w:szCs w:val="21"/>
          <w:color w:val="auto"/>
        </w:rPr>
        <w:t>amounts payable to it hereunder (including pursuant to Section 2.09(a)(i)) from the Eligible Assignee (to the extent of such outstanding principal and accrued interest and fees) or the Borrower (in the case of all other amounts) and (c) unless waived, the Borrower or such Eligible Assignee shall have paid to the Administrative Agent the processing and recordation fee specified in Section 9.04(b).</w:t>
      </w:r>
    </w:p>
    <w:p>
      <w:pPr>
        <w:spacing w:after="0" w:line="138" w:lineRule="exact"/>
        <w:rPr>
          <w:sz w:val="20"/>
          <w:szCs w:val="20"/>
          <w:color w:val="auto"/>
        </w:rPr>
      </w:pPr>
    </w:p>
    <w:p>
      <w:pPr>
        <w:ind w:left="940" w:hanging="296"/>
        <w:spacing w:after="0"/>
        <w:tabs>
          <w:tab w:leader="none" w:pos="94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[Reserved].</w:t>
      </w:r>
    </w:p>
    <w:p>
      <w:pPr>
        <w:spacing w:after="0" w:line="181" w:lineRule="exact"/>
        <w:rPr>
          <w:rFonts w:ascii="Arial" w:cs="Arial" w:eastAsia="Arial" w:hAnsi="Arial"/>
          <w:sz w:val="21"/>
          <w:szCs w:val="21"/>
          <w:color w:val="auto"/>
        </w:rPr>
      </w:pPr>
    </w:p>
    <w:p>
      <w:pPr>
        <w:jc w:val="both"/>
        <w:ind w:firstLine="644"/>
        <w:spacing w:after="0" w:line="253" w:lineRule="auto"/>
        <w:tabs>
          <w:tab w:leader="none" w:pos="962"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Agreement or the other Loan Documents to the contrary, the Revolving Commitments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Section 9.02);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w:t>
      </w:r>
    </w:p>
    <w:p>
      <w:pPr>
        <w:spacing w:after="0" w:line="133"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i w:val="1"/>
          <w:iCs w:val="1"/>
          <w:color w:val="auto"/>
        </w:rPr>
        <w:t>Expenses; Indemnity; Damage Waiver</w:t>
      </w:r>
      <w:r>
        <w:rPr>
          <w:rFonts w:ascii="Arial" w:cs="Arial" w:eastAsia="Arial" w:hAnsi="Arial"/>
          <w:sz w:val="19"/>
          <w:szCs w:val="19"/>
          <w:color w:val="auto"/>
        </w:rPr>
        <w:t>. (a) The Borrower shall pay (i) all reasonable and documented or invoiced out-of-pocket costs and expenses incurred by the Administrative Agent, the Lead Arranger and their Affiliates (without duplication), including the reasonable fees, charges and disbursements of Cahill Gordon &amp; Reindel LLP and to the extent reasonably determined by the Administrative Agent to be necessary, one local counsel in each applicable jurisdiction (exclusive of any reasonably necessary special counsel) for the Administrative Agent and, in the case of an actual or reasonably perceived conflict of interest, one additional counsel per affected party, and any other counsel retained with the Borrower’s consent (such consent not to be unreasonably withheld or delayed), in connection with the syndication of the credit facilities provided for herein, and the preparation, execution, delivery and administration of the Loan Documents or any amendments, modifications or waivers of the provisions thereof (whether or not successful)</w:t>
      </w:r>
    </w:p>
    <w:p>
      <w:pPr>
        <w:spacing w:after="0" w:line="6" w:lineRule="exact"/>
        <w:rPr>
          <w:sz w:val="20"/>
          <w:szCs w:val="20"/>
          <w:color w:val="auto"/>
        </w:rPr>
      </w:pPr>
    </w:p>
    <w:p>
      <w:pPr>
        <w:jc w:val="both"/>
        <w:ind w:firstLine="9"/>
        <w:spacing w:after="0" w:line="250" w:lineRule="auto"/>
        <w:tabs>
          <w:tab w:leader="none" w:pos="359" w:val="left"/>
        </w:tabs>
        <w:numPr>
          <w:ilvl w:val="0"/>
          <w:numId w:val="243"/>
        </w:numPr>
        <w:rPr>
          <w:rFonts w:ascii="Arial" w:cs="Arial" w:eastAsia="Arial" w:hAnsi="Arial"/>
          <w:sz w:val="20"/>
          <w:szCs w:val="20"/>
          <w:color w:val="auto"/>
        </w:rPr>
      </w:pPr>
      <w:r>
        <w:rPr>
          <w:rFonts w:ascii="Arial" w:cs="Arial" w:eastAsia="Arial" w:hAnsi="Arial"/>
          <w:sz w:val="20"/>
          <w:szCs w:val="20"/>
          <w:color w:val="auto"/>
        </w:rPr>
        <w:t xml:space="preserve">all reasonable and documented or invoiced out-of-pocket costs and expenses incurred by each Issuing Bank in connection with the issuance, amendment, renewal or extension of any Letter of Credit or any demand for payment thereunder and (iii) all reasonable and documented or invoiced out-of-pocket expenses incurred by the Administrative Agent, each Issuing Bank or any Lender, including the fees, charges and disbursements of counsel for the Administrative Agent, the Issuing Banks and the Lenders, in connection with the enforcement or protection of any rights or remedies (A) in connection with the Loan Documents (including all such costs and expenses incurred during any legal proceeding, including any proceeding under any Debtor Relief Laws), including its rights under this Section or (B) in connection with the Loans made or Letters of Credit issued hereunder, including all such out-of-pocket costs and expenses incurred during any workout, restructuring or negotiations in respect of such Loans or Letters of Credit;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counsel shall be limited to one lead counsel and such local counsel (exclusive of any reasonably necessary special counsel) as may reasonably be deemed necessary by the Administrative Agent in each relevant jurisdiction and, in the case of an actual or reasonably perceived conflict of</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5" w:name="page336"/>
    <w:bookmarkEnd w:id="335"/>
    <w:p>
      <w:pPr>
        <w:ind w:right="20"/>
        <w:spacing w:after="0" w:line="263" w:lineRule="auto"/>
        <w:rPr>
          <w:sz w:val="20"/>
          <w:szCs w:val="20"/>
          <w:color w:val="auto"/>
        </w:rPr>
      </w:pPr>
      <w:r>
        <w:rPr>
          <w:rFonts w:ascii="Arial" w:cs="Arial" w:eastAsia="Arial" w:hAnsi="Arial"/>
          <w:sz w:val="21"/>
          <w:szCs w:val="21"/>
          <w:color w:val="auto"/>
        </w:rPr>
        <w:t>interest, one additional counsel per affected party, and any other counsel retained with the Borrower’s consent (such consent not to be unreasonably withheld or delayed).</w:t>
      </w:r>
    </w:p>
    <w:p>
      <w:pPr>
        <w:spacing w:after="0" w:line="119" w:lineRule="exact"/>
        <w:rPr>
          <w:sz w:val="20"/>
          <w:szCs w:val="20"/>
          <w:color w:val="auto"/>
        </w:rPr>
      </w:pPr>
    </w:p>
    <w:p>
      <w:pPr>
        <w:jc w:val="both"/>
        <w:ind w:firstLine="644"/>
        <w:spacing w:after="0" w:line="263" w:lineRule="auto"/>
        <w:tabs>
          <w:tab w:leader="none" w:pos="94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Borrower shall indemnify the Administrative Agent, each Issuing Bank, each Lender, the Lead Arranger, and each Related Party of any of the foregoing Persons (each such Person being called an “</w:t>
      </w:r>
      <w:r>
        <w:rPr>
          <w:rFonts w:ascii="Arial" w:cs="Arial" w:eastAsia="Arial" w:hAnsi="Arial"/>
          <w:sz w:val="19"/>
          <w:szCs w:val="19"/>
          <w:b w:val="1"/>
          <w:bCs w:val="1"/>
          <w:color w:val="auto"/>
        </w:rPr>
        <w:t>Indemnitee</w:t>
      </w:r>
      <w:r>
        <w:rPr>
          <w:rFonts w:ascii="Arial" w:cs="Arial" w:eastAsia="Arial" w:hAnsi="Arial"/>
          <w:sz w:val="19"/>
          <w:szCs w:val="19"/>
          <w:color w:val="auto"/>
        </w:rPr>
        <w:t>”) against, and hold each Indemnitee harmless from, any and all losses, claims, damages, liabilities and reasonable and documented or invoiced out-of-pocket fees and expenses of any counsel for any Indemnitee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counsel shall be limited to one lead counsel and such local counsel (exclusive of any reasonably necessary special counsel) as may reasonably be deemed necessary by the Indemnitees in each relevant jurisdiction and, in the case of an actual or perceived conflict of interest, one additional counsel per affected party), incurred by or asserted against any Indemnitee by any third party or by the Borrower, Holdings or any Subsidiary arising out of, in connection with, or as a result of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at, to or from any Mortgaged Property or any other property currently or formerly owned or operated by Holdings, the Borrower or any Subsidiary, or any other Environmental Liability related in any way to Holdings, the Borrower or any Subsidiary, or (iv) any actual or prospective claim, litigation, investigation or proceeding relating to any of the foregoing, whether based on contract, tort or any other theory, whether brought by a third party or by the Borrower, Holdings or any Subsidiary and regardless of whether any Indemnitee is a party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costs or related expenses (x) resulted from the gross negligence, bad faith or willful misconduct of such Indemnitee or its Related Parties (as determined by a court of competent jurisdiction in a final and non-appealable judgment), (y) resulted from a material breach of the Loan Documents by such Indemnitee or its Related Parties (as determined by a court of competent jurisdiction in a final and non-appealable judgment) or (z) arise from disputes between or among Indemnitees that do not involve an act or omission by Holdings, the Borrower or any Restricted Subsidiary, except that the Administrative Agent and the Lead Arranger shall be indemnified in their capacities as such with respect to any dispute under this clause (z).</w:t>
      </w:r>
    </w:p>
    <w:p>
      <w:pPr>
        <w:spacing w:after="0" w:line="151" w:lineRule="exact"/>
        <w:rPr>
          <w:rFonts w:ascii="Arial" w:cs="Arial" w:eastAsia="Arial" w:hAnsi="Arial"/>
          <w:sz w:val="19"/>
          <w:szCs w:val="19"/>
          <w:color w:val="auto"/>
        </w:rPr>
      </w:pPr>
    </w:p>
    <w:p>
      <w:pPr>
        <w:jc w:val="both"/>
        <w:ind w:firstLine="644"/>
        <w:spacing w:after="0" w:line="241" w:lineRule="auto"/>
        <w:tabs>
          <w:tab w:leader="none" w:pos="930" w:val="left"/>
        </w:tabs>
        <w:numPr>
          <w:ilvl w:val="0"/>
          <w:numId w:val="244"/>
        </w:numPr>
        <w:rPr>
          <w:rFonts w:ascii="Arial" w:cs="Arial" w:eastAsia="Arial" w:hAnsi="Arial"/>
          <w:sz w:val="21"/>
          <w:szCs w:val="21"/>
          <w:color w:val="auto"/>
        </w:rPr>
      </w:pPr>
      <w:r>
        <w:rPr>
          <w:rFonts w:ascii="Arial" w:cs="Arial" w:eastAsia="Arial" w:hAnsi="Arial"/>
          <w:sz w:val="21"/>
          <w:szCs w:val="21"/>
          <w:color w:val="auto"/>
        </w:rPr>
        <w:t xml:space="preserve">To the extent that the Borrower fails to pay any amount required to be paid by it to the Administrative Agent, any Issuing Bank or the Lead Arranger under paragraph (a) or (b) of this Section, each Lender severally agrees to pay to the Administrative Agent, such Issuing Bank or the Lead Arranger, as the case may be, such Lender’s pro rata share (determined as of the time that the applicable unreimbursed expense or indemnity payment is sought) of such unpaid amount,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unreimbursed expense or indemnified loss, claim, damage, liability or related expense, as the case may be, was incurred by or asserted against the Administrative Agent, such Issuing Bank or the Lead Arranger in its capacity as such. For purposes hereof,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6" w:name="page337"/>
    <w:bookmarkEnd w:id="336"/>
    <w:p>
      <w:pPr>
        <w:jc w:val="both"/>
        <w:spacing w:after="0" w:line="289" w:lineRule="auto"/>
        <w:rPr>
          <w:sz w:val="20"/>
          <w:szCs w:val="20"/>
          <w:color w:val="auto"/>
        </w:rPr>
      </w:pPr>
      <w:r>
        <w:rPr>
          <w:rFonts w:ascii="Arial" w:cs="Arial" w:eastAsia="Arial" w:hAnsi="Arial"/>
          <w:sz w:val="19"/>
          <w:szCs w:val="19"/>
          <w:color w:val="auto"/>
        </w:rPr>
        <w:t xml:space="preserve">Lender’s “pro rata share” shall be determined based upon its share of the aggregate Revolving Exposures, Term Loans and unused Commitments at such time. The obligations of the Lenders under this paragraph (c) are subject to the last sentence of Section 2.02(a) (which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the Lenders’ obligations under this paragraph (c)).</w:t>
      </w:r>
    </w:p>
    <w:p>
      <w:pPr>
        <w:spacing w:after="0" w:line="97" w:lineRule="exact"/>
        <w:rPr>
          <w:sz w:val="20"/>
          <w:szCs w:val="20"/>
          <w:color w:val="auto"/>
        </w:rPr>
      </w:pPr>
    </w:p>
    <w:p>
      <w:pPr>
        <w:jc w:val="both"/>
        <w:ind w:firstLine="644"/>
        <w:spacing w:after="0" w:line="267" w:lineRule="auto"/>
        <w:tabs>
          <w:tab w:leader="none" w:pos="95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To the extent permitted by applicable law, neither Holdings nor the Borrower shall assert, and each hereby waives, any claim against any Indemnitee (i)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indemnity shall not, as to any Indemnitee, be available to the extent that such direct or actual damages are determined by a court of competent jurisdiction by final, non-appealable judgment to have resulted from the gross negligence or willful misconduct of, or a material breach of the Loan Documents by, such Indemnitee or its Related Parties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30" w:lineRule="exact"/>
        <w:rPr>
          <w:rFonts w:ascii="Arial" w:cs="Arial" w:eastAsia="Arial" w:hAnsi="Arial"/>
          <w:sz w:val="19"/>
          <w:szCs w:val="19"/>
          <w:color w:val="auto"/>
        </w:rPr>
      </w:pPr>
    </w:p>
    <w:p>
      <w:pPr>
        <w:jc w:val="both"/>
        <w:ind w:firstLine="644"/>
        <w:spacing w:after="0" w:line="245" w:lineRule="auto"/>
        <w:tabs>
          <w:tab w:leader="none" w:pos="916" w:val="left"/>
        </w:tabs>
        <w:numPr>
          <w:ilvl w:val="0"/>
          <w:numId w:val="245"/>
        </w:numPr>
        <w:rPr>
          <w:rFonts w:ascii="Arial" w:cs="Arial" w:eastAsia="Arial" w:hAnsi="Arial"/>
          <w:sz w:val="21"/>
          <w:szCs w:val="21"/>
          <w:color w:val="auto"/>
        </w:rPr>
      </w:pPr>
      <w:r>
        <w:rPr>
          <w:rFonts w:ascii="Arial" w:cs="Arial" w:eastAsia="Arial" w:hAnsi="Arial"/>
          <w:sz w:val="21"/>
          <w:szCs w:val="21"/>
          <w:color w:val="auto"/>
        </w:rPr>
        <w:t xml:space="preserve">All amounts due under this Section shall be payable not later than ten (10) Business Days after written demand therefor;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Indemnitee shall promptly refund an indemnification payment received hereunder to the extent that there is a final judicial determination that such Indemnitee was not entitled to indemnification with respect to such payment pursuant to this Section 9.03.</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Section 9.04. </w:t>
      </w:r>
      <w:r>
        <w:rPr>
          <w:rFonts w:ascii="Arial" w:cs="Arial" w:eastAsia="Arial" w:hAnsi="Arial"/>
          <w:sz w:val="20"/>
          <w:szCs w:val="20"/>
          <w:i w:val="1"/>
          <w:iCs w:val="1"/>
          <w:color w:val="auto"/>
        </w:rPr>
        <w:t>Successors and Assigns</w:t>
      </w:r>
      <w:r>
        <w:rPr>
          <w:rFonts w:ascii="Arial" w:cs="Arial" w:eastAsia="Arial" w:hAnsi="Arial"/>
          <w:sz w:val="20"/>
          <w:szCs w:val="20"/>
          <w:color w:val="auto"/>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w:t>
      </w:r>
      <w:r>
        <w:rPr>
          <w:rFonts w:ascii="Arial" w:cs="Arial" w:eastAsia="Arial" w:hAnsi="Arial"/>
          <w:sz w:val="20"/>
          <w:szCs w:val="20"/>
          <w:color w:val="FF0000"/>
          <w:strike w:val="1"/>
        </w:rPr>
        <w:t>other than as set forth in Section 2.23,</w:t>
      </w:r>
      <w:r>
        <w:rPr>
          <w:rFonts w:ascii="Arial" w:cs="Arial" w:eastAsia="Arial" w:hAnsi="Arial"/>
          <w:sz w:val="20"/>
          <w:szCs w:val="20"/>
          <w:color w:val="auto"/>
        </w:rPr>
        <w:t xml:space="preserve"> (i) the Borrower may not assign or otherwise transfer any of its rights or obligations hereunder without the prior written consent of each Lender (and any attempted assignment or transfer by the Borrower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the Indemnitees and, to the extent expressly contemplated hereby, the Related Parties of each of the Administrative Agent, the Issuing Bank and the Lenders) any legal or equitable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-1593215</wp:posOffset>
            </wp:positionV>
            <wp:extent cx="336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2">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121" w:lineRule="exact"/>
        <w:rPr>
          <w:sz w:val="20"/>
          <w:szCs w:val="20"/>
          <w:color w:val="auto"/>
        </w:rPr>
      </w:pPr>
    </w:p>
    <w:p>
      <w:pPr>
        <w:ind w:right="20" w:firstLine="644"/>
        <w:spacing w:after="0" w:line="263" w:lineRule="auto"/>
        <w:tabs>
          <w:tab w:leader="none" w:pos="938" w:val="left"/>
        </w:tabs>
        <w:numPr>
          <w:ilvl w:val="0"/>
          <w:numId w:val="246"/>
        </w:numPr>
        <w:rPr>
          <w:rFonts w:ascii="Arial" w:cs="Arial" w:eastAsia="Arial" w:hAnsi="Arial"/>
          <w:sz w:val="21"/>
          <w:szCs w:val="21"/>
          <w:color w:val="auto"/>
        </w:rPr>
      </w:pPr>
      <w:r>
        <w:rPr>
          <w:rFonts w:ascii="Arial" w:cs="Arial" w:eastAsia="Arial" w:hAnsi="Arial"/>
          <w:sz w:val="21"/>
          <w:szCs w:val="21"/>
          <w:color w:val="auto"/>
        </w:rPr>
        <w:t>(i) Subject to the conditions set forth in paragraphs (b)(ii) and (f) below, any Lender may assign to one or more Eligible Assignees all or a portion of its rights and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3">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7" w:name="page338"/>
    <w:bookmarkEnd w:id="337"/>
    <w:p>
      <w:pPr>
        <w:jc w:val="both"/>
        <w:spacing w:after="0" w:line="264" w:lineRule="auto"/>
        <w:rPr>
          <w:sz w:val="20"/>
          <w:szCs w:val="20"/>
          <w:color w:val="auto"/>
        </w:rPr>
      </w:pPr>
      <w:r>
        <w:rPr>
          <w:rFonts w:ascii="Arial" w:cs="Arial" w:eastAsia="Arial" w:hAnsi="Arial"/>
          <w:sz w:val="19"/>
          <w:szCs w:val="19"/>
          <w:color w:val="auto"/>
        </w:rPr>
        <w:t xml:space="preserve">obligations under this Agreement (including all or a portion of its Commitment and the Loans at the time owing to it) with the prior written consent (such consent not to be unreasonably withheld or delayed) of (A) the Borrower;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consent of the Borrower shall be required for an assignment (x) solely in the case of Term Loans, to any Lender, an Affiliate of any Lender or an Approved Fund, (y) solely in the case of Revolving Loans and Revolving Commitments, to any Revolving Lender or (z) if an Event of Default under Section 7.01(a), (b), (h) or (i) has occurred and is continuing;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if any such purported assignment is to a Competitor (other than any such assignment to the Lead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Arranger (or any Affiliate of the Lead Arranger) for the purpose of facilitating bona fide trades of Term Loans to entities that are not Disqualified Lenders), the Borrower may unreasonably withhold its consent;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Borrower shall have the right to withhold its consent to any assignment if in order for such assignment to comply with applicable law, the Borrower would be required to obtain the consent of, or make any filing or registration with, any Governmental Authority, (B) the Administrative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solely in the case of Term Loans, no consent of the Administrative Agent shall be required for an assignment to any Lender, an Affiliate of any Lender or an Approved Fund and (C) solely in the case of Revolving Loans and Revolving Commitments, each Issuing Bank;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no consent of any Issuing Bank shall be required for an assignment of all or any portion of a Term Loan or Term Commitment. Notwithstanding anything in this Section 9.04 to the contrary, if the consent of the Borrower is required by this paragraph with respect to any assignment and the Borrower has not given the Administrative Agent written notice of its objection to such assignment within </w:t>
      </w:r>
      <w:r>
        <w:rPr>
          <w:rFonts w:ascii="Arial" w:cs="Arial" w:eastAsia="Arial" w:hAnsi="Arial"/>
          <w:sz w:val="19"/>
          <w:szCs w:val="19"/>
          <w:color w:val="FF0000"/>
          <w:strike w:val="1"/>
        </w:rPr>
        <w:t>ten (10) days</w:t>
      </w:r>
      <w:r>
        <w:rPr>
          <w:rFonts w:ascii="Arial" w:cs="Arial" w:eastAsia="Arial" w:hAnsi="Arial"/>
          <w:sz w:val="19"/>
          <w:szCs w:val="19"/>
          <w:u w:val="single" w:color="auto"/>
          <w:color w:val="0000FF"/>
        </w:rPr>
        <w:t>five (5) Business Days</w:t>
      </w:r>
      <w:r>
        <w:rPr>
          <w:rFonts w:ascii="Arial" w:cs="Arial" w:eastAsia="Arial" w:hAnsi="Arial"/>
          <w:sz w:val="19"/>
          <w:szCs w:val="19"/>
          <w:color w:val="auto"/>
        </w:rPr>
        <w:t xml:space="preserve"> after written notice to the Borrower, the Borrower shall be deemed to have consented to such assignment.</w:t>
      </w:r>
    </w:p>
    <w:p>
      <w:pPr>
        <w:spacing w:after="0" w:line="132" w:lineRule="exact"/>
        <w:rPr>
          <w:sz w:val="20"/>
          <w:szCs w:val="20"/>
          <w:color w:val="auto"/>
        </w:rPr>
      </w:pPr>
    </w:p>
    <w:p>
      <w:pPr>
        <w:jc w:val="both"/>
        <w:ind w:left="640" w:firstLine="1274"/>
        <w:spacing w:after="0" w:line="265" w:lineRule="auto"/>
        <w:tabs>
          <w:tab w:leader="none" w:pos="2214"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$5,000,000 (and integral multiples of $1,000,000 in excess thereof) or, in the case of a Term Loan $250,000 (and integral multiples thereof), unless the Borrower and the Administrative Agent otherwise consent (such consent not to be unreasonably withheld or delayed);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consent of the Borrower shall be required if an Event of Default under Section 7.01(a), (b), (h) or (i) has occurred and is continuing, (B) each partial assignment shall be made as an assignment of a proportionate part of all the assigning Lender’s rights and obligations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by the Administrative Agent, manually, in each case together (unless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38" w:name="page339"/>
    <w:bookmarkEnd w:id="338"/>
    <w:p>
      <w:pPr>
        <w:jc w:val="both"/>
        <w:spacing w:after="0" w:line="250" w:lineRule="auto"/>
        <w:rPr>
          <w:sz w:val="20"/>
          <w:szCs w:val="20"/>
          <w:color w:val="auto"/>
        </w:rPr>
      </w:pPr>
      <w:r>
        <w:rPr>
          <w:rFonts w:ascii="Arial" w:cs="Arial" w:eastAsia="Arial" w:hAnsi="Arial"/>
          <w:sz w:val="20"/>
          <w:szCs w:val="20"/>
          <w:color w:val="auto"/>
        </w:rPr>
        <w:t xml:space="preserve">waived by the Administrative Agent) with a processing and recordation fee of $3,500;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Administrative Agent, in its sole discretion, may elect to waive such processing and recordation fee;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further </w:t>
      </w:r>
      <w:r>
        <w:rPr>
          <w:rFonts w:ascii="Arial" w:cs="Arial" w:eastAsia="Arial" w:hAnsi="Arial"/>
          <w:sz w:val="20"/>
          <w:szCs w:val="20"/>
          <w:color w:val="auto"/>
        </w:rPr>
        <w:t>that assignments made pursuant to Section 2.17(b) or Section 9.02(c) shall not require the signature of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assigning Lender to become effective (D) the assignee, if it shall not be a Lender, shall deliver to the Administrative Agent any tax forms required by Section 2.15(e) and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 and (E) unless the Borrower otherwise consents, no assignment of all or any portion of the Revolving Commitment of a Lender that is also the Issuing Bank may be made unless (1) the assignee shall be or become an Issuing Bank, and assume a ratable portion of the rights and obligations of such assignor in its capacity as Issuing Bank, or (2) the assignor agrees, in its discretion, to retain all of its rights with respect to and obligations to issue Letters of Credit hereunder in which case the Applicable Fronting Exposure of such assignor may exceed such assignor’s Revolving Commitment for purposes of Section 2.22(a) by an amount not to exceed the difference between the assignor’s Revolving Commitment prior to such assignment and the assignor’s Revolving Commitment following such assignment;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 such consent of the Borrower shall be required if an Event of Default under Section 7.01(a), (b), (h) or (i) has occurred and is continuing.</w:t>
      </w:r>
    </w:p>
    <w:p>
      <w:pPr>
        <w:spacing w:after="0" w:line="146" w:lineRule="exact"/>
        <w:rPr>
          <w:sz w:val="20"/>
          <w:szCs w:val="20"/>
          <w:color w:val="auto"/>
        </w:rPr>
      </w:pPr>
    </w:p>
    <w:p>
      <w:pPr>
        <w:jc w:val="both"/>
        <w:ind w:firstLine="1274"/>
        <w:spacing w:after="0" w:line="252" w:lineRule="auto"/>
        <w:tabs>
          <w:tab w:leader="none" w:pos="1653" w:val="left"/>
        </w:tabs>
        <w:numPr>
          <w:ilvl w:val="0"/>
          <w:numId w:val="248"/>
        </w:numPr>
        <w:rPr>
          <w:rFonts w:ascii="Arial" w:cs="Arial" w:eastAsia="Arial" w:hAnsi="Arial"/>
          <w:sz w:val="20"/>
          <w:szCs w:val="20"/>
          <w:color w:val="auto"/>
        </w:rPr>
      </w:pPr>
      <w:r>
        <w:rPr>
          <w:rFonts w:ascii="Arial" w:cs="Arial" w:eastAsia="Arial" w:hAnsi="Arial"/>
          <w:sz w:val="20"/>
          <w:szCs w:val="20"/>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w:t>
      </w:r>
    </w:p>
    <w:p>
      <w:pPr>
        <w:spacing w:after="0" w:line="144" w:lineRule="exact"/>
        <w:rPr>
          <w:rFonts w:ascii="Arial" w:cs="Arial" w:eastAsia="Arial" w:hAnsi="Arial"/>
          <w:sz w:val="20"/>
          <w:szCs w:val="20"/>
          <w:color w:val="auto"/>
        </w:rPr>
      </w:pPr>
    </w:p>
    <w:p>
      <w:pPr>
        <w:jc w:val="both"/>
        <w:ind w:firstLine="1274"/>
        <w:spacing w:after="0" w:line="245" w:lineRule="auto"/>
        <w:tabs>
          <w:tab w:leader="none" w:pos="1626" w:val="left"/>
        </w:tabs>
        <w:numPr>
          <w:ilvl w:val="0"/>
          <w:numId w:val="248"/>
        </w:numPr>
        <w:rPr>
          <w:rFonts w:ascii="Arial" w:cs="Arial" w:eastAsia="Arial" w:hAnsi="Arial"/>
          <w:sz w:val="21"/>
          <w:szCs w:val="21"/>
          <w:color w:val="auto"/>
        </w:rPr>
      </w:pPr>
      <w:r>
        <w:rPr>
          <w:rFonts w:ascii="Arial" w:cs="Arial" w:eastAsia="Arial" w:hAnsi="Arial"/>
          <w:sz w:val="21"/>
          <w:szCs w:val="21"/>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and interest amounts of the Loans and LC Disbursements owing to, each Lender pursuant to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78740</wp:posOffset>
            </wp:positionV>
            <wp:extent cx="661098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780"/>
          </w:cols>
          <w:pgMar w:left="1380" w:top="356" w:right="739" w:bottom="1440" w:gutter="0" w:footer="0" w:header="0"/>
        </w:sectPr>
      </w:pPr>
    </w:p>
    <w:bookmarkStart w:id="339" w:name="page340"/>
    <w:bookmarkEnd w:id="339"/>
    <w:p>
      <w:pPr>
        <w:jc w:val="both"/>
        <w:ind w:left="640"/>
        <w:spacing w:after="0" w:line="271" w:lineRule="auto"/>
        <w:rPr>
          <w:sz w:val="20"/>
          <w:szCs w:val="20"/>
          <w:color w:val="auto"/>
        </w:rPr>
      </w:pPr>
      <w:r>
        <w:rPr>
          <w:rFonts w:ascii="Arial" w:cs="Arial" w:eastAsia="Arial" w:hAnsi="Arial"/>
          <w:sz w:val="19"/>
          <w:szCs w:val="19"/>
          <w:color w:val="auto"/>
        </w:rPr>
        <w:t>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The entries in the Register shall be conclusive absent manifest error, and Holdings, the Borrower,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the Issuing Banks and any Lender, at any reasonable time and from time to time upon reasonable prior notice.</w:t>
      </w:r>
    </w:p>
    <w:p>
      <w:pPr>
        <w:spacing w:after="0" w:line="118" w:lineRule="exact"/>
        <w:rPr>
          <w:sz w:val="20"/>
          <w:szCs w:val="20"/>
          <w:color w:val="auto"/>
        </w:rPr>
      </w:pPr>
    </w:p>
    <w:p>
      <w:pPr>
        <w:jc w:val="both"/>
        <w:ind w:left="640" w:firstLine="1274"/>
        <w:spacing w:after="0" w:line="266" w:lineRule="auto"/>
        <w:tabs>
          <w:tab w:leader="none" w:pos="2241" w:val="left"/>
        </w:tabs>
        <w:numPr>
          <w:ilvl w:val="1"/>
          <w:numId w:val="249"/>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w:t>
      </w:r>
    </w:p>
    <w:p>
      <w:pPr>
        <w:spacing w:after="0" w:line="1" w:lineRule="exact"/>
        <w:rPr>
          <w:rFonts w:ascii="Arial" w:cs="Arial" w:eastAsia="Arial" w:hAnsi="Arial"/>
          <w:sz w:val="19"/>
          <w:szCs w:val="19"/>
          <w:color w:val="auto"/>
        </w:rPr>
      </w:pPr>
    </w:p>
    <w:p>
      <w:pPr>
        <w:jc w:val="both"/>
        <w:ind w:left="640" w:firstLine="4"/>
        <w:spacing w:after="0" w:line="241" w:lineRule="auto"/>
        <w:tabs>
          <w:tab w:leader="none" w:pos="959" w:val="left"/>
        </w:tabs>
        <w:numPr>
          <w:ilvl w:val="0"/>
          <w:numId w:val="250"/>
        </w:numPr>
        <w:rPr>
          <w:rFonts w:ascii="Arial" w:cs="Arial" w:eastAsia="Arial" w:hAnsi="Arial"/>
          <w:sz w:val="21"/>
          <w:szCs w:val="21"/>
          <w:color w:val="auto"/>
        </w:rPr>
      </w:pPr>
      <w:r>
        <w:rPr>
          <w:rFonts w:ascii="Arial" w:cs="Arial" w:eastAsia="Arial" w:hAnsi="Arial"/>
          <w:sz w:val="21"/>
          <w:szCs w:val="21"/>
          <w:color w:val="auto"/>
        </w:rPr>
        <w:t>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4" w:lineRule="exact"/>
        <w:rPr>
          <w:sz w:val="20"/>
          <w:szCs w:val="20"/>
          <w:color w:val="auto"/>
        </w:rPr>
      </w:pPr>
    </w:p>
    <w:p>
      <w:pPr>
        <w:jc w:val="both"/>
        <w:ind w:left="640" w:firstLine="1274"/>
        <w:spacing w:after="0" w:line="272" w:lineRule="auto"/>
        <w:tabs>
          <w:tab w:leader="none" w:pos="2273" w:val="left"/>
        </w:tabs>
        <w:numPr>
          <w:ilvl w:val="1"/>
          <w:numId w:val="251"/>
        </w:numPr>
        <w:rPr>
          <w:rFonts w:ascii="Arial" w:cs="Arial" w:eastAsia="Arial" w:hAnsi="Arial"/>
          <w:sz w:val="19"/>
          <w:szCs w:val="19"/>
          <w:color w:val="auto"/>
        </w:rPr>
      </w:pPr>
      <w:r>
        <w:rPr>
          <w:rFonts w:ascii="Arial" w:cs="Arial" w:eastAsia="Arial" w:hAnsi="Arial"/>
          <w:sz w:val="19"/>
          <w:szCs w:val="19"/>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4" w:lineRule="exact"/>
        <w:rPr>
          <w:rFonts w:ascii="Arial" w:cs="Arial" w:eastAsia="Arial" w:hAnsi="Arial"/>
          <w:sz w:val="19"/>
          <w:szCs w:val="19"/>
          <w:color w:val="auto"/>
        </w:rPr>
      </w:pPr>
    </w:p>
    <w:p>
      <w:pPr>
        <w:jc w:val="both"/>
        <w:ind w:firstLine="644"/>
        <w:spacing w:after="0" w:line="238" w:lineRule="auto"/>
        <w:tabs>
          <w:tab w:leader="none" w:pos="934" w:val="left"/>
        </w:tabs>
        <w:numPr>
          <w:ilvl w:val="0"/>
          <w:numId w:val="252"/>
        </w:numPr>
        <w:rPr>
          <w:rFonts w:ascii="Arial" w:cs="Arial" w:eastAsia="Arial" w:hAnsi="Arial"/>
          <w:sz w:val="21"/>
          <w:szCs w:val="21"/>
          <w:color w:val="auto"/>
        </w:rPr>
      </w:pPr>
      <w:r>
        <w:rPr>
          <w:rFonts w:ascii="Arial" w:cs="Arial" w:eastAsia="Arial" w:hAnsi="Arial"/>
          <w:sz w:val="21"/>
          <w:szCs w:val="21"/>
          <w:color w:val="auto"/>
        </w:rPr>
        <w:t>(i) Any Lender may, without the consent of the Borrower, the Administrative Agent or the Issuing Banks, sell participations to one or more banks or other Persons other than a natural person, any VV Holder, any Affiliate of Vincent Viola (including any trust established for the benefit of his spouse or children), a Disqualified Lender, Holdings, any Intermediate Parent, the Borrower or any of the Borrower’s Subsidiaries (a “</w:t>
      </w:r>
      <w:r>
        <w:rPr>
          <w:rFonts w:ascii="Arial" w:cs="Arial" w:eastAsia="Arial" w:hAnsi="Arial"/>
          <w:sz w:val="21"/>
          <w:szCs w:val="21"/>
          <w:b w:val="1"/>
          <w:bCs w:val="1"/>
          <w:color w:val="auto"/>
        </w:rPr>
        <w:t>Participant</w:t>
      </w:r>
      <w:r>
        <w:rPr>
          <w:rFonts w:ascii="Arial" w:cs="Arial" w:eastAsia="Arial" w:hAnsi="Arial"/>
          <w:sz w:val="21"/>
          <w:szCs w:val="21"/>
          <w:color w:val="auto"/>
        </w:rPr>
        <w:t xml:space="preserve">”) in all or a portion of such Lender’s rights and obligations under this Agreement (including all or a portion of its Commitment and the Loans owing to it);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agreement or instrument may provide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49" w:right="739" w:bottom="1440" w:gutter="0" w:footer="0" w:header="0"/>
        </w:sectPr>
      </w:pPr>
    </w:p>
    <w:bookmarkStart w:id="340" w:name="page341"/>
    <w:bookmarkEnd w:id="340"/>
    <w:p>
      <w:pPr>
        <w:jc w:val="both"/>
        <w:spacing w:after="0" w:line="269" w:lineRule="auto"/>
        <w:rPr>
          <w:sz w:val="20"/>
          <w:szCs w:val="20"/>
          <w:color w:val="auto"/>
        </w:rPr>
      </w:pPr>
      <w:r>
        <w:rPr>
          <w:rFonts w:ascii="Arial" w:cs="Arial" w:eastAsia="Arial" w:hAnsi="Arial"/>
          <w:sz w:val="19"/>
          <w:szCs w:val="19"/>
          <w:color w:val="auto"/>
        </w:rPr>
        <w:t xml:space="preserve">Lender will not, without the consent of the Participant, agree to any amendment, modification or waiver described in the first proviso to Section 9.02(b) that directly and adversely affects such Participant. Subject to paragraph (c)(iii) of this Section, the Borrower agrees that each Participant shall be entitled to the benefits of Sections 2.13, 2.14 and 2.15 (subject to the obligations and limitations of such Sections, including Section 2.15(e), provided that any forms required to be delivered by any Participant pursuant to Section 2.15(e) shall be provided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Participant agrees to be subject to Section 2.16(c) as though it were a Lender.</w:t>
      </w:r>
    </w:p>
    <w:p>
      <w:pPr>
        <w:spacing w:after="0" w:line="118" w:lineRule="exact"/>
        <w:rPr>
          <w:sz w:val="20"/>
          <w:szCs w:val="20"/>
          <w:color w:val="auto"/>
        </w:rPr>
      </w:pPr>
    </w:p>
    <w:p>
      <w:pPr>
        <w:jc w:val="both"/>
        <w:ind w:left="640" w:firstLine="1274"/>
        <w:spacing w:after="0" w:line="272" w:lineRule="auto"/>
        <w:tabs>
          <w:tab w:leader="none" w:pos="2251" w:val="left"/>
        </w:tabs>
        <w:numPr>
          <w:ilvl w:val="1"/>
          <w:numId w:val="253"/>
        </w:numPr>
        <w:rPr>
          <w:rFonts w:ascii="Arial" w:cs="Arial" w:eastAsia="Arial" w:hAnsi="Arial"/>
          <w:sz w:val="19"/>
          <w:szCs w:val="19"/>
          <w:color w:val="auto"/>
        </w:rPr>
      </w:pPr>
      <w:r>
        <w:rPr>
          <w:rFonts w:ascii="Arial" w:cs="Arial" w:eastAsia="Arial" w:hAnsi="Arial"/>
          <w:sz w:val="19"/>
          <w:szCs w:val="19"/>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9"/>
          <w:szCs w:val="19"/>
          <w:b w:val="1"/>
          <w:bCs w:val="1"/>
          <w:color w:val="auto"/>
        </w:rPr>
        <w:t>Participant Register</w:t>
      </w:r>
      <w:r>
        <w:rPr>
          <w:rFonts w:ascii="Arial" w:cs="Arial" w:eastAsia="Arial" w:hAnsi="Arial"/>
          <w:sz w:val="19"/>
          <w:szCs w:val="19"/>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28" w:lineRule="exact"/>
        <w:rPr>
          <w:rFonts w:ascii="Arial" w:cs="Arial" w:eastAsia="Arial" w:hAnsi="Arial"/>
          <w:sz w:val="19"/>
          <w:szCs w:val="19"/>
          <w:color w:val="auto"/>
        </w:rPr>
      </w:pPr>
    </w:p>
    <w:p>
      <w:pPr>
        <w:jc w:val="both"/>
        <w:ind w:left="640" w:firstLine="1274"/>
        <w:spacing w:after="0" w:line="245" w:lineRule="auto"/>
        <w:tabs>
          <w:tab w:leader="none" w:pos="2273" w:val="left"/>
        </w:tabs>
        <w:numPr>
          <w:ilvl w:val="1"/>
          <w:numId w:val="253"/>
        </w:numPr>
        <w:rPr>
          <w:rFonts w:ascii="Arial" w:cs="Arial" w:eastAsia="Arial" w:hAnsi="Arial"/>
          <w:sz w:val="21"/>
          <w:szCs w:val="21"/>
          <w:color w:val="auto"/>
        </w:rPr>
      </w:pPr>
      <w:r>
        <w:rPr>
          <w:rFonts w:ascii="Arial" w:cs="Arial" w:eastAsia="Arial" w:hAnsi="Arial"/>
          <w:sz w:val="21"/>
          <w:szCs w:val="21"/>
          <w:color w:val="auto"/>
        </w:rPr>
        <w:t>A Participant shall not be entitled to receive any greater payment under Section 2.13 or Section 2.15 than the applicable Lender would have been entitled to receive with respect to the participation sold to such Participant, unless the sale of the participation to such Participant is made with the Borrower’s prior written consent.</w:t>
      </w:r>
    </w:p>
    <w:p>
      <w:pPr>
        <w:spacing w:after="0" w:line="138" w:lineRule="exact"/>
        <w:rPr>
          <w:rFonts w:ascii="Arial" w:cs="Arial" w:eastAsia="Arial" w:hAnsi="Arial"/>
          <w:sz w:val="21"/>
          <w:szCs w:val="21"/>
          <w:color w:val="auto"/>
        </w:rPr>
      </w:pPr>
    </w:p>
    <w:p>
      <w:pPr>
        <w:jc w:val="both"/>
        <w:ind w:firstLine="644"/>
        <w:spacing w:after="0" w:line="242" w:lineRule="auto"/>
        <w:tabs>
          <w:tab w:leader="none" w:pos="955" w:val="left"/>
        </w:tabs>
        <w:numPr>
          <w:ilvl w:val="0"/>
          <w:numId w:val="254"/>
        </w:numPr>
        <w:rPr>
          <w:rFonts w:ascii="Arial" w:cs="Arial" w:eastAsia="Arial" w:hAnsi="Arial"/>
          <w:sz w:val="21"/>
          <w:szCs w:val="21"/>
          <w:color w:val="auto"/>
        </w:rPr>
      </w:pPr>
      <w:r>
        <w:rPr>
          <w:rFonts w:ascii="Arial" w:cs="Arial" w:eastAsia="Arial" w:hAnsi="Arial"/>
          <w:sz w:val="21"/>
          <w:szCs w:val="21"/>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pledge or assignment of a security interest shall release a Lender from any of its obligations hereunder or substitute any such pledgee or assignee for such Lender as a party hereto.</w:t>
      </w:r>
    </w:p>
    <w:p>
      <w:pPr>
        <w:spacing w:after="0" w:line="139" w:lineRule="exact"/>
        <w:rPr>
          <w:rFonts w:ascii="Arial" w:cs="Arial" w:eastAsia="Arial" w:hAnsi="Arial"/>
          <w:sz w:val="21"/>
          <w:szCs w:val="21"/>
          <w:color w:val="auto"/>
        </w:rPr>
      </w:pPr>
    </w:p>
    <w:p>
      <w:pPr>
        <w:jc w:val="both"/>
        <w:ind w:firstLine="644"/>
        <w:spacing w:after="0" w:line="253" w:lineRule="auto"/>
        <w:tabs>
          <w:tab w:leader="none" w:pos="958" w:val="left"/>
        </w:tabs>
        <w:numPr>
          <w:ilvl w:val="0"/>
          <w:numId w:val="254"/>
        </w:numPr>
        <w:rPr>
          <w:rFonts w:ascii="Arial" w:cs="Arial" w:eastAsia="Arial" w:hAnsi="Arial"/>
          <w:sz w:val="20"/>
          <w:szCs w:val="20"/>
          <w:color w:val="auto"/>
        </w:rPr>
      </w:pPr>
      <w:r>
        <w:rPr>
          <w:rFonts w:ascii="Arial" w:cs="Arial" w:eastAsia="Arial" w:hAnsi="Arial"/>
          <w:sz w:val="20"/>
          <w:szCs w:val="20"/>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41" w:name="page342"/>
    <w:bookmarkEnd w:id="341"/>
    <w:p>
      <w:pPr>
        <w:jc w:val="both"/>
        <w:spacing w:after="0" w:line="279" w:lineRule="auto"/>
        <w:rPr>
          <w:sz w:val="20"/>
          <w:szCs w:val="20"/>
          <w:color w:val="auto"/>
        </w:rPr>
      </w:pPr>
      <w:r>
        <w:rPr>
          <w:rFonts w:ascii="Arial" w:cs="Arial" w:eastAsia="Arial" w:hAnsi="Arial"/>
          <w:sz w:val="19"/>
          <w:szCs w:val="19"/>
          <w:color w:val="auto"/>
        </w:rPr>
        <w:t>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08" w:lineRule="exact"/>
        <w:rPr>
          <w:sz w:val="20"/>
          <w:szCs w:val="20"/>
          <w:color w:val="auto"/>
        </w:rPr>
      </w:pPr>
    </w:p>
    <w:p>
      <w:pPr>
        <w:ind w:left="900" w:hanging="256"/>
        <w:spacing w:after="0"/>
        <w:tabs>
          <w:tab w:leader="none" w:pos="90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[Reserved].</w:t>
      </w:r>
    </w:p>
    <w:p>
      <w:pPr>
        <w:spacing w:after="0" w:line="181" w:lineRule="exact"/>
        <w:rPr>
          <w:rFonts w:ascii="Arial" w:cs="Arial" w:eastAsia="Arial" w:hAnsi="Arial"/>
          <w:sz w:val="21"/>
          <w:szCs w:val="21"/>
          <w:color w:val="auto"/>
        </w:rPr>
      </w:pPr>
    </w:p>
    <w:p>
      <w:pPr>
        <w:ind w:left="940" w:hanging="296"/>
        <w:spacing w:after="0"/>
        <w:tabs>
          <w:tab w:leader="none" w:pos="940" w:val="left"/>
        </w:tabs>
        <w:numPr>
          <w:ilvl w:val="0"/>
          <w:numId w:val="255"/>
        </w:numPr>
        <w:rPr>
          <w:rFonts w:ascii="Arial" w:cs="Arial" w:eastAsia="Arial" w:hAnsi="Arial"/>
          <w:sz w:val="21"/>
          <w:szCs w:val="21"/>
          <w:color w:val="auto"/>
        </w:rPr>
      </w:pPr>
      <w:r>
        <w:rPr>
          <w:rFonts w:ascii="Arial" w:cs="Arial" w:eastAsia="Arial" w:hAnsi="Arial"/>
          <w:sz w:val="21"/>
          <w:szCs w:val="21"/>
          <w:color w:val="auto"/>
        </w:rPr>
        <w:t>[Reserved].</w:t>
      </w:r>
    </w:p>
    <w:p>
      <w:pPr>
        <w:spacing w:after="0" w:line="168" w:lineRule="exact"/>
        <w:rPr>
          <w:rFonts w:ascii="Arial" w:cs="Arial" w:eastAsia="Arial" w:hAnsi="Arial"/>
          <w:sz w:val="21"/>
          <w:szCs w:val="21"/>
          <w:color w:val="auto"/>
        </w:rPr>
      </w:pPr>
    </w:p>
    <w:p>
      <w:pPr>
        <w:jc w:val="both"/>
        <w:ind w:firstLine="644"/>
        <w:spacing w:after="0" w:line="266" w:lineRule="auto"/>
        <w:tabs>
          <w:tab w:leader="none" w:pos="991"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Section 9.04 or any other provision of this Agreement, so long as no Default or Event of Default has occurred and is continuing or would result therefrom, each Lender shall have the right at any time to sell, assign or transfer all or a portion of its Term Commitments or Term Loans to Holdings or one of its Subsidiaries on a non pro rata basis through one or more open market purchases;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assigning Lender and the purchaser shall execute and deliver to the Administrative Agent a Borrower Assignment and Assumption which shall include a representation to the assigning Lender at the time of assignment that the it does not possess material non-public information (or, if Holdings or a parent company of Holdings is not at the time a public reporting company, material information of a type that would not reasonably be expected to be publicly available if Holdings or such parent company was a public reporting company) with respect to Holdings and its Subsidiaries that has not been disclosed to the assigning Lender or the Lenders generally (other than the Lenders that have elected not to receive material non-public information), (ii) any Loans so repurchased shall be immediately canceled, and (iii) no proceeds of Loans under the Revolving Facility shall be utilized to make such purchases.</w:t>
      </w:r>
    </w:p>
    <w:p>
      <w:pPr>
        <w:spacing w:after="0" w:line="123"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i w:val="1"/>
          <w:iCs w:val="1"/>
          <w:color w:val="auto"/>
        </w:rPr>
        <w:t>Survival.</w:t>
      </w:r>
      <w:r>
        <w:rPr>
          <w:rFonts w:ascii="Arial" w:cs="Arial" w:eastAsia="Arial" w:hAnsi="Arial"/>
          <w:sz w:val="19"/>
          <w:szCs w:val="19"/>
          <w:color w:val="auto"/>
        </w:rPr>
        <w:t xml:space="preserve">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2.13, 2.14, 2.15, 9.03, 9.08 and Article 8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42" w:name="page343"/>
    <w:bookmarkEnd w:id="342"/>
    <w:p>
      <w:pPr>
        <w:jc w:val="both"/>
        <w:spacing w:after="0" w:line="256" w:lineRule="auto"/>
        <w:rPr>
          <w:sz w:val="20"/>
          <w:szCs w:val="20"/>
          <w:color w:val="auto"/>
        </w:rPr>
      </w:pPr>
      <w:r>
        <w:rPr>
          <w:rFonts w:ascii="Arial" w:cs="Arial" w:eastAsia="Arial" w:hAnsi="Arial"/>
          <w:sz w:val="20"/>
          <w:szCs w:val="20"/>
          <w:color w:val="auto"/>
        </w:rPr>
        <w:t>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2.22.</w:t>
      </w:r>
    </w:p>
    <w:p>
      <w:pPr>
        <w:spacing w:after="0" w:line="129"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i w:val="1"/>
          <w:iCs w:val="1"/>
          <w:color w:val="auto"/>
        </w:rPr>
        <w:t>Counterparts; Integration; Effectiveness.</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Agreement.</w:t>
      </w:r>
    </w:p>
    <w:p>
      <w:pPr>
        <w:spacing w:after="0" w:line="131" w:lineRule="exact"/>
        <w:rPr>
          <w:sz w:val="20"/>
          <w:szCs w:val="20"/>
          <w:color w:val="auto"/>
        </w:rPr>
      </w:pPr>
    </w:p>
    <w:p>
      <w:pPr>
        <w:jc w:val="both"/>
        <w:ind w:firstLine="635"/>
        <w:spacing w:after="0" w:line="252"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i w:val="1"/>
          <w:iCs w:val="1"/>
          <w:color w:val="auto"/>
        </w:rPr>
        <w:t>Severability.</w:t>
      </w:r>
      <w:r>
        <w:rPr>
          <w:rFonts w:ascii="Arial" w:cs="Arial" w:eastAsia="Arial" w:hAnsi="Arial"/>
          <w:sz w:val="20"/>
          <w:szCs w:val="20"/>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Section 9.07, if and to the extent that the enforceability of any provisions in this Agreement relating to Defaulting Lenders shall be limited by Debtor Relief Laws, as determined in good faith by the Administrative Agent or the Issuing Bank, as applicable, then such provisions shall be deemed to be in effect only to the extent not so limited. The parties hereto shall endeavor in good faith negotiations to replace any invalid, illegal or unenforceable provisions with valid, legal and enforceable provisions the economic effect of which comes as close as reasonably possible to that of the invalid, illegal or unenforceable provisions.</w:t>
      </w:r>
    </w:p>
    <w:p>
      <w:pPr>
        <w:spacing w:after="0" w:line="138" w:lineRule="exact"/>
        <w:rPr>
          <w:sz w:val="20"/>
          <w:szCs w:val="20"/>
          <w:color w:val="auto"/>
        </w:rPr>
      </w:pPr>
    </w:p>
    <w:p>
      <w:pPr>
        <w:jc w:val="both"/>
        <w:ind w:firstLine="635"/>
        <w:spacing w:after="0" w:line="256" w:lineRule="auto"/>
        <w:rPr>
          <w:sz w:val="20"/>
          <w:szCs w:val="20"/>
          <w:color w:val="auto"/>
        </w:rPr>
      </w:pPr>
      <w:r>
        <w:rPr>
          <w:rFonts w:ascii="Arial" w:cs="Arial" w:eastAsia="Arial" w:hAnsi="Arial"/>
          <w:sz w:val="20"/>
          <w:szCs w:val="20"/>
          <w:color w:val="auto"/>
        </w:rPr>
        <w:t xml:space="preserve">Section 9.08. </w:t>
      </w:r>
      <w:r>
        <w:rPr>
          <w:rFonts w:ascii="Arial" w:cs="Arial" w:eastAsia="Arial" w:hAnsi="Arial"/>
          <w:sz w:val="20"/>
          <w:szCs w:val="20"/>
          <w:i w:val="1"/>
          <w:iCs w:val="1"/>
          <w:color w:val="auto"/>
        </w:rPr>
        <w:t>Right of Setoff.</w:t>
      </w:r>
      <w:r>
        <w:rPr>
          <w:rFonts w:ascii="Arial" w:cs="Arial" w:eastAsia="Arial" w:hAnsi="Arial"/>
          <w:sz w:val="20"/>
          <w:szCs w:val="20"/>
          <w:color w:val="auto"/>
        </w:rPr>
        <w:t xml:space="preserve"> If an Event of Default shall have occurred and be continuing, each Lender, each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any such Issuing Bank or any such Affiliate to or for the credit or the account of the Borrower against any of and all the obligations of the Borrower then due and owing under this Agreement held by such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343" w:name="page344"/>
    <w:bookmarkEnd w:id="343"/>
    <w:p>
      <w:pPr>
        <w:jc w:val="both"/>
        <w:spacing w:after="0" w:line="251" w:lineRule="auto"/>
        <w:rPr>
          <w:sz w:val="20"/>
          <w:szCs w:val="20"/>
          <w:color w:val="auto"/>
        </w:rPr>
      </w:pPr>
      <w:r>
        <w:rPr>
          <w:rFonts w:ascii="Arial" w:cs="Arial" w:eastAsia="Arial" w:hAnsi="Arial"/>
          <w:sz w:val="20"/>
          <w:szCs w:val="20"/>
          <w:color w:val="auto"/>
        </w:rPr>
        <w:t xml:space="preserve">Lender or Issuing Bank, irrespective of whether or not such Lender or Issuing Bank shall have made any demand under this Agreement and although (i) such obligations may be contingent or unmatured and (ii) such obligations are owed to a branch or office of such Lender or Issuing Bank different from the branch or office holding such deposit or obligated on such Indebtedness;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Borrower and the Administrative Agent of such setoff and application;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failure to give or any delay in giving such notice shall not affect the validity of any such setoff and application under this Section. The rights of each Lender, each Issuing Bank and their respective Affiliates under this Section are in addition to other rights and remedies (including other rights of setoff) that such Lender, such Issuing Bank and their respective Affiliates may have.</w:t>
      </w:r>
    </w:p>
    <w:p>
      <w:pPr>
        <w:spacing w:after="0" w:line="138"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21"/>
          <w:szCs w:val="21"/>
          <w:color w:val="auto"/>
        </w:rPr>
        <w:t xml:space="preserve">Section 9.09. </w:t>
      </w:r>
      <w:r>
        <w:rPr>
          <w:rFonts w:ascii="Arial" w:cs="Arial" w:eastAsia="Arial" w:hAnsi="Arial"/>
          <w:sz w:val="21"/>
          <w:szCs w:val="21"/>
          <w:i w:val="1"/>
          <w:iCs w:val="1"/>
          <w:color w:val="auto"/>
        </w:rPr>
        <w:t>Governing Law; Jurisdiction; Consent to Service of Process</w:t>
      </w:r>
      <w:r>
        <w:rPr>
          <w:rFonts w:ascii="Arial" w:cs="Arial" w:eastAsia="Arial" w:hAnsi="Arial"/>
          <w:sz w:val="21"/>
          <w:szCs w:val="21"/>
          <w:color w:val="auto"/>
        </w:rPr>
        <w:t>. (a) This Agreement shall be construed in accordance with and governed by the laws of the State of New York.</w:t>
      </w:r>
    </w:p>
    <w:p>
      <w:pPr>
        <w:spacing w:after="0" w:line="132" w:lineRule="exact"/>
        <w:rPr>
          <w:sz w:val="20"/>
          <w:szCs w:val="20"/>
          <w:color w:val="auto"/>
        </w:rPr>
      </w:pPr>
    </w:p>
    <w:p>
      <w:pPr>
        <w:jc w:val="both"/>
        <w:ind w:firstLine="644"/>
        <w:spacing w:after="0" w:line="239" w:lineRule="auto"/>
        <w:tabs>
          <w:tab w:leader="none" w:pos="95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Holdings or the Borrower or their respective properties in the courts of any jurisdiction.</w:t>
      </w:r>
    </w:p>
    <w:p>
      <w:pPr>
        <w:spacing w:after="0" w:line="146" w:lineRule="exact"/>
        <w:rPr>
          <w:rFonts w:ascii="Arial" w:cs="Arial" w:eastAsia="Arial" w:hAnsi="Arial"/>
          <w:sz w:val="21"/>
          <w:szCs w:val="21"/>
          <w:color w:val="auto"/>
        </w:rPr>
      </w:pPr>
    </w:p>
    <w:p>
      <w:pPr>
        <w:jc w:val="both"/>
        <w:ind w:firstLine="644"/>
        <w:spacing w:after="0" w:line="243" w:lineRule="auto"/>
        <w:tabs>
          <w:tab w:leader="none" w:pos="963" w:val="left"/>
        </w:tabs>
        <w:numPr>
          <w:ilvl w:val="0"/>
          <w:numId w:val="256"/>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40" w:lineRule="exact"/>
        <w:rPr>
          <w:rFonts w:ascii="Arial" w:cs="Arial" w:eastAsia="Arial" w:hAnsi="Arial"/>
          <w:sz w:val="21"/>
          <w:szCs w:val="21"/>
          <w:color w:val="auto"/>
        </w:rPr>
      </w:pPr>
    </w:p>
    <w:p>
      <w:pPr>
        <w:ind w:firstLine="644"/>
        <w:spacing w:after="0" w:line="263" w:lineRule="auto"/>
        <w:tabs>
          <w:tab w:leader="none" w:pos="946" w:val="left"/>
        </w:tabs>
        <w:numPr>
          <w:ilvl w:val="0"/>
          <w:numId w:val="256"/>
        </w:numPr>
        <w:rPr>
          <w:rFonts w:ascii="Arial" w:cs="Arial" w:eastAsia="Arial" w:hAnsi="Arial"/>
          <w:sz w:val="21"/>
          <w:szCs w:val="21"/>
          <w:color w:val="auto"/>
        </w:rPr>
      </w:pPr>
      <w:r>
        <w:rPr>
          <w:rFonts w:ascii="Arial" w:cs="Arial" w:eastAsia="Arial" w:hAnsi="Arial"/>
          <w:sz w:val="21"/>
          <w:szCs w:val="21"/>
          <w:color w:val="auto"/>
        </w:rPr>
        <w:t>Each party to this Agreement irrevocably consents to service of process in the manner provided for notices in Section 9.01. Nothing in any Loan Document will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44" w:name="page345"/>
    <w:bookmarkEnd w:id="344"/>
    <w:p>
      <w:pPr>
        <w:spacing w:after="0"/>
        <w:rPr>
          <w:sz w:val="20"/>
          <w:szCs w:val="20"/>
          <w:color w:val="auto"/>
        </w:rPr>
      </w:pPr>
      <w:r>
        <w:rPr>
          <w:rFonts w:ascii="Arial" w:cs="Arial" w:eastAsia="Arial" w:hAnsi="Arial"/>
          <w:sz w:val="21"/>
          <w:szCs w:val="21"/>
          <w:color w:val="auto"/>
        </w:rPr>
        <w:t>affect the right of any party to this Agreement to serve process in any other manner permitted by law.</w:t>
      </w:r>
    </w:p>
    <w:p>
      <w:pPr>
        <w:spacing w:after="0" w:line="169" w:lineRule="exact"/>
        <w:rPr>
          <w:sz w:val="20"/>
          <w:szCs w:val="20"/>
          <w:color w:val="auto"/>
        </w:rPr>
      </w:pPr>
    </w:p>
    <w:p>
      <w:pPr>
        <w:jc w:val="both"/>
        <w:ind w:firstLine="635"/>
        <w:spacing w:after="0" w:line="251"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i w:val="1"/>
          <w:iCs w:val="1"/>
          <w:color w:val="auto"/>
        </w:rPr>
        <w:t>Waiver of Jury Trial.</w:t>
      </w:r>
      <w:r>
        <w:rPr>
          <w:rFonts w:ascii="Arial" w:cs="Arial" w:eastAsia="Arial" w:hAnsi="Arial"/>
          <w:sz w:val="20"/>
          <w:szCs w:val="20"/>
          <w:color w:val="auto"/>
        </w:rPr>
        <w:t xml:space="preserve">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jc w:val="both"/>
        <w:ind w:firstLine="9"/>
        <w:spacing w:after="0" w:line="241" w:lineRule="auto"/>
        <w:tabs>
          <w:tab w:leader="none" w:pos="344" w:val="left"/>
        </w:tabs>
        <w:numPr>
          <w:ilvl w:val="0"/>
          <w:numId w:val="257"/>
        </w:numPr>
        <w:rPr>
          <w:rFonts w:ascii="Arial" w:cs="Arial" w:eastAsia="Arial" w:hAnsi="Arial"/>
          <w:sz w:val="21"/>
          <w:szCs w:val="21"/>
          <w:color w:val="auto"/>
        </w:rPr>
      </w:pPr>
      <w:r>
        <w:rPr>
          <w:rFonts w:ascii="Arial" w:cs="Arial" w:eastAsia="Arial" w:hAnsi="Arial"/>
          <w:sz w:val="21"/>
          <w:szCs w:val="21"/>
          <w:color w:val="auto"/>
        </w:rPr>
        <w:t>ACKNOWLEDGES THAT IT AND THE OTHER PARTIES HERETO HAVE BEEN INDUCED TO ENTER INTO THIS AGREEMENT BY, AMONG OTHER THINGS, THE MUTUAL WAIVERS AND CERTIFICATIONS IN THIS SECTION.</w:t>
      </w:r>
    </w:p>
    <w:p>
      <w:pPr>
        <w:spacing w:after="0" w:line="154" w:lineRule="exact"/>
        <w:rPr>
          <w:sz w:val="20"/>
          <w:szCs w:val="20"/>
          <w:color w:val="auto"/>
        </w:rPr>
      </w:pPr>
    </w:p>
    <w:p>
      <w:pPr>
        <w:jc w:val="both"/>
        <w:ind w:firstLine="635"/>
        <w:spacing w:after="0" w:line="250" w:lineRule="auto"/>
        <w:rPr>
          <w:sz w:val="20"/>
          <w:szCs w:val="20"/>
          <w:color w:val="auto"/>
        </w:rPr>
      </w:pPr>
      <w:r>
        <w:rPr>
          <w:rFonts w:ascii="Arial" w:cs="Arial" w:eastAsia="Arial" w:hAnsi="Arial"/>
          <w:sz w:val="21"/>
          <w:szCs w:val="21"/>
          <w:color w:val="auto"/>
        </w:rPr>
        <w:t xml:space="preserve">Section 9.11. </w:t>
      </w:r>
      <w:r>
        <w:rPr>
          <w:rFonts w:ascii="Arial" w:cs="Arial" w:eastAsia="Arial" w:hAnsi="Arial"/>
          <w:sz w:val="21"/>
          <w:szCs w:val="21"/>
          <w:i w:val="1"/>
          <w:iCs w:val="1"/>
          <w:color w:val="auto"/>
        </w:rPr>
        <w:t>Headings.</w:t>
      </w:r>
      <w:r>
        <w:rPr>
          <w:rFonts w:ascii="Arial" w:cs="Arial" w:eastAsia="Arial" w:hAnsi="Arial"/>
          <w:sz w:val="21"/>
          <w:szCs w:val="21"/>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jc w:val="both"/>
        <w:ind w:firstLine="635"/>
        <w:spacing w:after="0" w:line="262"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i w:val="1"/>
          <w:iCs w:val="1"/>
          <w:color w:val="auto"/>
        </w:rPr>
        <w:t>Confidentiality</w:t>
      </w:r>
      <w:r>
        <w:rPr>
          <w:rFonts w:ascii="Arial" w:cs="Arial" w:eastAsia="Arial" w:hAnsi="Arial"/>
          <w:sz w:val="19"/>
          <w:szCs w:val="19"/>
          <w:color w:val="auto"/>
        </w:rPr>
        <w:t xml:space="preserve">. (a) 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and numbering, administration and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Section 9.12 shall constitute a breach of this Section 9.12 by the Administrative Agent, such Issuing Bank or the relevant Lender, as applicable), (ii) to the extent requested by any regulatory authority or self-regulatory authority, required by applicable law or by any subpoena or similar legal process;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solely to the extent permitted by law and other than in connection with routine audits and reviews by regulatory and self-regulatory authorities, each Lender and the Administrative Agent shall notify the Borrower as promptly as practicable of any such requested or required disclosure in connection with any legal or regulatory proceeding;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in no event shall any Lender or the Administrative Agent be obligated or required to return any materials furnished by the Borrower or any Subsidiary of Holdings, (iii) to any other party to this Agreement, (iv) in connection with the exercise of any remedies hereunder or any suit, action or proceeding relating to this Agreement or the enforcement of rights hereunder, (v) subject to an agreement containing confidentiality undertakings substantially similar to those of this Section, to (A) any assignee of or Participant in, or any prospective assignee of or Participant in, any of its rights or obligations under this Agreement,</w:t>
      </w:r>
    </w:p>
    <w:p>
      <w:pPr>
        <w:spacing w:after="0" w:line="11" w:lineRule="exact"/>
        <w:rPr>
          <w:sz w:val="20"/>
          <w:szCs w:val="20"/>
          <w:color w:val="auto"/>
        </w:rPr>
      </w:pPr>
    </w:p>
    <w:p>
      <w:pPr>
        <w:jc w:val="both"/>
        <w:ind w:firstLine="9"/>
        <w:spacing w:after="0" w:line="241" w:lineRule="auto"/>
        <w:tabs>
          <w:tab w:leader="none" w:pos="354" w:val="left"/>
        </w:tabs>
        <w:numPr>
          <w:ilvl w:val="0"/>
          <w:numId w:val="258"/>
        </w:numPr>
        <w:rPr>
          <w:rFonts w:ascii="Arial" w:cs="Arial" w:eastAsia="Arial" w:hAnsi="Arial"/>
          <w:sz w:val="21"/>
          <w:szCs w:val="21"/>
          <w:color w:val="auto"/>
        </w:rPr>
      </w:pPr>
      <w:r>
        <w:rPr>
          <w:rFonts w:ascii="Arial" w:cs="Arial" w:eastAsia="Arial" w:hAnsi="Arial"/>
          <w:sz w:val="21"/>
          <w:szCs w:val="21"/>
          <w:color w:val="auto"/>
        </w:rPr>
        <w:t>any actual or prospective counterparty (or its advisors) to any Swap Agreement or derivative transaction relating to any Loan Party or its Subsidiaries and its obligations under the Loan Documents or (C) any pledgee referred to in Section 9.04(d)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45" w:name="page346"/>
    <w:bookmarkEnd w:id="345"/>
    <w:p>
      <w:pPr>
        <w:jc w:val="both"/>
        <w:spacing w:after="0" w:line="264" w:lineRule="auto"/>
        <w:rPr>
          <w:sz w:val="20"/>
          <w:szCs w:val="20"/>
          <w:color w:val="auto"/>
        </w:rPr>
      </w:pPr>
      <w:r>
        <w:rPr>
          <w:rFonts w:ascii="Arial" w:cs="Arial" w:eastAsia="Arial" w:hAnsi="Arial"/>
          <w:sz w:val="19"/>
          <w:szCs w:val="19"/>
          <w:color w:val="auto"/>
        </w:rPr>
        <w:t xml:space="preserve">(it being understood that each Person identified as a “Disqualified Lender” on Schedule 1.01 may be disclosed to any assignee or Participant, or prospective assignee or Participant, in reliance on this clause (v)), (vi) if required by any rating agency;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prior to any such disclosure, such rating agency shall have agreed in writing to maintain the confidentiality of such Information or (vii) to the extent such Information (x) becomes publicly available other than as a result of a breach of this Section or (y) becomes available to the Administrative Agent, any Issuing Bank, any Lender or any of their respective Affiliates on a nonconfidential basis from a source other than Holdings or the Borrower. In addition, the Administrative Agent and the Lead Arranger may disclose the existence of this Agreement and information about this Agreement (other than any Information) to market data collectors and similar services providers to the lending industry to the extent reasonably required by such market data collectors or service providers to enable such party to receive league table credit for such party’s role in connection with this Agreement and the Transactions. For the purposes hereof, “</w:t>
      </w:r>
      <w:r>
        <w:rPr>
          <w:rFonts w:ascii="Arial" w:cs="Arial" w:eastAsia="Arial" w:hAnsi="Arial"/>
          <w:sz w:val="19"/>
          <w:szCs w:val="19"/>
          <w:b w:val="1"/>
          <w:bCs w:val="1"/>
          <w:color w:val="auto"/>
        </w:rPr>
        <w:t>Information</w:t>
      </w:r>
      <w:r>
        <w:rPr>
          <w:rFonts w:ascii="Arial" w:cs="Arial" w:eastAsia="Arial" w:hAnsi="Arial"/>
          <w:sz w:val="19"/>
          <w:szCs w:val="19"/>
          <w:color w:val="auto"/>
        </w:rPr>
        <w:t xml:space="preserve">” means all information received from Holdings or the Borrower relating to Holdings, the Borrower, any other Subsidiary or their business, other than any such information that is available to the Administrative Agent, any Issuing Bank or any Lender on a nonconfidential basis prior to disclosure by Holdings, the Borrower or any Subsidiary and other than information pertaining to this Agreement routinely provided by arrangers to data service providers, including league table providers, that serve the lending industry;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information received from Holdings, the Borrower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30" w:lineRule="exact"/>
        <w:rPr>
          <w:sz w:val="20"/>
          <w:szCs w:val="20"/>
          <w:color w:val="auto"/>
        </w:rPr>
      </w:pPr>
    </w:p>
    <w:p>
      <w:pPr>
        <w:ind w:left="1040" w:hanging="396"/>
        <w:spacing w:after="0"/>
        <w:tabs>
          <w:tab w:leader="none" w:pos="1040" w:val="left"/>
        </w:tabs>
        <w:numPr>
          <w:ilvl w:val="0"/>
          <w:numId w:val="259"/>
        </w:numPr>
        <w:rPr>
          <w:rFonts w:ascii="Arial" w:cs="Arial" w:eastAsia="Arial" w:hAnsi="Arial"/>
          <w:sz w:val="21"/>
          <w:szCs w:val="21"/>
          <w:color w:val="auto"/>
        </w:rPr>
      </w:pPr>
      <w:r>
        <w:rPr>
          <w:rFonts w:ascii="Arial" w:cs="Arial" w:eastAsia="Arial" w:hAnsi="Arial"/>
          <w:sz w:val="21"/>
          <w:szCs w:val="21"/>
          <w:color w:val="auto"/>
        </w:rPr>
        <w:t>EACH  LENDER  ACKNOWLEDGES  THAT  INFORMATION  AS  DEFINED  IN  SECTION  9.12(a)</w:t>
      </w:r>
    </w:p>
    <w:p>
      <w:pPr>
        <w:spacing w:after="0" w:line="14" w:lineRule="exact"/>
        <w:rPr>
          <w:rFonts w:ascii="Arial" w:cs="Arial" w:eastAsia="Arial" w:hAnsi="Arial"/>
          <w:sz w:val="21"/>
          <w:szCs w:val="21"/>
          <w:color w:val="auto"/>
        </w:rPr>
      </w:pPr>
    </w:p>
    <w:p>
      <w:pPr>
        <w:jc w:val="both"/>
        <w:spacing w:after="0" w:line="238" w:lineRule="auto"/>
        <w:rPr>
          <w:rFonts w:ascii="Arial" w:cs="Arial" w:eastAsia="Arial" w:hAnsi="Arial"/>
          <w:sz w:val="21"/>
          <w:szCs w:val="21"/>
          <w:color w:val="auto"/>
        </w:rPr>
      </w:pPr>
      <w:r>
        <w:rPr>
          <w:rFonts w:ascii="Arial" w:cs="Arial" w:eastAsia="Arial" w:hAnsi="Arial"/>
          <w:sz w:val="21"/>
          <w:szCs w:val="21"/>
          <w:color w:val="auto"/>
        </w:rPr>
        <w:t>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59" w:lineRule="exact"/>
        <w:rPr>
          <w:rFonts w:ascii="Arial" w:cs="Arial" w:eastAsia="Arial" w:hAnsi="Arial"/>
          <w:sz w:val="21"/>
          <w:szCs w:val="21"/>
          <w:color w:val="auto"/>
        </w:rPr>
      </w:pPr>
    </w:p>
    <w:p>
      <w:pPr>
        <w:jc w:val="both"/>
        <w:ind w:firstLine="644"/>
        <w:spacing w:after="0"/>
        <w:tabs>
          <w:tab w:leader="none" w:pos="918" w:val="left"/>
        </w:tabs>
        <w:numPr>
          <w:ilvl w:val="0"/>
          <w:numId w:val="259"/>
        </w:numPr>
        <w:rPr>
          <w:rFonts w:ascii="Arial" w:cs="Arial" w:eastAsia="Arial" w:hAnsi="Arial"/>
          <w:sz w:val="21"/>
          <w:szCs w:val="21"/>
          <w:color w:val="auto"/>
        </w:rPr>
      </w:pPr>
      <w:r>
        <w:rPr>
          <w:rFonts w:ascii="Arial" w:cs="Arial" w:eastAsia="Arial" w:hAnsi="Arial"/>
          <w:sz w:val="21"/>
          <w:szCs w:val="21"/>
          <w:color w:val="auto"/>
        </w:rPr>
        <w:t>ALL INFORMATION, INCLUDING REQUESTS FOR WAIVERS AND AMENDMENTS FURNISHED BY THE BORROWER OR THE ADMINISTRATIVE AGENT PURSUANT TO, OR IN THE COURSE OF ADMINISTERING, THIS AGREEMENT, WILL BE SYNDICATE-LEVEL INFORMATION, WHICH MAY CONTAIN MATERIAL NON-PUBLIC INFORMATION ABOUT HOLDINGS,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46" w:name="page347"/>
    <w:bookmarkEnd w:id="346"/>
    <w:p>
      <w:pPr>
        <w:jc w:val="both"/>
        <w:spacing w:after="0" w:line="263" w:lineRule="auto"/>
        <w:rPr>
          <w:sz w:val="20"/>
          <w:szCs w:val="20"/>
          <w:color w:val="auto"/>
        </w:rPr>
      </w:pPr>
      <w:r>
        <w:rPr>
          <w:rFonts w:ascii="Arial" w:cs="Arial" w:eastAsia="Arial" w:hAnsi="Arial"/>
          <w:sz w:val="21"/>
          <w:szCs w:val="21"/>
          <w:color w:val="auto"/>
        </w:rPr>
        <w:t>NON-PUBLIC INFORMATION IN ACCORDANCE WITH ITS COMPLIANCE PROCEDURES AND APPLICABLE LAW, INCLUDING FEDERAL AND STATE SECURITIES LAWS.</w:t>
      </w:r>
    </w:p>
    <w:p>
      <w:pPr>
        <w:spacing w:after="0" w:line="119" w:lineRule="exact"/>
        <w:rPr>
          <w:sz w:val="20"/>
          <w:szCs w:val="20"/>
          <w:color w:val="auto"/>
        </w:rPr>
      </w:pPr>
    </w:p>
    <w:p>
      <w:pPr>
        <w:jc w:val="both"/>
        <w:ind w:firstLine="635"/>
        <w:spacing w:after="0" w:line="258"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i w:val="1"/>
          <w:iCs w:val="1"/>
          <w:color w:val="auto"/>
        </w:rPr>
        <w:t>USA Patriot Act.</w:t>
      </w:r>
      <w:r>
        <w:rPr>
          <w:rFonts w:ascii="Arial" w:cs="Arial" w:eastAsia="Arial" w:hAnsi="Arial"/>
          <w:sz w:val="20"/>
          <w:szCs w:val="20"/>
          <w:color w:val="auto"/>
        </w:rPr>
        <w:t xml:space="preserve">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w:t>
      </w:r>
    </w:p>
    <w:p>
      <w:pPr>
        <w:spacing w:after="0" w:line="140" w:lineRule="exact"/>
        <w:rPr>
          <w:sz w:val="20"/>
          <w:szCs w:val="20"/>
          <w:color w:val="auto"/>
        </w:rPr>
      </w:pPr>
    </w:p>
    <w:p>
      <w:pPr>
        <w:jc w:val="both"/>
        <w:ind w:firstLine="635"/>
        <w:spacing w:after="0" w:line="265"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i w:val="1"/>
          <w:iCs w:val="1"/>
          <w:color w:val="auto"/>
        </w:rPr>
        <w:t>Release of Liens and Guarantees</w:t>
      </w:r>
      <w:r>
        <w:rPr>
          <w:rFonts w:ascii="Arial" w:cs="Arial" w:eastAsia="Arial" w:hAnsi="Arial"/>
          <w:sz w:val="19"/>
          <w:szCs w:val="19"/>
          <w:color w:val="auto"/>
        </w:rPr>
        <w:t>. (a) 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permitted by this Agreement as a result of which such Subsidiary Loan Party ceases to be a Restricted Subsidiary (including pursuant to a merger with a Subsidiary that is not a Loan Party or designation as an Unrestricted Subsidiary),</w:t>
      </w:r>
    </w:p>
    <w:p>
      <w:pPr>
        <w:spacing w:after="0" w:line="2" w:lineRule="exact"/>
        <w:rPr>
          <w:sz w:val="20"/>
          <w:szCs w:val="20"/>
          <w:color w:val="auto"/>
        </w:rPr>
      </w:pPr>
    </w:p>
    <w:p>
      <w:pPr>
        <w:jc w:val="both"/>
        <w:ind w:firstLine="9"/>
        <w:spacing w:after="0" w:line="249" w:lineRule="auto"/>
        <w:tabs>
          <w:tab w:leader="none" w:pos="30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upon the request of the Borrower in connection with a transaction permitted under Section 6.14(a), as a result of which such Subsidiary Loan Party ceases to be a Wholly Owned Subsidiary, (3) upon the request of the Borrower, if permitted pursuant to Section 6.14(b) or (4) upon the request of the Borrower, if such Subsidiary Loan Party becomes a Regulated Subsidiary or an Excluded Subsidiary. Upon any sale or other transfer by any Loan Party (other than to Holdings, the Borrower or any Subsidiary Loan Party) of any Collateral in a transaction permitted under this Agreement, or upon the effectiveness of any written consent to the release of the security interest created under any Security Document in any Collateral or the release of Holdings or any Subsidiary Loan Party from its Guarantee under the Guarantee Agreement pursuant to Section 9.02, the security interests in such Collateral created by the Security Documents or such guarantee shall be automatically released. Upon termination of the aggregate Commitments and payment in full of all Secured Obligations (other than contingent indemnification obligations) and the expiration or termination of all Letters of Credit (including as a result of obtaining the consent of the applicable Issuing Bank as described in Section 9.05), all obligations under the Loan Documents and all security interests created by the Security Documents shall be automatically released. In connection with any termination or release pursuant to this Section, the Administrative Agent shall execute and deliver to any Loan Party, at such Loan Party’s expense, all documents that such Loan Party shall reasonably request to evidence such termination or release so long as the Borrower or applicable Loan Party shall have provided the Administrative Agent such certifications or documents as the Administrative Agent shall reasonably request in order to demonstrate compliance with this Agreement.</w:t>
      </w:r>
    </w:p>
    <w:p>
      <w:pPr>
        <w:spacing w:after="0" w:line="145" w:lineRule="exact"/>
        <w:rPr>
          <w:rFonts w:ascii="Arial" w:cs="Arial" w:eastAsia="Arial" w:hAnsi="Arial"/>
          <w:sz w:val="20"/>
          <w:szCs w:val="20"/>
          <w:color w:val="auto"/>
        </w:rPr>
      </w:pPr>
    </w:p>
    <w:p>
      <w:pPr>
        <w:jc w:val="both"/>
        <w:ind w:firstLine="644"/>
        <w:spacing w:after="0" w:line="245" w:lineRule="auto"/>
        <w:tabs>
          <w:tab w:leader="none" w:pos="953" w:val="left"/>
        </w:tabs>
        <w:numPr>
          <w:ilvl w:val="1"/>
          <w:numId w:val="260"/>
        </w:numPr>
        <w:rPr>
          <w:rFonts w:ascii="Arial" w:cs="Arial" w:eastAsia="Arial" w:hAnsi="Arial"/>
          <w:sz w:val="21"/>
          <w:szCs w:val="21"/>
          <w:color w:val="auto"/>
        </w:rPr>
      </w:pPr>
      <w:r>
        <w:rPr>
          <w:rFonts w:ascii="Arial" w:cs="Arial" w:eastAsia="Arial" w:hAnsi="Arial"/>
          <w:sz w:val="21"/>
          <w:szCs w:val="21"/>
          <w:color w:val="auto"/>
        </w:rPr>
        <w:t>The Administrative Agent will, at the Borrower’s expense, execute and deliver to the applicable Loan Party such documents as such Loan Party may reasonably request to subordinate its Lien on any property granted to or held by the Administrative Agent under any Loan Document to the holder of any Lien on such property that is permitted by Section 6.02(iv).</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5" w:right="739" w:bottom="1440" w:gutter="0" w:footer="0" w:header="0"/>
        </w:sectPr>
      </w:pPr>
    </w:p>
    <w:bookmarkStart w:id="347" w:name="page348"/>
    <w:bookmarkEnd w:id="347"/>
    <w:p>
      <w:pPr>
        <w:jc w:val="both"/>
        <w:ind w:firstLine="644"/>
        <w:spacing w:after="0" w:line="275" w:lineRule="auto"/>
        <w:tabs>
          <w:tab w:leader="none" w:pos="956" w:val="left"/>
        </w:tabs>
        <w:numPr>
          <w:ilvl w:val="0"/>
          <w:numId w:val="261"/>
        </w:numPr>
        <w:rPr>
          <w:rFonts w:ascii="Arial" w:cs="Arial" w:eastAsia="Arial" w:hAnsi="Arial"/>
          <w:sz w:val="19"/>
          <w:szCs w:val="19"/>
          <w:color w:val="auto"/>
        </w:rPr>
      </w:pPr>
      <w:r>
        <w:rPr>
          <w:rFonts w:ascii="Arial" w:cs="Arial" w:eastAsia="Arial" w:hAnsi="Arial"/>
          <w:sz w:val="19"/>
          <w:szCs w:val="19"/>
          <w:color w:val="auto"/>
        </w:rPr>
        <w:t>Each of the Lenders and the Issuing Bank irrevocably authorizes the Administrative Agent to provide any release or evidence of release, termination or subordination contemplated by this Section 9.14. Upon request by the Administrative Agent at any time, the Required Lenders will confirm in writing the Administrative Agent’s authority to release or subordinate its interest in particular types or items of property, or to release any Loan Party from its obligations under any Loan Document, in each case in accordance with the terms of the Loan Document and this Section 9.14.</w:t>
      </w:r>
    </w:p>
    <w:p>
      <w:pPr>
        <w:spacing w:after="0" w:line="111" w:lineRule="exact"/>
        <w:rPr>
          <w:sz w:val="20"/>
          <w:szCs w:val="20"/>
          <w:color w:val="auto"/>
        </w:rPr>
      </w:pPr>
    </w:p>
    <w:p>
      <w:pPr>
        <w:jc w:val="both"/>
        <w:ind w:firstLine="635"/>
        <w:spacing w:after="0" w:line="264"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i w:val="1"/>
          <w:iCs w:val="1"/>
          <w:color w:val="auto"/>
        </w:rPr>
        <w:t>No Advisory or Fiduciary Responsibility.</w:t>
      </w:r>
      <w:r>
        <w:rPr>
          <w:rFonts w:ascii="Arial" w:cs="Arial" w:eastAsia="Arial" w:hAnsi="Arial"/>
          <w:sz w:val="19"/>
          <w:szCs w:val="19"/>
          <w:color w:val="auto"/>
        </w:rPr>
        <w:t xml:space="preserve"> In connection with all aspects of each transaction contemplated hereby (including in connection with any amendment, waiver or other modification hereof or of any other Loan Document), each of the Borrower and Holdings acknowledges and agrees that (i) (A) the arranging and other services regarding this Agreement provided by the Administrative Agent, the Lenders and the Lead Arranger are arm’s-length commercial transactions between the Borrower, Holdings and their respective Affiliates, on the one hand, and the Administrative Agent, the Lenders and the Lead Arranger,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each of the Administrative Agent, the Lenders and the Lead Arranger is and has been acting solely as a principal and, except as expressly agreed in writing by the relevant parties, has not been, is not and will not be acting as an advisor, agent or fiduciary for the Borrower, Holdings, any of their respective Affiliates or any other Person and (B) none of the Administrative Agent, the Lenders and the Lead Arranger has any obligation to the Borrower, Holdings or any of their respective Affiliates with respect to the transactions contemplated hereby except those obligations expressly set forth herein and in the other Loan Documents; and (iii) the Administrative Agent, the Lenders and the Lead Arranger and their respective Affiliates may be engaged in a broad range of transactions that involve interests that differ from those of the Borrower, Holdings and their respective Affiliates, and none of the Administrative Agent, the Lenders and the Lead Arranger has any obligation to disclose any of such interests to the Borrower, Holdings or any of their respective Affiliates. To the fullest extent permitted by law, each of the Borrower and Holdings hereby waives and releases any claims that it may have against the Administrative Agent, the Lenders and the Lead Arranger with respect to any breach or alleged breach of agency or fiduciary duty in connection with any aspect of any transaction contemplated hereby.</w:t>
      </w:r>
    </w:p>
    <w:p>
      <w:pPr>
        <w:spacing w:after="0" w:line="139" w:lineRule="exact"/>
        <w:rPr>
          <w:sz w:val="20"/>
          <w:szCs w:val="20"/>
          <w:color w:val="auto"/>
        </w:rPr>
      </w:pPr>
    </w:p>
    <w:p>
      <w:pPr>
        <w:jc w:val="both"/>
        <w:ind w:firstLine="635"/>
        <w:spacing w:after="0" w:line="269"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i w:val="1"/>
          <w:iCs w:val="1"/>
          <w:color w:val="auto"/>
        </w:rPr>
        <w:t>Interest Rate Limitation.</w:t>
      </w:r>
      <w:r>
        <w:rPr>
          <w:rFonts w:ascii="Arial" w:cs="Arial" w:eastAsia="Arial" w:hAnsi="Arial"/>
          <w:sz w:val="19"/>
          <w:szCs w:val="19"/>
          <w:color w:val="auto"/>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b w:val="1"/>
          <w:bCs w:val="1"/>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165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48" w:name="page349"/>
    <w:bookmarkEnd w:id="348"/>
    <w:p>
      <w:pPr>
        <w:jc w:val="both"/>
        <w:spacing w:after="0" w:line="263" w:lineRule="auto"/>
        <w:rPr>
          <w:sz w:val="20"/>
          <w:szCs w:val="20"/>
          <w:color w:val="auto"/>
        </w:rPr>
      </w:pPr>
      <w:r>
        <w:rPr>
          <w:rFonts w:ascii="Arial" w:cs="Arial" w:eastAsia="Arial" w:hAnsi="Arial"/>
          <w:sz w:val="21"/>
          <w:szCs w:val="21"/>
          <w:color w:val="auto"/>
        </w:rPr>
        <w:t>and spread in equal or unequal parts the total amount of interest throughout the contemplated term of the obligations hereunder.</w:t>
      </w:r>
    </w:p>
    <w:p>
      <w:pPr>
        <w:spacing w:after="0" w:line="119" w:lineRule="exact"/>
        <w:rPr>
          <w:sz w:val="20"/>
          <w:szCs w:val="20"/>
          <w:color w:val="auto"/>
        </w:rPr>
      </w:pPr>
    </w:p>
    <w:p>
      <w:pPr>
        <w:jc w:val="both"/>
        <w:ind w:firstLine="635"/>
        <w:spacing w:after="0"/>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i w:val="1"/>
          <w:iCs w:val="1"/>
          <w:color w:val="auto"/>
        </w:rPr>
        <w:t>Lender Action.</w:t>
      </w:r>
      <w:r>
        <w:rPr>
          <w:rFonts w:ascii="Arial" w:cs="Arial" w:eastAsia="Arial" w:hAnsi="Arial"/>
          <w:sz w:val="21"/>
          <w:szCs w:val="21"/>
          <w:color w:val="auto"/>
        </w:rPr>
        <w:t xml:space="preserve"> Each Lender and the Issuing Bank agrees that it shall not take or institute any actions or proceedings, judicial or otherwise, for any right or remedy against any Loan Party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Loan Party, unless expressly provided for herein or in any other Loan Document, without the prior written consent of the Administrative Agent. The provisions of this Section 9.17 are for the sole benefit of the Lenders and the Issuing Bank and shall not afford any right to, or constitute a defense available to, any Loan Party.</w:t>
      </w:r>
    </w:p>
    <w:p>
      <w:pPr>
        <w:spacing w:after="0" w:line="158" w:lineRule="exact"/>
        <w:rPr>
          <w:sz w:val="20"/>
          <w:szCs w:val="20"/>
          <w:color w:val="auto"/>
        </w:rPr>
      </w:pPr>
    </w:p>
    <w:p>
      <w:pPr>
        <w:jc w:val="both"/>
        <w:ind w:firstLine="635"/>
        <w:spacing w:after="0" w:line="267"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i w:val="1"/>
          <w:iCs w:val="1"/>
          <w:color w:val="auto"/>
        </w:rPr>
        <w:t>Marshalling; Payments Set Aside.</w:t>
      </w:r>
      <w:r>
        <w:rPr>
          <w:rFonts w:ascii="Arial" w:cs="Arial" w:eastAsia="Arial" w:hAnsi="Arial"/>
          <w:sz w:val="19"/>
          <w:szCs w:val="19"/>
          <w:color w:val="auto"/>
        </w:rPr>
        <w:t xml:space="preserve"> Neither the Administrative Agent nor any Lender shall be under any obligation to marshal any assets in favor of any Loan Party or any other Person or against or in payment of any or all of the Secured Obligations. To the extent that any Loan Party makes a payment or payments to the Administrative Agent or Lenders (or to the Administrative Agent, on behalf of Lenders), or the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22" w:lineRule="exact"/>
        <w:rPr>
          <w:sz w:val="20"/>
          <w:szCs w:val="20"/>
          <w:color w:val="auto"/>
        </w:rPr>
      </w:pPr>
    </w:p>
    <w:p>
      <w:pPr>
        <w:jc w:val="both"/>
        <w:ind w:firstLine="635"/>
        <w:spacing w:after="0" w:line="268" w:lineRule="auto"/>
        <w:rPr>
          <w:sz w:val="20"/>
          <w:szCs w:val="20"/>
          <w:color w:val="auto"/>
        </w:rPr>
      </w:pPr>
      <w:r>
        <w:rPr>
          <w:rFonts w:ascii="Arial" w:cs="Arial" w:eastAsia="Arial" w:hAnsi="Arial"/>
          <w:sz w:val="20"/>
          <w:szCs w:val="20"/>
          <w:color w:val="auto"/>
        </w:rPr>
        <w:t xml:space="preserve">Section 9.19. </w:t>
      </w:r>
      <w:r>
        <w:rPr>
          <w:rFonts w:ascii="Arial" w:cs="Arial" w:eastAsia="Arial" w:hAnsi="Arial"/>
          <w:sz w:val="20"/>
          <w:szCs w:val="20"/>
          <w:i w:val="1"/>
          <w:iCs w:val="1"/>
          <w:color w:val="auto"/>
        </w:rPr>
        <w:t>Margin Stock; Collateral</w:t>
      </w:r>
      <w:r>
        <w:rPr>
          <w:rFonts w:ascii="Arial" w:cs="Arial" w:eastAsia="Arial" w:hAnsi="Arial"/>
          <w:sz w:val="20"/>
          <w:szCs w:val="20"/>
          <w:color w:val="auto"/>
        </w:rPr>
        <w:t>. Each of the Lenders represents to the Administrative Agent and each of the other Lenders that it in good faith is not relying upon any margin stock (within the meaning of Regulation U of the Board of Governors) as collateral in the extension or maintenance of the credit provided in this Agreement.</w:t>
      </w:r>
    </w:p>
    <w:p>
      <w:pPr>
        <w:spacing w:after="0" w:line="116" w:lineRule="exact"/>
        <w:rPr>
          <w:sz w:val="20"/>
          <w:szCs w:val="20"/>
          <w:color w:val="auto"/>
        </w:rPr>
      </w:pPr>
    </w:p>
    <w:p>
      <w:pPr>
        <w:jc w:val="both"/>
        <w:ind w:firstLine="635"/>
        <w:spacing w:after="0" w:line="243" w:lineRule="auto"/>
        <w:rPr>
          <w:sz w:val="20"/>
          <w:szCs w:val="20"/>
          <w:color w:val="auto"/>
        </w:rPr>
      </w:pPr>
      <w:r>
        <w:rPr>
          <w:rFonts w:ascii="Arial" w:cs="Arial" w:eastAsia="Arial" w:hAnsi="Arial"/>
          <w:sz w:val="21"/>
          <w:szCs w:val="21"/>
          <w:color w:val="auto"/>
        </w:rPr>
        <w:t xml:space="preserve">Section 9.20. </w:t>
      </w:r>
      <w:r>
        <w:rPr>
          <w:rFonts w:ascii="Arial" w:cs="Arial" w:eastAsia="Arial" w:hAnsi="Arial"/>
          <w:sz w:val="21"/>
          <w:szCs w:val="21"/>
          <w:i w:val="1"/>
          <w:iCs w:val="1"/>
          <w:color w:val="auto"/>
        </w:rPr>
        <w:t>Acknowledgement and Consent to Bail</w:t>
      </w:r>
      <w:r>
        <w:rPr>
          <w:rFonts w:ascii="Arial" w:cs="Arial" w:eastAsia="Arial" w:hAnsi="Arial"/>
          <w:sz w:val="21"/>
          <w:szCs w:val="21"/>
          <w:color w:val="auto"/>
        </w:rPr>
        <w:t>-</w:t>
      </w:r>
      <w:r>
        <w:rPr>
          <w:rFonts w:ascii="Arial" w:cs="Arial" w:eastAsia="Arial" w:hAnsi="Arial"/>
          <w:sz w:val="21"/>
          <w:szCs w:val="21"/>
          <w:i w:val="1"/>
          <w:iCs w:val="1"/>
          <w:color w:val="auto"/>
        </w:rPr>
        <w:t>in of EEA Financial Institutions</w:t>
      </w:r>
      <w:r>
        <w:rPr>
          <w:rFonts w:ascii="Arial" w:cs="Arial" w:eastAsia="Arial" w:hAnsi="Arial"/>
          <w:sz w:val="21"/>
          <w:szCs w:val="21"/>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53" w:lineRule="exact"/>
        <w:rPr>
          <w:sz w:val="20"/>
          <w:szCs w:val="20"/>
          <w:color w:val="auto"/>
        </w:rPr>
      </w:pPr>
    </w:p>
    <w:p>
      <w:pPr>
        <w:ind w:firstLine="644"/>
        <w:spacing w:after="0" w:line="288" w:lineRule="auto"/>
        <w:tabs>
          <w:tab w:leader="none" w:pos="962"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96" w:lineRule="exact"/>
        <w:rPr>
          <w:rFonts w:ascii="Arial" w:cs="Arial" w:eastAsia="Arial" w:hAnsi="Arial"/>
          <w:sz w:val="20"/>
          <w:szCs w:val="20"/>
          <w:color w:val="auto"/>
        </w:rPr>
      </w:pPr>
    </w:p>
    <w:p>
      <w:pPr>
        <w:ind w:left="940" w:hanging="296"/>
        <w:spacing w:after="0"/>
        <w:tabs>
          <w:tab w:leader="none" w:pos="94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the effects of any Bail-In Action on any such liability, including,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349" w:name="page350"/>
    <w:bookmarkEnd w:id="349"/>
    <w:p>
      <w:pPr>
        <w:ind w:left="2160" w:hanging="246"/>
        <w:spacing w:after="0"/>
        <w:tabs>
          <w:tab w:leader="none" w:pos="216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reduction in full or in part or cancellation of any such liability;</w:t>
      </w:r>
    </w:p>
    <w:p>
      <w:pPr>
        <w:spacing w:after="0" w:line="168" w:lineRule="exact"/>
        <w:rPr>
          <w:rFonts w:ascii="Arial" w:cs="Arial" w:eastAsia="Arial" w:hAnsi="Arial"/>
          <w:sz w:val="21"/>
          <w:szCs w:val="21"/>
          <w:color w:val="auto"/>
        </w:rPr>
      </w:pPr>
    </w:p>
    <w:p>
      <w:pPr>
        <w:jc w:val="both"/>
        <w:ind w:left="640" w:firstLine="1274"/>
        <w:spacing w:after="0" w:line="261" w:lineRule="auto"/>
        <w:tabs>
          <w:tab w:leader="none" w:pos="2233" w:val="left"/>
        </w:tabs>
        <w:numPr>
          <w:ilvl w:val="0"/>
          <w:numId w:val="263"/>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37" w:lineRule="exact"/>
        <w:rPr>
          <w:rFonts w:ascii="Arial" w:cs="Arial" w:eastAsia="Arial" w:hAnsi="Arial"/>
          <w:sz w:val="20"/>
          <w:szCs w:val="20"/>
          <w:color w:val="auto"/>
        </w:rPr>
      </w:pPr>
    </w:p>
    <w:p>
      <w:pPr>
        <w:ind w:left="640" w:right="20" w:firstLine="1274"/>
        <w:spacing w:after="0" w:line="263" w:lineRule="auto"/>
        <w:tabs>
          <w:tab w:leader="none" w:pos="228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the variation of the terms of such liability in connection with the exercise of the write-down and conversion powers of any EEA Resolution Authority.</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 xml:space="preserve">Section 9.21. </w:t>
      </w:r>
      <w:r>
        <w:rPr>
          <w:rFonts w:ascii="Arial" w:cs="Arial" w:eastAsia="Arial" w:hAnsi="Arial"/>
          <w:sz w:val="21"/>
          <w:szCs w:val="21"/>
          <w:i w:val="1"/>
          <w:iCs w:val="1"/>
          <w:u w:val="single" w:color="auto"/>
          <w:color w:val="0000FF"/>
        </w:rPr>
        <w:t>Certain ERISA Matters</w:t>
      </w:r>
      <w:r>
        <w:rPr>
          <w:rFonts w:ascii="Arial" w:cs="Arial" w:eastAsia="Arial" w:hAnsi="Arial"/>
          <w:sz w:val="21"/>
          <w:szCs w:val="21"/>
          <w:u w:val="single" w:color="auto"/>
          <w:color w:val="0000FF"/>
        </w:rPr>
        <w: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0000FF"/>
        </w:rPr>
        <w:t>(a) Each Lender (x) represents and warrants, as of the date such Person</w:t>
      </w:r>
    </w:p>
    <w:p>
      <w:pPr>
        <w:spacing w:after="0" w:line="18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u w:val="single" w:color="auto"/>
          <w:color w:val="0000FF"/>
        </w:rPr>
        <w:t>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at least one of the following is and will be true:</w:t>
      </w:r>
    </w:p>
    <w:p>
      <w:pPr>
        <w:spacing w:after="0" w:line="138" w:lineRule="exact"/>
        <w:rPr>
          <w:sz w:val="20"/>
          <w:szCs w:val="20"/>
          <w:color w:val="auto"/>
        </w:rPr>
      </w:pPr>
    </w:p>
    <w:p>
      <w:pPr>
        <w:jc w:val="both"/>
        <w:ind w:left="640" w:firstLine="639"/>
        <w:spacing w:after="0" w:line="250" w:lineRule="auto"/>
        <w:tabs>
          <w:tab w:leader="none" w:pos="1541" w:val="left"/>
        </w:tabs>
        <w:numPr>
          <w:ilvl w:val="0"/>
          <w:numId w:val="264"/>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such Lender is not using “plan assets” (within the meaning of 29 CFR § 2510.3-101, as modified by Section 3(42) of ERISA) of one or more Benefit Plans in connection with the Loans, the Letters of Credit or the Commitments,</w:t>
      </w:r>
    </w:p>
    <w:p>
      <w:pPr>
        <w:spacing w:after="0" w:line="131" w:lineRule="exact"/>
        <w:rPr>
          <w:rFonts w:ascii="Arial" w:cs="Arial" w:eastAsia="Arial" w:hAnsi="Arial"/>
          <w:sz w:val="21"/>
          <w:szCs w:val="21"/>
          <w:u w:val="single" w:color="auto"/>
          <w:color w:val="0000FF"/>
        </w:rPr>
      </w:pPr>
    </w:p>
    <w:p>
      <w:pPr>
        <w:jc w:val="both"/>
        <w:ind w:left="640" w:firstLine="639"/>
        <w:spacing w:after="0" w:line="266" w:lineRule="auto"/>
        <w:tabs>
          <w:tab w:leader="none" w:pos="1600" w:val="left"/>
        </w:tabs>
        <w:numPr>
          <w:ilvl w:val="0"/>
          <w:numId w:val="26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91 -38 (a class</w:t>
      </w:r>
    </w:p>
    <w:p>
      <w:pPr>
        <w:spacing w:after="0" w:line="2" w:lineRule="exact"/>
        <w:rPr>
          <w:sz w:val="20"/>
          <w:szCs w:val="20"/>
          <w:color w:val="auto"/>
        </w:rPr>
      </w:pPr>
    </w:p>
    <w:p>
      <w:pPr>
        <w:jc w:val="both"/>
        <w:ind w:left="640"/>
        <w:spacing w:after="0" w:line="239" w:lineRule="auto"/>
        <w:rPr>
          <w:sz w:val="20"/>
          <w:szCs w:val="20"/>
          <w:color w:val="auto"/>
        </w:rPr>
      </w:pPr>
      <w:r>
        <w:rPr>
          <w:rFonts w:ascii="Arial" w:cs="Arial" w:eastAsia="Arial" w:hAnsi="Arial"/>
          <w:sz w:val="21"/>
          <w:szCs w:val="21"/>
          <w:u w:val="single" w:color="auto"/>
          <w:color w:val="0000FF"/>
        </w:rPr>
        <w:t>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8" w:lineRule="exact"/>
        <w:rPr>
          <w:sz w:val="20"/>
          <w:szCs w:val="20"/>
          <w:color w:val="auto"/>
        </w:rPr>
      </w:pPr>
    </w:p>
    <w:p>
      <w:pPr>
        <w:jc w:val="both"/>
        <w:ind w:left="640" w:firstLine="639"/>
        <w:spacing w:after="0" w:line="270" w:lineRule="auto"/>
        <w:tabs>
          <w:tab w:leader="none" w:pos="1645" w:val="left"/>
        </w:tabs>
        <w:numPr>
          <w:ilvl w:val="0"/>
          <w:numId w:val="265"/>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50" w:name="page351"/>
    <w:bookmarkEnd w:id="350"/>
    <w:p>
      <w:pPr>
        <w:ind w:left="640"/>
        <w:spacing w:after="0" w:line="263" w:lineRule="auto"/>
        <w:rPr>
          <w:sz w:val="20"/>
          <w:szCs w:val="20"/>
          <w:color w:val="auto"/>
        </w:rPr>
      </w:pPr>
      <w:r>
        <w:rPr>
          <w:rFonts w:ascii="Arial" w:cs="Arial" w:eastAsia="Arial" w:hAnsi="Arial"/>
          <w:sz w:val="21"/>
          <w:szCs w:val="21"/>
          <w:u w:val="single" w:color="auto"/>
          <w:color w:val="0000FF"/>
        </w:rPr>
        <w:t>participation in, administration of and performance of the Loans, the Letters of Credit, the Commitments and this Agreement, or</w:t>
      </w:r>
    </w:p>
    <w:p>
      <w:pPr>
        <w:spacing w:after="0" w:line="132" w:lineRule="exact"/>
        <w:rPr>
          <w:sz w:val="20"/>
          <w:szCs w:val="20"/>
          <w:color w:val="auto"/>
        </w:rPr>
      </w:pPr>
    </w:p>
    <w:p>
      <w:pPr>
        <w:ind w:left="640" w:firstLine="635"/>
        <w:spacing w:after="0" w:line="263" w:lineRule="auto"/>
        <w:rPr>
          <w:sz w:val="20"/>
          <w:szCs w:val="20"/>
          <w:color w:val="auto"/>
        </w:rPr>
      </w:pPr>
      <w:r>
        <w:rPr>
          <w:rFonts w:ascii="Arial" w:cs="Arial" w:eastAsia="Arial" w:hAnsi="Arial"/>
          <w:sz w:val="21"/>
          <w:szCs w:val="21"/>
          <w:u w:val="single" w:color="auto"/>
          <w:color w:val="0000FF"/>
        </w:rPr>
        <w:t>(iv) (iv) such other representation, warranty and covenant as may be agreed in writing between the Administrative Agent, in its sole discretion, and such Lender.</w:t>
      </w:r>
    </w:p>
    <w:p>
      <w:pPr>
        <w:spacing w:after="0" w:line="119" w:lineRule="exact"/>
        <w:rPr>
          <w:sz w:val="20"/>
          <w:szCs w:val="20"/>
          <w:color w:val="auto"/>
        </w:rPr>
      </w:pPr>
    </w:p>
    <w:p>
      <w:pPr>
        <w:jc w:val="both"/>
        <w:ind w:firstLine="644"/>
        <w:spacing w:after="0" w:line="241" w:lineRule="auto"/>
        <w:tabs>
          <w:tab w:leader="none" w:pos="948" w:val="left"/>
        </w:tabs>
        <w:numPr>
          <w:ilvl w:val="0"/>
          <w:numId w:val="266"/>
        </w:numPr>
        <w:rPr>
          <w:rFonts w:ascii="Arial" w:cs="Arial" w:eastAsia="Arial" w:hAnsi="Arial"/>
          <w:sz w:val="21"/>
          <w:szCs w:val="21"/>
          <w:color w:val="0000FF"/>
        </w:rPr>
      </w:pPr>
      <w:r>
        <w:rPr>
          <w:rFonts w:ascii="Arial" w:cs="Arial" w:eastAsia="Arial" w:hAnsi="Arial"/>
          <w:sz w:val="21"/>
          <w:szCs w:val="21"/>
          <w:u w:val="single" w:color="auto"/>
          <w:color w:val="0000FF"/>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w:t>
      </w:r>
    </w:p>
    <w:p>
      <w:pPr>
        <w:spacing w:after="0" w:line="141" w:lineRule="exact"/>
        <w:rPr>
          <w:rFonts w:ascii="Arial" w:cs="Arial" w:eastAsia="Arial" w:hAnsi="Arial"/>
          <w:sz w:val="21"/>
          <w:szCs w:val="21"/>
          <w:color w:val="0000FF"/>
        </w:rPr>
      </w:pPr>
    </w:p>
    <w:p>
      <w:pPr>
        <w:jc w:val="both"/>
        <w:ind w:left="640" w:firstLine="1274"/>
        <w:spacing w:after="0" w:line="245" w:lineRule="auto"/>
        <w:tabs>
          <w:tab w:leader="none" w:pos="2162" w:val="left"/>
        </w:tabs>
        <w:numPr>
          <w:ilvl w:val="1"/>
          <w:numId w:val="266"/>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none of the Administrative Agent or the Lead Arranger 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151" w:lineRule="exact"/>
        <w:rPr>
          <w:rFonts w:ascii="Arial" w:cs="Arial" w:eastAsia="Arial" w:hAnsi="Arial"/>
          <w:sz w:val="21"/>
          <w:szCs w:val="21"/>
          <w:u w:val="single" w:color="auto"/>
          <w:color w:val="0000FF"/>
        </w:rPr>
      </w:pPr>
    </w:p>
    <w:p>
      <w:pPr>
        <w:jc w:val="both"/>
        <w:ind w:left="640" w:firstLine="1274"/>
        <w:spacing w:after="0" w:line="275" w:lineRule="auto"/>
        <w:tabs>
          <w:tab w:leader="none" w:pos="2221" w:val="left"/>
        </w:tabs>
        <w:numPr>
          <w:ilvl w:val="1"/>
          <w:numId w:val="26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10" w:lineRule="exact"/>
        <w:rPr>
          <w:rFonts w:ascii="Arial" w:cs="Arial" w:eastAsia="Arial" w:hAnsi="Arial"/>
          <w:sz w:val="19"/>
          <w:szCs w:val="19"/>
          <w:u w:val="single" w:color="auto"/>
          <w:color w:val="0000FF"/>
        </w:rPr>
      </w:pPr>
    </w:p>
    <w:p>
      <w:pPr>
        <w:jc w:val="both"/>
        <w:ind w:left="640" w:firstLine="1274"/>
        <w:spacing w:after="0" w:line="261" w:lineRule="auto"/>
        <w:tabs>
          <w:tab w:leader="none" w:pos="2320" w:val="left"/>
        </w:tabs>
        <w:numPr>
          <w:ilvl w:val="1"/>
          <w:numId w:val="26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24" w:lineRule="exact"/>
        <w:rPr>
          <w:rFonts w:ascii="Arial" w:cs="Arial" w:eastAsia="Arial" w:hAnsi="Arial"/>
          <w:sz w:val="20"/>
          <w:szCs w:val="20"/>
          <w:u w:val="single" w:color="auto"/>
          <w:color w:val="0000FF"/>
        </w:rPr>
      </w:pPr>
    </w:p>
    <w:p>
      <w:pPr>
        <w:jc w:val="both"/>
        <w:ind w:left="640" w:firstLine="1274"/>
        <w:spacing w:after="0" w:line="243" w:lineRule="auto"/>
        <w:tabs>
          <w:tab w:leader="none" w:pos="2308" w:val="left"/>
        </w:tabs>
        <w:numPr>
          <w:ilvl w:val="1"/>
          <w:numId w:val="266"/>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w:t>
      </w:r>
      <w:r>
        <w:rPr>
          <w:rFonts w:ascii="Arial" w:cs="Arial" w:eastAsia="Arial" w:hAnsi="Arial"/>
          <w:sz w:val="21"/>
          <w:szCs w:val="21"/>
          <w:u w:val="single" w:color="auto"/>
          <w:color w:val="000000"/>
        </w:rPr>
        <w:t>g</w:t>
      </w:r>
      <w:r>
        <w:rPr>
          <w:rFonts w:ascii="Arial" w:cs="Arial" w:eastAsia="Arial" w:hAnsi="Arial"/>
          <w:sz w:val="21"/>
          <w:szCs w:val="21"/>
          <w:u w:val="single" w:color="auto"/>
          <w:color w:val="0000FF"/>
        </w:rPr>
        <w:t>reement and is responsible for exercising independent judgment in evaluating the transactions hereunder, and</w:t>
      </w:r>
    </w:p>
    <w:p>
      <w:pPr>
        <w:spacing w:after="0" w:line="153" w:lineRule="exact"/>
        <w:rPr>
          <w:rFonts w:ascii="Arial" w:cs="Arial" w:eastAsia="Arial" w:hAnsi="Arial"/>
          <w:sz w:val="21"/>
          <w:szCs w:val="21"/>
          <w:u w:val="single" w:color="auto"/>
          <w:color w:val="0000FF"/>
        </w:rPr>
      </w:pPr>
    </w:p>
    <w:p>
      <w:pPr>
        <w:ind w:left="640" w:right="20" w:firstLine="1274"/>
        <w:spacing w:after="0" w:line="263" w:lineRule="auto"/>
        <w:tabs>
          <w:tab w:leader="none" w:pos="2236" w:val="left"/>
        </w:tabs>
        <w:numPr>
          <w:ilvl w:val="1"/>
          <w:numId w:val="266"/>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no fee or other compensation is being paid directly to the Administrative Agent or the Lead Arranger or any of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528" w:right="739" w:bottom="1440" w:gutter="0" w:footer="0" w:header="0"/>
        </w:sectPr>
      </w:pPr>
    </w:p>
    <w:bookmarkStart w:id="351" w:name="page352"/>
    <w:bookmarkEnd w:id="351"/>
    <w:p>
      <w:pPr>
        <w:ind w:left="640"/>
        <w:spacing w:after="0" w:line="263" w:lineRule="auto"/>
        <w:rPr>
          <w:sz w:val="20"/>
          <w:szCs w:val="20"/>
          <w:color w:val="auto"/>
        </w:rPr>
      </w:pPr>
      <w:r>
        <w:rPr>
          <w:rFonts w:ascii="Arial" w:cs="Arial" w:eastAsia="Arial" w:hAnsi="Arial"/>
          <w:sz w:val="21"/>
          <w:szCs w:val="21"/>
          <w:u w:val="single" w:color="auto"/>
          <w:color w:val="0000FF"/>
        </w:rPr>
        <w:t>for investment advice (as opposed to other services) in connection with the Loans, the Letters of Credit, the Commitments or this Agreement.</w:t>
      </w:r>
    </w:p>
    <w:p>
      <w:pPr>
        <w:spacing w:after="0" w:line="119" w:lineRule="exact"/>
        <w:rPr>
          <w:sz w:val="20"/>
          <w:szCs w:val="20"/>
          <w:color w:val="auto"/>
        </w:rPr>
      </w:pPr>
    </w:p>
    <w:p>
      <w:pPr>
        <w:jc w:val="both"/>
        <w:ind w:firstLine="644"/>
        <w:spacing w:after="0" w:line="252" w:lineRule="auto"/>
        <w:tabs>
          <w:tab w:leader="none" w:pos="949" w:val="left"/>
        </w:tabs>
        <w:numPr>
          <w:ilvl w:val="0"/>
          <w:numId w:val="267"/>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The Administrative Agent and the Lead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356" w:right="739" w:bottom="1440" w:gutter="0" w:footer="0" w:header="0"/>
        </w:sectPr>
      </w:pPr>
    </w:p>
    <w:bookmarkStart w:id="352" w:name="page353"/>
    <w:bookmarkEnd w:id="352"/>
    <w:p>
      <w:pPr>
        <w:ind w:left="9220"/>
        <w:spacing w:after="0"/>
        <w:rPr>
          <w:sz w:val="20"/>
          <w:szCs w:val="20"/>
          <w:color w:val="auto"/>
        </w:rPr>
      </w:pPr>
      <w:r>
        <w:rPr>
          <w:rFonts w:ascii="Arial" w:cs="Arial" w:eastAsia="Arial" w:hAnsi="Arial"/>
          <w:sz w:val="19"/>
          <w:szCs w:val="19"/>
          <w:b w:val="1"/>
          <w:bCs w:val="1"/>
          <w:color w:val="auto"/>
        </w:rPr>
        <w:t>Exhibit 10.30</w:t>
      </w:r>
    </w:p>
    <w:p>
      <w:pPr>
        <w:spacing w:after="0" w:line="264" w:lineRule="exact"/>
        <w:rPr>
          <w:sz w:val="20"/>
          <w:szCs w:val="20"/>
          <w:color w:val="auto"/>
        </w:rPr>
      </w:pPr>
    </w:p>
    <w:p>
      <w:pPr>
        <w:jc w:val="both"/>
        <w:ind w:firstLine="1270"/>
        <w:spacing w:after="0" w:line="242" w:lineRule="auto"/>
        <w:rPr>
          <w:sz w:val="20"/>
          <w:szCs w:val="20"/>
          <w:color w:val="auto"/>
        </w:rPr>
      </w:pPr>
      <w:r>
        <w:rPr>
          <w:rFonts w:ascii="Arial" w:cs="Arial" w:eastAsia="Arial" w:hAnsi="Arial"/>
          <w:sz w:val="21"/>
          <w:szCs w:val="21"/>
          <w:color w:val="auto"/>
        </w:rPr>
        <w:t>THIRD AMENDMENT (this “Amendment”), dated as of January 5, 2018, to the THIRD AMENDED AND RESTATED LIMITED LIABILITY COMPANY AGREEMENT OF VIRTU FINANCIAL LLC, a Delaware limited liability company (the “Company”), dated as of April 15, 2015, as amended (the “LLC Agreement”), by and among the Company, Virtu Financial, Inc., a Delaware corporation (the “Managing Member”), and the other Persons listed on the signature pages thereto. Capitalized or other terms used and not defined herein shall have the meanings ascribed to them in the LLC Agreement.</w:t>
      </w:r>
    </w:p>
    <w:p>
      <w:pPr>
        <w:spacing w:after="0" w:line="219" w:lineRule="exact"/>
        <w:rPr>
          <w:sz w:val="20"/>
          <w:szCs w:val="20"/>
          <w:color w:val="auto"/>
        </w:rPr>
      </w:pPr>
    </w:p>
    <w:p>
      <w:pPr>
        <w:jc w:val="both"/>
        <w:ind w:firstLine="1270"/>
        <w:spacing w:after="0" w:line="263" w:lineRule="auto"/>
        <w:rPr>
          <w:sz w:val="20"/>
          <w:szCs w:val="20"/>
          <w:color w:val="auto"/>
        </w:rPr>
      </w:pPr>
      <w:r>
        <w:rPr>
          <w:rFonts w:ascii="Arial" w:cs="Arial" w:eastAsia="Arial" w:hAnsi="Arial"/>
          <w:sz w:val="21"/>
          <w:szCs w:val="21"/>
          <w:color w:val="auto"/>
        </w:rPr>
        <w:t>WHEREAS, pursuant to Section 12.10 of the LLC Agreement, subject to certain exceptions, the LLC Agreement can be amended at any time and from time to time by the Managing Member;</w:t>
      </w:r>
    </w:p>
    <w:p>
      <w:pPr>
        <w:spacing w:after="0" w:line="185" w:lineRule="exact"/>
        <w:rPr>
          <w:sz w:val="20"/>
          <w:szCs w:val="20"/>
          <w:color w:val="auto"/>
        </w:rPr>
      </w:pPr>
    </w:p>
    <w:p>
      <w:pPr>
        <w:jc w:val="both"/>
        <w:ind w:firstLine="1270"/>
        <w:spacing w:after="0" w:line="279" w:lineRule="auto"/>
        <w:rPr>
          <w:sz w:val="20"/>
          <w:szCs w:val="20"/>
          <w:color w:val="auto"/>
        </w:rPr>
      </w:pPr>
      <w:r>
        <w:rPr>
          <w:rFonts w:ascii="Arial" w:cs="Arial" w:eastAsia="Arial" w:hAnsi="Arial"/>
          <w:sz w:val="19"/>
          <w:szCs w:val="19"/>
          <w:color w:val="auto"/>
        </w:rPr>
        <w:t>WHEREAS, pursuant to Section 12.10 of the LLC Agreement, no amendment to the LLC Agreement may adversely modify in any material respect the Units (or the rights, preferences or privileges of the Units) then held by any Members in any materially disproportionate manner to those then held by any other Members without the prior written consent of a majority in interest of such disproportionately affected Member or Members (the “</w:t>
      </w:r>
      <w:r>
        <w:rPr>
          <w:rFonts w:ascii="Arial" w:cs="Arial" w:eastAsia="Arial" w:hAnsi="Arial"/>
          <w:sz w:val="19"/>
          <w:szCs w:val="19"/>
          <w:u w:val="single" w:color="auto"/>
          <w:color w:val="auto"/>
        </w:rPr>
        <w:t>Required Interests</w:t>
      </w:r>
      <w:r>
        <w:rPr>
          <w:rFonts w:ascii="Arial" w:cs="Arial" w:eastAsia="Arial" w:hAnsi="Arial"/>
          <w:sz w:val="19"/>
          <w:szCs w:val="19"/>
          <w:color w:val="auto"/>
        </w:rPr>
        <w:t>”);</w:t>
      </w:r>
    </w:p>
    <w:p>
      <w:pPr>
        <w:spacing w:after="0" w:line="148" w:lineRule="exact"/>
        <w:rPr>
          <w:sz w:val="20"/>
          <w:szCs w:val="20"/>
          <w:color w:val="auto"/>
        </w:rPr>
      </w:pPr>
    </w:p>
    <w:p>
      <w:pPr>
        <w:jc w:val="both"/>
        <w:ind w:firstLine="1270"/>
        <w:spacing w:after="0" w:line="250" w:lineRule="auto"/>
        <w:rPr>
          <w:sz w:val="20"/>
          <w:szCs w:val="20"/>
          <w:color w:val="auto"/>
        </w:rPr>
      </w:pPr>
      <w:r>
        <w:rPr>
          <w:rFonts w:ascii="Arial" w:cs="Arial" w:eastAsia="Arial" w:hAnsi="Arial"/>
          <w:sz w:val="21"/>
          <w:szCs w:val="21"/>
          <w:color w:val="auto"/>
        </w:rPr>
        <w:t>WHEREAS, the amendment to the term “Tax Rate” in Section 1.01(a) of the LLC Agreement described in this Amendment could be interpreted as adversely modifying the Units held by Members other than the Managing Member in a materially disproportionate manner to those held by the Managing Member; and</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WHEREAS, TJMT Holdings LLC is the holder of the Required Interests.</w:t>
      </w:r>
    </w:p>
    <w:p>
      <w:pPr>
        <w:spacing w:after="0" w:line="23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NOW, THEREFORE, the LLC Agreement is hereby amended as follows:</w:t>
      </w:r>
    </w:p>
    <w:p>
      <w:pPr>
        <w:spacing w:after="0" w:line="248" w:lineRule="exact"/>
        <w:rPr>
          <w:sz w:val="20"/>
          <w:szCs w:val="20"/>
          <w:color w:val="auto"/>
        </w:rPr>
      </w:pPr>
    </w:p>
    <w:p>
      <w:pPr>
        <w:ind w:left="780" w:hanging="633"/>
        <w:spacing w:after="0" w:line="263" w:lineRule="auto"/>
        <w:tabs>
          <w:tab w:leader="none" w:pos="815" w:val="left"/>
        </w:tabs>
        <w:numPr>
          <w:ilvl w:val="0"/>
          <w:numId w:val="268"/>
        </w:numPr>
        <w:rPr>
          <w:rFonts w:ascii="Arial" w:cs="Arial" w:eastAsia="Arial" w:hAnsi="Arial"/>
          <w:sz w:val="19"/>
          <w:szCs w:val="19"/>
          <w:color w:val="auto"/>
        </w:rPr>
      </w:pPr>
      <w:r>
        <w:rPr>
          <w:rFonts w:ascii="Arial" w:cs="Arial" w:eastAsia="Arial" w:hAnsi="Arial"/>
          <w:sz w:val="21"/>
          <w:szCs w:val="21"/>
          <w:u w:val="single" w:color="auto"/>
          <w:color w:val="auto"/>
        </w:rPr>
        <w:t>Amendments to Section 1.01(a) “Tax Rate”: Section 1.01(a) “Tax Rate</w:t>
      </w:r>
      <w:r>
        <w:rPr>
          <w:rFonts w:ascii="Arial" w:cs="Arial" w:eastAsia="Arial" w:hAnsi="Arial"/>
          <w:sz w:val="21"/>
          <w:szCs w:val="21"/>
          <w:color w:val="auto"/>
        </w:rPr>
        <w:t>” is hereby replaced in its entirety with the following provision:</w:t>
      </w:r>
    </w:p>
    <w:p>
      <w:pPr>
        <w:spacing w:after="0" w:line="159" w:lineRule="exact"/>
        <w:rPr>
          <w:sz w:val="20"/>
          <w:szCs w:val="20"/>
          <w:color w:val="auto"/>
        </w:rPr>
      </w:pPr>
    </w:p>
    <w:p>
      <w:pPr>
        <w:jc w:val="both"/>
        <w:ind w:left="780"/>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Rate</w:t>
      </w:r>
      <w:r>
        <w:rPr>
          <w:rFonts w:ascii="Arial" w:cs="Arial" w:eastAsia="Arial" w:hAnsi="Arial"/>
          <w:sz w:val="21"/>
          <w:szCs w:val="21"/>
          <w:color w:val="auto"/>
        </w:rPr>
        <w:t>” means the highest marginal tax rates for an individual or corporation that is resident in New York City applicable to ordinary income, qualified dividend income or capital gains, as appropriate, taking into account the holding period of the assets disposed of and the year in which the taxable net income is recognized by the Company, and taking into account the deductibility of state and local income taxes as applicable at the time for federal income tax purposes and any limitations thereon including pursuant to Section 68 of the Code, which Tax Rate shall be the same for all Members, except that the Managing Member may in its sole discretion determine to utilize a different Tax Rate for one or more Members, including utilizing the highest marginal tax rate for a corporation that is resident in New York City for purposes of calculating the Tax Distribution Amount for Pubco, notwithstanding that the highest marginal tax rate for an individual resident in New York City may be higher and may be utilized for purposes of calculating the Tax Distribution Amount for Members other than Pubco.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61098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1" w:right="739" w:bottom="1440" w:gutter="0" w:footer="0" w:header="0"/>
        </w:sectPr>
      </w:pPr>
    </w:p>
    <w:bookmarkStart w:id="353" w:name="page354"/>
    <w:bookmarkEnd w:id="353"/>
    <w:p>
      <w:pPr>
        <w:ind w:left="640" w:hanging="631"/>
        <w:spacing w:after="0" w:line="263" w:lineRule="auto"/>
        <w:tabs>
          <w:tab w:leader="none" w:pos="926" w:val="left"/>
        </w:tabs>
        <w:numPr>
          <w:ilvl w:val="0"/>
          <w:numId w:val="269"/>
        </w:numPr>
        <w:rPr>
          <w:rFonts w:ascii="Arial" w:cs="Arial" w:eastAsia="Arial" w:hAnsi="Arial"/>
          <w:sz w:val="19"/>
          <w:szCs w:val="19"/>
          <w:color w:val="auto"/>
        </w:rPr>
      </w:pPr>
      <w:r>
        <w:rPr>
          <w:rFonts w:ascii="Arial" w:cs="Arial" w:eastAsia="Arial" w:hAnsi="Arial"/>
          <w:sz w:val="21"/>
          <w:szCs w:val="21"/>
          <w:u w:val="single" w:color="auto"/>
          <w:color w:val="auto"/>
        </w:rPr>
        <w:t>Amendment to Section 5.03(e)(iv)</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5.03(e)(iv)</w:t>
      </w:r>
      <w:r>
        <w:rPr>
          <w:rFonts w:ascii="Arial" w:cs="Arial" w:eastAsia="Arial" w:hAnsi="Arial"/>
          <w:sz w:val="21"/>
          <w:szCs w:val="21"/>
          <w:color w:val="auto"/>
        </w:rPr>
        <w:t xml:space="preserve"> is hereby replaced in its entirety with the following provision:</w:t>
      </w:r>
    </w:p>
    <w:p>
      <w:pPr>
        <w:spacing w:after="0" w:line="158" w:lineRule="exact"/>
        <w:rPr>
          <w:rFonts w:ascii="Arial" w:cs="Arial" w:eastAsia="Arial" w:hAnsi="Arial"/>
          <w:sz w:val="19"/>
          <w:szCs w:val="19"/>
          <w:color w:val="auto"/>
        </w:rPr>
      </w:pPr>
    </w:p>
    <w:p>
      <w:pPr>
        <w:jc w:val="both"/>
        <w:ind w:left="1280" w:hanging="636"/>
        <w:spacing w:after="0" w:line="255" w:lineRule="auto"/>
        <w:tabs>
          <w:tab w:leader="none" w:pos="1468" w:val="left"/>
        </w:tabs>
        <w:numPr>
          <w:ilvl w:val="1"/>
          <w:numId w:val="269"/>
        </w:numPr>
        <w:rPr>
          <w:rFonts w:ascii="Arial" w:cs="Arial" w:eastAsia="Arial" w:hAnsi="Arial"/>
          <w:sz w:val="20"/>
          <w:szCs w:val="20"/>
          <w:color w:val="auto"/>
        </w:rPr>
      </w:pPr>
      <w:r>
        <w:rPr>
          <w:rFonts w:ascii="Arial" w:cs="Arial" w:eastAsia="Arial" w:hAnsi="Arial"/>
          <w:sz w:val="20"/>
          <w:szCs w:val="20"/>
          <w:color w:val="auto"/>
        </w:rPr>
        <w:t xml:space="preserve">All distributions of Tax Distribution Amounts made to a Member pursuant to </w:t>
      </w:r>
      <w:r>
        <w:rPr>
          <w:rFonts w:ascii="Arial" w:cs="Arial" w:eastAsia="Arial" w:hAnsi="Arial"/>
          <w:sz w:val="20"/>
          <w:szCs w:val="20"/>
          <w:u w:val="single" w:color="auto"/>
          <w:color w:val="auto"/>
        </w:rPr>
        <w:t>Section 5.03(e)</w:t>
      </w:r>
      <w:r>
        <w:rPr>
          <w:rFonts w:ascii="Arial" w:cs="Arial" w:eastAsia="Arial" w:hAnsi="Arial"/>
          <w:sz w:val="20"/>
          <w:szCs w:val="20"/>
          <w:color w:val="auto"/>
        </w:rPr>
        <w:t xml:space="preserve"> shall be treated as advances and shall reduce, as the Managing Member shall determine in its sole judgment, on a dollar for dollar basis, the amount of future distributions (for the avoidance of doubt, not including distributions of other Tax Distribution Amounts) that would otherwise have been paid to such Member, or, if such distributions are not sufficient for that purpose, the proceeds of liquidation otherwise payable to such Member; provided that the Managing Member may in its sole discretion determine which future distribution or distributions to such Member shall be reduced.</w:t>
      </w:r>
    </w:p>
    <w:p>
      <w:pPr>
        <w:spacing w:after="0" w:line="194" w:lineRule="exact"/>
        <w:rPr>
          <w:rFonts w:ascii="Arial" w:cs="Arial" w:eastAsia="Arial" w:hAnsi="Arial"/>
          <w:sz w:val="20"/>
          <w:szCs w:val="20"/>
          <w:color w:val="auto"/>
        </w:rPr>
      </w:pPr>
    </w:p>
    <w:p>
      <w:pPr>
        <w:ind w:left="1300" w:hanging="656"/>
        <w:spacing w:after="0"/>
        <w:tabs>
          <w:tab w:leader="none" w:pos="130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To the extent that an amount otherwise distributable to a Member is reduced pursuant to </w:t>
      </w:r>
      <w:r>
        <w:rPr>
          <w:rFonts w:ascii="Arial" w:cs="Arial" w:eastAsia="Arial" w:hAnsi="Arial"/>
          <w:sz w:val="19"/>
          <w:szCs w:val="19"/>
          <w:u w:val="single" w:color="auto"/>
          <w:color w:val="auto"/>
        </w:rPr>
        <w:t>Section 5.03(e)(iv)</w:t>
      </w:r>
    </w:p>
    <w:p>
      <w:pPr>
        <w:spacing w:after="0" w:line="37" w:lineRule="exact"/>
        <w:rPr>
          <w:rFonts w:ascii="Arial" w:cs="Arial" w:eastAsia="Arial" w:hAnsi="Arial"/>
          <w:sz w:val="19"/>
          <w:szCs w:val="19"/>
          <w:color w:val="auto"/>
        </w:rPr>
      </w:pPr>
    </w:p>
    <w:p>
      <w:pPr>
        <w:ind w:left="1280" w:hanging="1"/>
        <w:spacing w:after="0" w:line="245" w:lineRule="auto"/>
        <w:tabs>
          <w:tab w:leader="none" w:pos="1676" w:val="left"/>
        </w:tabs>
        <w:numPr>
          <w:ilvl w:val="2"/>
          <w:numId w:val="269"/>
        </w:numPr>
        <w:rPr>
          <w:rFonts w:ascii="Arial" w:cs="Arial" w:eastAsia="Arial" w:hAnsi="Arial"/>
          <w:sz w:val="21"/>
          <w:szCs w:val="21"/>
          <w:u w:val="single" w:color="auto"/>
          <w:color w:val="auto"/>
        </w:rPr>
      </w:pPr>
      <w:r>
        <w:rPr>
          <w:rFonts w:ascii="Arial" w:cs="Arial" w:eastAsia="Arial" w:hAnsi="Arial"/>
          <w:sz w:val="21"/>
          <w:szCs w:val="21"/>
          <w:color w:val="auto"/>
        </w:rPr>
        <w:t>above, it shall be treated for all purposes hereof (other than Section 5.03(e)) as if such amount had actually been distributed to such Member pursuant to Section 5.03(b).</w:t>
      </w:r>
    </w:p>
    <w:p>
      <w:pPr>
        <w:spacing w:after="0" w:line="203" w:lineRule="exact"/>
        <w:rPr>
          <w:sz w:val="20"/>
          <w:szCs w:val="20"/>
          <w:color w:val="auto"/>
        </w:rPr>
      </w:pPr>
    </w:p>
    <w:p>
      <w:pPr>
        <w:jc w:val="both"/>
        <w:ind w:firstLine="1270"/>
        <w:spacing w:after="0" w:line="241" w:lineRule="auto"/>
        <w:rPr>
          <w:sz w:val="20"/>
          <w:szCs w:val="20"/>
          <w:color w:val="auto"/>
        </w:rPr>
      </w:pPr>
      <w:r>
        <w:rPr>
          <w:rFonts w:ascii="Arial" w:cs="Arial" w:eastAsia="Arial" w:hAnsi="Arial"/>
          <w:sz w:val="21"/>
          <w:szCs w:val="21"/>
          <w:color w:val="auto"/>
        </w:rPr>
        <w:t>Except as explicitly set forth in this Amendment, the LLC Agreement is and shall be unmodified and remain in full force and effect, and nothing contained in this Amendment shall constitute or be deemed a waiver of any of the rights or obligations of any of the parties thereto. This Amendment shall become effective when executed by each of the signatories hereto and may be executed in one or more counterparts and each such counterpart hereof shall be deemed to be an original instrument but all such counterparts together shall constitute but one agreement. This Amendment shall be governed by, and construed in accordance with, the laws of the State of Delaware, without regard to any conflict of laws rule or principle thereof.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61098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354" w:name="page355"/>
    <w:bookmarkEnd w:id="354"/>
    <w:p>
      <w:pPr>
        <w:spacing w:after="0" w:line="263" w:lineRule="auto"/>
        <w:rPr>
          <w:sz w:val="20"/>
          <w:szCs w:val="20"/>
          <w:color w:val="auto"/>
        </w:rPr>
      </w:pPr>
      <w:r>
        <w:rPr>
          <w:rFonts w:ascii="Arial" w:cs="Arial" w:eastAsia="Arial" w:hAnsi="Arial"/>
          <w:sz w:val="21"/>
          <w:szCs w:val="21"/>
          <w:color w:val="auto"/>
        </w:rPr>
        <w:t>IN WITNESS WHEREOF, the parties hereto have caused this Amendment to be duly executed as of the day and year first written above.</w:t>
      </w:r>
    </w:p>
    <w:p>
      <w:pPr>
        <w:spacing w:after="0" w:line="192"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VIRTU FINANCIAL INC.</w:t>
      </w:r>
    </w:p>
    <w:p>
      <w:pPr>
        <w:spacing w:after="0" w:line="200" w:lineRule="exact"/>
        <w:rPr>
          <w:sz w:val="20"/>
          <w:szCs w:val="20"/>
          <w:color w:val="auto"/>
        </w:rPr>
      </w:pPr>
    </w:p>
    <w:p>
      <w:pPr>
        <w:spacing w:after="0" w:line="279"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11430</wp:posOffset>
            </wp:positionV>
            <wp:extent cx="30746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4"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Name: Joseph Molluso</w:t>
      </w:r>
    </w:p>
    <w:p>
      <w:pPr>
        <w:ind w:left="556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VIRTU FINANCIAL LLC</w:t>
      </w:r>
    </w:p>
    <w:p>
      <w:pPr>
        <w:spacing w:after="0" w:line="200" w:lineRule="exact"/>
        <w:rPr>
          <w:sz w:val="20"/>
          <w:szCs w:val="20"/>
          <w:color w:val="auto"/>
        </w:rPr>
      </w:pPr>
    </w:p>
    <w:p>
      <w:pPr>
        <w:spacing w:after="0" w:line="279"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11430</wp:posOffset>
            </wp:positionV>
            <wp:extent cx="30746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2">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4"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Name: Joseph Molluso</w:t>
      </w:r>
    </w:p>
    <w:p>
      <w:pPr>
        <w:ind w:left="556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49"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TJMT HOLDINGS LLC</w:t>
      </w:r>
    </w:p>
    <w:p>
      <w:pPr>
        <w:spacing w:after="0" w:line="200" w:lineRule="exact"/>
        <w:rPr>
          <w:sz w:val="20"/>
          <w:szCs w:val="20"/>
          <w:color w:val="auto"/>
        </w:rPr>
      </w:pPr>
    </w:p>
    <w:p>
      <w:pPr>
        <w:spacing w:after="0" w:line="279"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By: /s/ Michael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11430</wp:posOffset>
            </wp:positionV>
            <wp:extent cx="30746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3">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4" w:lineRule="exact"/>
        <w:rPr>
          <w:sz w:val="20"/>
          <w:szCs w:val="20"/>
          <w:color w:val="auto"/>
        </w:rPr>
      </w:pPr>
    </w:p>
    <w:p>
      <w:pPr>
        <w:ind w:left="5560"/>
        <w:spacing w:after="0"/>
        <w:rPr>
          <w:sz w:val="20"/>
          <w:szCs w:val="20"/>
          <w:color w:val="auto"/>
        </w:rPr>
      </w:pPr>
      <w:r>
        <w:rPr>
          <w:rFonts w:ascii="Arial" w:cs="Arial" w:eastAsia="Arial" w:hAnsi="Arial"/>
          <w:sz w:val="21"/>
          <w:szCs w:val="21"/>
          <w:color w:val="auto"/>
        </w:rPr>
        <w:t>Name: Michael Viola</w:t>
      </w:r>
    </w:p>
    <w:p>
      <w:pPr>
        <w:ind w:left="5560"/>
        <w:spacing w:after="0"/>
        <w:rPr>
          <w:sz w:val="20"/>
          <w:szCs w:val="20"/>
          <w:color w:val="auto"/>
        </w:rPr>
      </w:pPr>
      <w:r>
        <w:rPr>
          <w:rFonts w:ascii="Arial" w:cs="Arial" w:eastAsia="Arial" w:hAnsi="Arial"/>
          <w:sz w:val="21"/>
          <w:szCs w:val="21"/>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907415</wp:posOffset>
            </wp:positionV>
            <wp:extent cx="661098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60"/>
          </w:cols>
          <w:pgMar w:left="740" w:top="118" w:right="799" w:bottom="1440" w:gutter="0" w:footer="0" w:header="0"/>
        </w:sectPr>
      </w:pPr>
    </w:p>
    <w:bookmarkStart w:id="355" w:name="page356"/>
    <w:bookmarkEnd w:id="355"/>
    <w:p>
      <w:pPr>
        <w:jc w:val="right"/>
        <w:spacing w:after="0"/>
        <w:rPr>
          <w:sz w:val="20"/>
          <w:szCs w:val="20"/>
          <w:color w:val="auto"/>
        </w:rPr>
      </w:pPr>
      <w:r>
        <w:rPr>
          <w:rFonts w:ascii="Arial" w:cs="Arial" w:eastAsia="Arial" w:hAnsi="Arial"/>
          <w:sz w:val="19"/>
          <w:szCs w:val="19"/>
          <w:b w:val="1"/>
          <w:bCs w:val="1"/>
          <w:color w:val="auto"/>
        </w:rPr>
        <w:t>Exhibit 10.4</w:t>
      </w:r>
    </w:p>
    <w:p>
      <w:pPr>
        <w:spacing w:after="0" w:line="223" w:lineRule="exact"/>
        <w:rPr>
          <w:sz w:val="20"/>
          <w:szCs w:val="20"/>
          <w:color w:val="auto"/>
        </w:rPr>
      </w:pPr>
    </w:p>
    <w:p>
      <w:pPr>
        <w:ind w:left="9060"/>
        <w:spacing w:after="0"/>
        <w:rPr>
          <w:sz w:val="20"/>
          <w:szCs w:val="20"/>
          <w:color w:val="auto"/>
        </w:rPr>
      </w:pPr>
      <w:r>
        <w:rPr>
          <w:rFonts w:ascii="Arial" w:cs="Arial" w:eastAsia="Arial" w:hAnsi="Arial"/>
          <w:sz w:val="17"/>
          <w:szCs w:val="17"/>
          <w:color w:val="auto"/>
        </w:rPr>
        <w:t>Execution Copy</w:t>
      </w:r>
    </w:p>
    <w:p>
      <w:pPr>
        <w:spacing w:after="0" w:line="268" w:lineRule="exact"/>
        <w:rPr>
          <w:sz w:val="20"/>
          <w:szCs w:val="20"/>
          <w:color w:val="auto"/>
        </w:rPr>
      </w:pPr>
    </w:p>
    <w:p>
      <w:pPr>
        <w:ind w:right="360" w:firstLine="1270"/>
        <w:spacing w:after="0" w:line="262" w:lineRule="auto"/>
        <w:rPr>
          <w:sz w:val="20"/>
          <w:szCs w:val="20"/>
          <w:color w:val="auto"/>
        </w:rPr>
      </w:pPr>
      <w:r>
        <w:rPr>
          <w:rFonts w:ascii="Arial" w:cs="Arial" w:eastAsia="Arial" w:hAnsi="Arial"/>
          <w:sz w:val="19"/>
          <w:szCs w:val="19"/>
          <w:color w:val="auto"/>
        </w:rPr>
        <w:t>AMENDED AND RESTATED EMPLOYMENT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November 15,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Douglas A. Cifu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58" w:lineRule="exact"/>
        <w:rPr>
          <w:sz w:val="20"/>
          <w:szCs w:val="20"/>
          <w:color w:val="auto"/>
        </w:rPr>
      </w:pPr>
    </w:p>
    <w:p>
      <w:pPr>
        <w:ind w:right="340" w:firstLine="1270"/>
        <w:spacing w:after="0" w:line="278" w:lineRule="auto"/>
        <w:rPr>
          <w:sz w:val="20"/>
          <w:szCs w:val="20"/>
          <w:color w:val="auto"/>
        </w:rPr>
      </w:pPr>
      <w:r>
        <w:rPr>
          <w:rFonts w:ascii="Arial" w:cs="Arial" w:eastAsia="Arial" w:hAnsi="Arial"/>
          <w:sz w:val="19"/>
          <w:szCs w:val="19"/>
          <w:color w:val="auto"/>
        </w:rPr>
        <w:t>WHEREAS, the Company and Executive are party to that certain Employment Agreement, dated as of April 15, 2015 (the “</w:t>
      </w:r>
      <w:r>
        <w:rPr>
          <w:rFonts w:ascii="Arial" w:cs="Arial" w:eastAsia="Arial" w:hAnsi="Arial"/>
          <w:sz w:val="19"/>
          <w:szCs w:val="19"/>
          <w:u w:val="single" w:color="auto"/>
          <w:color w:val="auto"/>
        </w:rPr>
        <w:t>Existing Agreement</w:t>
      </w:r>
      <w:r>
        <w:rPr>
          <w:rFonts w:ascii="Arial" w:cs="Arial" w:eastAsia="Arial" w:hAnsi="Arial"/>
          <w:sz w:val="19"/>
          <w:szCs w:val="19"/>
          <w:color w:val="auto"/>
        </w:rPr>
        <w:t>”); and</w:t>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WHEREAS, the Company and Executive desire to amend and restate the Existing Agreement as herein provided;</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and</w:t>
      </w:r>
    </w:p>
    <w:p>
      <w:pPr>
        <w:spacing w:after="0" w:line="189" w:lineRule="exact"/>
        <w:rPr>
          <w:sz w:val="20"/>
          <w:szCs w:val="20"/>
          <w:color w:val="auto"/>
        </w:rPr>
      </w:pPr>
    </w:p>
    <w:p>
      <w:pPr>
        <w:ind w:right="40" w:firstLine="1271"/>
        <w:spacing w:after="0" w:line="257" w:lineRule="auto"/>
        <w:rPr>
          <w:sz w:val="20"/>
          <w:szCs w:val="20"/>
          <w:color w:val="auto"/>
        </w:rPr>
      </w:pPr>
      <w:r>
        <w:rPr>
          <w:rFonts w:ascii="Arial" w:cs="Arial" w:eastAsia="Arial" w:hAnsi="Arial"/>
          <w:sz w:val="19"/>
          <w:szCs w:val="19"/>
          <w:color w:val="auto"/>
        </w:rPr>
        <w:t>WHEREAS, Executive’s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w:t>
      </w:r>
    </w:p>
    <w:p>
      <w:pPr>
        <w:spacing w:after="0" w:line="175" w:lineRule="exact"/>
        <w:rPr>
          <w:sz w:val="20"/>
          <w:szCs w:val="20"/>
          <w:color w:val="auto"/>
        </w:rPr>
      </w:pPr>
    </w:p>
    <w:p>
      <w:pPr>
        <w:ind w:right="260" w:firstLine="1271"/>
        <w:spacing w:after="0" w:line="278"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intending to be legally bound hereby, the parties hereto agree as set forth below:</w:t>
      </w:r>
    </w:p>
    <w:p>
      <w:pPr>
        <w:spacing w:after="0" w:line="155" w:lineRule="exact"/>
        <w:rPr>
          <w:sz w:val="20"/>
          <w:szCs w:val="20"/>
          <w:color w:val="auto"/>
        </w:rPr>
      </w:pPr>
    </w:p>
    <w:p>
      <w:pPr>
        <w:ind w:right="20" w:firstLine="1270"/>
        <w:spacing w:after="0" w:line="281" w:lineRule="auto"/>
        <w:tabs>
          <w:tab w:leader="none" w:pos="1901"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(a) The term of Executive’s employment under this Agreement shall be effective as of the Effective Date, and shall continue until the five (5)-year anniversary of the Effective Date (the “</w:t>
      </w:r>
      <w:r>
        <w:rPr>
          <w:rFonts w:ascii="Arial" w:cs="Arial" w:eastAsia="Arial" w:hAnsi="Arial"/>
          <w:sz w:val="17"/>
          <w:szCs w:val="17"/>
          <w:u w:val="single" w:color="auto"/>
          <w:color w:val="auto"/>
        </w:rPr>
        <w:t>Initial 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w:t>
      </w:r>
      <w:r>
        <w:rPr>
          <w:rFonts w:ascii="Arial" w:cs="Arial" w:eastAsia="Arial" w:hAnsi="Arial"/>
          <w:sz w:val="17"/>
          <w:szCs w:val="17"/>
          <w:u w:val="single" w:color="auto"/>
          <w:color w:val="auto"/>
        </w:rPr>
        <w:t>Term</w:t>
      </w:r>
      <w:r>
        <w:rPr>
          <w:rFonts w:ascii="Arial" w:cs="Arial" w:eastAsia="Arial" w:hAnsi="Arial"/>
          <w:sz w:val="17"/>
          <w:szCs w:val="17"/>
          <w:color w:val="auto"/>
        </w:rPr>
        <w:t>”; and the date on which the Term is scheduled to expire (</w:t>
      </w:r>
      <w:r>
        <w:rPr>
          <w:rFonts w:ascii="Arial" w:cs="Arial" w:eastAsia="Arial" w:hAnsi="Arial"/>
          <w:sz w:val="17"/>
          <w:szCs w:val="17"/>
          <w:u w:val="single" w:color="auto"/>
          <w:color w:val="auto"/>
        </w:rPr>
        <w:t>i.e</w:t>
      </w:r>
      <w:r>
        <w:rPr>
          <w:rFonts w:ascii="Arial" w:cs="Arial" w:eastAsia="Arial" w:hAnsi="Arial"/>
          <w:sz w:val="17"/>
          <w:szCs w:val="17"/>
          <w:color w:val="auto"/>
        </w:rPr>
        <w:t>., the Initial Expiration Date or the scheduled expiration of the extended term, if applicable) is herein referred to as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Notwithstanding anything contained herein to the contrary, if upon the effective date of a Change in Control, the Expiration Date is less than two (2) years from the date of such Change in Control, the Term shall automatically be renewed so that the Expiration Date is two (2) years from the effective date of such Change in Control.</w:t>
      </w:r>
    </w:p>
    <w:p>
      <w:pPr>
        <w:spacing w:after="0" w:line="160" w:lineRule="exact"/>
        <w:rPr>
          <w:sz w:val="20"/>
          <w:szCs w:val="20"/>
          <w:color w:val="auto"/>
        </w:rPr>
      </w:pPr>
    </w:p>
    <w:p>
      <w:pPr>
        <w:ind w:firstLine="1269"/>
        <w:spacing w:after="0" w:line="250" w:lineRule="auto"/>
        <w:tabs>
          <w:tab w:leader="none" w:pos="1933" w:val="left"/>
        </w:tabs>
        <w:numPr>
          <w:ilvl w:val="0"/>
          <w:numId w:val="271"/>
        </w:numPr>
        <w:rPr>
          <w:rFonts w:ascii="Arial" w:cs="Arial" w:eastAsia="Arial" w:hAnsi="Arial"/>
          <w:sz w:val="19"/>
          <w:szCs w:val="19"/>
          <w:color w:val="auto"/>
        </w:rPr>
      </w:pPr>
      <w:r>
        <w:rPr>
          <w:rFonts w:ascii="Arial" w:cs="Arial" w:eastAsia="Arial" w:hAnsi="Arial"/>
          <w:sz w:val="19"/>
          <w:szCs w:val="19"/>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272415</wp:posOffset>
            </wp:positionV>
            <wp:extent cx="661098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20"/>
          </w:cols>
          <w:pgMar w:left="840" w:top="118" w:right="739" w:bottom="1440" w:gutter="0" w:footer="0" w:header="0"/>
        </w:sectPr>
      </w:pPr>
    </w:p>
    <w:bookmarkStart w:id="356" w:name="page357"/>
    <w:bookmarkEnd w:id="356"/>
    <w:p>
      <w:pPr>
        <w:ind w:right="1000" w:firstLine="1270"/>
        <w:spacing w:after="0" w:line="278" w:lineRule="auto"/>
        <w:tabs>
          <w:tab w:leader="none" w:pos="1901" w:val="left"/>
        </w:tabs>
        <w:numPr>
          <w:ilvl w:val="0"/>
          <w:numId w:val="272"/>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 the following terms, as used herein, shall have the definitions set forth below.</w:t>
      </w:r>
    </w:p>
    <w:p>
      <w:pPr>
        <w:spacing w:after="0" w:line="142" w:lineRule="exact"/>
        <w:rPr>
          <w:sz w:val="20"/>
          <w:szCs w:val="20"/>
          <w:color w:val="auto"/>
        </w:rPr>
      </w:pPr>
    </w:p>
    <w:p>
      <w:pPr>
        <w:jc w:val="both"/>
        <w:ind w:firstLine="1270"/>
        <w:spacing w:after="0" w:line="257" w:lineRule="auto"/>
        <w:tabs>
          <w:tab w:leader="none" w:pos="1922"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specified Person, any other Person that directly or indirectly, through one or more intermediaries, Controls, is Controlled by, or is under common Control with, such specified Person;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any entity Controlled by Vincent Viola but in which the Company does not have a direct or indirect ownership interest be treated as an Affiliate of the Company.</w:t>
      </w:r>
    </w:p>
    <w:p>
      <w:pPr>
        <w:spacing w:after="0" w:line="188" w:lineRule="exact"/>
        <w:rPr>
          <w:rFonts w:ascii="Arial" w:cs="Arial" w:eastAsia="Arial" w:hAnsi="Arial"/>
          <w:sz w:val="19"/>
          <w:szCs w:val="19"/>
          <w:color w:val="auto"/>
        </w:rPr>
      </w:pPr>
    </w:p>
    <w:p>
      <w:pPr>
        <w:ind w:left="1940" w:hanging="670"/>
        <w:spacing w:after="0"/>
        <w:tabs>
          <w:tab w:leader="none" w:pos="1940"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has the meaning set forth in the Plan.</w:t>
      </w:r>
    </w:p>
    <w:p>
      <w:pPr>
        <w:spacing w:after="0" w:line="204" w:lineRule="exact"/>
        <w:rPr>
          <w:rFonts w:ascii="Arial" w:cs="Arial" w:eastAsia="Arial" w:hAnsi="Arial"/>
          <w:sz w:val="19"/>
          <w:szCs w:val="19"/>
          <w:color w:val="auto"/>
        </w:rPr>
      </w:pPr>
    </w:p>
    <w:p>
      <w:pPr>
        <w:ind w:firstLine="1270"/>
        <w:spacing w:after="0" w:line="277" w:lineRule="auto"/>
        <w:tabs>
          <w:tab w:leader="none" w:pos="192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means (i) Executive’s willful engagement in illegal conduct or gross misconduct that is materially and demonstrably injurious to the Company, which action is not cured (if curable) within thirty (30) days after a written demand for substantial performance is received by Executive from the Company that specifically identifies in reasonable detail the action(s) that it believes Executive has engaged in and the related effect on the Company; (ii) conviction of (by a court of competent jurisdiction), or entry of a plea of guilty or no contest by, Executive with respect to, a felony of which fraud or dishonesty is a material element or which involves a violation of securities laws or the rules and regulations of a self-regulatory organization applicable to Executive in connection with his position at the Company; or (iii) the willful and material breach of this Agreement or any Noncompetition Restrictions (as defined below) by Executive which breach is not cured (if curable) within thirty (30) days after a written notice from the Company that specifically identifies in reasonable detail the willful and material breach. Any act, or failure to act, based upon authority given pursuant to a resolution duly adopted by the Board or upon the instructions of the Board or reasonably based upon the advice of outside counsel for the Company shall be conclusively presumed to be done, or omitted to be done, by Executive in good faith and in the best interests of the Company and, for the purposes of clauses (i) and (iii) of the preceding sentence, no act or failure to act on the part of Executive shall be considered “willful,” so long as Executive reasonably believed that such action, or failure to act, was in the best interests of the Company. Cause shall not exist unless and until (A) the Board has delivered to Executive written notice (a “</w:t>
      </w:r>
      <w:r>
        <w:rPr>
          <w:rFonts w:ascii="Arial" w:cs="Arial" w:eastAsia="Arial" w:hAnsi="Arial"/>
          <w:sz w:val="17"/>
          <w:szCs w:val="17"/>
          <w:u w:val="single" w:color="auto"/>
          <w:color w:val="auto"/>
        </w:rPr>
        <w:t>Removal Notice</w:t>
      </w:r>
      <w:r>
        <w:rPr>
          <w:rFonts w:ascii="Arial" w:cs="Arial" w:eastAsia="Arial" w:hAnsi="Arial"/>
          <w:sz w:val="17"/>
          <w:szCs w:val="17"/>
          <w:color w:val="auto"/>
        </w:rPr>
        <w:t>”) that (x) indicates the specific provision of the definition of “Cause”</w:t>
      </w:r>
    </w:p>
    <w:p>
      <w:pPr>
        <w:spacing w:after="0" w:line="5" w:lineRule="exact"/>
        <w:rPr>
          <w:rFonts w:ascii="Arial" w:cs="Arial" w:eastAsia="Arial" w:hAnsi="Arial"/>
          <w:sz w:val="17"/>
          <w:szCs w:val="17"/>
          <w:color w:val="auto"/>
        </w:rPr>
      </w:pPr>
    </w:p>
    <w:p>
      <w:pPr>
        <w:spacing w:after="0" w:line="264" w:lineRule="auto"/>
        <w:rPr>
          <w:rFonts w:ascii="Arial" w:cs="Arial" w:eastAsia="Arial" w:hAnsi="Arial"/>
          <w:sz w:val="17"/>
          <w:szCs w:val="17"/>
          <w:color w:val="auto"/>
        </w:rPr>
      </w:pPr>
      <w:r>
        <w:rPr>
          <w:rFonts w:ascii="Arial" w:cs="Arial" w:eastAsia="Arial" w:hAnsi="Arial"/>
          <w:sz w:val="18"/>
          <w:szCs w:val="18"/>
          <w:color w:val="auto"/>
        </w:rPr>
        <w:t>relied upon, (y) sets forth in reasonable detail the facts and circumstances claimed to provide a basis for Cause under the provision so indicated and (z) includes a copy of a resolution duly adopted by a majority of the Board (excluding Executive) at a meeting of the Board called and held for such purpose (after reasonable notice to Executive and an opportunity for Executive, together with counsel, to be heard before the Board), finding that, in the opinion of the Board, Cause has occurred and setting forth in reasonable detail the facts and circumstances thereof and (B) Executive has been afforded the right to cure (if curable) any such action in accordance with clauses (i) or (iii) of the definition of Cause, as applicable. A removal of Executive for Cause shall be effective only if the Board delivers to Exec utive a Removal Notice within ninety (90) days after the Company first learns of the existence of the circumstances giving rise to Cause if, and only if, a reasonable Person could have determined that Cause exists upon learning of the circumstances that the Company was actually aware of at such time.</w:t>
      </w:r>
    </w:p>
    <w:p>
      <w:pPr>
        <w:spacing w:after="0" w:line="170" w:lineRule="exact"/>
        <w:rPr>
          <w:rFonts w:ascii="Arial" w:cs="Arial" w:eastAsia="Arial" w:hAnsi="Arial"/>
          <w:sz w:val="17"/>
          <w:szCs w:val="17"/>
          <w:color w:val="auto"/>
        </w:rPr>
      </w:pPr>
    </w:p>
    <w:p>
      <w:pPr>
        <w:ind w:right="20" w:firstLine="1270"/>
        <w:spacing w:after="0" w:line="283" w:lineRule="auto"/>
        <w:tabs>
          <w:tab w:leader="none" w:pos="193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w:t>
      </w:r>
      <w:r>
        <w:rPr>
          <w:rFonts w:ascii="Arial" w:cs="Arial" w:eastAsia="Arial" w:hAnsi="Arial"/>
          <w:sz w:val="18"/>
          <w:szCs w:val="18"/>
          <w:color w:val="auto"/>
        </w:rPr>
        <w:t>”), as used with respect to any Person, means the direct or indirect possession of the power to direct or cause the direction of the management or policies of such Person, whether through the ownership of voting securities or by contract.</w:t>
      </w:r>
    </w:p>
    <w:p>
      <w:pPr>
        <w:spacing w:after="0" w:line="154" w:lineRule="exact"/>
        <w:rPr>
          <w:rFonts w:ascii="Arial" w:cs="Arial" w:eastAsia="Arial" w:hAnsi="Arial"/>
          <w:sz w:val="18"/>
          <w:szCs w:val="18"/>
          <w:color w:val="auto"/>
        </w:rPr>
      </w:pPr>
    </w:p>
    <w:p>
      <w:pPr>
        <w:jc w:val="both"/>
        <w:ind w:right="20" w:firstLine="1270"/>
        <w:spacing w:after="0" w:line="257" w:lineRule="auto"/>
        <w:tabs>
          <w:tab w:leader="none" w:pos="1922" w:val="left"/>
        </w:tabs>
        <w:numPr>
          <w:ilvl w:val="0"/>
          <w:numId w:val="2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Executive would be entitled to long-term disability benefits under the Company’s long-term disability plan as in effect from time to time, without regard to any waiting or elimination period under such plan and assuming for the purpose of such determination that Executive is actually participating in such plan at such time. If the Company does not maintain a long-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00"/>
          </w:cols>
          <w:pgMar w:left="840" w:top="427" w:right="759" w:bottom="1440" w:gutter="0" w:footer="0" w:header="0"/>
        </w:sectPr>
      </w:pPr>
    </w:p>
    <w:bookmarkStart w:id="357" w:name="page358"/>
    <w:bookmarkEnd w:id="357"/>
    <w:p>
      <w:pPr>
        <w:ind w:right="120"/>
        <w:spacing w:after="0" w:line="257" w:lineRule="auto"/>
        <w:rPr>
          <w:sz w:val="20"/>
          <w:szCs w:val="20"/>
          <w:color w:val="auto"/>
        </w:rPr>
      </w:pPr>
      <w:r>
        <w:rPr>
          <w:rFonts w:ascii="Arial" w:cs="Arial" w:eastAsia="Arial" w:hAnsi="Arial"/>
          <w:sz w:val="19"/>
          <w:szCs w:val="19"/>
          <w:color w:val="auto"/>
        </w:rPr>
        <w:t>term disability plan, “Disability” means Executive’s inability to perform Executive’s duties and responsibilities hereunder on a full-time basis for a consecutive period of one hundred eighty (180) days in any three hundred sixty-five (365)-day period due to physical or mental illness or incapacity that is determined to be total and permanent by a physician selected by the Company or its insurers and reasonably acceptable to the Executive or his legal representative.</w:t>
      </w:r>
    </w:p>
    <w:p>
      <w:pPr>
        <w:spacing w:after="0" w:line="175" w:lineRule="exact"/>
        <w:rPr>
          <w:sz w:val="20"/>
          <w:szCs w:val="20"/>
          <w:color w:val="auto"/>
        </w:rPr>
      </w:pPr>
    </w:p>
    <w:p>
      <w:pPr>
        <w:ind w:firstLine="1270"/>
        <w:spacing w:after="0" w:line="261" w:lineRule="auto"/>
        <w:tabs>
          <w:tab w:leader="none" w:pos="190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means the termination of Executive’s employment at his initiative after, without Executive’s prior written consent, one (1) or more of the following events: (i) a reduction in the Base Salary, or the uncured failure by the Company to fulfill its obligations under this Agreement within thirty (30) days after written notice thereof from Executive to the Company; (ii) the failure to elect Executive to or the removal of Executive (other than for Cause) from any of the positions described in Section 3; any material diminution or adverse change in the duties, authority, responsibilities, or positions of Executive from those contemplated by Section 3(a); any attempt to remove Executive from any executive management position in a manner contrary to this Agreement or the Company’s then effective Certificate of Incorporation or By-Laws; (iii) the assignment to Executive of duties or responsibilities which are materially inconsistent with or different from those contemplated by Section 3(a) or requiring Executive to report to an officer or employee instead of the Board; (iv) the Company’s requiring Executive to be based at a location in excess of fifty (50) miles from the location of Executive’s principal job location or office specified in Section 3(b), except for required travel on the Company’s business to an extent substantially consistent with Executive’s position; or (v) the failure of the Company to obtain the assumption in writing of its obligation to perform this Agreement by any successor to all or substantially all of the assets or business of the Company after a merger, consolidation, sale, or similar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prior to resigning for Good Reason, Executive shall give written notice to the Company of the facts and circumstances claimed to provide a basis for such resignation not more than sixty (60) days following his knowledge of such</w:t>
      </w:r>
    </w:p>
    <w:p>
      <w:pPr>
        <w:spacing w:after="0" w:line="12" w:lineRule="exact"/>
        <w:rPr>
          <w:rFonts w:ascii="Arial" w:cs="Arial" w:eastAsia="Arial" w:hAnsi="Arial"/>
          <w:sz w:val="18"/>
          <w:szCs w:val="18"/>
          <w:color w:val="auto"/>
        </w:rPr>
      </w:pPr>
    </w:p>
    <w:p>
      <w:pPr>
        <w:jc w:val="both"/>
        <w:ind w:right="1040"/>
        <w:spacing w:after="0" w:line="260" w:lineRule="auto"/>
        <w:rPr>
          <w:rFonts w:ascii="Arial" w:cs="Arial" w:eastAsia="Arial" w:hAnsi="Arial"/>
          <w:sz w:val="18"/>
          <w:szCs w:val="18"/>
          <w:color w:val="auto"/>
        </w:rPr>
      </w:pPr>
      <w:r>
        <w:rPr>
          <w:rFonts w:ascii="Arial" w:cs="Arial" w:eastAsia="Arial" w:hAnsi="Arial"/>
          <w:sz w:val="18"/>
          <w:szCs w:val="18"/>
          <w:color w:val="auto"/>
        </w:rPr>
        <w:t>facts and circumstances, and the Company shall have thirty (30) days after receipt of such notice to cure such facts and circumstances (and if so cured then Executive shall not be permitted to resign for Good Reason in respect thereof). Any termination of employment by Executive for Good Reason shall be communicated to the Company by</w:t>
      </w:r>
    </w:p>
    <w:p>
      <w:pPr>
        <w:spacing w:after="0" w:line="1" w:lineRule="exact"/>
        <w:rPr>
          <w:rFonts w:ascii="Arial" w:cs="Arial" w:eastAsia="Arial" w:hAnsi="Arial"/>
          <w:sz w:val="18"/>
          <w:szCs w:val="18"/>
          <w:color w:val="auto"/>
        </w:rPr>
      </w:pPr>
    </w:p>
    <w:p>
      <w:pPr>
        <w:ind w:right="560"/>
        <w:spacing w:after="0" w:line="260" w:lineRule="auto"/>
        <w:rPr>
          <w:rFonts w:ascii="Arial" w:cs="Arial" w:eastAsia="Arial" w:hAnsi="Arial"/>
          <w:sz w:val="18"/>
          <w:szCs w:val="18"/>
          <w:color w:val="auto"/>
        </w:rPr>
      </w:pPr>
      <w:r>
        <w:rPr>
          <w:rFonts w:ascii="Arial" w:cs="Arial" w:eastAsia="Arial" w:hAnsi="Arial"/>
          <w:sz w:val="19"/>
          <w:szCs w:val="19"/>
          <w:color w:val="auto"/>
        </w:rPr>
        <w:t>written notice, which shall include Executive’s date of termination of employment (which, except as set forth in the preceding sentence, shall be a date not later than thirty (30) days after delivery of such notice).</w:t>
      </w:r>
    </w:p>
    <w:p>
      <w:pPr>
        <w:spacing w:after="0" w:line="158" w:lineRule="exact"/>
        <w:rPr>
          <w:rFonts w:ascii="Arial" w:cs="Arial" w:eastAsia="Arial" w:hAnsi="Arial"/>
          <w:sz w:val="18"/>
          <w:szCs w:val="18"/>
          <w:color w:val="auto"/>
        </w:rPr>
      </w:pPr>
    </w:p>
    <w:p>
      <w:pPr>
        <w:ind w:right="20" w:firstLine="1270"/>
        <w:spacing w:after="0" w:line="306" w:lineRule="auto"/>
        <w:tabs>
          <w:tab w:leader="none" w:pos="193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national, state, county, local, municipal or other government or any court of competent jurisdiction, administrative agency or commission or other governmental authority or instrumentality.</w:t>
      </w:r>
    </w:p>
    <w:p>
      <w:pPr>
        <w:spacing w:after="0" w:line="146" w:lineRule="exact"/>
        <w:rPr>
          <w:rFonts w:ascii="Arial" w:cs="Arial" w:eastAsia="Arial" w:hAnsi="Arial"/>
          <w:sz w:val="18"/>
          <w:szCs w:val="18"/>
          <w:color w:val="auto"/>
        </w:rPr>
      </w:pPr>
    </w:p>
    <w:p>
      <w:pPr>
        <w:ind w:right="660" w:firstLine="1270"/>
        <w:spacing w:after="0" w:line="278" w:lineRule="auto"/>
        <w:tabs>
          <w:tab w:leader="none" w:pos="1933" w:val="left"/>
        </w:tabs>
        <w:numPr>
          <w:ilvl w:val="0"/>
          <w:numId w:val="2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firm, corporation, partnership, limited liability company, trust, joint venture, association, unincorporated entity or other entity.</w:t>
      </w:r>
    </w:p>
    <w:p>
      <w:pPr>
        <w:spacing w:after="0" w:line="142" w:lineRule="exact"/>
        <w:rPr>
          <w:rFonts w:ascii="Arial" w:cs="Arial" w:eastAsia="Arial" w:hAnsi="Arial"/>
          <w:sz w:val="19"/>
          <w:szCs w:val="19"/>
          <w:color w:val="auto"/>
        </w:rPr>
      </w:pPr>
    </w:p>
    <w:p>
      <w:pPr>
        <w:ind w:left="1940" w:hanging="670"/>
        <w:spacing w:after="0"/>
        <w:tabs>
          <w:tab w:leader="none" w:pos="194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the Virtu Financial, Inc. Amended and Restated 2015 Management Incentive Plan.</w:t>
      </w:r>
    </w:p>
    <w:p>
      <w:pPr>
        <w:spacing w:after="0" w:line="231" w:lineRule="exact"/>
        <w:rPr>
          <w:sz w:val="20"/>
          <w:szCs w:val="20"/>
          <w:color w:val="auto"/>
        </w:rPr>
      </w:pPr>
    </w:p>
    <w:p>
      <w:pPr>
        <w:ind w:right="140" w:firstLine="1270"/>
        <w:spacing w:after="0" w:line="280" w:lineRule="auto"/>
        <w:tabs>
          <w:tab w:leader="none" w:pos="1901"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Duties and Responsibilities</w:t>
      </w:r>
      <w:r>
        <w:rPr>
          <w:rFonts w:ascii="Arial" w:cs="Arial" w:eastAsia="Arial" w:hAnsi="Arial"/>
          <w:sz w:val="17"/>
          <w:szCs w:val="17"/>
          <w:color w:val="auto"/>
        </w:rPr>
        <w:t xml:space="preserve">. (a) The Company hereby employs Executive and Executive hereby accepts employment, subject to the terms and conditions contained herein, during the Term, as Chief Executive Officer. During the Term, Executive agrees to be employed by and devote substantially all of Executive’s business time and attention to the Company and the promotion of its interests and to use his best efforts to faithfully and diligently serve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such activities do not significantly interfere with the performance of his duties, services and responsibilities under</w:t>
      </w:r>
    </w:p>
    <w:p>
      <w:pPr>
        <w:ind w:right="220"/>
        <w:spacing w:after="0" w:line="251" w:lineRule="auto"/>
        <w:rPr>
          <w:rFonts w:ascii="Arial" w:cs="Arial" w:eastAsia="Arial" w:hAnsi="Arial"/>
          <w:sz w:val="17"/>
          <w:szCs w:val="17"/>
          <w:color w:val="auto"/>
        </w:rPr>
      </w:pPr>
      <w:r>
        <w:rPr>
          <w:rFonts w:ascii="Arial" w:cs="Arial" w:eastAsia="Arial" w:hAnsi="Arial"/>
          <w:sz w:val="19"/>
          <w:szCs w:val="19"/>
          <w:color w:val="auto"/>
        </w:rPr>
        <w:t xml:space="preserve">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Executive (x) shall be permitted to continue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165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320"/>
          </w:cols>
          <w:pgMar w:left="840" w:top="427" w:right="739" w:bottom="1440" w:gutter="0" w:footer="0" w:header="0"/>
        </w:sectPr>
      </w:pPr>
    </w:p>
    <w:bookmarkStart w:id="358" w:name="page359"/>
    <w:bookmarkEnd w:id="358"/>
    <w:p>
      <w:pPr>
        <w:spacing w:after="0" w:line="280" w:lineRule="auto"/>
        <w:rPr>
          <w:sz w:val="20"/>
          <w:szCs w:val="20"/>
          <w:color w:val="auto"/>
        </w:rPr>
      </w:pPr>
      <w:r>
        <w:rPr>
          <w:rFonts w:ascii="Arial" w:cs="Arial" w:eastAsia="Arial" w:hAnsi="Arial"/>
          <w:sz w:val="17"/>
          <w:szCs w:val="17"/>
          <w:color w:val="auto"/>
        </w:rPr>
        <w:t xml:space="preserve">to be engaged in, or provide services to, the businesses and activities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(y) to the extent that such activities do not significantly interfere with the performance of his duties, services and responsibilities under this Agreement, shall be permitted to become engaged in, or provide services to, any other business or activity, whether as owner, partner, investor, consultant, agent, employee, co-venturer or otherwise, in which Vincent Viola is permitted to become engaged in during the Term, to the extent that Executive’s level of participation in such businesses or activities are consistent with Executive’s participation in the businesses or activities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prior to the Effective Date. Executive will report solely to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Board from time to time. Executive will have the authority customarily exercised by an individual serving as Chief Executive Officer of a corporation of the size and nature of the Company and as is generally consistent with Executive’s authority prior to the Effective Date. During the Term, Executive shall serve as a member of the Board, and upon request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w:t>
      </w:r>
    </w:p>
    <w:p>
      <w:pPr>
        <w:spacing w:after="0" w:line="154" w:lineRule="exact"/>
        <w:rPr>
          <w:sz w:val="20"/>
          <w:szCs w:val="20"/>
          <w:color w:val="auto"/>
        </w:rPr>
      </w:pPr>
    </w:p>
    <w:p>
      <w:pPr>
        <w:ind w:right="160" w:firstLine="1269"/>
        <w:spacing w:after="0" w:line="283" w:lineRule="auto"/>
        <w:tabs>
          <w:tab w:leader="none" w:pos="193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During the Term, Executive’s principal place of employment shall be in the Company’s principal office in Manhattan, New York. Executive acknowledges that Executive’s duties and responsibilities shall require Executive to travel on business to the extent reasonably necessary to fully perform Executive’s duties and responsibilities hereunder.</w:t>
      </w:r>
    </w:p>
    <w:p>
      <w:pPr>
        <w:spacing w:after="0" w:line="167" w:lineRule="exact"/>
        <w:rPr>
          <w:sz w:val="20"/>
          <w:szCs w:val="20"/>
          <w:color w:val="auto"/>
        </w:rPr>
      </w:pPr>
    </w:p>
    <w:p>
      <w:pPr>
        <w:ind w:right="160" w:firstLine="1270"/>
        <w:spacing w:after="0" w:line="254" w:lineRule="auto"/>
        <w:tabs>
          <w:tab w:leader="none" w:pos="1901"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Compensation and Related Matters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for all services rendered under this Agreement, Executive shall receive an aggregate annual base salary (“</w:t>
      </w:r>
      <w:r>
        <w:rPr>
          <w:rFonts w:ascii="Arial" w:cs="Arial" w:eastAsia="Arial" w:hAnsi="Arial"/>
          <w:sz w:val="19"/>
          <w:szCs w:val="19"/>
          <w:u w:val="single" w:color="auto"/>
          <w:color w:val="auto"/>
        </w:rPr>
        <w:t>Base Salary</w:t>
      </w:r>
      <w:r>
        <w:rPr>
          <w:rFonts w:ascii="Arial" w:cs="Arial" w:eastAsia="Arial" w:hAnsi="Arial"/>
          <w:sz w:val="19"/>
          <w:szCs w:val="19"/>
          <w:color w:val="auto"/>
        </w:rPr>
        <w:t>”) at an initial rate of $1,000,000, payable in accordance with the Company’s applicable payroll practices. Base Salary may be increased (but not decreased) on an annual basis as determined by the Board in its sole discretion. References in this Agreement to Base Salary shall be deemed to refer to the most recently effective annual base salary rate.</w:t>
      </w:r>
    </w:p>
    <w:p>
      <w:pPr>
        <w:spacing w:after="0" w:line="180" w:lineRule="exact"/>
        <w:rPr>
          <w:sz w:val="20"/>
          <w:szCs w:val="20"/>
          <w:color w:val="auto"/>
        </w:rPr>
      </w:pPr>
    </w:p>
    <w:p>
      <w:pPr>
        <w:ind w:right="80" w:firstLine="1270"/>
        <w:spacing w:after="0" w:line="280" w:lineRule="auto"/>
        <w:tabs>
          <w:tab w:leader="none" w:pos="1933"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For calendar year 2017, Executive shall have the opportunity to earn a discretionary annual bonus based on the satisfaction of such business objectives and/or business performance as determined by the non-employee members of the Board or the Compensation Committee of the Board in their or its sole discretion (the “</w:t>
      </w:r>
      <w:r>
        <w:rPr>
          <w:rFonts w:ascii="Arial" w:cs="Arial" w:eastAsia="Arial" w:hAnsi="Arial"/>
          <w:sz w:val="17"/>
          <w:szCs w:val="17"/>
          <w:u w:val="single" w:color="auto"/>
          <w:color w:val="auto"/>
        </w:rPr>
        <w:t>2017 Annual Bonus</w:t>
      </w:r>
      <w:r>
        <w:rPr>
          <w:rFonts w:ascii="Arial" w:cs="Arial" w:eastAsia="Arial" w:hAnsi="Arial"/>
          <w:sz w:val="17"/>
          <w:szCs w:val="17"/>
          <w:color w:val="auto"/>
        </w:rPr>
        <w:t>”). During the Term, for each calendar year beginning with 2018, the Executive shall be eligible to receive an annual bonus (the “</w:t>
      </w:r>
      <w:r>
        <w:rPr>
          <w:rFonts w:ascii="Arial" w:cs="Arial" w:eastAsia="Arial" w:hAnsi="Arial"/>
          <w:sz w:val="17"/>
          <w:szCs w:val="17"/>
          <w:u w:val="single" w:color="auto"/>
          <w:color w:val="auto"/>
        </w:rPr>
        <w:t>Annual Bonus</w:t>
      </w:r>
      <w:r>
        <w:rPr>
          <w:rFonts w:ascii="Arial" w:cs="Arial" w:eastAsia="Arial" w:hAnsi="Arial"/>
          <w:sz w:val="17"/>
          <w:szCs w:val="17"/>
          <w:color w:val="auto"/>
        </w:rPr>
        <w:t>”), with a target Annual Bonus amount equal to $2,500,000 (the “</w:t>
      </w:r>
      <w:r>
        <w:rPr>
          <w:rFonts w:ascii="Arial" w:cs="Arial" w:eastAsia="Arial" w:hAnsi="Arial"/>
          <w:sz w:val="17"/>
          <w:szCs w:val="17"/>
          <w:u w:val="single" w:color="auto"/>
          <w:color w:val="auto"/>
        </w:rPr>
        <w:t>Target Bonus</w:t>
      </w:r>
      <w:r>
        <w:rPr>
          <w:rFonts w:ascii="Arial" w:cs="Arial" w:eastAsia="Arial" w:hAnsi="Arial"/>
          <w:sz w:val="17"/>
          <w:szCs w:val="17"/>
          <w:color w:val="auto"/>
        </w:rPr>
        <w:t>”) and a maximum Annual Bonus amount equal to $5,000,000 (the “</w:t>
      </w:r>
      <w:r>
        <w:rPr>
          <w:rFonts w:ascii="Arial" w:cs="Arial" w:eastAsia="Arial" w:hAnsi="Arial"/>
          <w:sz w:val="17"/>
          <w:szCs w:val="17"/>
          <w:u w:val="single" w:color="auto"/>
          <w:color w:val="auto"/>
        </w:rPr>
        <w:t>Maximum Bonus</w:t>
      </w:r>
      <w:r>
        <w:rPr>
          <w:rFonts w:ascii="Arial" w:cs="Arial" w:eastAsia="Arial" w:hAnsi="Arial"/>
          <w:sz w:val="17"/>
          <w:szCs w:val="17"/>
          <w:color w:val="auto"/>
        </w:rPr>
        <w:t>”). Eighty percent (80%) of the Annual Bonus will be based on the achievement of annual quantitative targets comprised of specific components of the Company’s annual budget established by the Board (the “</w:t>
      </w:r>
      <w:r>
        <w:rPr>
          <w:rFonts w:ascii="Arial" w:cs="Arial" w:eastAsia="Arial" w:hAnsi="Arial"/>
          <w:sz w:val="17"/>
          <w:szCs w:val="17"/>
          <w:u w:val="single" w:color="auto"/>
          <w:color w:val="auto"/>
        </w:rPr>
        <w:t>Quantitative Goals</w:t>
      </w:r>
      <w:r>
        <w:rPr>
          <w:rFonts w:ascii="Arial" w:cs="Arial" w:eastAsia="Arial" w:hAnsi="Arial"/>
          <w:sz w:val="17"/>
          <w:szCs w:val="17"/>
          <w:color w:val="auto"/>
        </w:rPr>
        <w:t>”) and the remaining twenty percent (20%) of the Annual Bonus will be based on annual qualitative targets established by the Board (the “</w:t>
      </w:r>
      <w:r>
        <w:rPr>
          <w:rFonts w:ascii="Arial" w:cs="Arial" w:eastAsia="Arial" w:hAnsi="Arial"/>
          <w:sz w:val="17"/>
          <w:szCs w:val="17"/>
          <w:u w:val="single" w:color="auto"/>
          <w:color w:val="auto"/>
        </w:rPr>
        <w:t>Qualitative Goals</w:t>
      </w:r>
      <w:r>
        <w:rPr>
          <w:rFonts w:ascii="Arial" w:cs="Arial" w:eastAsia="Arial" w:hAnsi="Arial"/>
          <w:sz w:val="17"/>
          <w:szCs w:val="17"/>
          <w:color w:val="auto"/>
        </w:rPr>
        <w:t>”). Accordingly, up to $2,000,000 of the Target Bonus and $4,000,000 of the Maximum Bonus may be earned based on the achievement of the Quantitative Goals and up to $500,000 of the Target Bonus and $1,000,000 of the Maximum Bonus may be earned based on the achievement of the Qualitative Goals. Fifty percent (50%) of the Annual Bonus, if any, shall be paid in cash, thirty percent (30%) of the Annual Bonus, if any, shall be paid in the form of restricted shares of Class A common stock of the Company (the “</w:t>
      </w:r>
      <w:r>
        <w:rPr>
          <w:rFonts w:ascii="Arial" w:cs="Arial" w:eastAsia="Arial" w:hAnsi="Arial"/>
          <w:sz w:val="17"/>
          <w:szCs w:val="17"/>
          <w:u w:val="single" w:color="auto"/>
          <w:color w:val="auto"/>
        </w:rPr>
        <w:t>Stock</w:t>
      </w:r>
      <w:r>
        <w:rPr>
          <w:rFonts w:ascii="Arial" w:cs="Arial" w:eastAsia="Arial" w:hAnsi="Arial"/>
          <w:sz w:val="17"/>
          <w:szCs w:val="17"/>
          <w:color w:val="auto"/>
        </w:rPr>
        <w:t xml:space="preserve">”) that vest in equal annual installments on each the first three (3) anniversaries of the date of grant, and the remaining twenty percent (20%) shall be paid in the form of fully-vested shares of Stock;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form, manner and timing of payment (including vesting of any payment in equity or equity-based awards) with respect to the Annual Bonus is subject to change in the event of (and consistent with) any change to the payout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00"/>
          </w:cols>
          <w:pgMar w:left="840" w:top="426" w:right="759" w:bottom="1440" w:gutter="0" w:footer="0" w:header="0"/>
        </w:sectPr>
      </w:pPr>
    </w:p>
    <w:bookmarkStart w:id="359" w:name="page360"/>
    <w:bookmarkEnd w:id="359"/>
    <w:p>
      <w:pPr>
        <w:ind w:left="100" w:right="120"/>
        <w:spacing w:after="0" w:line="257" w:lineRule="auto"/>
        <w:rPr>
          <w:sz w:val="20"/>
          <w:szCs w:val="20"/>
          <w:color w:val="auto"/>
        </w:rPr>
      </w:pPr>
      <w:r>
        <w:rPr>
          <w:rFonts w:ascii="Arial" w:cs="Arial" w:eastAsia="Arial" w:hAnsi="Arial"/>
          <w:sz w:val="19"/>
          <w:szCs w:val="19"/>
          <w:color w:val="auto"/>
        </w:rPr>
        <w:t>schedule formulations that is made applicable to the senior executives of the Company. The Annual Bonus, if any, shall be payable within the period required by Section 409A of the Code such that it qualifies as a “short-term deferral” pursuant to Section 1.409A-1(b)(4) of the Department of Treasury Regulations (or any successor thereto). For purposes of this Agreement, prior to January 1, 2018, the Annual Bonus means the 2017 Annual Bonus.</w:t>
      </w:r>
    </w:p>
    <w:p>
      <w:pPr>
        <w:spacing w:after="0" w:line="175" w:lineRule="exact"/>
        <w:rPr>
          <w:sz w:val="20"/>
          <w:szCs w:val="20"/>
          <w:color w:val="auto"/>
        </w:rPr>
      </w:pPr>
    </w:p>
    <w:p>
      <w:pPr>
        <w:ind w:left="100" w:right="160" w:firstLine="1270"/>
        <w:spacing w:after="0" w:line="257" w:lineRule="auto"/>
        <w:tabs>
          <w:tab w:leader="none" w:pos="2022"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 Commencing with calendar year 2018, the Executive shall be eligible to receive an equity award at the beginning of each calendar year during the Term (each such grant, an “</w:t>
      </w:r>
      <w:r>
        <w:rPr>
          <w:rFonts w:ascii="Arial" w:cs="Arial" w:eastAsia="Arial" w:hAnsi="Arial"/>
          <w:sz w:val="19"/>
          <w:szCs w:val="19"/>
          <w:u w:val="single" w:color="auto"/>
          <w:color w:val="auto"/>
        </w:rPr>
        <w:t>Annual Equity Award</w:t>
      </w:r>
      <w:r>
        <w:rPr>
          <w:rFonts w:ascii="Arial" w:cs="Arial" w:eastAsia="Arial" w:hAnsi="Arial"/>
          <w:sz w:val="19"/>
          <w:szCs w:val="19"/>
          <w:color w:val="auto"/>
        </w:rPr>
        <w:t>”). It is the current intention of the Board that such Annual Equity Award will be in the form of 150,000 restricted shares of Stock, and that any such award shall be earned and vest in accordance with the terms hereof.</w:t>
      </w:r>
    </w:p>
    <w:p>
      <w:pPr>
        <w:spacing w:after="0" w:line="175" w:lineRule="exact"/>
        <w:rPr>
          <w:rFonts w:ascii="Arial" w:cs="Arial" w:eastAsia="Arial" w:hAnsi="Arial"/>
          <w:sz w:val="19"/>
          <w:szCs w:val="19"/>
          <w:color w:val="auto"/>
        </w:rPr>
      </w:pPr>
    </w:p>
    <w:p>
      <w:pPr>
        <w:ind w:left="740" w:right="100" w:firstLine="1266"/>
        <w:spacing w:after="0" w:line="262" w:lineRule="auto"/>
        <w:tabs>
          <w:tab w:leader="none" w:pos="2675" w:val="left"/>
        </w:tabs>
        <w:numPr>
          <w:ilvl w:val="1"/>
          <w:numId w:val="279"/>
        </w:numPr>
        <w:rPr>
          <w:rFonts w:ascii="Arial" w:cs="Arial" w:eastAsia="Arial" w:hAnsi="Arial"/>
          <w:sz w:val="19"/>
          <w:szCs w:val="19"/>
          <w:color w:val="auto"/>
        </w:rPr>
      </w:pPr>
      <w:r>
        <w:rPr>
          <w:rFonts w:ascii="Arial" w:cs="Arial" w:eastAsia="Arial" w:hAnsi="Arial"/>
          <w:sz w:val="19"/>
          <w:szCs w:val="19"/>
          <w:color w:val="auto"/>
        </w:rPr>
        <w:t>The number of shares earned with respect to each Annual Equity Award shall be determined based on the percentage of the Company’s budgeted EBITDA achieved in the calendar year to which such award relates in accordance with the following table: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Percentage of Budgeted</w:t>
            </w:r>
          </w:p>
        </w:tc>
        <w:tc>
          <w:tcPr>
            <w:tcW w:w="40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9"/>
                <w:szCs w:val="19"/>
                <w:b w:val="1"/>
                <w:bCs w:val="1"/>
                <w:color w:val="auto"/>
              </w:rPr>
              <w:t>Number of Shares Earned</w:t>
            </w:r>
          </w:p>
        </w:tc>
      </w:tr>
      <w:tr>
        <w:trPr>
          <w:trHeight w:val="253"/>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5"/>
              </w:rPr>
              <w:t>EBITDA Achieved</w:t>
            </w:r>
          </w:p>
        </w:tc>
        <w:tc>
          <w:tcPr>
            <w:tcW w:w="4040" w:type="dxa"/>
            <w:vAlign w:val="bottom"/>
            <w:tcBorders>
              <w:right w:val="single" w:sz="8" w:color="auto"/>
            </w:tcBorders>
          </w:tcPr>
          <w:p>
            <w:pPr>
              <w:spacing w:after="0"/>
              <w:rPr>
                <w:sz w:val="21"/>
                <w:szCs w:val="21"/>
                <w:color w:val="auto"/>
              </w:rPr>
            </w:pPr>
          </w:p>
        </w:tc>
      </w:tr>
      <w:tr>
        <w:trPr>
          <w:trHeight w:val="154"/>
        </w:trPr>
        <w:tc>
          <w:tcPr>
            <w:tcW w:w="4300" w:type="dxa"/>
            <w:vAlign w:val="bottom"/>
            <w:tcBorders>
              <w:left w:val="single" w:sz="8" w:color="auto"/>
              <w:bottom w:val="single" w:sz="8" w:color="auto"/>
              <w:right w:val="single" w:sz="8" w:color="auto"/>
            </w:tcBorders>
          </w:tcPr>
          <w:p>
            <w:pPr>
              <w:spacing w:after="0"/>
              <w:rPr>
                <w:sz w:val="13"/>
                <w:szCs w:val="13"/>
                <w:color w:val="auto"/>
              </w:rPr>
            </w:pPr>
          </w:p>
        </w:tc>
        <w:tc>
          <w:tcPr>
            <w:tcW w:w="4040" w:type="dxa"/>
            <w:vAlign w:val="bottom"/>
            <w:tcBorders>
              <w:bottom w:val="single" w:sz="8" w:color="auto"/>
              <w:right w:val="single" w:sz="8" w:color="auto"/>
            </w:tcBorders>
          </w:tcPr>
          <w:p>
            <w:pPr>
              <w:spacing w:after="0"/>
              <w:rPr>
                <w:sz w:val="13"/>
                <w:szCs w:val="13"/>
                <w:color w:val="auto"/>
              </w:rPr>
            </w:pPr>
          </w:p>
        </w:tc>
      </w:tr>
      <w:tr>
        <w:trPr>
          <w:trHeight w:val="24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75% or more</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150,000</w:t>
            </w:r>
          </w:p>
        </w:tc>
      </w:tr>
      <w:tr>
        <w:trPr>
          <w:trHeight w:val="57"/>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r>
      <w:tr>
        <w:trPr>
          <w:trHeight w:val="24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74%</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135,000</w:t>
            </w:r>
          </w:p>
        </w:tc>
      </w:tr>
      <w:tr>
        <w:trPr>
          <w:trHeight w:val="57"/>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r>
      <w:tr>
        <w:trPr>
          <w:trHeight w:val="24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73%</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120,000</w:t>
            </w:r>
          </w:p>
        </w:tc>
      </w:tr>
      <w:tr>
        <w:trPr>
          <w:trHeight w:val="57"/>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r>
      <w:tr>
        <w:trPr>
          <w:trHeight w:val="24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72%</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105,000</w:t>
            </w:r>
          </w:p>
        </w:tc>
      </w:tr>
      <w:tr>
        <w:trPr>
          <w:trHeight w:val="57"/>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r>
      <w:tr>
        <w:trPr>
          <w:trHeight w:val="24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71%</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90,000</w:t>
            </w:r>
          </w:p>
        </w:tc>
      </w:tr>
      <w:tr>
        <w:trPr>
          <w:trHeight w:val="44"/>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4040" w:type="dxa"/>
            <w:vAlign w:val="bottom"/>
            <w:tcBorders>
              <w:bottom w:val="single" w:sz="8" w:color="auto"/>
              <w:right w:val="single" w:sz="8" w:color="auto"/>
            </w:tcBorders>
          </w:tcPr>
          <w:p>
            <w:pPr>
              <w:spacing w:after="0"/>
              <w:rPr>
                <w:sz w:val="3"/>
                <w:szCs w:val="3"/>
                <w:color w:val="auto"/>
              </w:rPr>
            </w:pPr>
          </w:p>
        </w:tc>
      </w:tr>
      <w:tr>
        <w:trPr>
          <w:trHeight w:val="24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70%</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75,000</w:t>
            </w:r>
          </w:p>
        </w:tc>
      </w:tr>
      <w:tr>
        <w:trPr>
          <w:trHeight w:val="57"/>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r>
      <w:tr>
        <w:trPr>
          <w:trHeight w:val="240"/>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Less than 70%</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0</w:t>
            </w:r>
          </w:p>
        </w:tc>
      </w:tr>
      <w:tr>
        <w:trPr>
          <w:trHeight w:val="57"/>
        </w:trPr>
        <w:tc>
          <w:tcPr>
            <w:tcW w:w="4300" w:type="dxa"/>
            <w:vAlign w:val="bottom"/>
            <w:tcBorders>
              <w:left w:val="single" w:sz="8" w:color="auto"/>
              <w:bottom w:val="single" w:sz="8" w:color="auto"/>
              <w:right w:val="single" w:sz="8" w:color="auto"/>
            </w:tcBorders>
          </w:tcPr>
          <w:p>
            <w:pPr>
              <w:spacing w:after="0"/>
              <w:rPr>
                <w:sz w:val="4"/>
                <w:szCs w:val="4"/>
                <w:color w:val="auto"/>
              </w:rPr>
            </w:pPr>
          </w:p>
        </w:tc>
        <w:tc>
          <w:tcPr>
            <w:tcW w:w="4040" w:type="dxa"/>
            <w:vAlign w:val="bottom"/>
            <w:tcBorders>
              <w:bottom w:val="single" w:sz="8" w:color="auto"/>
              <w:right w:val="single" w:sz="8" w:color="auto"/>
            </w:tcBorders>
          </w:tcPr>
          <w:p>
            <w:pPr>
              <w:spacing w:after="0"/>
              <w:rPr>
                <w:sz w:val="4"/>
                <w:szCs w:val="4"/>
                <w:color w:val="auto"/>
              </w:rPr>
            </w:pPr>
          </w:p>
        </w:tc>
      </w:tr>
    </w:tbl>
    <w:p>
      <w:pPr>
        <w:spacing w:after="0" w:line="208" w:lineRule="exact"/>
        <w:rPr>
          <w:sz w:val="20"/>
          <w:szCs w:val="20"/>
          <w:color w:val="auto"/>
        </w:rPr>
      </w:pPr>
    </w:p>
    <w:p>
      <w:pPr>
        <w:ind w:left="740" w:firstLine="635"/>
        <w:spacing w:after="0" w:line="278" w:lineRule="auto"/>
        <w:rPr>
          <w:sz w:val="20"/>
          <w:szCs w:val="20"/>
          <w:color w:val="auto"/>
        </w:rPr>
      </w:pPr>
      <w:r>
        <w:rPr>
          <w:rFonts w:ascii="Arial" w:cs="Arial" w:eastAsia="Arial" w:hAnsi="Arial"/>
          <w:sz w:val="19"/>
          <w:szCs w:val="19"/>
          <w:color w:val="auto"/>
        </w:rPr>
        <w:t>If the percentage of the Company’s budgeted EBITDA achieved is greater than 70% but less than 75%, then the amount of earned shares in the table above will be determined based on linear interpolation.</w:t>
      </w:r>
    </w:p>
    <w:p>
      <w:pPr>
        <w:spacing w:after="0" w:line="169" w:lineRule="exact"/>
        <w:rPr>
          <w:sz w:val="20"/>
          <w:szCs w:val="20"/>
          <w:color w:val="auto"/>
        </w:rPr>
      </w:pPr>
    </w:p>
    <w:p>
      <w:pPr>
        <w:jc w:val="both"/>
        <w:ind w:left="740" w:firstLine="1266"/>
        <w:spacing w:after="0" w:line="262" w:lineRule="auto"/>
        <w:tabs>
          <w:tab w:leader="none" w:pos="2689" w:val="left"/>
        </w:tabs>
        <w:numPr>
          <w:ilvl w:val="1"/>
          <w:numId w:val="280"/>
        </w:numPr>
        <w:rPr>
          <w:rFonts w:ascii="Arial" w:cs="Arial" w:eastAsia="Arial" w:hAnsi="Arial"/>
          <w:sz w:val="19"/>
          <w:szCs w:val="19"/>
          <w:color w:val="auto"/>
        </w:rPr>
      </w:pPr>
      <w:r>
        <w:rPr>
          <w:rFonts w:ascii="Arial" w:cs="Arial" w:eastAsia="Arial" w:hAnsi="Arial"/>
          <w:sz w:val="19"/>
          <w:szCs w:val="19"/>
          <w:color w:val="auto"/>
        </w:rPr>
        <w:t>If the Board determines that the number of shares of Stock subject to the Annual Equity Award will be greater or less than 150,000, then the amounts reflected in the table above shall be adjusted proportionally to reflect such number of shares.</w:t>
      </w:r>
    </w:p>
    <w:p>
      <w:pPr>
        <w:spacing w:after="0" w:line="157" w:lineRule="exact"/>
        <w:rPr>
          <w:rFonts w:ascii="Arial" w:cs="Arial" w:eastAsia="Arial" w:hAnsi="Arial"/>
          <w:sz w:val="19"/>
          <w:szCs w:val="19"/>
          <w:color w:val="auto"/>
        </w:rPr>
      </w:pPr>
    </w:p>
    <w:p>
      <w:pPr>
        <w:ind w:left="740" w:right="460" w:firstLine="1266"/>
        <w:spacing w:after="0" w:line="257" w:lineRule="auto"/>
        <w:tabs>
          <w:tab w:leader="none" w:pos="2637" w:val="left"/>
        </w:tabs>
        <w:numPr>
          <w:ilvl w:val="1"/>
          <w:numId w:val="280"/>
        </w:numPr>
        <w:rPr>
          <w:rFonts w:ascii="Arial" w:cs="Arial" w:eastAsia="Arial" w:hAnsi="Arial"/>
          <w:sz w:val="19"/>
          <w:szCs w:val="19"/>
          <w:color w:val="auto"/>
        </w:rPr>
      </w:pPr>
      <w:r>
        <w:rPr>
          <w:rFonts w:ascii="Arial" w:cs="Arial" w:eastAsia="Arial" w:hAnsi="Arial"/>
          <w:sz w:val="19"/>
          <w:szCs w:val="19"/>
          <w:color w:val="auto"/>
        </w:rPr>
        <w:t>To the extent any shares of Stock are earned with respect to any Annual Equity Award in accordance with Section 4(c)(i), 50% of such shares shall vest on the last day of the calendar year to which such award relates and the remaining 50% shall vest on the last day of the subsequent calendar year, subject in all cases to the Executive’s continued employment through the applicable vesting date.</w:t>
      </w:r>
    </w:p>
    <w:p>
      <w:pPr>
        <w:spacing w:after="0" w:line="188" w:lineRule="exact"/>
        <w:rPr>
          <w:rFonts w:ascii="Arial" w:cs="Arial" w:eastAsia="Arial" w:hAnsi="Arial"/>
          <w:sz w:val="19"/>
          <w:szCs w:val="19"/>
          <w:color w:val="auto"/>
        </w:rPr>
      </w:pPr>
    </w:p>
    <w:p>
      <w:pPr>
        <w:jc w:val="both"/>
        <w:ind w:left="100" w:right="60" w:firstLine="1270"/>
        <w:spacing w:after="0" w:line="276" w:lineRule="auto"/>
        <w:tabs>
          <w:tab w:leader="none" w:pos="2033"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Benefits and Perquisites</w:t>
      </w:r>
      <w:r>
        <w:rPr>
          <w:rFonts w:ascii="Arial" w:cs="Arial" w:eastAsia="Arial" w:hAnsi="Arial"/>
          <w:sz w:val="18"/>
          <w:szCs w:val="18"/>
          <w:color w:val="auto"/>
        </w:rPr>
        <w:t>. During the Term, Executive shall be entitled to participate in the benefit plans and programs (including, without limitation, four (4) weeks’ vacation per calendar year, health insurance and a 401(k) plan) and receive perquisites, commensurate with Executive’s position, that are provided by the Company from time to time for its senior executives generally, subject to the terms and conditions of such plans and programs. In addition, during the Term,</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610985" cy="165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9">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420"/>
          </w:cols>
          <w:pgMar w:left="740" w:top="427" w:right="739" w:bottom="1440" w:gutter="0" w:footer="0" w:header="0"/>
        </w:sectPr>
      </w:pPr>
    </w:p>
    <w:bookmarkStart w:id="360" w:name="page361"/>
    <w:bookmarkEnd w:id="360"/>
    <w:p>
      <w:pPr>
        <w:ind w:left="1"/>
        <w:spacing w:after="0"/>
        <w:rPr>
          <w:sz w:val="20"/>
          <w:szCs w:val="20"/>
          <w:color w:val="auto"/>
        </w:rPr>
      </w:pPr>
      <w:r>
        <w:rPr>
          <w:rFonts w:ascii="Arial" w:cs="Arial" w:eastAsia="Arial" w:hAnsi="Arial"/>
          <w:sz w:val="19"/>
          <w:szCs w:val="19"/>
          <w:color w:val="auto"/>
        </w:rPr>
        <w:t>the Company shall provide the Executive a car and driver consistent with past practice prior to the Effective Date.</w:t>
      </w:r>
    </w:p>
    <w:p>
      <w:pPr>
        <w:spacing w:after="0" w:line="219" w:lineRule="exact"/>
        <w:rPr>
          <w:sz w:val="20"/>
          <w:szCs w:val="20"/>
          <w:color w:val="auto"/>
        </w:rPr>
      </w:pPr>
    </w:p>
    <w:p>
      <w:pPr>
        <w:ind w:left="1" w:right="20" w:firstLine="1270"/>
        <w:spacing w:after="0" w:line="283" w:lineRule="auto"/>
        <w:tabs>
          <w:tab w:leader="none" w:pos="1923"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Business Expense Reimbursements</w:t>
      </w:r>
      <w:r>
        <w:rPr>
          <w:rFonts w:ascii="Arial" w:cs="Arial" w:eastAsia="Arial" w:hAnsi="Arial"/>
          <w:sz w:val="18"/>
          <w:szCs w:val="18"/>
          <w:color w:val="auto"/>
        </w:rPr>
        <w:t>. During the Term, the Company shall promptly reimburse Executive for Executive’s reasonable and necessary business expenses in accordance with the Company’s then-prevailing policies and procedures for expense reimbursement (which shall include appropriate itemization and substantiation of expenses incurred).</w:t>
      </w:r>
    </w:p>
    <w:p>
      <w:pPr>
        <w:spacing w:after="0" w:line="154" w:lineRule="exact"/>
        <w:rPr>
          <w:rFonts w:ascii="Arial" w:cs="Arial" w:eastAsia="Arial" w:hAnsi="Arial"/>
          <w:sz w:val="18"/>
          <w:szCs w:val="18"/>
          <w:color w:val="auto"/>
        </w:rPr>
      </w:pPr>
    </w:p>
    <w:p>
      <w:pPr>
        <w:ind w:left="1" w:firstLine="1270"/>
        <w:spacing w:after="0" w:line="263" w:lineRule="auto"/>
        <w:tabs>
          <w:tab w:leader="none" w:pos="1901"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and hold harmless Executive, to the fullest extent permitted by law and the Company’s governing documents, against all claims, expenses, damages, liabilities and losses incurred by Executive by reason of the fact that Executive is or was, or had agreed to become, a director, officer, employee, agent or fiduciary of the Company or any of its subsidiaries or Affiliates, or is or was serving at the request of the Company as a director, officer, partner, venturer, proprietor, trustee, employee, agent or similar functionary of another corporation, partnership, joint venture, business, person, trust, employee benefit plan or other entity. The indemnification obligations of the Company shall survive from the Effective Date of this Agreement and continue until six (6) years following his cessation of service with the applicable entity or, if longer, one (1) year after the expiration of any applicable statute of limitations for any potential claim. During the Term and for a period of six (6) years thereafter, the Company shall cause Executive to be covered by and named as an insured under any policy or contract of insurance obtained by it to insure its directors and officers against personal liability for acts, errors or omissions in connection with service as an officer or director of the Company or any of its subsidiaries or Affiliates or service in any other capacities at the request of the Company. The coverage provided to Executive shall be of a scope and on terms and conditions at least as favorable as the most favorable coverage provided to any other officer or director of the Company (or any successor). Anything in this Agreement to the contrary notwithstanding, this Section 4(f) shall survive the termination of this Agreement for any reason. Nothing in this Agreement shall limit or reduce any other rights to indemnification that apply to Executive, whether pursuant to contract or otherwise.</w:t>
      </w:r>
    </w:p>
    <w:p>
      <w:pPr>
        <w:spacing w:after="0" w:line="181" w:lineRule="exact"/>
        <w:rPr>
          <w:sz w:val="20"/>
          <w:szCs w:val="20"/>
          <w:color w:val="auto"/>
        </w:rPr>
      </w:pPr>
    </w:p>
    <w:p>
      <w:pPr>
        <w:ind w:left="1" w:right="180" w:firstLine="1270"/>
        <w:spacing w:after="0" w:line="285" w:lineRule="auto"/>
        <w:tabs>
          <w:tab w:leader="none" w:pos="1902"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xml:space="preserve">. (a) Executive’s employment under this Agreement may be terminated by either party at any time and for any reason;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Executive shall be required to give the Company at least sixty</w:t>
      </w:r>
    </w:p>
    <w:p>
      <w:pPr>
        <w:spacing w:after="0" w:line="1" w:lineRule="exact"/>
        <w:rPr>
          <w:rFonts w:ascii="Arial" w:cs="Arial" w:eastAsia="Arial" w:hAnsi="Arial"/>
          <w:sz w:val="17"/>
          <w:szCs w:val="17"/>
          <w:color w:val="auto"/>
        </w:rPr>
      </w:pPr>
    </w:p>
    <w:p>
      <w:pPr>
        <w:ind w:left="1" w:right="380" w:hanging="1"/>
        <w:spacing w:after="0" w:line="290" w:lineRule="auto"/>
        <w:tabs>
          <w:tab w:leader="none" w:pos="37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164" w:lineRule="exact"/>
        <w:rPr>
          <w:sz w:val="20"/>
          <w:szCs w:val="20"/>
          <w:color w:val="auto"/>
        </w:rPr>
      </w:pPr>
    </w:p>
    <w:p>
      <w:pPr>
        <w:jc w:val="both"/>
        <w:ind w:left="1" w:right="160" w:firstLine="1270"/>
        <w:spacing w:after="0" w:line="282" w:lineRule="auto"/>
        <w:tabs>
          <w:tab w:leader="none" w:pos="1934" w:val="left"/>
        </w:tabs>
        <w:numPr>
          <w:ilvl w:val="1"/>
          <w:numId w:val="285"/>
        </w:numPr>
        <w:rPr>
          <w:rFonts w:ascii="Arial" w:cs="Arial" w:eastAsia="Arial" w:hAnsi="Arial"/>
          <w:sz w:val="17"/>
          <w:szCs w:val="17"/>
          <w:color w:val="auto"/>
        </w:rPr>
      </w:pPr>
      <w:r>
        <w:rPr>
          <w:rFonts w:ascii="Arial" w:cs="Arial" w:eastAsia="Arial" w:hAnsi="Arial"/>
          <w:sz w:val="17"/>
          <w:szCs w:val="17"/>
          <w:color w:val="auto"/>
        </w:rPr>
        <w:t>Following any termination of Executive’s employment under this Agreement, except for as provided for under this Section 5, the obligations of the Company to pay or provide Executive with compensation and benefits under Section 4 shall cease, and the Company shall have no further obligations to provide compensation or benefits to Executive hereunder, except</w:t>
      </w:r>
    </w:p>
    <w:p>
      <w:pPr>
        <w:spacing w:after="0" w:line="1" w:lineRule="exact"/>
        <w:rPr>
          <w:rFonts w:ascii="Arial" w:cs="Arial" w:eastAsia="Arial" w:hAnsi="Arial"/>
          <w:sz w:val="17"/>
          <w:szCs w:val="17"/>
          <w:color w:val="auto"/>
        </w:rPr>
      </w:pPr>
    </w:p>
    <w:p>
      <w:pPr>
        <w:ind w:left="1" w:right="220" w:hanging="1"/>
        <w:spacing w:after="0" w:line="276" w:lineRule="auto"/>
        <w:tabs>
          <w:tab w:leader="none" w:pos="23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for payment of any accrued but unpaid Base Salary and for payment of any unreimbursed expenses under Section 4(e), in each case accrued or incurred through the date of termination of employment, payable as soon as practicable and in all events within thirty (30) days following the date of termination of employment, (ii) for payment of any earned but unpaid Annual Bonus, if any, for the calendar year prior to the calendar year in which such termination of employment occurs, (iii) continued indemnification pursuant to Section 4(f), (iv) as explicitly set forth in any other benefit plans, programs or arrangements applicable to terminated employees in which Executive participates, other than severance plans or policies and (v) as otherwise expressly required by applicable law. For the avoidance of doubt, any unpaid Annual Bonus for the year of termination of employment is forfeited</w:t>
      </w:r>
    </w:p>
    <w:p>
      <w:pPr>
        <w:ind w:left="1"/>
        <w:spacing w:after="0"/>
        <w:rPr>
          <w:rFonts w:ascii="Arial" w:cs="Arial" w:eastAsia="Arial" w:hAnsi="Arial"/>
          <w:sz w:val="17"/>
          <w:szCs w:val="17"/>
          <w:color w:val="auto"/>
        </w:rPr>
      </w:pPr>
      <w:r>
        <w:rPr>
          <w:rFonts w:ascii="Arial" w:cs="Arial" w:eastAsia="Arial" w:hAnsi="Arial"/>
          <w:sz w:val="19"/>
          <w:szCs w:val="19"/>
          <w:color w:val="auto"/>
        </w:rPr>
        <w:t>if Executive’s employment is terminated for any reason.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165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301"/>
          </w:cols>
          <w:pgMar w:left="839" w:top="121" w:right="759" w:bottom="1440" w:gutter="0" w:footer="0" w:header="0"/>
        </w:sectPr>
      </w:pPr>
    </w:p>
    <w:bookmarkStart w:id="361" w:name="page362"/>
    <w:bookmarkEnd w:id="361"/>
    <w:p>
      <w:pPr>
        <w:ind w:left="1" w:firstLine="1270"/>
        <w:spacing w:after="0" w:line="278" w:lineRule="auto"/>
        <w:tabs>
          <w:tab w:leader="none" w:pos="1923" w:val="left"/>
        </w:tabs>
        <w:numPr>
          <w:ilvl w:val="1"/>
          <w:numId w:val="287"/>
        </w:numPr>
        <w:rPr>
          <w:rFonts w:ascii="Arial" w:cs="Arial" w:eastAsia="Arial" w:hAnsi="Arial"/>
          <w:sz w:val="17"/>
          <w:szCs w:val="17"/>
          <w:color w:val="auto"/>
        </w:rPr>
      </w:pPr>
      <w:r>
        <w:rPr>
          <w:rFonts w:ascii="Arial" w:cs="Arial" w:eastAsia="Arial" w:hAnsi="Arial"/>
          <w:sz w:val="17"/>
          <w:szCs w:val="17"/>
          <w:color w:val="auto"/>
        </w:rPr>
        <w:t>If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be entitled to receive (A) severance pay in an aggregate amount (the “</w:t>
      </w:r>
      <w:r>
        <w:rPr>
          <w:rFonts w:ascii="Arial" w:cs="Arial" w:eastAsia="Arial" w:hAnsi="Arial"/>
          <w:sz w:val="17"/>
          <w:szCs w:val="17"/>
          <w:u w:val="single" w:color="auto"/>
          <w:color w:val="auto"/>
        </w:rPr>
        <w:t>Severance Amount</w:t>
      </w:r>
      <w:r>
        <w:rPr>
          <w:rFonts w:ascii="Arial" w:cs="Arial" w:eastAsia="Arial" w:hAnsi="Arial"/>
          <w:sz w:val="17"/>
          <w:szCs w:val="17"/>
          <w:color w:val="auto"/>
        </w:rPr>
        <w:t>”) equal to the greater of (x) one (1) times Executive’s Base Salary and (y) an amount equal to the total amount of Base Salary that Executive would have been entitled to receive had Executive continued to be employed through the Expiration Date; and (B) continued health, dental, vision and life insurance benefits under the terms of the applicable Company benefit plans for (x) twelve (12) months or (y) the period from Executive’s termination of employment through the Expiration Date, whichever is longer (the “</w:t>
      </w:r>
      <w:r>
        <w:rPr>
          <w:rFonts w:ascii="Arial" w:cs="Arial" w:eastAsia="Arial" w:hAnsi="Arial"/>
          <w:sz w:val="17"/>
          <w:szCs w:val="17"/>
          <w:u w:val="single" w:color="auto"/>
          <w:color w:val="auto"/>
        </w:rPr>
        <w:t>Benefits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Continuation Period</w:t>
      </w:r>
      <w:r>
        <w:rPr>
          <w:rFonts w:ascii="Arial" w:cs="Arial" w:eastAsia="Arial" w:hAnsi="Arial"/>
          <w:sz w:val="17"/>
          <w:szCs w:val="17"/>
          <w:color w:val="auto"/>
        </w:rPr>
        <w:t xml:space="preserve">”), subject to Executive’s payment of the cost of such benefits to the same extent that active employees of the Company are required to pay for such benefits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continuation coverage shall end earlier upon Executive’s becoming eligible for comparable coverage under another employer’s benefit plans;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following the expiration of the Benefits Continuation Period (which was not terminated as a result of Executive becoming eligible for comparable coverage under another employer’s benefit plans), Executive shall be eligible to continue his health, dental, vision and life insurance benefits for Executive and his spouse and eligible dependents under the terms of the applicable Company benefit plans until the earlier of (X) Executive’s dependents reaching the age of 26, (Y) Executive or his spouse become eligible for Medicare, or (Z) Executive becoming eligible for comparable coverage under another employer’s benefit plans, subject to Executive’s payment of the full cost of such benefits;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to the extent the provision of such continuation coverage is not permitted under the terms of the Company benefit plans or would result in an adverse tax consequence to the Company, the Company may alternatively provide Executive with a cash payment (the “</w:t>
      </w:r>
      <w:r>
        <w:rPr>
          <w:rFonts w:ascii="Arial" w:cs="Arial" w:eastAsia="Arial" w:hAnsi="Arial"/>
          <w:sz w:val="17"/>
          <w:szCs w:val="17"/>
          <w:u w:val="single" w:color="auto"/>
          <w:color w:val="auto"/>
        </w:rPr>
        <w:t>COBRA Cash Payment</w:t>
      </w:r>
      <w:r>
        <w:rPr>
          <w:rFonts w:ascii="Arial" w:cs="Arial" w:eastAsia="Arial" w:hAnsi="Arial"/>
          <w:sz w:val="17"/>
          <w:szCs w:val="17"/>
          <w:color w:val="auto"/>
        </w:rPr>
        <w:t xml:space="preserve">”) in an amount equal to the applicable COBRA premium that Executive would otherwise be required to pay to obtain COBRA continuation coverage for such benefits for such period (minus the cost of such benefits to the same extent that active employees of the Company are required to pay for such benefits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will use reasonable best efforts to continue coverage under the Company benefit plans to the extent legally possible without suffering any adverse consequences to the Company or other participants in such plans. In addition, if the Executive’s employment is terminated in accordance with the provisions of this Section 5(c), (I) the Executive shall remain eligible to earn shares of Stock under his then-current Annual Equity Award in accordance with the criteria set forth in Section 4(c)(i) and, to the extent earned, the product of such earned shares multiplied by a fraction, the numerator of which is the number of calendar days the Executive was employed in the calendar year of termination, and the denominator of which is 365, shall be deemed vested on the last day of the calendar year to which such award relates, (II) any earned but unvested shares of Stock under the Annual Equity Award granted in the calendar year prior to the calendar year of the Executive’s termination shall be deemed vested as of the date of termination and (III) the Executive shall receive 150,000 fully-vested shares of Stock (clauses (I), (II) and (III), the “</w:t>
      </w:r>
      <w:r>
        <w:rPr>
          <w:rFonts w:ascii="Arial" w:cs="Arial" w:eastAsia="Arial" w:hAnsi="Arial"/>
          <w:sz w:val="17"/>
          <w:szCs w:val="17"/>
          <w:u w:val="single" w:color="auto"/>
          <w:color w:val="auto"/>
        </w:rPr>
        <w:t>Equity Acceleration</w:t>
      </w:r>
      <w:r>
        <w:rPr>
          <w:rFonts w:ascii="Arial" w:cs="Arial" w:eastAsia="Arial" w:hAnsi="Arial"/>
          <w:sz w:val="17"/>
          <w:szCs w:val="17"/>
          <w:color w:val="auto"/>
        </w:rPr>
        <w:t>”). The Severance Amount (and the COBRA Cash Payment, if applicable) shall be paid in cash in a lump sum within thirty (30) days following the execution of the Release (defined below) that has become irrevocable by its terms, subject to any required delay of payment pursuant to Section 23.</w:t>
      </w:r>
    </w:p>
    <w:p>
      <w:pPr>
        <w:spacing w:after="0" w:line="387" w:lineRule="exact"/>
        <w:rPr>
          <w:rFonts w:ascii="Arial" w:cs="Arial" w:eastAsia="Arial" w:hAnsi="Arial"/>
          <w:sz w:val="17"/>
          <w:szCs w:val="17"/>
          <w:color w:val="auto"/>
        </w:rPr>
      </w:pPr>
    </w:p>
    <w:p>
      <w:pPr>
        <w:ind w:left="1941" w:hanging="670"/>
        <w:spacing w:after="0"/>
        <w:tabs>
          <w:tab w:leader="none" w:pos="1941" w:val="left"/>
        </w:tabs>
        <w:numPr>
          <w:ilvl w:val="1"/>
          <w:numId w:val="287"/>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at any time within sixty (60) days before, or twenty-four</w:t>
      </w:r>
    </w:p>
    <w:p>
      <w:pPr>
        <w:spacing w:after="0" w:line="45" w:lineRule="exact"/>
        <w:rPr>
          <w:rFonts w:ascii="Arial" w:cs="Arial" w:eastAsia="Arial" w:hAnsi="Arial"/>
          <w:sz w:val="17"/>
          <w:szCs w:val="17"/>
          <w:color w:val="auto"/>
        </w:rPr>
      </w:pPr>
    </w:p>
    <w:p>
      <w:pPr>
        <w:ind w:left="1" w:right="100" w:hanging="1"/>
        <w:spacing w:after="0" w:line="249" w:lineRule="auto"/>
        <w:tabs>
          <w:tab w:leader="none" w:pos="372" w:val="left"/>
        </w:tabs>
        <w:numPr>
          <w:ilvl w:val="0"/>
          <w:numId w:val="288"/>
        </w:numPr>
        <w:rPr>
          <w:rFonts w:ascii="Arial" w:cs="Arial" w:eastAsia="Arial" w:hAnsi="Arial"/>
          <w:sz w:val="19"/>
          <w:szCs w:val="19"/>
          <w:color w:val="auto"/>
        </w:rPr>
      </w:pPr>
      <w:r>
        <w:rPr>
          <w:rFonts w:ascii="Arial" w:cs="Arial" w:eastAsia="Arial" w:hAnsi="Arial"/>
          <w:sz w:val="19"/>
          <w:szCs w:val="19"/>
          <w:color w:val="auto"/>
        </w:rPr>
        <w:t>months following, a Change in Control,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(A) in lieu of the Severance Amount described in Section 5(c)(A) the Executive shall be entitled to receive two and a half (2.5) times the sum of (x) Executive’s Base Salary and (y) the Annual Bonus (including any amounts deferred or satisfied through the grant of equity awards) most recently awarded to Executive for completed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1651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1">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301"/>
          </w:cols>
          <w:pgMar w:left="839" w:top="426" w:right="759" w:bottom="1440" w:gutter="0" w:footer="0" w:header="0"/>
        </w:sectPr>
      </w:pPr>
    </w:p>
    <w:bookmarkStart w:id="362" w:name="page363"/>
    <w:bookmarkEnd w:id="362"/>
    <w:p>
      <w:pPr>
        <w:ind w:right="20"/>
        <w:spacing w:after="0" w:line="264" w:lineRule="auto"/>
        <w:rPr>
          <w:sz w:val="20"/>
          <w:szCs w:val="20"/>
          <w:color w:val="auto"/>
        </w:rPr>
      </w:pPr>
      <w:r>
        <w:rPr>
          <w:rFonts w:ascii="Arial" w:cs="Arial" w:eastAsia="Arial" w:hAnsi="Arial"/>
          <w:sz w:val="18"/>
          <w:szCs w:val="18"/>
          <w:color w:val="auto"/>
        </w:rPr>
        <w:t>fiscal years of the Company (the “</w:t>
      </w:r>
      <w:r>
        <w:rPr>
          <w:rFonts w:ascii="Arial" w:cs="Arial" w:eastAsia="Arial" w:hAnsi="Arial"/>
          <w:sz w:val="18"/>
          <w:szCs w:val="18"/>
          <w:u w:val="single" w:color="auto"/>
          <w:color w:val="auto"/>
        </w:rPr>
        <w:t>CIC Severance Amount</w:t>
      </w:r>
      <w:r>
        <w:rPr>
          <w:rFonts w:ascii="Arial" w:cs="Arial" w:eastAsia="Arial" w:hAnsi="Arial"/>
          <w:sz w:val="18"/>
          <w:szCs w:val="18"/>
          <w:color w:val="auto"/>
        </w:rPr>
        <w:t>”), (B) the Benefits Continuation Period shall be extended to (x) twenty-four (24) months or (y) the period from Executive’s termination of employment through the Expiration Date, whichever is longer, and (C) in lieu of the Equity Acceleration described in Section 5(c), (I) the product of the number of shares of Stock under the Executive’s then-current Annual Equity Award multiplied by a fraction, the numerator of which is the number of calendar days the Executive was employed in the calendar year of termination, and the denominator of which is 365, shall be deemed vested as of the date of termination, (II) any earned but unvested shares of Stock under the Annual Equity Award granted in the calendar year prior to the calendar year of the Executive’s termination, shall be deemed vested as of the date of termination and (III) the Executive shall receive 150,000 fully-vested shares of Stock (clauses (I), (II) and (III), the “</w:t>
      </w:r>
      <w:r>
        <w:rPr>
          <w:rFonts w:ascii="Arial" w:cs="Arial" w:eastAsia="Arial" w:hAnsi="Arial"/>
          <w:sz w:val="18"/>
          <w:szCs w:val="18"/>
          <w:u w:val="single" w:color="auto"/>
          <w:color w:val="auto"/>
        </w:rPr>
        <w:t>CIC Equity Acceleration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Executive’s employment is terminated prior to a Change in Control and a Change in Control occurs within sixty (60) days of such termination triggering this Section 5(d), then any amounts paid prior to the Change in Control pursuant to the Equity Acceleration shall reduce the amount required to be paid pursuant to the CIC Equity Acceleration. The CIC Severance Amount shall be paid in cash in a lump sum within thirty (30) days following the execution of the Release that has become irrevocable by its terms, subject to any required delay of payment pursuant to Section 23. In addition, Executive shall be entitled to the payments and benefits specified in Section 5(b). For purposes of determining the Severance Amount and CIC Severance Amount, Base Salary shall be the Base Salary as in effect prior to any reduction giving rise to a termination for Good Reason.</w:t>
      </w:r>
    </w:p>
    <w:p>
      <w:pPr>
        <w:spacing w:after="0" w:line="157" w:lineRule="exact"/>
        <w:rPr>
          <w:sz w:val="20"/>
          <w:szCs w:val="20"/>
          <w:color w:val="auto"/>
        </w:rPr>
      </w:pPr>
    </w:p>
    <w:p>
      <w:pPr>
        <w:ind w:right="300" w:firstLine="1270"/>
        <w:spacing w:after="0" w:line="285" w:lineRule="auto"/>
        <w:tabs>
          <w:tab w:leader="none" w:pos="192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Executive’s entitlement to the payment and benefits and certain rights set forth in Sections 5(c) and 5(d) shall be conditioned upon Executive having provided an irrevocable waiver and release of claims in favor of the Company,</w:t>
      </w:r>
    </w:p>
    <w:p>
      <w:pPr>
        <w:spacing w:after="0" w:line="1" w:lineRule="exact"/>
        <w:rPr>
          <w:rFonts w:ascii="Arial" w:cs="Arial" w:eastAsia="Arial" w:hAnsi="Arial"/>
          <w:sz w:val="17"/>
          <w:szCs w:val="17"/>
          <w:color w:val="auto"/>
        </w:rPr>
      </w:pPr>
    </w:p>
    <w:p>
      <w:pPr>
        <w:ind w:right="80"/>
        <w:spacing w:after="0" w:line="248" w:lineRule="auto"/>
        <w:rPr>
          <w:rFonts w:ascii="Arial" w:cs="Arial" w:eastAsia="Arial" w:hAnsi="Arial"/>
          <w:sz w:val="17"/>
          <w:szCs w:val="17"/>
          <w:color w:val="auto"/>
        </w:rPr>
      </w:pPr>
      <w:r>
        <w:rPr>
          <w:rFonts w:ascii="Arial" w:cs="Arial" w:eastAsia="Arial" w:hAnsi="Arial"/>
          <w:sz w:val="19"/>
          <w:szCs w:val="19"/>
          <w:color w:val="auto"/>
        </w:rPr>
        <w:t>its Affiliates, their respective predecessors and successors, and all of the respective current or former directors, officers, employees, shareholders, partners, members, agents or representatives of any of the foregoing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xml:space="preserve">”), substantially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that has become effective in accordance with its terms. Simultaneous with the delivery of the signed Release by Executive, the Company shall deliver an irrevocable waiver and release of claims in favor of Executive and his heirs, agents and representatives substantially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and if the Company fails to timely deliver its release, Executive’s obligation to deliver the Release shall lapse and be void for all purposes hereof, including for purposes of the Company’s obligation to pay or provide the payments and benefits under Sections 5(c) and 5(d).</w:t>
      </w:r>
    </w:p>
    <w:p>
      <w:pPr>
        <w:spacing w:after="0" w:line="188" w:lineRule="exact"/>
        <w:rPr>
          <w:rFonts w:ascii="Arial" w:cs="Arial" w:eastAsia="Arial" w:hAnsi="Arial"/>
          <w:sz w:val="17"/>
          <w:szCs w:val="17"/>
          <w:color w:val="auto"/>
        </w:rPr>
      </w:pPr>
    </w:p>
    <w:p>
      <w:pPr>
        <w:ind w:firstLine="1270"/>
        <w:spacing w:after="0" w:line="276" w:lineRule="auto"/>
        <w:tabs>
          <w:tab w:leader="none" w:pos="190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Upon termination of Executive’s employment for any reason, and regardless of whether Executive continues as a consultant to the Company, upon the Company’s request Executive agrees to resign, as of the date of such termination of employment or such other date requested, from the Board and any committees thereof, and, if applicable, from the board of directors (and any committees thereof) of any Affiliate of the Company to the extent Executive is then serving thereon.</w:t>
      </w:r>
    </w:p>
    <w:p>
      <w:pPr>
        <w:spacing w:after="0" w:line="159" w:lineRule="exact"/>
        <w:rPr>
          <w:rFonts w:ascii="Arial" w:cs="Arial" w:eastAsia="Arial" w:hAnsi="Arial"/>
          <w:sz w:val="18"/>
          <w:szCs w:val="18"/>
          <w:color w:val="auto"/>
        </w:rPr>
      </w:pPr>
    </w:p>
    <w:p>
      <w:pPr>
        <w:ind w:right="40" w:firstLine="1270"/>
        <w:spacing w:after="0" w:line="254" w:lineRule="auto"/>
        <w:tabs>
          <w:tab w:leader="none" w:pos="193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The payment of any amounts accrued under any benefit plan, program or arrangement in which Executive participates shall be subject to the terms of the applicable plan, program or arrangement, and any elections Executive has made thereunder. The Company’s obligation to make the payments provided for in this Agreement and otherwise to perform its obligations hereunder shall not be affected by any set-off, counterclaim, recoupment, defense, or other claim, right or action that the Company may have against Executive or others.</w:t>
      </w:r>
    </w:p>
    <w:p>
      <w:pPr>
        <w:spacing w:after="0" w:line="179" w:lineRule="exact"/>
        <w:rPr>
          <w:rFonts w:ascii="Arial" w:cs="Arial" w:eastAsia="Arial" w:hAnsi="Arial"/>
          <w:sz w:val="19"/>
          <w:szCs w:val="19"/>
          <w:color w:val="auto"/>
        </w:rPr>
      </w:pPr>
    </w:p>
    <w:p>
      <w:pPr>
        <w:ind w:right="180" w:firstLine="1270"/>
        <w:spacing w:after="0" w:line="257" w:lineRule="auto"/>
        <w:tabs>
          <w:tab w:leader="none" w:pos="1933" w:val="left"/>
        </w:tabs>
        <w:numPr>
          <w:ilvl w:val="0"/>
          <w:numId w:val="289"/>
        </w:numPr>
        <w:rPr>
          <w:rFonts w:ascii="Arial" w:cs="Arial" w:eastAsia="Arial" w:hAnsi="Arial"/>
          <w:sz w:val="19"/>
          <w:szCs w:val="19"/>
          <w:color w:val="auto"/>
        </w:rPr>
      </w:pPr>
      <w:r>
        <w:rPr>
          <w:rFonts w:ascii="Arial" w:cs="Arial" w:eastAsia="Arial" w:hAnsi="Arial"/>
          <w:sz w:val="19"/>
          <w:szCs w:val="19"/>
          <w:color w:val="auto"/>
        </w:rPr>
        <w:t>Following any termination of Executive’s employment, Executive shall have no obligation to seek other employment or take any other action by way of mitigation of the amounts payable to Executive under any of the provisions of this Agreement. There shall be no offset against amounts due Executive under this agreement on account of any remuneration attributable to later employment, consultancy or other remunerative activity of Executive.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280"/>
          </w:cols>
          <w:pgMar w:left="840" w:top="427" w:right="779" w:bottom="1440" w:gutter="0" w:footer="0" w:header="0"/>
        </w:sectPr>
      </w:pPr>
    </w:p>
    <w:bookmarkStart w:id="363" w:name="page364"/>
    <w:bookmarkEnd w:id="363"/>
    <w:p>
      <w:pPr>
        <w:ind w:left="1900" w:hanging="630"/>
        <w:spacing w:after="0"/>
        <w:tabs>
          <w:tab w:leader="none" w:pos="1900" w:val="left"/>
        </w:tabs>
        <w:numPr>
          <w:ilvl w:val="0"/>
          <w:numId w:val="290"/>
        </w:numPr>
        <w:rPr>
          <w:rFonts w:ascii="Arial" w:cs="Arial" w:eastAsia="Arial" w:hAnsi="Arial"/>
          <w:sz w:val="19"/>
          <w:szCs w:val="19"/>
          <w:color w:val="auto"/>
        </w:rPr>
      </w:pPr>
      <w:r>
        <w:rPr>
          <w:rFonts w:ascii="Arial" w:cs="Arial" w:eastAsia="Arial" w:hAnsi="Arial"/>
          <w:sz w:val="19"/>
          <w:szCs w:val="19"/>
          <w:u w:val="single" w:color="auto"/>
          <w:color w:val="auto"/>
        </w:rPr>
        <w:t>280G Matters</w:t>
      </w:r>
      <w:r>
        <w:rPr>
          <w:rFonts w:ascii="Arial" w:cs="Arial" w:eastAsia="Arial" w:hAnsi="Arial"/>
          <w:sz w:val="19"/>
          <w:szCs w:val="19"/>
          <w:color w:val="auto"/>
        </w:rPr>
        <w:t>.</w:t>
      </w:r>
    </w:p>
    <w:p>
      <w:pPr>
        <w:spacing w:after="0" w:line="218" w:lineRule="exact"/>
        <w:rPr>
          <w:sz w:val="20"/>
          <w:szCs w:val="20"/>
          <w:color w:val="auto"/>
        </w:rPr>
      </w:pPr>
    </w:p>
    <w:p>
      <w:pPr>
        <w:ind w:firstLine="1270"/>
        <w:spacing w:after="0" w:line="265" w:lineRule="auto"/>
        <w:tabs>
          <w:tab w:leader="none" w:pos="192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any payment to or in respect of Executive by the Company or any Affiliate, whether pursuant to this Agreement or otherwise (a “</w:t>
      </w:r>
      <w:r>
        <w:rPr>
          <w:rFonts w:ascii="Arial" w:cs="Arial" w:eastAsia="Arial" w:hAnsi="Arial"/>
          <w:sz w:val="18"/>
          <w:szCs w:val="18"/>
          <w:u w:val="single" w:color="auto"/>
          <w:color w:val="auto"/>
        </w:rPr>
        <w:t>Payment</w:t>
      </w:r>
      <w:r>
        <w:rPr>
          <w:rFonts w:ascii="Arial" w:cs="Arial" w:eastAsia="Arial" w:hAnsi="Arial"/>
          <w:sz w:val="18"/>
          <w:szCs w:val="18"/>
          <w:color w:val="auto"/>
        </w:rPr>
        <w:t>”), is determined by the Auditor (as defined below) to be a “parachute payment” as defined in Section 280G(b)(2) of the Code (as defined below) (a “</w:t>
      </w:r>
      <w:r>
        <w:rPr>
          <w:rFonts w:ascii="Arial" w:cs="Arial" w:eastAsia="Arial" w:hAnsi="Arial"/>
          <w:sz w:val="18"/>
          <w:szCs w:val="18"/>
          <w:u w:val="single" w:color="auto"/>
          <w:color w:val="auto"/>
        </w:rPr>
        <w:t>Parachute Payment</w:t>
      </w:r>
      <w:r>
        <w:rPr>
          <w:rFonts w:ascii="Arial" w:cs="Arial" w:eastAsia="Arial" w:hAnsi="Arial"/>
          <w:sz w:val="18"/>
          <w:szCs w:val="18"/>
          <w:color w:val="auto"/>
        </w:rPr>
        <w:t>”) and also to be subject to the excise tax imposed by Section 4999 of the Code, or any interest or penalties are incurred by Executive with respect to such excise tax (such excise tax, together with any such interest and penalties, being herein collectively referred to as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the aggregate amount of the Parachute Payments otherwise payable to Executive under this Agreement (unless otherwise agreed by Executive) shall be reduced if and to the extent that such reduction would result in Executive retaining a greater net after-tax amount than Executive would have retained had he received the full amount of the Parachute Payments (and paid the applicable Excise Tax), with such reductions coming first from amounts that are exempt from Section 409A and, thereafter, from amounts that are subject to Section 409A, in each case in reverse chronological order of their scheduled distributions.</w:t>
      </w:r>
    </w:p>
    <w:p>
      <w:pPr>
        <w:spacing w:after="0" w:line="161" w:lineRule="exact"/>
        <w:rPr>
          <w:rFonts w:ascii="Arial" w:cs="Arial" w:eastAsia="Arial" w:hAnsi="Arial"/>
          <w:sz w:val="18"/>
          <w:szCs w:val="18"/>
          <w:color w:val="auto"/>
        </w:rPr>
      </w:pPr>
    </w:p>
    <w:p>
      <w:pPr>
        <w:ind w:right="20" w:firstLine="1270"/>
        <w:spacing w:after="0" w:line="282" w:lineRule="auto"/>
        <w:tabs>
          <w:tab w:leader="none" w:pos="1922"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All determinations required to be made under this Section 6, including whether an Excise Tax is payable by Executive, the amount of such Excise Tax and the determination of which Parachute Payments shall be reduced, shall be made by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w:t>
      </w:r>
      <w:r>
        <w:rPr>
          <w:rFonts w:ascii="Arial" w:cs="Arial" w:eastAsia="Arial" w:hAnsi="Arial"/>
          <w:sz w:val="17"/>
          <w:szCs w:val="17"/>
          <w:u w:val="single" w:color="auto"/>
          <w:color w:val="auto"/>
        </w:rPr>
        <w:t>Auditor</w:t>
      </w:r>
      <w:r>
        <w:rPr>
          <w:rFonts w:ascii="Arial" w:cs="Arial" w:eastAsia="Arial" w:hAnsi="Arial"/>
          <w:sz w:val="17"/>
          <w:szCs w:val="17"/>
          <w:color w:val="auto"/>
        </w:rPr>
        <w:t>”). If the Auditor determines that the aggregate Payments to Executive under this Agreement should be reduced in accordance with Section 6(a), the Company shall promptly give Executive notice to that effect and a copy of the detailed calculation thereof. All determinations made by the Auditor under this Section 6 shall be binding upon the Company and Executive and shall be made as soon as reasonably practicable and in no event later than 10 days following the date of Executive’s termination of employment. All fees and expenses of the Auditor shall be borne solely by the Company.</w:t>
      </w:r>
    </w:p>
    <w:p>
      <w:pPr>
        <w:spacing w:after="0" w:line="158" w:lineRule="exact"/>
        <w:rPr>
          <w:rFonts w:ascii="Arial" w:cs="Arial" w:eastAsia="Arial" w:hAnsi="Arial"/>
          <w:sz w:val="17"/>
          <w:szCs w:val="17"/>
          <w:color w:val="auto"/>
        </w:rPr>
      </w:pPr>
    </w:p>
    <w:p>
      <w:pPr>
        <w:ind w:right="100" w:firstLine="1270"/>
        <w:spacing w:after="0" w:line="265" w:lineRule="auto"/>
        <w:tabs>
          <w:tab w:leader="none" w:pos="192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including all final regulations promulgated thereunder and any reference to a particular section of the Code shall include any provision that modifies, replaces or supersedes such section. The parties acknowledge that Executive’s continuing agreement to be bound by the confidentiality and restrictive covenant provisions set forth in the Third Amended and Restated</w:t>
      </w:r>
    </w:p>
    <w:p>
      <w:pPr>
        <w:spacing w:after="0" w:line="1" w:lineRule="exact"/>
        <w:rPr>
          <w:rFonts w:ascii="Arial" w:cs="Arial" w:eastAsia="Arial" w:hAnsi="Arial"/>
          <w:sz w:val="18"/>
          <w:szCs w:val="18"/>
          <w:color w:val="auto"/>
        </w:rPr>
      </w:pPr>
    </w:p>
    <w:p>
      <w:pPr>
        <w:ind w:right="20"/>
        <w:spacing w:after="0" w:line="249" w:lineRule="auto"/>
        <w:rPr>
          <w:rFonts w:ascii="Arial" w:cs="Arial" w:eastAsia="Arial" w:hAnsi="Arial"/>
          <w:sz w:val="18"/>
          <w:szCs w:val="18"/>
          <w:color w:val="auto"/>
        </w:rPr>
      </w:pPr>
      <w:r>
        <w:rPr>
          <w:rFonts w:ascii="Arial" w:cs="Arial" w:eastAsia="Arial" w:hAnsi="Arial"/>
          <w:sz w:val="19"/>
          <w:szCs w:val="19"/>
          <w:color w:val="auto"/>
        </w:rPr>
        <w:t>Limited Liability Company Agreement of Virtu Financial LLC, a Delaware limited liability company, dated as of April 15, 2015, as amended (collectively, the “</w:t>
      </w:r>
      <w:r>
        <w:rPr>
          <w:rFonts w:ascii="Arial" w:cs="Arial" w:eastAsia="Arial" w:hAnsi="Arial"/>
          <w:sz w:val="19"/>
          <w:szCs w:val="19"/>
          <w:u w:val="single" w:color="auto"/>
          <w:color w:val="auto"/>
        </w:rPr>
        <w:t>Noncompetition Restrictions</w:t>
      </w:r>
      <w:r>
        <w:rPr>
          <w:rFonts w:ascii="Arial" w:cs="Arial" w:eastAsia="Arial" w:hAnsi="Arial"/>
          <w:sz w:val="19"/>
          <w:szCs w:val="19"/>
          <w:color w:val="auto"/>
        </w:rPr>
        <w:t>”) are partial consideration for the Company’s entering into this Agreement, and that at the request of Executive, the Company shall cause the Auditor to take into account the value of any reasonable compensation for services to be rendered by Executive before or after a Change in Control, including the Noncompetition Restrictions, in computing the amount of Parachute Payments under Section 280G of the Code, and the Company shall cooperate with Executive and the Auditor in performing such valuation.</w:t>
      </w:r>
    </w:p>
    <w:p>
      <w:pPr>
        <w:spacing w:after="0" w:line="172" w:lineRule="exact"/>
        <w:rPr>
          <w:sz w:val="20"/>
          <w:szCs w:val="20"/>
          <w:color w:val="auto"/>
        </w:rPr>
      </w:pPr>
    </w:p>
    <w:p>
      <w:pPr>
        <w:ind w:firstLine="1270"/>
        <w:spacing w:after="0" w:line="253" w:lineRule="auto"/>
        <w:tabs>
          <w:tab w:leader="none" w:pos="1901" w:val="left"/>
        </w:tabs>
        <w:numPr>
          <w:ilvl w:val="0"/>
          <w:numId w:val="292"/>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Restrictive Covenants</w:t>
      </w:r>
      <w:r>
        <w:rPr>
          <w:rFonts w:ascii="Arial" w:cs="Arial" w:eastAsia="Arial" w:hAnsi="Arial"/>
          <w:sz w:val="19"/>
          <w:szCs w:val="19"/>
          <w:color w:val="auto"/>
        </w:rPr>
        <w:t xml:space="preserve">. For purposes of Sections 7, 8, 9 and 10, references to the Company shall include its subsidiaries and any Affiliates of the Company that are Controlled by the Company. Executive acknowledges and agrees that Executive shall be bound by the Noncompetition Restrictions, in accordance with the terms and conditions thereof;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20"/>
          </w:cols>
          <w:pgMar w:left="840" w:top="427" w:right="739" w:bottom="1440" w:gutter="0" w:footer="0" w:header="0"/>
        </w:sectPr>
      </w:pPr>
    </w:p>
    <w:bookmarkStart w:id="364" w:name="page365"/>
    <w:bookmarkEnd w:id="364"/>
    <w:p>
      <w:pPr>
        <w:spacing w:after="0" w:line="254" w:lineRule="auto"/>
        <w:rPr>
          <w:sz w:val="20"/>
          <w:szCs w:val="20"/>
          <w:color w:val="auto"/>
        </w:rPr>
      </w:pPr>
      <w:r>
        <w:rPr>
          <w:rFonts w:ascii="Arial" w:cs="Arial" w:eastAsia="Arial" w:hAnsi="Arial"/>
          <w:sz w:val="19"/>
          <w:szCs w:val="19"/>
          <w:color w:val="auto"/>
        </w:rPr>
        <w:t>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w:t>
      </w:r>
    </w:p>
    <w:p>
      <w:pPr>
        <w:spacing w:after="0" w:line="180" w:lineRule="exact"/>
        <w:rPr>
          <w:sz w:val="20"/>
          <w:szCs w:val="20"/>
          <w:color w:val="auto"/>
        </w:rPr>
      </w:pPr>
    </w:p>
    <w:p>
      <w:pPr>
        <w:ind w:right="20" w:firstLine="1270"/>
        <w:spacing w:after="0" w:line="250" w:lineRule="auto"/>
        <w:tabs>
          <w:tab w:leader="none" w:pos="1901" w:val="left"/>
        </w:tabs>
        <w:numPr>
          <w:ilvl w:val="0"/>
          <w:numId w:val="293"/>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xml:space="preserve">. Executive acknowledges that all notes, memoranda, specifications, devices, formulas, records, files, lists, drawings, 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(including but not limited to Confidential Information and Inventions (as defined below)) are and shall remain the property of the Company, and Executive shall immediately return such property to the Company upon the termination of Executive’s employment and, in any event, at the Company’s request and subject to inspection in accordance with applicable Company employee policies generally, except as may otherwise be agreed by Executive and the Company at the time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Executive shall be permitted to retain a copy of his contacts/rolodex, including in electronic form.</w:t>
      </w:r>
    </w:p>
    <w:p>
      <w:pPr>
        <w:spacing w:after="0" w:line="187" w:lineRule="exact"/>
        <w:rPr>
          <w:rFonts w:ascii="Arial" w:cs="Arial" w:eastAsia="Arial" w:hAnsi="Arial"/>
          <w:sz w:val="19"/>
          <w:szCs w:val="19"/>
          <w:color w:val="auto"/>
        </w:rPr>
      </w:pPr>
    </w:p>
    <w:p>
      <w:pPr>
        <w:ind w:right="220" w:firstLine="1270"/>
        <w:spacing w:after="0" w:line="266" w:lineRule="auto"/>
        <w:tabs>
          <w:tab w:leader="none" w:pos="1901"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(a) Executive agrees that the results and proceeds of Executive’s services for the Company (including, but not limited to, any trade secrets, products, services, processes, know-how, designs, developments, innovations, analyses, drawings, reports, techniques, formulas, methods, developmental or experimental</w:t>
      </w:r>
    </w:p>
    <w:p>
      <w:pPr>
        <w:spacing w:after="0" w:line="2" w:lineRule="exact"/>
        <w:rPr>
          <w:rFonts w:ascii="Arial" w:cs="Arial" w:eastAsia="Arial" w:hAnsi="Arial"/>
          <w:sz w:val="18"/>
          <w:szCs w:val="18"/>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Executive, either alone or jointly with others (collectively, “</w:t>
      </w:r>
      <w:r>
        <w:rPr>
          <w:rFonts w:ascii="Arial" w:cs="Arial" w:eastAsia="Arial" w:hAnsi="Arial"/>
          <w:sz w:val="18"/>
          <w:szCs w:val="18"/>
          <w:u w:val="single" w:color="auto"/>
          <w:color w:val="auto"/>
        </w:rPr>
        <w:t>Inventions</w:t>
      </w:r>
      <w:r>
        <w:rPr>
          <w:rFonts w:ascii="Arial" w:cs="Arial" w:eastAsia="Arial" w:hAnsi="Arial"/>
          <w:sz w:val="18"/>
          <w:szCs w:val="18"/>
          <w:color w:val="auto"/>
        </w:rPr>
        <w:t>”), shall be works-made-for-hire and the Company shall be deemed the sole owner throughout the universe of any and all trade secret, patent, copyright and other intellectual property rights (collectively, “</w:t>
      </w:r>
      <w:r>
        <w:rPr>
          <w:rFonts w:ascii="Arial" w:cs="Arial" w:eastAsia="Arial" w:hAnsi="Arial"/>
          <w:sz w:val="18"/>
          <w:szCs w:val="18"/>
          <w:u w:val="single" w:color="auto"/>
          <w:color w:val="auto"/>
        </w:rPr>
        <w:t>Proprietary Rights</w:t>
      </w:r>
      <w:r>
        <w:rPr>
          <w:rFonts w:ascii="Arial" w:cs="Arial" w:eastAsia="Arial" w:hAnsi="Arial"/>
          <w:sz w:val="18"/>
          <w:szCs w:val="18"/>
          <w:color w:val="auto"/>
        </w:rPr>
        <w:t>”) of whatsoever nature therein, whether or not now or hereafter known, existing, contemplated, recognized or developed, with the right to use the same in perpetuity in any manner the Company determines in its sole discretion, without any further payment to Executive whatsoever. If, for any reason, any of such results and proceeds shall not legally be a work-made-for-hire and/or there are any Proprietary Rights which do not accrue to the Company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and the Company shall have the right to use the same in perpetuity throughout the universe in any manner determined by the Company without any further payment to Executive whatsoever. As to any Invention that Executive is required to assign, Executive shall promptly and fully disclose to the Company all information known to Executive concerning such Invention.</w:t>
      </w:r>
    </w:p>
    <w:p>
      <w:pPr>
        <w:spacing w:after="0" w:line="166" w:lineRule="exact"/>
        <w:rPr>
          <w:sz w:val="20"/>
          <w:szCs w:val="20"/>
          <w:color w:val="auto"/>
        </w:rPr>
      </w:pPr>
    </w:p>
    <w:p>
      <w:pPr>
        <w:ind w:right="40" w:firstLine="1270"/>
        <w:spacing w:after="0" w:line="251" w:lineRule="auto"/>
        <w:tabs>
          <w:tab w:leader="none" w:pos="1933" w:val="left"/>
        </w:tabs>
        <w:numPr>
          <w:ilvl w:val="0"/>
          <w:numId w:val="294"/>
        </w:numPr>
        <w:rPr>
          <w:rFonts w:ascii="Arial" w:cs="Arial" w:eastAsia="Arial" w:hAnsi="Arial"/>
          <w:sz w:val="19"/>
          <w:szCs w:val="19"/>
          <w:color w:val="auto"/>
        </w:rPr>
      </w:pPr>
      <w:r>
        <w:rPr>
          <w:rFonts w:ascii="Arial" w:cs="Arial" w:eastAsia="Arial" w:hAnsi="Arial"/>
          <w:sz w:val="19"/>
          <w:szCs w:val="19"/>
          <w:color w:val="auto"/>
        </w:rPr>
        <w:t>Executive agrees that, from time to time, as may be requested by the Company and at the Company’s sole cost and expense, Executive shall do any and all things that the Company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9(b) is subject to and shall not be deemed to limit, restrict or constitute any waiver by the Company of any Proprietary Rights of ownership to which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4">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00"/>
          </w:cols>
          <w:pgMar w:left="840" w:top="427" w:right="759" w:bottom="1440" w:gutter="0" w:footer="0" w:header="0"/>
        </w:sectPr>
      </w:pPr>
    </w:p>
    <w:bookmarkStart w:id="365" w:name="page366"/>
    <w:bookmarkEnd w:id="365"/>
    <w:p>
      <w:pPr>
        <w:spacing w:after="0" w:line="267" w:lineRule="auto"/>
        <w:rPr>
          <w:sz w:val="20"/>
          <w:szCs w:val="20"/>
          <w:color w:val="auto"/>
        </w:rPr>
      </w:pPr>
      <w:r>
        <w:rPr>
          <w:rFonts w:ascii="Arial" w:cs="Arial" w:eastAsia="Arial" w:hAnsi="Arial"/>
          <w:sz w:val="18"/>
          <w:szCs w:val="18"/>
          <w:color w:val="auto"/>
        </w:rPr>
        <w:t>Company may be entitled by operation of law by virtue of the Company’s being Executive’s employer. Executive further agrees that, from time to time, as may be requested by the Company and at the Company’s sole cost and expense, Executive shall assist the Company in every proper and lawful way to obtain and from time to time enforce Proprietary Rights relating to Inventions in any and all countries.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obligations under this Section 9 shall continue beyond the termination of Executive’s employment with the Company.</w:t>
      </w:r>
    </w:p>
    <w:p>
      <w:pPr>
        <w:spacing w:after="0" w:line="169" w:lineRule="exact"/>
        <w:rPr>
          <w:sz w:val="20"/>
          <w:szCs w:val="20"/>
          <w:color w:val="auto"/>
        </w:rPr>
      </w:pPr>
    </w:p>
    <w:p>
      <w:pPr>
        <w:ind w:firstLine="1270"/>
        <w:spacing w:after="0" w:line="306" w:lineRule="auto"/>
        <w:tabs>
          <w:tab w:leader="none" w:pos="195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Executive hereby waives and quitclaims to the Company any and all claims, of any nature whatsoever, that Executive now or may hereafter have for infringement of any Proprietary Rights assigned hereunder to the Company.</w:t>
      </w:r>
    </w:p>
    <w:p>
      <w:pPr>
        <w:spacing w:after="0" w:line="120" w:lineRule="exact"/>
        <w:rPr>
          <w:sz w:val="20"/>
          <w:szCs w:val="20"/>
          <w:color w:val="auto"/>
        </w:rPr>
      </w:pPr>
    </w:p>
    <w:p>
      <w:pPr>
        <w:ind w:right="140" w:firstLine="1270"/>
        <w:spacing w:after="0" w:line="266" w:lineRule="auto"/>
        <w:tabs>
          <w:tab w:leader="none" w:pos="1901"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Remedies and Injunctive Relief</w:t>
      </w:r>
      <w:r>
        <w:rPr>
          <w:rFonts w:ascii="Arial" w:cs="Arial" w:eastAsia="Arial" w:hAnsi="Arial"/>
          <w:sz w:val="18"/>
          <w:szCs w:val="18"/>
          <w:color w:val="auto"/>
        </w:rPr>
        <w:t>. Executive acknowledges that a violation by Executive of any of the covenants contained in Sections 7, 8 or 9 would cause irreparable damage to the Company in an amount that would be material but not readily ascertainable, and that any remedy at law (including the payment of damages) would be inadequate.</w:t>
      </w:r>
    </w:p>
    <w:p>
      <w:pPr>
        <w:spacing w:after="0" w:line="2" w:lineRule="exact"/>
        <w:rPr>
          <w:rFonts w:ascii="Arial" w:cs="Arial" w:eastAsia="Arial" w:hAnsi="Arial"/>
          <w:sz w:val="18"/>
          <w:szCs w:val="18"/>
          <w:color w:val="auto"/>
        </w:rPr>
      </w:pPr>
    </w:p>
    <w:p>
      <w:pPr>
        <w:ind w:right="340"/>
        <w:spacing w:after="0" w:line="260" w:lineRule="auto"/>
        <w:rPr>
          <w:rFonts w:ascii="Arial" w:cs="Arial" w:eastAsia="Arial" w:hAnsi="Arial"/>
          <w:sz w:val="18"/>
          <w:szCs w:val="18"/>
          <w:color w:val="auto"/>
        </w:rPr>
      </w:pPr>
      <w:r>
        <w:rPr>
          <w:rFonts w:ascii="Arial" w:cs="Arial" w:eastAsia="Arial" w:hAnsi="Arial"/>
          <w:sz w:val="18"/>
          <w:szCs w:val="18"/>
          <w:color w:val="auto"/>
        </w:rPr>
        <w:t>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7, 8 or 9 in addition to any other legal or</w:t>
      </w:r>
    </w:p>
    <w:p>
      <w:pPr>
        <w:spacing w:after="0" w:line="2" w:lineRule="exact"/>
        <w:rPr>
          <w:rFonts w:ascii="Arial" w:cs="Arial" w:eastAsia="Arial" w:hAnsi="Arial"/>
          <w:sz w:val="18"/>
          <w:szCs w:val="18"/>
          <w:color w:val="auto"/>
        </w:rPr>
      </w:pPr>
    </w:p>
    <w:p>
      <w:pPr>
        <w:ind w:right="40"/>
        <w:spacing w:after="0" w:line="288" w:lineRule="auto"/>
        <w:rPr>
          <w:rFonts w:ascii="Arial" w:cs="Arial" w:eastAsia="Arial" w:hAnsi="Arial"/>
          <w:sz w:val="18"/>
          <w:szCs w:val="18"/>
          <w:color w:val="auto"/>
        </w:rPr>
      </w:pPr>
      <w:r>
        <w:rPr>
          <w:rFonts w:ascii="Arial" w:cs="Arial" w:eastAsia="Arial" w:hAnsi="Arial"/>
          <w:sz w:val="18"/>
          <w:szCs w:val="18"/>
          <w:color w:val="auto"/>
        </w:rPr>
        <w:t>equitable remedies it may have. The preceding sentence shall not be construed as a waiver of the rights that the Company may have for damages under this Agreement or otherwise, and all of the Company’s rights shall be unrestricted.</w:t>
      </w:r>
    </w:p>
    <w:p>
      <w:pPr>
        <w:spacing w:after="0" w:line="148" w:lineRule="exact"/>
        <w:rPr>
          <w:rFonts w:ascii="Arial" w:cs="Arial" w:eastAsia="Arial" w:hAnsi="Arial"/>
          <w:sz w:val="18"/>
          <w:szCs w:val="18"/>
          <w:color w:val="auto"/>
        </w:rPr>
      </w:pPr>
    </w:p>
    <w:p>
      <w:pPr>
        <w:ind w:left="1900" w:hanging="630"/>
        <w:spacing w:after="0"/>
        <w:tabs>
          <w:tab w:leader="none" w:pos="1900" w:val="left"/>
        </w:tabs>
        <w:numPr>
          <w:ilvl w:val="1"/>
          <w:numId w:val="296"/>
        </w:numPr>
        <w:rPr>
          <w:rFonts w:ascii="Arial" w:cs="Arial" w:eastAsia="Arial" w:hAnsi="Arial"/>
          <w:sz w:val="17"/>
          <w:szCs w:val="17"/>
          <w:color w:val="auto"/>
        </w:rPr>
      </w:pPr>
      <w:r>
        <w:rPr>
          <w:rFonts w:ascii="Arial" w:cs="Arial" w:eastAsia="Arial" w:hAnsi="Arial"/>
          <w:sz w:val="17"/>
          <w:szCs w:val="17"/>
          <w:u w:val="single" w:color="auto"/>
          <w:color w:val="auto"/>
        </w:rPr>
        <w:t>Representations of Executive; Advice of Counsel</w:t>
      </w:r>
      <w:r>
        <w:rPr>
          <w:rFonts w:ascii="Arial" w:cs="Arial" w:eastAsia="Arial" w:hAnsi="Arial"/>
          <w:sz w:val="17"/>
          <w:szCs w:val="17"/>
          <w:color w:val="auto"/>
        </w:rPr>
        <w:t>. (a) Executive represents, warrants and covenants that as</w:t>
      </w:r>
    </w:p>
    <w:p>
      <w:pPr>
        <w:spacing w:after="0" w:line="45" w:lineRule="exact"/>
        <w:rPr>
          <w:rFonts w:ascii="Arial" w:cs="Arial" w:eastAsia="Arial" w:hAnsi="Arial"/>
          <w:sz w:val="17"/>
          <w:szCs w:val="17"/>
          <w:color w:val="auto"/>
        </w:rPr>
      </w:pPr>
    </w:p>
    <w:p>
      <w:pPr>
        <w:ind w:right="60"/>
        <w:spacing w:after="0" w:line="250" w:lineRule="auto"/>
        <w:rPr>
          <w:rFonts w:ascii="Arial" w:cs="Arial" w:eastAsia="Arial" w:hAnsi="Arial"/>
          <w:sz w:val="17"/>
          <w:szCs w:val="17"/>
          <w:color w:val="auto"/>
        </w:rPr>
      </w:pPr>
      <w:r>
        <w:rPr>
          <w:rFonts w:ascii="Arial" w:cs="Arial" w:eastAsia="Arial" w:hAnsi="Arial"/>
          <w:sz w:val="19"/>
          <w:szCs w:val="19"/>
          <w:color w:val="auto"/>
        </w:rPr>
        <w:t>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182" w:lineRule="exact"/>
        <w:rPr>
          <w:rFonts w:ascii="Arial" w:cs="Arial" w:eastAsia="Arial" w:hAnsi="Arial"/>
          <w:sz w:val="17"/>
          <w:szCs w:val="17"/>
          <w:color w:val="auto"/>
        </w:rPr>
      </w:pPr>
    </w:p>
    <w:p>
      <w:pPr>
        <w:ind w:right="20" w:firstLine="1269"/>
        <w:spacing w:after="0" w:line="252" w:lineRule="auto"/>
        <w:tabs>
          <w:tab w:leader="none" w:pos="1933" w:val="left"/>
        </w:tabs>
        <w:numPr>
          <w:ilvl w:val="0"/>
          <w:numId w:val="297"/>
        </w:numPr>
        <w:rPr>
          <w:rFonts w:ascii="Arial" w:cs="Arial" w:eastAsia="Arial" w:hAnsi="Arial"/>
          <w:sz w:val="19"/>
          <w:szCs w:val="19"/>
          <w:color w:val="auto"/>
        </w:rPr>
      </w:pPr>
      <w:r>
        <w:rPr>
          <w:rFonts w:ascii="Arial" w:cs="Arial" w:eastAsia="Arial" w:hAnsi="Arial"/>
          <w:sz w:val="19"/>
          <w:szCs w:val="19"/>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79" w:lineRule="exact"/>
        <w:rPr>
          <w:rFonts w:ascii="Arial" w:cs="Arial" w:eastAsia="Arial" w:hAnsi="Arial"/>
          <w:sz w:val="19"/>
          <w:szCs w:val="19"/>
          <w:color w:val="auto"/>
        </w:rPr>
      </w:pPr>
    </w:p>
    <w:p>
      <w:pPr>
        <w:ind w:right="40" w:firstLine="1270"/>
        <w:spacing w:after="0" w:line="253" w:lineRule="auto"/>
        <w:tabs>
          <w:tab w:leader="none" w:pos="1901" w:val="left"/>
        </w:tabs>
        <w:numPr>
          <w:ilvl w:val="1"/>
          <w:numId w:val="297"/>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Executive agrees that, upon reasonable notice and without the necessity of the Company obtaining a subpoena or court order, 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00"/>
          </w:cols>
          <w:pgMar w:left="840" w:top="426" w:right="759" w:bottom="1440" w:gutter="0" w:footer="0" w:header="0"/>
        </w:sectPr>
      </w:pPr>
    </w:p>
    <w:bookmarkStart w:id="366" w:name="page367"/>
    <w:bookmarkEnd w:id="366"/>
    <w:p>
      <w:pPr>
        <w:ind w:right="180"/>
        <w:spacing w:after="0" w:line="257" w:lineRule="auto"/>
        <w:rPr>
          <w:sz w:val="20"/>
          <w:szCs w:val="20"/>
          <w:color w:val="auto"/>
        </w:rPr>
      </w:pPr>
      <w:r>
        <w:rPr>
          <w:rFonts w:ascii="Arial" w:cs="Arial" w:eastAsia="Arial" w:hAnsi="Arial"/>
          <w:sz w:val="19"/>
          <w:szCs w:val="19"/>
          <w:color w:val="auto"/>
        </w:rPr>
        <w:t xml:space="preserve">depositions and at trial);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such cooperation occurring following termination of employment, the Company shall reimburse Executive for expenses reasonably incurred in connection therewith, and </w:t>
      </w:r>
      <w:r>
        <w:rPr>
          <w:rFonts w:ascii="Arial" w:cs="Arial" w:eastAsia="Arial" w:hAnsi="Arial"/>
          <w:sz w:val="19"/>
          <w:szCs w:val="19"/>
          <w:u w:val="single" w:color="auto"/>
          <w:color w:val="auto"/>
        </w:rPr>
        <w:t>further provided</w:t>
      </w:r>
      <w:r>
        <w:rPr>
          <w:rFonts w:ascii="Arial" w:cs="Arial" w:eastAsia="Arial" w:hAnsi="Arial"/>
          <w:sz w:val="19"/>
          <w:szCs w:val="19"/>
          <w:color w:val="auto"/>
        </w:rPr>
        <w:t xml:space="preserve"> that any such cooperation occurring after the termination of Executive’s employment shall be scheduled so as not to unreasonably interfere with Executive’s business or personal affairs.</w:t>
      </w:r>
    </w:p>
    <w:p>
      <w:pPr>
        <w:spacing w:after="0" w:line="175" w:lineRule="exact"/>
        <w:rPr>
          <w:sz w:val="20"/>
          <w:szCs w:val="20"/>
          <w:color w:val="auto"/>
        </w:rPr>
      </w:pPr>
    </w:p>
    <w:p>
      <w:pPr>
        <w:ind w:right="360" w:firstLine="1270"/>
        <w:spacing w:after="0" w:line="339" w:lineRule="auto"/>
        <w:tabs>
          <w:tab w:leader="none" w:pos="1901"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may deduct and withhold from any amounts payable under this Agreement such Federal, state, local, non-U.S. or other taxes as are required to be withheld pursuant to any applicable law or regulation.</w:t>
      </w:r>
    </w:p>
    <w:p>
      <w:pPr>
        <w:spacing w:after="0" w:line="95" w:lineRule="exact"/>
        <w:rPr>
          <w:rFonts w:ascii="Arial" w:cs="Arial" w:eastAsia="Arial" w:hAnsi="Arial"/>
          <w:sz w:val="17"/>
          <w:szCs w:val="17"/>
          <w:color w:val="auto"/>
        </w:rPr>
      </w:pPr>
    </w:p>
    <w:p>
      <w:pPr>
        <w:ind w:right="180" w:firstLine="1270"/>
        <w:spacing w:after="0" w:line="276" w:lineRule="auto"/>
        <w:tabs>
          <w:tab w:leader="none" w:pos="1901"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(a) 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14(b).</w:t>
      </w:r>
    </w:p>
    <w:p>
      <w:pPr>
        <w:spacing w:after="0" w:line="159" w:lineRule="exact"/>
        <w:rPr>
          <w:sz w:val="20"/>
          <w:szCs w:val="20"/>
          <w:color w:val="auto"/>
        </w:rPr>
      </w:pPr>
    </w:p>
    <w:p>
      <w:pPr>
        <w:ind w:right="140" w:firstLine="1270"/>
        <w:spacing w:after="0" w:line="248" w:lineRule="auto"/>
        <w:tabs>
          <w:tab w:leader="none" w:pos="1930" w:val="left"/>
        </w:tabs>
        <w:numPr>
          <w:ilvl w:val="0"/>
          <w:numId w:val="299"/>
        </w:numPr>
        <w:rPr>
          <w:rFonts w:ascii="Arial" w:cs="Arial" w:eastAsia="Arial" w:hAnsi="Arial"/>
          <w:sz w:val="19"/>
          <w:szCs w:val="19"/>
          <w:color w:val="auto"/>
        </w:rPr>
      </w:pPr>
      <w:r>
        <w:rPr>
          <w:rFonts w:ascii="Arial" w:cs="Arial" w:eastAsia="Arial" w:hAnsi="Arial"/>
          <w:sz w:val="19"/>
          <w:szCs w:val="19"/>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w:t>
      </w:r>
    </w:p>
    <w:p>
      <w:pPr>
        <w:spacing w:after="0" w:line="8" w:lineRule="exact"/>
        <w:rPr>
          <w:rFonts w:ascii="Arial" w:cs="Arial" w:eastAsia="Arial" w:hAnsi="Arial"/>
          <w:sz w:val="19"/>
          <w:szCs w:val="19"/>
          <w:color w:val="auto"/>
        </w:rPr>
      </w:pPr>
    </w:p>
    <w:p>
      <w:pPr>
        <w:ind w:right="240"/>
        <w:spacing w:after="0" w:line="253" w:lineRule="auto"/>
        <w:rPr>
          <w:rFonts w:ascii="Arial" w:cs="Arial" w:eastAsia="Arial" w:hAnsi="Arial"/>
          <w:sz w:val="19"/>
          <w:szCs w:val="19"/>
          <w:color w:val="auto"/>
        </w:rPr>
      </w:pPr>
      <w:r>
        <w:rPr>
          <w:rFonts w:ascii="Arial" w:cs="Arial" w:eastAsia="Arial" w:hAnsi="Arial"/>
          <w:sz w:val="19"/>
          <w:szCs w:val="19"/>
          <w:color w:val="auto"/>
        </w:rPr>
        <w:t>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192" w:lineRule="exact"/>
        <w:rPr>
          <w:rFonts w:ascii="Arial" w:cs="Arial" w:eastAsia="Arial" w:hAnsi="Arial"/>
          <w:sz w:val="19"/>
          <w:szCs w:val="19"/>
          <w:color w:val="auto"/>
        </w:rPr>
      </w:pPr>
    </w:p>
    <w:p>
      <w:pPr>
        <w:jc w:val="both"/>
        <w:ind w:right="200" w:firstLine="1270"/>
        <w:spacing w:after="0" w:line="262" w:lineRule="auto"/>
        <w:tabs>
          <w:tab w:leader="none" w:pos="192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58" w:lineRule="exact"/>
        <w:rPr>
          <w:sz w:val="20"/>
          <w:szCs w:val="20"/>
          <w:color w:val="auto"/>
        </w:rPr>
      </w:pPr>
    </w:p>
    <w:p>
      <w:pPr>
        <w:ind w:firstLine="1270"/>
        <w:spacing w:after="0" w:line="272" w:lineRule="auto"/>
        <w:tabs>
          <w:tab w:leader="none" w:pos="1901"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Governing Law; No Construction Against Drafter</w:t>
      </w:r>
      <w:r>
        <w:rPr>
          <w:rFonts w:ascii="Arial" w:cs="Arial" w:eastAsia="Arial" w:hAnsi="Arial"/>
          <w:sz w:val="18"/>
          <w:szCs w:val="18"/>
          <w:color w:val="auto"/>
        </w:rPr>
        <w:t>. This Agreement shall be deemed to be made in the State of New York, and the validity, 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63" w:lineRule="exact"/>
        <w:rPr>
          <w:rFonts w:ascii="Arial" w:cs="Arial" w:eastAsia="Arial" w:hAnsi="Arial"/>
          <w:sz w:val="18"/>
          <w:szCs w:val="18"/>
          <w:color w:val="auto"/>
        </w:rPr>
      </w:pPr>
    </w:p>
    <w:p>
      <w:pPr>
        <w:ind w:right="80" w:firstLine="1270"/>
        <w:spacing w:after="0" w:line="252" w:lineRule="auto"/>
        <w:tabs>
          <w:tab w:leader="none" w:pos="1901"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Consent to Jurisdiction; Waiver of Jury Trial</w:t>
      </w:r>
      <w:r>
        <w:rPr>
          <w:rFonts w:ascii="Arial" w:cs="Arial" w:eastAsia="Arial" w:hAnsi="Arial"/>
          <w:sz w:val="19"/>
          <w:szCs w:val="19"/>
          <w:color w:val="auto"/>
        </w:rPr>
        <w:t>. (a) Except as otherwise specifically provided herein, Executive and the Company each hereby irrevocably submits to the exclusive jurisdiction of the federal courts located within the Borough of Manhattan (or, if subject matter jurisdiction in such courts are not available, in any state court located within the Borough of Manhattan) over any dispute arising out of or relating to this Agreement. Except as otherwise specifically provided in this Agreement, the parties undertake not to commence any suit, action or proceeding arising out of or relating to this Agreement in a forum other than a forum described in this Section 16(a); provided, however, that nothing herein shall preclude either party from bringing any suit, action or proceeding in any other court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280"/>
          </w:cols>
          <w:pgMar w:left="840" w:top="426" w:right="779" w:bottom="1440" w:gutter="0" w:footer="0" w:header="0"/>
        </w:sectPr>
      </w:pPr>
    </w:p>
    <w:bookmarkStart w:id="367" w:name="page368"/>
    <w:bookmarkEnd w:id="367"/>
    <w:p>
      <w:pPr>
        <w:spacing w:after="0"/>
        <w:rPr>
          <w:sz w:val="20"/>
          <w:szCs w:val="20"/>
          <w:color w:val="auto"/>
        </w:rPr>
      </w:pPr>
      <w:r>
        <w:rPr>
          <w:rFonts w:ascii="Arial" w:cs="Arial" w:eastAsia="Arial" w:hAnsi="Arial"/>
          <w:sz w:val="19"/>
          <w:szCs w:val="19"/>
          <w:color w:val="auto"/>
        </w:rPr>
        <w:t>for the purpose of enforcing the provisions of this Section 16 or enforcing any judgment obtained by either party.</w:t>
      </w:r>
    </w:p>
    <w:p>
      <w:pPr>
        <w:spacing w:after="0" w:line="205" w:lineRule="exact"/>
        <w:rPr>
          <w:sz w:val="20"/>
          <w:szCs w:val="20"/>
          <w:color w:val="auto"/>
        </w:rPr>
      </w:pPr>
    </w:p>
    <w:p>
      <w:pPr>
        <w:ind w:firstLine="1270"/>
        <w:spacing w:after="0" w:line="267" w:lineRule="auto"/>
        <w:tabs>
          <w:tab w:leader="none" w:pos="193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agreement of the parties to the forum described in Section 16(a) is independent of the law that may be applied in any suit, action, or proceeding and the parties agree to such forum even if such forum may under applicable law choose to apply non-forum law. The parties hereby waive, to the fullest extent permitted by applicable law, any objection which they now or hereafter have to personal jurisdiction or to the laying of venue of any such suit, action or proceeding brought in an applicable court described in Section 16(a), and the parties agree that they shall not attempt to deny or defeat such personal jurisdiction by motion or other request for leave from any such court. The parties agree that, to the fullest extent permitted by applicable law, a final and non-appealable judgment in any suit, action or proceeding brought in any applicable court described in Section 16(a) shall be conclusive and binding upon the parties and may be enforced in any other jurisdiction.</w:t>
      </w:r>
    </w:p>
    <w:p>
      <w:pPr>
        <w:spacing w:after="0" w:line="168" w:lineRule="exact"/>
        <w:rPr>
          <w:rFonts w:ascii="Arial" w:cs="Arial" w:eastAsia="Arial" w:hAnsi="Arial"/>
          <w:sz w:val="18"/>
          <w:szCs w:val="18"/>
          <w:color w:val="auto"/>
        </w:rPr>
      </w:pPr>
    </w:p>
    <w:p>
      <w:pPr>
        <w:ind w:right="20" w:firstLine="1270"/>
        <w:spacing w:after="0" w:line="262" w:lineRule="auto"/>
        <w:tabs>
          <w:tab w:leader="none" w:pos="1919" w:val="left"/>
        </w:tabs>
        <w:numPr>
          <w:ilvl w:val="0"/>
          <w:numId w:val="301"/>
        </w:numPr>
        <w:rPr>
          <w:rFonts w:ascii="Arial" w:cs="Arial" w:eastAsia="Arial" w:hAnsi="Arial"/>
          <w:sz w:val="19"/>
          <w:szCs w:val="19"/>
          <w:color w:val="auto"/>
        </w:rPr>
      </w:pPr>
      <w:r>
        <w:rPr>
          <w:rFonts w:ascii="Arial" w:cs="Arial" w:eastAsia="Arial" w:hAnsi="Arial"/>
          <w:sz w:val="19"/>
          <w:szCs w:val="19"/>
          <w:color w:val="auto"/>
        </w:rPr>
        <w:t>The parties hereto irrevocably consent to the service of any and all process in any suit, action or proceeding arising out of or relating to this Agreement by the mailing of copies of such process to such party at such party’s address specified in Section 20.</w:t>
      </w:r>
    </w:p>
    <w:p>
      <w:pPr>
        <w:spacing w:after="0" w:line="170" w:lineRule="exact"/>
        <w:rPr>
          <w:rFonts w:ascii="Arial" w:cs="Arial" w:eastAsia="Arial" w:hAnsi="Arial"/>
          <w:sz w:val="19"/>
          <w:szCs w:val="19"/>
          <w:color w:val="auto"/>
        </w:rPr>
      </w:pPr>
    </w:p>
    <w:p>
      <w:pPr>
        <w:jc w:val="both"/>
        <w:ind w:right="40" w:firstLine="1270"/>
        <w:spacing w:after="0" w:line="291" w:lineRule="auto"/>
        <w:tabs>
          <w:tab w:leader="none" w:pos="1933" w:val="left"/>
        </w:tabs>
        <w:numPr>
          <w:ilvl w:val="0"/>
          <w:numId w:val="301"/>
        </w:numPr>
        <w:rPr>
          <w:rFonts w:ascii="Arial" w:cs="Arial" w:eastAsia="Arial" w:hAnsi="Arial"/>
          <w:sz w:val="17"/>
          <w:szCs w:val="17"/>
          <w:color w:val="auto"/>
        </w:rPr>
      </w:pPr>
      <w:r>
        <w:rPr>
          <w:rFonts w:ascii="Arial" w:cs="Arial" w:eastAsia="Arial" w:hAnsi="Arial"/>
          <w:sz w:val="17"/>
          <w:szCs w:val="17"/>
          <w:color w:val="auto"/>
        </w:rPr>
        <w:t>Each party hereto hereby waives, to the fullest extent permitted by applicable law, any right it may have to a trial by jury 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 (ii) acknowledges that it and the other party hereto has been induced to enter into this Agreement by, among other things, the mutual waiver and certifications in this Section 16(d).</w:t>
      </w:r>
    </w:p>
    <w:p>
      <w:pPr>
        <w:spacing w:after="0" w:line="151" w:lineRule="exact"/>
        <w:rPr>
          <w:rFonts w:ascii="Arial" w:cs="Arial" w:eastAsia="Arial" w:hAnsi="Arial"/>
          <w:sz w:val="17"/>
          <w:szCs w:val="17"/>
          <w:color w:val="auto"/>
        </w:rPr>
      </w:pPr>
    </w:p>
    <w:p>
      <w:pPr>
        <w:ind w:right="560" w:firstLine="1270"/>
        <w:spacing w:after="0" w:line="270" w:lineRule="auto"/>
        <w:tabs>
          <w:tab w:leader="none" w:pos="192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party shall bear its own costs and expenses (including reasonable attorneys’ fees and expenses) incurred in connection with any dispute arising out of or relating to this Agreement, except as provided in the</w:t>
      </w:r>
    </w:p>
    <w:p>
      <w:pPr>
        <w:ind w:right="20"/>
        <w:spacing w:after="0" w:line="265" w:lineRule="auto"/>
        <w:rPr>
          <w:rFonts w:ascii="Arial" w:cs="Arial" w:eastAsia="Arial" w:hAnsi="Arial"/>
          <w:sz w:val="18"/>
          <w:szCs w:val="18"/>
          <w:color w:val="auto"/>
        </w:rPr>
      </w:pPr>
      <w:r>
        <w:rPr>
          <w:rFonts w:ascii="Arial" w:cs="Arial" w:eastAsia="Arial" w:hAnsi="Arial"/>
          <w:sz w:val="18"/>
          <w:szCs w:val="18"/>
          <w:color w:val="auto"/>
        </w:rPr>
        <w:t>following sentence. The Company agrees to pay as incurred (within ten (10) days following the Company’s receipt of an invoice from Executive), to the fullest extent permitted by law, all legal fees and expenses that Executive may reasonably incur as a result of any contest (regardless of the outcome thereof) by the Company, Executive or others of the validity or enforceability of, or liability under, any provision of this Agreement or any guarantee of performance thereof (including as a result of any contest by Executive about the amount of any payment pursuant to this Agreement) that arises in connection with or following a Change in Control, plus, in each case, interest on any delayed payment at the applicable federal rate provided for in Section 7872(f)(2)(A) of the Code (“Interest”), based on the applicable rate on the date such legal fees and expenses were incurred.</w:t>
      </w:r>
    </w:p>
    <w:p>
      <w:pPr>
        <w:spacing w:after="0" w:line="183" w:lineRule="exact"/>
        <w:rPr>
          <w:sz w:val="20"/>
          <w:szCs w:val="20"/>
          <w:color w:val="auto"/>
        </w:rPr>
      </w:pPr>
    </w:p>
    <w:p>
      <w:pPr>
        <w:ind w:right="60" w:firstLine="1270"/>
        <w:spacing w:after="0" w:line="268" w:lineRule="auto"/>
        <w:tabs>
          <w:tab w:leader="none" w:pos="1901"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Amendment; No Waiver; Severability</w:t>
      </w:r>
      <w:r>
        <w:rPr>
          <w:rFonts w:ascii="Arial" w:cs="Arial" w:eastAsia="Arial" w:hAnsi="Arial"/>
          <w:sz w:val="18"/>
          <w:szCs w:val="18"/>
          <w:color w:val="auto"/>
        </w:rPr>
        <w:t>. (a) 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1" w:lineRule="exact"/>
        <w:rPr>
          <w:rFonts w:ascii="Arial" w:cs="Arial" w:eastAsia="Arial" w:hAnsi="Arial"/>
          <w:sz w:val="18"/>
          <w:szCs w:val="18"/>
          <w:color w:val="auto"/>
        </w:rPr>
      </w:pPr>
    </w:p>
    <w:p>
      <w:pPr>
        <w:ind w:right="420" w:firstLine="1269"/>
        <w:spacing w:after="0" w:line="262" w:lineRule="auto"/>
        <w:tabs>
          <w:tab w:leader="none" w:pos="1933" w:val="left"/>
        </w:tabs>
        <w:numPr>
          <w:ilvl w:val="0"/>
          <w:numId w:val="303"/>
        </w:numPr>
        <w:rPr>
          <w:rFonts w:ascii="Arial" w:cs="Arial" w:eastAsia="Arial" w:hAnsi="Arial"/>
          <w:sz w:val="19"/>
          <w:szCs w:val="19"/>
          <w:color w:val="auto"/>
        </w:rPr>
      </w:pPr>
      <w:r>
        <w:rPr>
          <w:rFonts w:ascii="Arial" w:cs="Arial" w:eastAsia="Arial" w:hAnsi="Arial"/>
          <w:sz w:val="19"/>
          <w:szCs w:val="19"/>
          <w:color w:val="auto"/>
        </w:rPr>
        <w:t>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165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7">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280"/>
          </w:cols>
          <w:pgMar w:left="840" w:top="427" w:right="779" w:bottom="1440" w:gutter="0" w:footer="0" w:header="0"/>
        </w:sectPr>
      </w:pPr>
    </w:p>
    <w:bookmarkStart w:id="368" w:name="page369"/>
    <w:bookmarkEnd w:id="368"/>
    <w:p>
      <w:pPr>
        <w:ind w:left="100" w:right="120"/>
        <w:spacing w:after="0" w:line="266" w:lineRule="auto"/>
        <w:rPr>
          <w:sz w:val="20"/>
          <w:szCs w:val="20"/>
          <w:color w:val="auto"/>
        </w:rPr>
      </w:pPr>
      <w:r>
        <w:rPr>
          <w:rFonts w:ascii="Arial" w:cs="Arial" w:eastAsia="Arial" w:hAnsi="Arial"/>
          <w:sz w:val="18"/>
          <w:szCs w:val="18"/>
          <w:color w:val="auto"/>
        </w:rPr>
        <w:t xml:space="preserve">transactions contemplated by this Agreement is not affected in any manner materially adverse to any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71" w:lineRule="exact"/>
        <w:rPr>
          <w:sz w:val="20"/>
          <w:szCs w:val="20"/>
          <w:color w:val="auto"/>
        </w:rPr>
      </w:pPr>
    </w:p>
    <w:p>
      <w:pPr>
        <w:ind w:left="100" w:right="60" w:firstLine="1270"/>
        <w:spacing w:after="0" w:line="254" w:lineRule="auto"/>
        <w:tabs>
          <w:tab w:leader="none" w:pos="2001"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79" w:lineRule="exact"/>
        <w:rPr>
          <w:rFonts w:ascii="Arial" w:cs="Arial" w:eastAsia="Arial" w:hAnsi="Arial"/>
          <w:sz w:val="19"/>
          <w:szCs w:val="19"/>
          <w:color w:val="auto"/>
        </w:rPr>
      </w:pPr>
    </w:p>
    <w:p>
      <w:pPr>
        <w:ind w:left="100" w:right="80" w:firstLine="1270"/>
        <w:spacing w:after="0" w:line="276" w:lineRule="auto"/>
        <w:tabs>
          <w:tab w:leader="none" w:pos="2001"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rights and obligations of the parties under the provisions of this Agreement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59" w:lineRule="exact"/>
        <w:rPr>
          <w:rFonts w:ascii="Arial" w:cs="Arial" w:eastAsia="Arial" w:hAnsi="Arial"/>
          <w:sz w:val="18"/>
          <w:szCs w:val="18"/>
          <w:color w:val="auto"/>
        </w:rPr>
      </w:pPr>
    </w:p>
    <w:p>
      <w:pPr>
        <w:ind w:left="100" w:right="20" w:firstLine="1270"/>
        <w:spacing w:after="0" w:line="254" w:lineRule="auto"/>
        <w:tabs>
          <w:tab w:leader="none" w:pos="2001"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ind w:left="780"/>
              <w:spacing w:after="0"/>
              <w:rPr>
                <w:sz w:val="20"/>
                <w:szCs w:val="20"/>
                <w:color w:val="auto"/>
              </w:rPr>
            </w:pPr>
            <w:r>
              <w:rPr>
                <w:rFonts w:ascii="Arial" w:cs="Arial" w:eastAsia="Arial" w:hAnsi="Arial"/>
                <w:sz w:val="19"/>
                <w:szCs w:val="19"/>
                <w:color w:val="auto"/>
              </w:rPr>
              <w:t>If to the Company:</w:t>
            </w:r>
          </w:p>
        </w:tc>
        <w:tc>
          <w:tcPr>
            <w:tcW w:w="6840" w:type="dxa"/>
            <w:vAlign w:val="bottom"/>
          </w:tcPr>
          <w:p>
            <w:pPr>
              <w:ind w:left="560"/>
              <w:spacing w:after="0"/>
              <w:rPr>
                <w:sz w:val="20"/>
                <w:szCs w:val="20"/>
                <w:color w:val="auto"/>
              </w:rPr>
            </w:pPr>
            <w:r>
              <w:rPr>
                <w:rFonts w:ascii="Arial" w:cs="Arial" w:eastAsia="Arial" w:hAnsi="Arial"/>
                <w:sz w:val="19"/>
                <w:szCs w:val="19"/>
                <w:color w:val="auto"/>
              </w:rPr>
              <w:t>Virtu Financial, Inc.</w:t>
            </w:r>
          </w:p>
        </w:tc>
      </w:tr>
      <w:tr>
        <w:trPr>
          <w:trHeight w:val="238"/>
        </w:trPr>
        <w:tc>
          <w:tcPr>
            <w:tcW w:w="3580" w:type="dxa"/>
            <w:vAlign w:val="bottom"/>
          </w:tcPr>
          <w:p>
            <w:pPr>
              <w:spacing w:after="0"/>
              <w:rPr>
                <w:sz w:val="20"/>
                <w:szCs w:val="20"/>
                <w:color w:val="auto"/>
              </w:rPr>
            </w:pPr>
          </w:p>
        </w:tc>
        <w:tc>
          <w:tcPr>
            <w:tcW w:w="6840" w:type="dxa"/>
            <w:vAlign w:val="bottom"/>
          </w:tcPr>
          <w:p>
            <w:pPr>
              <w:ind w:left="560"/>
              <w:spacing w:after="0"/>
              <w:rPr>
                <w:sz w:val="20"/>
                <w:szCs w:val="20"/>
                <w:color w:val="auto"/>
              </w:rPr>
            </w:pPr>
            <w:r>
              <w:rPr>
                <w:rFonts w:ascii="Arial" w:cs="Arial" w:eastAsia="Arial" w:hAnsi="Arial"/>
                <w:sz w:val="19"/>
                <w:szCs w:val="19"/>
                <w:color w:val="auto"/>
              </w:rPr>
              <w:t>300 Vesey Street New York, NY 10282</w:t>
            </w:r>
          </w:p>
        </w:tc>
      </w:tr>
      <w:tr>
        <w:trPr>
          <w:trHeight w:val="225"/>
        </w:trPr>
        <w:tc>
          <w:tcPr>
            <w:tcW w:w="3580" w:type="dxa"/>
            <w:vAlign w:val="bottom"/>
          </w:tcPr>
          <w:p>
            <w:pPr>
              <w:spacing w:after="0"/>
              <w:rPr>
                <w:sz w:val="19"/>
                <w:szCs w:val="19"/>
                <w:color w:val="auto"/>
              </w:rPr>
            </w:pPr>
          </w:p>
        </w:tc>
        <w:tc>
          <w:tcPr>
            <w:tcW w:w="6840" w:type="dxa"/>
            <w:vAlign w:val="bottom"/>
          </w:tcPr>
          <w:p>
            <w:pPr>
              <w:ind w:left="580"/>
              <w:spacing w:after="0"/>
              <w:rPr>
                <w:sz w:val="20"/>
                <w:szCs w:val="20"/>
                <w:color w:val="auto"/>
              </w:rPr>
            </w:pPr>
            <w:r>
              <w:rPr>
                <w:rFonts w:ascii="Arial" w:cs="Arial" w:eastAsia="Arial" w:hAnsi="Arial"/>
                <w:sz w:val="19"/>
                <w:szCs w:val="19"/>
                <w:color w:val="auto"/>
              </w:rPr>
              <w:t>Attn: Legal Department Fax: (212) 418-0010</w:t>
            </w:r>
          </w:p>
        </w:tc>
      </w:tr>
      <w:tr>
        <w:trPr>
          <w:trHeight w:val="247"/>
        </w:trPr>
        <w:tc>
          <w:tcPr>
            <w:tcW w:w="3580" w:type="dxa"/>
            <w:vAlign w:val="bottom"/>
          </w:tcPr>
          <w:p>
            <w:pPr>
              <w:spacing w:after="0"/>
              <w:rPr>
                <w:sz w:val="21"/>
                <w:szCs w:val="21"/>
                <w:color w:val="auto"/>
              </w:rPr>
            </w:pPr>
          </w:p>
        </w:tc>
        <w:tc>
          <w:tcPr>
            <w:tcW w:w="6840" w:type="dxa"/>
            <w:vAlign w:val="bottom"/>
          </w:tcPr>
          <w:p>
            <w:pPr>
              <w:ind w:left="580"/>
              <w:spacing w:after="0"/>
              <w:rPr>
                <w:sz w:val="20"/>
                <w:szCs w:val="20"/>
                <w:color w:val="auto"/>
              </w:rPr>
            </w:pPr>
            <w:r>
              <w:rPr>
                <w:rFonts w:ascii="Arial" w:cs="Arial" w:eastAsia="Arial" w:hAnsi="Arial"/>
                <w:sz w:val="19"/>
                <w:szCs w:val="19"/>
                <w:color w:val="auto"/>
              </w:rPr>
              <w:t>E-mail: Legal@virtu.com</w:t>
            </w:r>
          </w:p>
        </w:tc>
      </w:tr>
      <w:tr>
        <w:trPr>
          <w:trHeight w:val="428"/>
        </w:trPr>
        <w:tc>
          <w:tcPr>
            <w:tcW w:w="3580" w:type="dxa"/>
            <w:vAlign w:val="bottom"/>
          </w:tcPr>
          <w:p>
            <w:pPr>
              <w:ind w:left="780"/>
              <w:spacing w:after="0"/>
              <w:rPr>
                <w:sz w:val="20"/>
                <w:szCs w:val="20"/>
                <w:color w:val="auto"/>
              </w:rPr>
            </w:pPr>
            <w:r>
              <w:rPr>
                <w:rFonts w:ascii="Arial" w:cs="Arial" w:eastAsia="Arial" w:hAnsi="Arial"/>
                <w:sz w:val="19"/>
                <w:szCs w:val="19"/>
                <w:color w:val="auto"/>
              </w:rPr>
              <w:t>With a copy (which shall not</w:t>
            </w:r>
          </w:p>
        </w:tc>
        <w:tc>
          <w:tcPr>
            <w:tcW w:w="6840" w:type="dxa"/>
            <w:vAlign w:val="bottom"/>
          </w:tcPr>
          <w:p>
            <w:pPr>
              <w:spacing w:after="0"/>
              <w:rPr>
                <w:sz w:val="24"/>
                <w:szCs w:val="24"/>
                <w:color w:val="auto"/>
              </w:rPr>
            </w:pPr>
          </w:p>
        </w:tc>
      </w:tr>
      <w:tr>
        <w:trPr>
          <w:trHeight w:val="225"/>
        </w:trPr>
        <w:tc>
          <w:tcPr>
            <w:tcW w:w="3580" w:type="dxa"/>
            <w:vAlign w:val="bottom"/>
          </w:tcPr>
          <w:p>
            <w:pPr>
              <w:ind w:left="780"/>
              <w:spacing w:after="0"/>
              <w:rPr>
                <w:sz w:val="20"/>
                <w:szCs w:val="20"/>
                <w:color w:val="auto"/>
              </w:rPr>
            </w:pPr>
            <w:r>
              <w:rPr>
                <w:rFonts w:ascii="Arial" w:cs="Arial" w:eastAsia="Arial" w:hAnsi="Arial"/>
                <w:sz w:val="19"/>
                <w:szCs w:val="19"/>
                <w:color w:val="auto"/>
              </w:rPr>
              <w:t>constitute notice) to:</w:t>
            </w:r>
          </w:p>
        </w:tc>
        <w:tc>
          <w:tcPr>
            <w:tcW w:w="6840" w:type="dxa"/>
            <w:vAlign w:val="bottom"/>
          </w:tcPr>
          <w:p>
            <w:pPr>
              <w:ind w:left="580"/>
              <w:spacing w:after="0"/>
              <w:rPr>
                <w:sz w:val="20"/>
                <w:szCs w:val="20"/>
                <w:color w:val="auto"/>
              </w:rPr>
            </w:pPr>
            <w:r>
              <w:rPr>
                <w:rFonts w:ascii="Arial" w:cs="Arial" w:eastAsia="Arial" w:hAnsi="Arial"/>
                <w:sz w:val="19"/>
                <w:szCs w:val="19"/>
                <w:color w:val="auto"/>
                <w:w w:val="97"/>
              </w:rPr>
              <w:t>Paul, Weiss, Rifkind, Wharton &amp; Garrison LLP 1285 Avenue of the Americas</w:t>
            </w:r>
          </w:p>
        </w:tc>
      </w:tr>
      <w:tr>
        <w:trPr>
          <w:trHeight w:val="238"/>
        </w:trPr>
        <w:tc>
          <w:tcPr>
            <w:tcW w:w="3580" w:type="dxa"/>
            <w:vAlign w:val="bottom"/>
          </w:tcPr>
          <w:p>
            <w:pPr>
              <w:spacing w:after="0"/>
              <w:rPr>
                <w:sz w:val="20"/>
                <w:szCs w:val="20"/>
                <w:color w:val="auto"/>
              </w:rPr>
            </w:pPr>
          </w:p>
        </w:tc>
        <w:tc>
          <w:tcPr>
            <w:tcW w:w="6840" w:type="dxa"/>
            <w:vAlign w:val="bottom"/>
          </w:tcPr>
          <w:p>
            <w:pPr>
              <w:ind w:left="560"/>
              <w:spacing w:after="0"/>
              <w:rPr>
                <w:sz w:val="20"/>
                <w:szCs w:val="20"/>
                <w:color w:val="auto"/>
              </w:rPr>
            </w:pPr>
            <w:r>
              <w:rPr>
                <w:rFonts w:ascii="Arial" w:cs="Arial" w:eastAsia="Arial" w:hAnsi="Arial"/>
                <w:sz w:val="19"/>
                <w:szCs w:val="19"/>
                <w:color w:val="auto"/>
              </w:rPr>
              <w:t>New York, NY 10019-6064</w:t>
            </w:r>
          </w:p>
        </w:tc>
      </w:tr>
      <w:tr>
        <w:trPr>
          <w:trHeight w:val="225"/>
        </w:trPr>
        <w:tc>
          <w:tcPr>
            <w:tcW w:w="3580" w:type="dxa"/>
            <w:vAlign w:val="bottom"/>
          </w:tcPr>
          <w:p>
            <w:pPr>
              <w:spacing w:after="0"/>
              <w:rPr>
                <w:sz w:val="19"/>
                <w:szCs w:val="19"/>
                <w:color w:val="auto"/>
              </w:rPr>
            </w:pPr>
          </w:p>
        </w:tc>
        <w:tc>
          <w:tcPr>
            <w:tcW w:w="6840" w:type="dxa"/>
            <w:vAlign w:val="bottom"/>
          </w:tcPr>
          <w:p>
            <w:pPr>
              <w:ind w:left="560"/>
              <w:spacing w:after="0"/>
              <w:rPr>
                <w:sz w:val="20"/>
                <w:szCs w:val="20"/>
                <w:color w:val="auto"/>
              </w:rPr>
            </w:pPr>
            <w:r>
              <w:rPr>
                <w:rFonts w:ascii="Arial" w:cs="Arial" w:eastAsia="Arial" w:hAnsi="Arial"/>
                <w:sz w:val="19"/>
                <w:szCs w:val="19"/>
                <w:color w:val="auto"/>
              </w:rPr>
              <w:t>Telephone: (212) 373-3000</w:t>
            </w:r>
          </w:p>
        </w:tc>
      </w:tr>
      <w:tr>
        <w:trPr>
          <w:trHeight w:val="225"/>
        </w:trPr>
        <w:tc>
          <w:tcPr>
            <w:tcW w:w="3580" w:type="dxa"/>
            <w:vAlign w:val="bottom"/>
          </w:tcPr>
          <w:p>
            <w:pPr>
              <w:spacing w:after="0"/>
              <w:rPr>
                <w:sz w:val="19"/>
                <w:szCs w:val="19"/>
                <w:color w:val="auto"/>
              </w:rPr>
            </w:pPr>
          </w:p>
        </w:tc>
        <w:tc>
          <w:tcPr>
            <w:tcW w:w="6840" w:type="dxa"/>
            <w:vAlign w:val="bottom"/>
          </w:tcPr>
          <w:p>
            <w:pPr>
              <w:ind w:left="560"/>
              <w:spacing w:after="0"/>
              <w:rPr>
                <w:sz w:val="20"/>
                <w:szCs w:val="20"/>
                <w:color w:val="auto"/>
              </w:rPr>
            </w:pPr>
            <w:r>
              <w:rPr>
                <w:rFonts w:ascii="Arial" w:cs="Arial" w:eastAsia="Arial" w:hAnsi="Arial"/>
                <w:sz w:val="19"/>
                <w:szCs w:val="19"/>
                <w:color w:val="auto"/>
              </w:rPr>
              <w:t>Facsimile: (212) 757-3990 Attention: John C. Kennedy</w:t>
            </w:r>
          </w:p>
        </w:tc>
      </w:tr>
      <w:tr>
        <w:trPr>
          <w:trHeight w:val="247"/>
        </w:trPr>
        <w:tc>
          <w:tcPr>
            <w:tcW w:w="3580" w:type="dxa"/>
            <w:vAlign w:val="bottom"/>
          </w:tcPr>
          <w:p>
            <w:pPr>
              <w:spacing w:after="0"/>
              <w:rPr>
                <w:sz w:val="21"/>
                <w:szCs w:val="21"/>
                <w:color w:val="auto"/>
              </w:rPr>
            </w:pPr>
          </w:p>
        </w:tc>
        <w:tc>
          <w:tcPr>
            <w:tcW w:w="6840" w:type="dxa"/>
            <w:vAlign w:val="bottom"/>
          </w:tcPr>
          <w:p>
            <w:pPr>
              <w:ind w:left="1460"/>
              <w:spacing w:after="0"/>
              <w:rPr>
                <w:sz w:val="20"/>
                <w:szCs w:val="20"/>
                <w:color w:val="auto"/>
              </w:rPr>
            </w:pPr>
            <w:r>
              <w:rPr>
                <w:rFonts w:ascii="Arial" w:cs="Arial" w:eastAsia="Arial" w:hAnsi="Arial"/>
                <w:sz w:val="19"/>
                <w:szCs w:val="19"/>
                <w:color w:val="auto"/>
              </w:rPr>
              <w:t>Jeffrey D. Marell</w:t>
            </w:r>
          </w:p>
        </w:tc>
      </w:tr>
      <w:tr>
        <w:trPr>
          <w:trHeight w:val="437"/>
        </w:trPr>
        <w:tc>
          <w:tcPr>
            <w:tcW w:w="3580" w:type="dxa"/>
            <w:vAlign w:val="bottom"/>
          </w:tcPr>
          <w:p>
            <w:pPr>
              <w:ind w:left="740"/>
              <w:spacing w:after="0"/>
              <w:rPr>
                <w:sz w:val="20"/>
                <w:szCs w:val="20"/>
                <w:color w:val="auto"/>
              </w:rPr>
            </w:pPr>
            <w:r>
              <w:rPr>
                <w:rFonts w:ascii="Arial" w:cs="Arial" w:eastAsia="Arial" w:hAnsi="Arial"/>
                <w:sz w:val="19"/>
                <w:szCs w:val="19"/>
                <w:color w:val="auto"/>
              </w:rPr>
              <w:t>If to Executive:</w:t>
            </w:r>
          </w:p>
        </w:tc>
        <w:tc>
          <w:tcPr>
            <w:tcW w:w="6840" w:type="dxa"/>
            <w:vAlign w:val="bottom"/>
          </w:tcPr>
          <w:p>
            <w:pPr>
              <w:ind w:left="580"/>
              <w:spacing w:after="0"/>
              <w:rPr>
                <w:sz w:val="20"/>
                <w:szCs w:val="20"/>
                <w:color w:val="auto"/>
              </w:rPr>
            </w:pPr>
            <w:r>
              <w:rPr>
                <w:rFonts w:ascii="Arial" w:cs="Arial" w:eastAsia="Arial" w:hAnsi="Arial"/>
                <w:sz w:val="19"/>
                <w:szCs w:val="19"/>
                <w:color w:val="auto"/>
              </w:rPr>
              <w:t>At the most recent address on file in the Company’s records</w:t>
            </w:r>
          </w:p>
        </w:tc>
      </w:tr>
      <w:tr>
        <w:trPr>
          <w:trHeight w:val="854"/>
        </w:trPr>
        <w:tc>
          <w:tcPr>
            <w:tcW w:w="3580" w:type="dxa"/>
            <w:vAlign w:val="bottom"/>
          </w:tcPr>
          <w:p>
            <w:pPr>
              <w:spacing w:after="0"/>
              <w:rPr>
                <w:sz w:val="24"/>
                <w:szCs w:val="24"/>
                <w:color w:val="auto"/>
              </w:rPr>
            </w:pPr>
          </w:p>
        </w:tc>
        <w:tc>
          <w:tcPr>
            <w:tcW w:w="6840" w:type="dxa"/>
            <w:vAlign w:val="bottom"/>
          </w:tcPr>
          <w:p>
            <w:pPr>
              <w:ind w:left="1540"/>
              <w:spacing w:after="0"/>
              <w:rPr>
                <w:sz w:val="20"/>
                <w:szCs w:val="20"/>
                <w:color w:val="auto"/>
              </w:rPr>
            </w:pPr>
            <w:r>
              <w:rPr>
                <w:rFonts w:ascii="Arial" w:cs="Arial" w:eastAsia="Arial" w:hAnsi="Arial"/>
                <w:sz w:val="18"/>
                <w:szCs w:val="18"/>
                <w:color w:val="auto"/>
              </w:rPr>
              <w:t>14</w:t>
            </w:r>
          </w:p>
        </w:tc>
      </w:tr>
      <w:tr>
        <w:trPr>
          <w:trHeight w:val="113"/>
        </w:trPr>
        <w:tc>
          <w:tcPr>
            <w:tcW w:w="3580" w:type="dxa"/>
            <w:vAlign w:val="bottom"/>
            <w:tcBorders>
              <w:bottom w:val="single" w:sz="8" w:color="auto"/>
            </w:tcBorders>
          </w:tcPr>
          <w:p>
            <w:pPr>
              <w:spacing w:after="0"/>
              <w:rPr>
                <w:sz w:val="9"/>
                <w:szCs w:val="9"/>
                <w:color w:val="auto"/>
              </w:rPr>
            </w:pPr>
          </w:p>
        </w:tc>
        <w:tc>
          <w:tcPr>
            <w:tcW w:w="6840" w:type="dxa"/>
            <w:vAlign w:val="bottom"/>
            <w:tcBorders>
              <w:bottom w:val="single" w:sz="8" w:color="auto"/>
            </w:tcBorders>
          </w:tcPr>
          <w:p>
            <w:pPr>
              <w:spacing w:after="0"/>
              <w:rPr>
                <w:sz w:val="9"/>
                <w:szCs w:val="9"/>
                <w:color w:val="auto"/>
              </w:rPr>
            </w:pPr>
          </w:p>
        </w:tc>
      </w:tr>
    </w:tbl>
    <w:p>
      <w:pPr>
        <w:sectPr>
          <w:pgSz w:w="11900" w:h="16838" w:orient="portrait"/>
          <w:cols w:equalWidth="0" w:num="1">
            <w:col w:w="10420"/>
          </w:cols>
          <w:pgMar w:left="740" w:top="426" w:right="739" w:bottom="1440" w:gutter="0" w:footer="0" w:header="0"/>
        </w:sectPr>
      </w:pPr>
    </w:p>
    <w:bookmarkStart w:id="369" w:name="page370"/>
    <w:bookmarkEnd w:id="369"/>
    <w:p>
      <w:pPr>
        <w:ind w:left="1260"/>
        <w:spacing w:after="0"/>
        <w:rPr>
          <w:sz w:val="20"/>
          <w:szCs w:val="20"/>
          <w:color w:val="auto"/>
        </w:rPr>
      </w:pPr>
      <w:r>
        <w:rPr>
          <w:rFonts w:ascii="Arial" w:cs="Arial" w:eastAsia="Arial" w:hAnsi="Arial"/>
          <w:sz w:val="18"/>
          <w:szCs w:val="18"/>
          <w:color w:val="auto"/>
        </w:rPr>
        <w:t>Notices delivered by facsimile shall have the same legal effect as if such notice had been delivered in person.</w:t>
      </w:r>
    </w:p>
    <w:p>
      <w:pPr>
        <w:spacing w:after="0" w:line="216" w:lineRule="exact"/>
        <w:rPr>
          <w:sz w:val="20"/>
          <w:szCs w:val="20"/>
          <w:color w:val="auto"/>
        </w:rPr>
      </w:pPr>
    </w:p>
    <w:p>
      <w:pPr>
        <w:ind w:right="300" w:firstLine="1270"/>
        <w:spacing w:after="0" w:line="307" w:lineRule="auto"/>
        <w:tabs>
          <w:tab w:leader="none" w:pos="1901"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Headings and References</w:t>
      </w:r>
      <w:r>
        <w:rPr>
          <w:rFonts w:ascii="Arial" w:cs="Arial" w:eastAsia="Arial" w:hAnsi="Arial"/>
          <w:sz w:val="17"/>
          <w:szCs w:val="17"/>
          <w:color w:val="auto"/>
        </w:rPr>
        <w:t>.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49" w:lineRule="exact"/>
        <w:rPr>
          <w:rFonts w:ascii="Arial" w:cs="Arial" w:eastAsia="Arial" w:hAnsi="Arial"/>
          <w:sz w:val="17"/>
          <w:szCs w:val="17"/>
          <w:color w:val="auto"/>
        </w:rPr>
      </w:pPr>
    </w:p>
    <w:p>
      <w:pPr>
        <w:ind w:right="60" w:firstLine="1270"/>
        <w:spacing w:after="0" w:line="257" w:lineRule="auto"/>
        <w:tabs>
          <w:tab w:leader="none" w:pos="1901"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5" w:lineRule="exact"/>
        <w:rPr>
          <w:rFonts w:ascii="Arial" w:cs="Arial" w:eastAsia="Arial" w:hAnsi="Arial"/>
          <w:sz w:val="19"/>
          <w:szCs w:val="19"/>
          <w:color w:val="auto"/>
        </w:rPr>
      </w:pPr>
    </w:p>
    <w:p>
      <w:pPr>
        <w:jc w:val="both"/>
        <w:ind w:right="120" w:firstLine="1270"/>
        <w:spacing w:after="0" w:line="276" w:lineRule="auto"/>
        <w:tabs>
          <w:tab w:leader="none" w:pos="1901"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(a) For purposes of this Agreement, “</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w:t>
      </w:r>
    </w:p>
    <w:p>
      <w:pPr>
        <w:spacing w:after="0" w:line="159" w:lineRule="exact"/>
        <w:rPr>
          <w:sz w:val="20"/>
          <w:szCs w:val="20"/>
          <w:color w:val="auto"/>
        </w:rPr>
      </w:pPr>
    </w:p>
    <w:p>
      <w:pPr>
        <w:ind w:right="40" w:firstLine="1270"/>
        <w:spacing w:after="0" w:line="265" w:lineRule="auto"/>
        <w:tabs>
          <w:tab w:leader="none" w:pos="193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the following special rule shall apply, if and to the extent required by Section 409A, in the event that (i) Executive is deemed to be a “specified employee” within the meaning of Section 409A(a)(2)(B)(i) (as determined in accordance with the methodology established by the Company as in effect on the date of Executive’s “separation from service” (within the meaning of Treasury Regulations Section 1.409A-1(h)), (ii) amounts or benefits under this Agreement or any other program, plan or arrangement of the Company or a controlled group affiliate thereof are due or payable on account of separation from service and (iii) Executive is employed by a public company or a controlled group affiliate thereof: no payments hereunder that are “deferred compensation” subject to Section 409A shall be made to Executive prior to the date that is six (6) months after the date of Executive’s separation from service or, if earlier, ten (10) days following Executive’s date of death; following any applicable six (6)-month delay, all such delayed payments, plus Interest based on the applicable rate as of the date payment would have been made but for the Section 409A delay, will be paid in a single lump sum on the earliest permissible payment date.</w:t>
      </w:r>
    </w:p>
    <w:p>
      <w:pPr>
        <w:spacing w:after="0" w:line="158" w:lineRule="exact"/>
        <w:rPr>
          <w:rFonts w:ascii="Arial" w:cs="Arial" w:eastAsia="Arial" w:hAnsi="Arial"/>
          <w:sz w:val="18"/>
          <w:szCs w:val="18"/>
          <w:color w:val="auto"/>
        </w:rPr>
      </w:pPr>
    </w:p>
    <w:p>
      <w:pPr>
        <w:ind w:firstLine="1270"/>
        <w:spacing w:after="0" w:line="264" w:lineRule="auto"/>
        <w:tabs>
          <w:tab w:leader="none" w:pos="191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Any payment or benefit due or payable on account of Executive’s separation from service that represents a “deferral of compensation” within the meaning of Section 409A shall commence to be paid or provided to Executive sixty-one (61) days following Executive’s separation from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Executive executes, if required by Section 5(e), the Release described therein, within sixty (60) days following his “separation from service.” 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Regulations §§ 1.409A-1(b)(4) (“short-term deferrals”) and (b)(9) (“separation pay plans,” including the exception under subparagraph (iii)) and other applicable provisions of Section 409A, and shall be paid under any such exception to the maximum extent permitted. For purposes of this Agreement, with respect to payments of any amounts that are considered to be “deferred compensation” subject to Section 409A, references to “termination of employment,” “termination,” or words and phrases of similar import, shall be deemed to refer to Executive’s “separation from service” as defined in Section 409A, and shall be interpreted and applied in a manner that is consistent with the requirements of Section 409A. In no event may Executive, directly or indirectly, designate the calendar year of any payment under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78105</wp:posOffset>
            </wp:positionV>
            <wp:extent cx="661098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00"/>
          </w:cols>
          <w:pgMar w:left="840" w:top="427" w:right="759" w:bottom="1440" w:gutter="0" w:footer="0" w:header="0"/>
        </w:sectPr>
      </w:pPr>
    </w:p>
    <w:bookmarkStart w:id="370" w:name="page371"/>
    <w:bookmarkEnd w:id="370"/>
    <w:p>
      <w:pPr>
        <w:ind w:left="-40" w:firstLine="1270"/>
        <w:spacing w:after="0" w:line="264" w:lineRule="auto"/>
        <w:tabs>
          <w:tab w:leader="none" w:pos="189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any payment or benefit under this Agreement or otherwise that is eligible for exemption from Section 409A pursuant to Treasury Regulation § 1.409A-1(b)(9)(v)(A) or (C) (relating to certain reimbursements and in-kind benefits) shall be paid or provided to Executive only to the extent that the expenses are not incurred, or the benefits are not provided, beyond the last day of the second calendar year following the calendar year in which Executive’s “separation from service” occurs;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expenses are reimbursed no later than the last day of the third calendar year following the calendar year in which Executive’s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(1)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Executive incurred such indemnification payment or expenses, and in no event shall any right to indemnification payment or reimbursement or the provision of any in-kind benefit be subject to liquidation or exchange for another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78105</wp:posOffset>
            </wp:positionV>
            <wp:extent cx="6610985" cy="165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9">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140"/>
          </w:cols>
          <w:pgMar w:left="880" w:top="427" w:right="879" w:bottom="1440" w:gutter="0" w:footer="0" w:header="0"/>
        </w:sectPr>
      </w:pPr>
    </w:p>
    <w:bookmarkStart w:id="371" w:name="page372"/>
    <w:bookmarkEnd w:id="371"/>
    <w:p>
      <w:pPr>
        <w:jc w:val="right"/>
        <w:ind w:right="620"/>
        <w:spacing w:after="0"/>
        <w:rPr>
          <w:sz w:val="20"/>
          <w:szCs w:val="20"/>
          <w:color w:val="auto"/>
        </w:rPr>
      </w:pPr>
      <w:r>
        <w:rPr>
          <w:rFonts w:ascii="Arial" w:cs="Arial" w:eastAsia="Arial" w:hAnsi="Arial"/>
          <w:sz w:val="21"/>
          <w:szCs w:val="21"/>
          <w:color w:val="auto"/>
        </w:rPr>
        <w:t>IN WITNESS WHEREOF, this Agreement has been duly executed by the parties as of the date first</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written above.</w:t>
      </w:r>
    </w:p>
    <w:p>
      <w:pPr>
        <w:spacing w:after="0" w:line="221" w:lineRule="exact"/>
        <w:rPr>
          <w:sz w:val="20"/>
          <w:szCs w:val="20"/>
          <w:color w:val="auto"/>
        </w:rPr>
      </w:pPr>
    </w:p>
    <w:p>
      <w:pPr>
        <w:ind w:left="480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56" w:lineRule="exact"/>
        <w:rPr>
          <w:sz w:val="20"/>
          <w:szCs w:val="20"/>
          <w:color w:val="auto"/>
        </w:rPr>
      </w:pPr>
    </w:p>
    <w:tbl>
      <w:tblPr>
        <w:tblLayout w:type="fixed"/>
        <w:tblInd w:w="4800" w:type="dxa"/>
        <w:tblCellMar>
          <w:top w:w="0" w:type="dxa"/>
          <w:left w:w="0" w:type="dxa"/>
          <w:bottom w:w="0" w:type="dxa"/>
          <w:right w:w="0" w:type="dxa"/>
        </w:tblCellMar>
      </w:tblPr>
      <w:tr>
        <w:trPr>
          <w:trHeight w:val="235"/>
        </w:trPr>
        <w:tc>
          <w:tcPr>
            <w:tcW w:w="560" w:type="dxa"/>
            <w:vAlign w:val="bottom"/>
          </w:tcPr>
          <w:p>
            <w:pPr>
              <w:spacing w:after="0"/>
              <w:rPr>
                <w:sz w:val="20"/>
                <w:szCs w:val="20"/>
                <w:color w:val="auto"/>
              </w:rPr>
            </w:pPr>
            <w:r>
              <w:rPr>
                <w:rFonts w:ascii="Arial" w:cs="Arial" w:eastAsia="Arial" w:hAnsi="Arial"/>
                <w:sz w:val="19"/>
                <w:szCs w:val="19"/>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rPr>
              <w:t>/s/ Robert Greifeld</w:t>
            </w:r>
          </w:p>
        </w:tc>
      </w:tr>
      <w:tr>
        <w:trPr>
          <w:trHeight w:val="208"/>
        </w:trPr>
        <w:tc>
          <w:tcPr>
            <w:tcW w:w="560" w:type="dxa"/>
            <w:vAlign w:val="bottom"/>
          </w:tcPr>
          <w:p>
            <w:pPr>
              <w:spacing w:after="0" w:line="208" w:lineRule="exact"/>
              <w:rPr>
                <w:sz w:val="20"/>
                <w:szCs w:val="20"/>
                <w:color w:val="auto"/>
              </w:rPr>
            </w:pPr>
            <w:r>
              <w:rPr>
                <w:rFonts w:ascii="Arial" w:cs="Arial" w:eastAsia="Arial" w:hAnsi="Arial"/>
                <w:sz w:val="19"/>
                <w:szCs w:val="19"/>
                <w:color w:val="auto"/>
                <w:w w:val="96"/>
              </w:rPr>
              <w:t>Name:</w:t>
            </w:r>
          </w:p>
        </w:tc>
        <w:tc>
          <w:tcPr>
            <w:tcW w:w="4920" w:type="dxa"/>
            <w:vAlign w:val="bottom"/>
            <w:gridSpan w:val="2"/>
          </w:tcPr>
          <w:p>
            <w:pPr>
              <w:spacing w:after="0" w:line="208" w:lineRule="exact"/>
              <w:rPr>
                <w:sz w:val="20"/>
                <w:szCs w:val="20"/>
                <w:color w:val="auto"/>
              </w:rPr>
            </w:pPr>
            <w:r>
              <w:rPr>
                <w:rFonts w:ascii="Arial" w:cs="Arial" w:eastAsia="Arial" w:hAnsi="Arial"/>
                <w:sz w:val="19"/>
                <w:szCs w:val="19"/>
                <w:color w:val="auto"/>
              </w:rPr>
              <w:t>Robert Greifeld</w:t>
            </w:r>
          </w:p>
        </w:tc>
      </w:tr>
      <w:tr>
        <w:trPr>
          <w:trHeight w:val="247"/>
        </w:trPr>
        <w:tc>
          <w:tcPr>
            <w:tcW w:w="560" w:type="dxa"/>
            <w:vAlign w:val="bottom"/>
          </w:tcPr>
          <w:p>
            <w:pPr>
              <w:spacing w:after="0"/>
              <w:rPr>
                <w:sz w:val="20"/>
                <w:szCs w:val="20"/>
                <w:color w:val="auto"/>
              </w:rPr>
            </w:pPr>
            <w:r>
              <w:rPr>
                <w:rFonts w:ascii="Arial" w:cs="Arial" w:eastAsia="Arial" w:hAnsi="Arial"/>
                <w:sz w:val="19"/>
                <w:szCs w:val="19"/>
                <w:color w:val="auto"/>
              </w:rPr>
              <w:t>Title:</w:t>
            </w:r>
          </w:p>
        </w:tc>
        <w:tc>
          <w:tcPr>
            <w:tcW w:w="960" w:type="dxa"/>
            <w:vAlign w:val="bottom"/>
          </w:tcPr>
          <w:p>
            <w:pPr>
              <w:spacing w:after="0"/>
              <w:rPr>
                <w:sz w:val="20"/>
                <w:szCs w:val="20"/>
                <w:color w:val="auto"/>
              </w:rPr>
            </w:pPr>
            <w:r>
              <w:rPr>
                <w:rFonts w:ascii="Arial" w:cs="Arial" w:eastAsia="Arial" w:hAnsi="Arial"/>
                <w:sz w:val="19"/>
                <w:szCs w:val="19"/>
                <w:color w:val="auto"/>
              </w:rPr>
              <w:t>Chairman</w:t>
            </w:r>
          </w:p>
        </w:tc>
        <w:tc>
          <w:tcPr>
            <w:tcW w:w="3960" w:type="dxa"/>
            <w:vAlign w:val="bottom"/>
          </w:tcPr>
          <w:p>
            <w:pPr>
              <w:jc w:val="right"/>
              <w:ind w:right="2783"/>
              <w:spacing w:after="0"/>
              <w:rPr>
                <w:sz w:val="20"/>
                <w:szCs w:val="20"/>
                <w:color w:val="auto"/>
              </w:rPr>
            </w:pPr>
            <w:r>
              <w:rPr>
                <w:rFonts w:ascii="Arial" w:cs="Arial" w:eastAsia="Arial" w:hAnsi="Arial"/>
                <w:sz w:val="19"/>
                <w:szCs w:val="19"/>
                <w:color w:val="auto"/>
              </w:rPr>
              <w:t>11/17/2017</w:t>
            </w:r>
          </w:p>
        </w:tc>
      </w:tr>
    </w:tbl>
    <w:p>
      <w:pPr>
        <w:spacing w:after="0" w:line="203" w:lineRule="exact"/>
        <w:rPr>
          <w:sz w:val="20"/>
          <w:szCs w:val="20"/>
          <w:color w:val="auto"/>
        </w:rPr>
      </w:pPr>
    </w:p>
    <w:p>
      <w:pPr>
        <w:ind w:left="4800"/>
        <w:spacing w:after="0"/>
        <w:rPr>
          <w:sz w:val="20"/>
          <w:szCs w:val="20"/>
          <w:color w:val="auto"/>
        </w:rPr>
      </w:pPr>
      <w:r>
        <w:rPr>
          <w:rFonts w:ascii="Arial" w:cs="Arial" w:eastAsia="Arial" w:hAnsi="Arial"/>
          <w:sz w:val="19"/>
          <w:szCs w:val="19"/>
          <w:color w:val="auto"/>
        </w:rPr>
        <w:t>DOUGLAS A. CIFU</w:t>
      </w:r>
    </w:p>
    <w:p>
      <w:pPr>
        <w:spacing w:after="0" w:line="231" w:lineRule="exact"/>
        <w:rPr>
          <w:sz w:val="20"/>
          <w:szCs w:val="20"/>
          <w:color w:val="auto"/>
        </w:rPr>
      </w:pPr>
    </w:p>
    <w:p>
      <w:pPr>
        <w:ind w:left="4800"/>
        <w:spacing w:after="0"/>
        <w:rPr>
          <w:sz w:val="20"/>
          <w:szCs w:val="20"/>
          <w:color w:val="auto"/>
        </w:rPr>
      </w:pPr>
      <w:r>
        <w:rPr>
          <w:rFonts w:ascii="Arial" w:cs="Arial" w:eastAsia="Arial" w:hAnsi="Arial"/>
          <w:sz w:val="19"/>
          <w:szCs w:val="19"/>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14605</wp:posOffset>
            </wp:positionV>
            <wp:extent cx="348615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0">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[Signature Page to Cifu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78105</wp:posOffset>
            </wp:positionV>
            <wp:extent cx="661098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1">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280"/>
          </w:cols>
          <w:pgMar w:left="860" w:top="329" w:right="759" w:bottom="1440" w:gutter="0" w:footer="0" w:header="0"/>
        </w:sectPr>
      </w:pPr>
    </w:p>
    <w:bookmarkStart w:id="372" w:name="page373"/>
    <w:bookmarkEnd w:id="372"/>
    <w:p>
      <w:pPr>
        <w:jc w:val="center"/>
        <w:spacing w:after="0"/>
        <w:rPr>
          <w:sz w:val="20"/>
          <w:szCs w:val="20"/>
          <w:color w:val="auto"/>
        </w:rPr>
      </w:pPr>
      <w:r>
        <w:rPr>
          <w:rFonts w:ascii="Arial" w:cs="Arial" w:eastAsia="Arial" w:hAnsi="Arial"/>
          <w:sz w:val="21"/>
          <w:szCs w:val="21"/>
          <w:b w:val="1"/>
          <w:bCs w:val="1"/>
          <w:color w:val="auto"/>
        </w:rPr>
        <w:t>EXHIBIT A PERMITTED ACTIVITIES</w:t>
      </w:r>
    </w:p>
    <w:p>
      <w:pPr>
        <w:spacing w:after="0" w:line="3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Sunrise Sports &amp; Entertainment, including role as Vice Chairman &amp; Alternative Governor of Florida Panthers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9"/>
          <w:szCs w:val="19"/>
          <w:color w:val="auto"/>
        </w:rPr>
        <w:t>Director of Independent Bank Group, Inc.</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9"/>
          <w:szCs w:val="19"/>
          <w:color w:val="auto"/>
        </w:rPr>
        <w:t>Director and investor in Swift Aviation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628015</wp:posOffset>
            </wp:positionV>
            <wp:extent cx="661098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2">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9019"/>
          </w:cols>
          <w:pgMar w:left="1440" w:top="403" w:right="1440" w:bottom="1440" w:gutter="0" w:footer="0" w:header="0"/>
        </w:sectPr>
      </w:pPr>
    </w:p>
    <w:bookmarkStart w:id="373" w:name="page374"/>
    <w:bookmarkEnd w:id="373"/>
    <w:p>
      <w:pPr>
        <w:jc w:val="center"/>
        <w:ind w:right="75"/>
        <w:spacing w:after="0"/>
        <w:rPr>
          <w:sz w:val="20"/>
          <w:szCs w:val="20"/>
          <w:color w:val="auto"/>
        </w:rPr>
      </w:pPr>
      <w:r>
        <w:rPr>
          <w:rFonts w:ascii="Arial" w:cs="Arial" w:eastAsia="Arial" w:hAnsi="Arial"/>
          <w:sz w:val="21"/>
          <w:szCs w:val="21"/>
          <w:b w:val="1"/>
          <w:bCs w:val="1"/>
          <w:color w:val="auto"/>
        </w:rPr>
        <w:t>EXHIBIT B</w:t>
      </w:r>
    </w:p>
    <w:p>
      <w:pPr>
        <w:spacing w:after="0" w:line="235" w:lineRule="exact"/>
        <w:rPr>
          <w:sz w:val="20"/>
          <w:szCs w:val="20"/>
          <w:color w:val="auto"/>
        </w:rPr>
      </w:pPr>
    </w:p>
    <w:p>
      <w:pPr>
        <w:jc w:val="center"/>
        <w:ind w:right="75"/>
        <w:spacing w:after="0"/>
        <w:rPr>
          <w:sz w:val="20"/>
          <w:szCs w:val="20"/>
          <w:color w:val="auto"/>
        </w:rPr>
      </w:pPr>
      <w:r>
        <w:rPr>
          <w:rFonts w:ascii="Arial" w:cs="Arial" w:eastAsia="Arial" w:hAnsi="Arial"/>
          <w:sz w:val="21"/>
          <w:szCs w:val="21"/>
          <w:b w:val="1"/>
          <w:bCs w:val="1"/>
          <w:color w:val="auto"/>
        </w:rPr>
        <w:t>WAIVER AND RELEASE OF CLAIMS</w:t>
      </w:r>
    </w:p>
    <w:p>
      <w:pPr>
        <w:spacing w:after="0" w:line="228" w:lineRule="exact"/>
        <w:rPr>
          <w:sz w:val="20"/>
          <w:szCs w:val="20"/>
          <w:color w:val="auto"/>
        </w:rPr>
      </w:pPr>
    </w:p>
    <w:p>
      <w:pPr>
        <w:ind w:left="1265"/>
        <w:spacing w:after="0"/>
        <w:rPr>
          <w:sz w:val="20"/>
          <w:szCs w:val="20"/>
          <w:color w:val="auto"/>
        </w:rPr>
      </w:pPr>
      <w:r>
        <w:rPr>
          <w:rFonts w:ascii="Arial" w:cs="Arial" w:eastAsia="Arial" w:hAnsi="Arial"/>
          <w:sz w:val="21"/>
          <w:szCs w:val="21"/>
          <w:color w:val="auto"/>
        </w:rPr>
        <w:t>In connection with the termination of employment of Douglas A. Cifu (the “</w:t>
      </w:r>
      <w:r>
        <w:rPr>
          <w:rFonts w:ascii="Arial" w:cs="Arial" w:eastAsia="Arial" w:hAnsi="Arial"/>
          <w:sz w:val="21"/>
          <w:szCs w:val="21"/>
          <w:u w:val="single" w:color="auto"/>
          <w:color w:val="auto"/>
        </w:rPr>
        <w:t>Executive</w:t>
      </w:r>
      <w:r>
        <w:rPr>
          <w:rFonts w:ascii="Arial" w:cs="Arial" w:eastAsia="Arial" w:hAnsi="Arial"/>
          <w:sz w:val="21"/>
          <w:szCs w:val="21"/>
          <w:color w:val="auto"/>
        </w:rPr>
        <w:t>”) from</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1"/>
          <w:szCs w:val="21"/>
          <w:color w:val="auto"/>
        </w:rPr>
        <w:t>Virtu Financial, Inc. (the “</w:t>
      </w:r>
      <w:r>
        <w:rPr>
          <w:rFonts w:ascii="Arial" w:cs="Arial" w:eastAsia="Arial" w:hAnsi="Arial"/>
          <w:sz w:val="21"/>
          <w:szCs w:val="21"/>
          <w:u w:val="single" w:color="auto"/>
          <w:color w:val="auto"/>
        </w:rPr>
        <w:t>Company</w:t>
      </w:r>
      <w:r>
        <w:rPr>
          <w:rFonts w:ascii="Arial" w:cs="Arial" w:eastAsia="Arial" w:hAnsi="Arial"/>
          <w:sz w:val="21"/>
          <w:szCs w:val="21"/>
          <w:color w:val="auto"/>
        </w:rPr>
        <w:t>”), the Executive agrees as follows:</w:t>
      </w:r>
    </w:p>
    <w:p>
      <w:pPr>
        <w:spacing w:after="0" w:line="190" w:lineRule="exact"/>
        <w:rPr>
          <w:sz w:val="20"/>
          <w:szCs w:val="20"/>
          <w:color w:val="auto"/>
        </w:rPr>
      </w:pPr>
    </w:p>
    <w:p>
      <w:pPr>
        <w:ind w:left="645" w:hanging="645"/>
        <w:spacing w:after="0"/>
        <w:tabs>
          <w:tab w:leader="none" w:pos="645" w:val="left"/>
        </w:tabs>
        <w:numPr>
          <w:ilvl w:val="0"/>
          <w:numId w:val="308"/>
        </w:numPr>
        <w:rPr>
          <w:rFonts w:ascii="Arial" w:cs="Arial" w:eastAsia="Arial" w:hAnsi="Arial"/>
          <w:sz w:val="21"/>
          <w:szCs w:val="21"/>
          <w:color w:val="auto"/>
        </w:rPr>
      </w:pPr>
      <w:r>
        <w:rPr>
          <w:rFonts w:ascii="Arial" w:cs="Arial" w:eastAsia="Arial" w:hAnsi="Arial"/>
          <w:sz w:val="21"/>
          <w:szCs w:val="21"/>
          <w:u w:val="single" w:color="auto"/>
          <w:color w:val="auto"/>
        </w:rPr>
        <w:t>Waiver and Release by the Executive</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ind w:left="5" w:right="40" w:firstLine="630"/>
        <w:spacing w:after="0" w:line="254" w:lineRule="auto"/>
        <w:tabs>
          <w:tab w:leader="none" w:pos="1286" w:val="left"/>
        </w:tabs>
        <w:numPr>
          <w:ilvl w:val="1"/>
          <w:numId w:val="308"/>
        </w:numPr>
        <w:rPr>
          <w:rFonts w:ascii="Arial" w:cs="Arial" w:eastAsia="Arial" w:hAnsi="Arial"/>
          <w:sz w:val="20"/>
          <w:szCs w:val="20"/>
          <w:color w:val="auto"/>
        </w:rPr>
      </w:pPr>
      <w:r>
        <w:rPr>
          <w:rFonts w:ascii="Arial" w:cs="Arial" w:eastAsia="Arial" w:hAnsi="Arial"/>
          <w:sz w:val="20"/>
          <w:szCs w:val="20"/>
          <w:color w:val="auto"/>
        </w:rPr>
        <w:t>As used in this Waiver and Release of Claims (this “</w:t>
      </w:r>
      <w:r>
        <w:rPr>
          <w:rFonts w:ascii="Arial" w:cs="Arial" w:eastAsia="Arial" w:hAnsi="Arial"/>
          <w:sz w:val="20"/>
          <w:szCs w:val="20"/>
          <w:u w:val="single" w:color="auto"/>
          <w:color w:val="auto"/>
        </w:rPr>
        <w:t>Agreement</w:t>
      </w:r>
      <w:r>
        <w:rPr>
          <w:rFonts w:ascii="Arial" w:cs="Arial" w:eastAsia="Arial" w:hAnsi="Arial"/>
          <w:sz w:val="20"/>
          <w:szCs w:val="20"/>
          <w:color w:val="auto"/>
        </w:rPr>
        <w:t>”), the term “</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as to any Person (as such term is defined in the amended and restated employment agreement between the Executive and the Company, dated as of November 15, 2017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such Person’s successors, assigns, agents, attorneys, servants, representatives, employees, independent contractors, trustees, administrators, predecessors-in-interest, insurers, partners, joint venturers, stockholders, directors, officers, parent companies, associated companies, holding companies, divisions, Affiliates (as such term is defined in the Employment Agreement), associates, managers, licensees, accountants and consultants and any other Person claiming through or under such Person or each or all of the foregoing.</w:t>
      </w:r>
    </w:p>
    <w:p>
      <w:pPr>
        <w:spacing w:after="0" w:line="182" w:lineRule="exact"/>
        <w:rPr>
          <w:rFonts w:ascii="Arial" w:cs="Arial" w:eastAsia="Arial" w:hAnsi="Arial"/>
          <w:sz w:val="20"/>
          <w:szCs w:val="20"/>
          <w:color w:val="auto"/>
        </w:rPr>
      </w:pPr>
    </w:p>
    <w:p>
      <w:pPr>
        <w:ind w:left="5" w:right="500" w:firstLine="630"/>
        <w:spacing w:after="0" w:line="279" w:lineRule="auto"/>
        <w:tabs>
          <w:tab w:leader="none" w:pos="1298" w:val="left"/>
        </w:tabs>
        <w:numPr>
          <w:ilvl w:val="1"/>
          <w:numId w:val="308"/>
        </w:numPr>
        <w:rPr>
          <w:rFonts w:ascii="Arial" w:cs="Arial" w:eastAsia="Arial" w:hAnsi="Arial"/>
          <w:sz w:val="19"/>
          <w:szCs w:val="19"/>
          <w:color w:val="auto"/>
        </w:rPr>
      </w:pPr>
      <w:r>
        <w:rPr>
          <w:rFonts w:ascii="Arial" w:cs="Arial" w:eastAsia="Arial" w:hAnsi="Arial"/>
          <w:sz w:val="19"/>
          <w:szCs w:val="19"/>
          <w:color w:val="auto"/>
        </w:rPr>
        <w:t>As used in this Agreement, the term “</w:t>
      </w:r>
      <w:r>
        <w:rPr>
          <w:rFonts w:ascii="Arial" w:cs="Arial" w:eastAsia="Arial" w:hAnsi="Arial"/>
          <w:sz w:val="19"/>
          <w:szCs w:val="19"/>
          <w:u w:val="single" w:color="auto"/>
          <w:color w:val="auto"/>
        </w:rPr>
        <w:t>claims</w:t>
      </w:r>
      <w:r>
        <w:rPr>
          <w:rFonts w:ascii="Arial" w:cs="Arial" w:eastAsia="Arial" w:hAnsi="Arial"/>
          <w:sz w:val="19"/>
          <w:szCs w:val="19"/>
          <w:color w:val="auto"/>
        </w:rPr>
        <w:t>” shall include all claims, actions, arbitrations, charges, complaints (including, without limitation, complaints or allegations to any bar association or similar professional governing body), grievances, hearings, causes of action, actions, suits, damages, costs, expenses, judgments, losses, liabilities, demands, derivative claims, inquiries, investigations, proceedings or suits.</w:t>
      </w:r>
    </w:p>
    <w:p>
      <w:pPr>
        <w:spacing w:after="0" w:line="161" w:lineRule="exact"/>
        <w:rPr>
          <w:rFonts w:ascii="Arial" w:cs="Arial" w:eastAsia="Arial" w:hAnsi="Arial"/>
          <w:sz w:val="19"/>
          <w:szCs w:val="19"/>
          <w:color w:val="auto"/>
        </w:rPr>
      </w:pPr>
    </w:p>
    <w:p>
      <w:pPr>
        <w:ind w:left="5" w:firstLine="630"/>
        <w:spacing w:after="0" w:line="268" w:lineRule="auto"/>
        <w:tabs>
          <w:tab w:leader="none" w:pos="1298" w:val="left"/>
        </w:tabs>
        <w:numPr>
          <w:ilvl w:val="1"/>
          <w:numId w:val="308"/>
        </w:numPr>
        <w:rPr>
          <w:rFonts w:ascii="Arial" w:cs="Arial" w:eastAsia="Arial" w:hAnsi="Arial"/>
          <w:sz w:val="19"/>
          <w:szCs w:val="19"/>
          <w:color w:val="auto"/>
        </w:rPr>
      </w:pPr>
      <w:r>
        <w:rPr>
          <w:rFonts w:ascii="Arial" w:cs="Arial" w:eastAsia="Arial" w:hAnsi="Arial"/>
          <w:sz w:val="19"/>
          <w:szCs w:val="19"/>
          <w:color w:val="auto"/>
        </w:rPr>
        <w:t>For and in consideration of the payments described in Section 5(c) or 5(d) of the Employment Agreement, the Executive, individually and jointly, for himself and each of his Related Parties, in each case in such Related Party’s representative capacity (collectively, the “</w:t>
      </w:r>
      <w:r>
        <w:rPr>
          <w:rFonts w:ascii="Arial" w:cs="Arial" w:eastAsia="Arial" w:hAnsi="Arial"/>
          <w:sz w:val="19"/>
          <w:szCs w:val="19"/>
          <w:u w:val="single" w:color="auto"/>
          <w:color w:val="auto"/>
        </w:rPr>
        <w:t>Executive Release Parties</w:t>
      </w:r>
      <w:r>
        <w:rPr>
          <w:rFonts w:ascii="Arial" w:cs="Arial" w:eastAsia="Arial" w:hAnsi="Arial"/>
          <w:sz w:val="19"/>
          <w:szCs w:val="19"/>
          <w:color w:val="auto"/>
        </w:rPr>
        <w:t>”), effective as of the Effective Date (as</w:t>
      </w:r>
    </w:p>
    <w:p>
      <w:pPr>
        <w:ind w:left="5" w:right="160"/>
        <w:spacing w:after="0" w:line="261" w:lineRule="auto"/>
        <w:rPr>
          <w:rFonts w:ascii="Arial" w:cs="Arial" w:eastAsia="Arial" w:hAnsi="Arial"/>
          <w:sz w:val="19"/>
          <w:szCs w:val="19"/>
          <w:color w:val="auto"/>
        </w:rPr>
      </w:pPr>
      <w:r>
        <w:rPr>
          <w:rFonts w:ascii="Arial" w:cs="Arial" w:eastAsia="Arial" w:hAnsi="Arial"/>
          <w:sz w:val="19"/>
          <w:szCs w:val="19"/>
          <w:color w:val="auto"/>
        </w:rPr>
        <w:t>defined below), hereby acquits, releases and discharges, of and from any and all Executive Released Claims (as defined below), each of the following Persons: the Company, its direct and indirect parents, subsidiaries and Affiliates,</w:t>
      </w:r>
    </w:p>
    <w:p>
      <w:pPr>
        <w:spacing w:after="0" w:line="1" w:lineRule="exact"/>
        <w:rPr>
          <w:rFonts w:ascii="Arial" w:cs="Arial" w:eastAsia="Arial" w:hAnsi="Arial"/>
          <w:sz w:val="19"/>
          <w:szCs w:val="19"/>
          <w:color w:val="auto"/>
        </w:rPr>
      </w:pPr>
    </w:p>
    <w:p>
      <w:pPr>
        <w:ind w:left="5" w:right="420"/>
        <w:spacing w:after="0" w:line="241" w:lineRule="auto"/>
        <w:rPr>
          <w:rFonts w:ascii="Arial" w:cs="Arial" w:eastAsia="Arial" w:hAnsi="Arial"/>
          <w:sz w:val="19"/>
          <w:szCs w:val="19"/>
          <w:color w:val="auto"/>
        </w:rPr>
      </w:pPr>
      <w:r>
        <w:rPr>
          <w:rFonts w:ascii="Arial" w:cs="Arial" w:eastAsia="Arial" w:hAnsi="Arial"/>
          <w:sz w:val="21"/>
          <w:szCs w:val="21"/>
          <w:color w:val="auto"/>
        </w:rPr>
        <w:t>their predecessors and successors and assigns, together with the respective officers, directors, partners, shareholders, employees, members, and agents of the foregoing and each of their respective past and present Related Parties (collectively, the “</w:t>
      </w:r>
      <w:r>
        <w:rPr>
          <w:rFonts w:ascii="Arial" w:cs="Arial" w:eastAsia="Arial" w:hAnsi="Arial"/>
          <w:sz w:val="21"/>
          <w:szCs w:val="21"/>
          <w:u w:val="single" w:color="auto"/>
          <w:color w:val="auto"/>
        </w:rPr>
        <w:t>Company Group</w:t>
      </w:r>
      <w:r>
        <w:rPr>
          <w:rFonts w:ascii="Arial" w:cs="Arial" w:eastAsia="Arial" w:hAnsi="Arial"/>
          <w:sz w:val="21"/>
          <w:szCs w:val="21"/>
          <w:color w:val="auto"/>
        </w:rPr>
        <w:t>”).</w:t>
      </w:r>
    </w:p>
    <w:p>
      <w:pPr>
        <w:spacing w:after="0" w:line="180" w:lineRule="exact"/>
        <w:rPr>
          <w:rFonts w:ascii="Arial" w:cs="Arial" w:eastAsia="Arial" w:hAnsi="Arial"/>
          <w:sz w:val="19"/>
          <w:szCs w:val="19"/>
          <w:color w:val="auto"/>
        </w:rPr>
      </w:pPr>
    </w:p>
    <w:p>
      <w:pPr>
        <w:ind w:left="5" w:right="20" w:firstLine="630"/>
        <w:spacing w:after="0" w:line="265" w:lineRule="auto"/>
        <w:tabs>
          <w:tab w:leader="none" w:pos="1299" w:val="left"/>
        </w:tabs>
        <w:numPr>
          <w:ilvl w:val="1"/>
          <w:numId w:val="308"/>
        </w:numPr>
        <w:rPr>
          <w:rFonts w:ascii="Arial" w:cs="Arial" w:eastAsia="Arial" w:hAnsi="Arial"/>
          <w:sz w:val="19"/>
          <w:szCs w:val="19"/>
          <w:color w:val="auto"/>
        </w:rPr>
      </w:pPr>
      <w:r>
        <w:rPr>
          <w:rFonts w:ascii="Arial" w:cs="Arial" w:eastAsia="Arial" w:hAnsi="Arial"/>
          <w:sz w:val="19"/>
          <w:szCs w:val="19"/>
          <w:color w:val="auto"/>
        </w:rPr>
        <w:t>As used in this Agreement, the term “</w:t>
      </w:r>
      <w:r>
        <w:rPr>
          <w:rFonts w:ascii="Arial" w:cs="Arial" w:eastAsia="Arial" w:hAnsi="Arial"/>
          <w:sz w:val="19"/>
          <w:szCs w:val="19"/>
          <w:u w:val="single" w:color="auto"/>
          <w:color w:val="auto"/>
        </w:rPr>
        <w:t>Executive Released Claims</w:t>
      </w:r>
      <w:r>
        <w:rPr>
          <w:rFonts w:ascii="Arial" w:cs="Arial" w:eastAsia="Arial" w:hAnsi="Arial"/>
          <w:sz w:val="19"/>
          <w:szCs w:val="19"/>
          <w:color w:val="auto"/>
        </w:rPr>
        <w:t>” shall mean all claims of every kind and nature whatsoever, whether known or unknown, suspected or unsuspected, previously existing, or now existing, in law or in equity, which the Executive Release Parties or any of them had, may have had, or now has, from the beginning of time through the execution of this Agreement, against the Company Group collectively or any member of the Company Group, individually, for or by reason of any matter whatsoever, including, but not limited to, any</w:t>
      </w:r>
    </w:p>
    <w:p>
      <w:pPr>
        <w:spacing w:after="0" w:line="2" w:lineRule="exact"/>
        <w:rPr>
          <w:rFonts w:ascii="Arial" w:cs="Arial" w:eastAsia="Arial" w:hAnsi="Arial"/>
          <w:sz w:val="19"/>
          <w:szCs w:val="19"/>
          <w:color w:val="auto"/>
        </w:rPr>
      </w:pPr>
    </w:p>
    <w:p>
      <w:pPr>
        <w:ind w:left="5"/>
        <w:spacing w:after="0" w:line="236" w:lineRule="auto"/>
        <w:rPr>
          <w:rFonts w:ascii="Arial" w:cs="Arial" w:eastAsia="Arial" w:hAnsi="Arial"/>
          <w:sz w:val="19"/>
          <w:szCs w:val="19"/>
          <w:color w:val="auto"/>
        </w:rPr>
      </w:pPr>
      <w:r>
        <w:rPr>
          <w:rFonts w:ascii="Arial" w:cs="Arial" w:eastAsia="Arial" w:hAnsi="Arial"/>
          <w:sz w:val="21"/>
          <w:szCs w:val="21"/>
          <w:color w:val="auto"/>
        </w:rPr>
        <w:t>claims relating to, arising out of or attributable to the Executive’s employment or the termination of the</w:t>
      </w:r>
    </w:p>
    <w:p>
      <w:pPr>
        <w:ind w:left="5" w:right="80"/>
        <w:spacing w:after="0" w:line="259" w:lineRule="auto"/>
        <w:rPr>
          <w:rFonts w:ascii="Arial" w:cs="Arial" w:eastAsia="Arial" w:hAnsi="Arial"/>
          <w:sz w:val="19"/>
          <w:szCs w:val="19"/>
          <w:color w:val="auto"/>
        </w:rPr>
      </w:pPr>
      <w:r>
        <w:rPr>
          <w:rFonts w:ascii="Arial" w:cs="Arial" w:eastAsia="Arial" w:hAnsi="Arial"/>
          <w:sz w:val="20"/>
          <w:szCs w:val="20"/>
          <w:color w:val="auto"/>
        </w:rPr>
        <w:t>Executive’s employment with the Company, the Employment Agreement, and also including but not limited to claims of breach of contract, wrongful termination, unjust dismissal, defamation, libel or slander, or under any federal, state or local law dealing with discrimination based on age, race, sex, national origin, handicap, religion,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604520</wp:posOffset>
            </wp:positionV>
            <wp:extent cx="661098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3">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285"/>
          </w:cols>
          <w:pgMar w:left="855" w:top="111" w:right="759" w:bottom="1440" w:gutter="0" w:footer="0" w:header="0"/>
        </w:sectPr>
      </w:pPr>
    </w:p>
    <w:bookmarkStart w:id="374" w:name="page375"/>
    <w:bookmarkEnd w:id="374"/>
    <w:p>
      <w:pPr>
        <w:ind w:left="5" w:right="180"/>
        <w:spacing w:after="0" w:line="242" w:lineRule="auto"/>
        <w:rPr>
          <w:sz w:val="20"/>
          <w:szCs w:val="20"/>
          <w:color w:val="auto"/>
        </w:rPr>
      </w:pPr>
      <w:r>
        <w:rPr>
          <w:rFonts w:ascii="Arial" w:cs="Arial" w:eastAsia="Arial" w:hAnsi="Arial"/>
          <w:sz w:val="21"/>
          <w:szCs w:val="21"/>
          <w:color w:val="auto"/>
        </w:rPr>
        <w:t>disability or sexual preference. This release of claims includes, but is not limited to, all claims arising under the Age Discrimination in Employment Act of 1967 (the “</w:t>
      </w:r>
      <w:r>
        <w:rPr>
          <w:rFonts w:ascii="Arial" w:cs="Arial" w:eastAsia="Arial" w:hAnsi="Arial"/>
          <w:sz w:val="21"/>
          <w:szCs w:val="21"/>
          <w:u w:val="single" w:color="auto"/>
          <w:color w:val="auto"/>
        </w:rPr>
        <w:t>ADEA</w:t>
      </w:r>
      <w:r>
        <w:rPr>
          <w:rFonts w:ascii="Arial" w:cs="Arial" w:eastAsia="Arial" w:hAnsi="Arial"/>
          <w:sz w:val="21"/>
          <w:szCs w:val="21"/>
          <w:color w:val="auto"/>
        </w:rPr>
        <w:t>”), Title VII of the Civil Rights Act, the Americans with Disabilities Act, the Civil Rights Act of 1991, the Family Medical Leave Act, the Equal Pay Act, the New York Human Rights Law, the New York City Administrative Code and all other federal, state and local labor and anti-discrimination laws, the common law and any other purported restriction on an employer’s right to terminate the employment of employees.</w:t>
      </w:r>
    </w:p>
    <w:p>
      <w:pPr>
        <w:spacing w:after="0" w:line="193" w:lineRule="exact"/>
        <w:rPr>
          <w:sz w:val="20"/>
          <w:szCs w:val="20"/>
          <w:color w:val="auto"/>
        </w:rPr>
      </w:pPr>
    </w:p>
    <w:p>
      <w:pPr>
        <w:ind w:left="5" w:firstLine="630"/>
        <w:spacing w:after="0" w:line="271" w:lineRule="auto"/>
        <w:tabs>
          <w:tab w:leader="none" w:pos="1294" w:val="left"/>
        </w:tabs>
        <w:numPr>
          <w:ilvl w:val="0"/>
          <w:numId w:val="309"/>
        </w:numPr>
        <w:rPr>
          <w:rFonts w:ascii="Arial" w:cs="Arial" w:eastAsia="Arial" w:hAnsi="Arial"/>
          <w:sz w:val="19"/>
          <w:szCs w:val="19"/>
          <w:color w:val="auto"/>
        </w:rPr>
      </w:pPr>
      <w:r>
        <w:rPr>
          <w:rFonts w:ascii="Arial" w:cs="Arial" w:eastAsia="Arial" w:hAnsi="Arial"/>
          <w:sz w:val="19"/>
          <w:szCs w:val="19"/>
          <w:color w:val="auto"/>
        </w:rPr>
        <w:t>The Executive, individually and jointly, for himself and each of the Executive Release Parties, specifically releases all claims against the Company Group and each member thereof under the ADEA relating to the</w:t>
      </w:r>
    </w:p>
    <w:p>
      <w:pPr>
        <w:ind w:left="5"/>
        <w:spacing w:after="0"/>
        <w:rPr>
          <w:rFonts w:ascii="Arial" w:cs="Arial" w:eastAsia="Arial" w:hAnsi="Arial"/>
          <w:sz w:val="19"/>
          <w:szCs w:val="19"/>
          <w:color w:val="auto"/>
        </w:rPr>
      </w:pPr>
      <w:r>
        <w:rPr>
          <w:rFonts w:ascii="Arial" w:cs="Arial" w:eastAsia="Arial" w:hAnsi="Arial"/>
          <w:sz w:val="21"/>
          <w:szCs w:val="21"/>
          <w:color w:val="auto"/>
        </w:rPr>
        <w:t>Executive’s employment and its termination.</w:t>
      </w:r>
    </w:p>
    <w:p>
      <w:pPr>
        <w:spacing w:after="0" w:line="203" w:lineRule="exact"/>
        <w:rPr>
          <w:rFonts w:ascii="Arial" w:cs="Arial" w:eastAsia="Arial" w:hAnsi="Arial"/>
          <w:sz w:val="19"/>
          <w:szCs w:val="19"/>
          <w:color w:val="auto"/>
        </w:rPr>
      </w:pPr>
    </w:p>
    <w:p>
      <w:pPr>
        <w:ind w:left="5" w:right="200" w:firstLine="630"/>
        <w:spacing w:after="0" w:line="257" w:lineRule="auto"/>
        <w:tabs>
          <w:tab w:leader="none" w:pos="1271" w:val="left"/>
        </w:tabs>
        <w:numPr>
          <w:ilvl w:val="0"/>
          <w:numId w:val="309"/>
        </w:numPr>
        <w:rPr>
          <w:rFonts w:ascii="Arial" w:cs="Arial" w:eastAsia="Arial" w:hAnsi="Arial"/>
          <w:sz w:val="20"/>
          <w:szCs w:val="20"/>
          <w:color w:val="auto"/>
        </w:rPr>
      </w:pPr>
      <w:r>
        <w:rPr>
          <w:rFonts w:ascii="Arial" w:cs="Arial" w:eastAsia="Arial" w:hAnsi="Arial"/>
          <w:sz w:val="20"/>
          <w:szCs w:val="20"/>
          <w:color w:val="auto"/>
        </w:rPr>
        <w:t>The Executive represents that neither the Executive nor any of the Executive Release Parties has filed or permitted to be filed against the Company Group, any member of the Company Group individually or the</w:t>
      </w:r>
    </w:p>
    <w:p>
      <w:pPr>
        <w:spacing w:after="0" w:line="1" w:lineRule="exact"/>
        <w:rPr>
          <w:rFonts w:ascii="Arial" w:cs="Arial" w:eastAsia="Arial" w:hAnsi="Arial"/>
          <w:sz w:val="20"/>
          <w:szCs w:val="20"/>
          <w:color w:val="auto"/>
        </w:rPr>
      </w:pPr>
    </w:p>
    <w:p>
      <w:pPr>
        <w:ind w:left="5" w:right="160"/>
        <w:spacing w:after="0" w:line="261" w:lineRule="auto"/>
        <w:rPr>
          <w:rFonts w:ascii="Arial" w:cs="Arial" w:eastAsia="Arial" w:hAnsi="Arial"/>
          <w:sz w:val="20"/>
          <w:szCs w:val="20"/>
          <w:color w:val="auto"/>
        </w:rPr>
      </w:pPr>
      <w:r>
        <w:rPr>
          <w:rFonts w:ascii="Arial" w:cs="Arial" w:eastAsia="Arial" w:hAnsi="Arial"/>
          <w:sz w:val="19"/>
          <w:szCs w:val="19"/>
          <w:color w:val="auto"/>
        </w:rPr>
        <w:t>Company Group collectively, any lawsuit, complaint, charge, proceeding or the like, before any local, state or federal agency, court or other body (each, a “</w:t>
      </w:r>
      <w:r>
        <w:rPr>
          <w:rFonts w:ascii="Arial" w:cs="Arial" w:eastAsia="Arial" w:hAnsi="Arial"/>
          <w:sz w:val="19"/>
          <w:szCs w:val="19"/>
          <w:u w:val="single" w:color="auto"/>
          <w:color w:val="auto"/>
        </w:rPr>
        <w:t>Proceeding</w:t>
      </w:r>
      <w:r>
        <w:rPr>
          <w:rFonts w:ascii="Arial" w:cs="Arial" w:eastAsia="Arial" w:hAnsi="Arial"/>
          <w:sz w:val="19"/>
          <w:szCs w:val="19"/>
          <w:color w:val="auto"/>
        </w:rPr>
        <w:t>”), and the Executive covenants and agrees that neither the Executive nor any of the Executive Release Parties will do so at any time hereafter with respect to the subject matter of this Agreement and claims released pursuant to this Agreement (including, without limitation, any claims relating to the termination of the Executive’s employment), except as may be necessary to enforce this Agreement, to obtain benefits described in or granted under this Agreement, or to seek a determination of the validity of the waiver of the Executive’s rights under the ADEA, or initiate or participate in an investigation or proceeding conducted by the Equal Employment Opportunity Commission (“</w:t>
      </w:r>
      <w:r>
        <w:rPr>
          <w:rFonts w:ascii="Arial" w:cs="Arial" w:eastAsia="Arial" w:hAnsi="Arial"/>
          <w:sz w:val="19"/>
          <w:szCs w:val="19"/>
          <w:u w:val="single" w:color="auto"/>
          <w:color w:val="auto"/>
        </w:rPr>
        <w:t>EEOC</w:t>
      </w:r>
      <w:r>
        <w:rPr>
          <w:rFonts w:ascii="Arial" w:cs="Arial" w:eastAsia="Arial" w:hAnsi="Arial"/>
          <w:sz w:val="19"/>
          <w:szCs w:val="19"/>
          <w:color w:val="auto"/>
        </w:rPr>
        <w:t>”). Except as otherwise provided in the preceding sentence,</w:t>
      </w:r>
    </w:p>
    <w:p>
      <w:pPr>
        <w:spacing w:after="0" w:line="4" w:lineRule="exact"/>
        <w:rPr>
          <w:sz w:val="20"/>
          <w:szCs w:val="20"/>
          <w:color w:val="auto"/>
        </w:rPr>
      </w:pPr>
    </w:p>
    <w:p>
      <w:pPr>
        <w:ind w:left="5" w:right="60" w:hanging="5"/>
        <w:spacing w:after="0" w:line="252" w:lineRule="auto"/>
        <w:tabs>
          <w:tab w:leader="none" w:pos="257" w:val="left"/>
        </w:tabs>
        <w:numPr>
          <w:ilvl w:val="0"/>
          <w:numId w:val="310"/>
        </w:numPr>
        <w:rPr>
          <w:rFonts w:ascii="Arial" w:cs="Arial" w:eastAsia="Arial" w:hAnsi="Arial"/>
          <w:sz w:val="20"/>
          <w:szCs w:val="20"/>
          <w:color w:val="auto"/>
        </w:rPr>
      </w:pPr>
      <w:r>
        <w:rPr>
          <w:rFonts w:ascii="Arial" w:cs="Arial" w:eastAsia="Arial" w:hAnsi="Arial"/>
          <w:sz w:val="20"/>
          <w:szCs w:val="20"/>
          <w:color w:val="auto"/>
        </w:rPr>
        <w:t>neither the Executive nor any of the Executive Release Parties will initiate or cause to be initiated on the Executive’s behalf any Proceeding, or will participate (except as required by law) in any Proceeding of any nature or description against any member of the Company Group individua lly or the Company Group collectively that in any way involves the allegations and facts that the Executive could have raised against any member of the Company Group individua lly or collectively as of the date hereof and (ii) the Executive, individua lly and jointly, for himself and each of the Executive Release Parties, waives any right the Executive or any of the Executive Release Parties may have to benefit in any manner from any relief (monetary or otherwise) arising out of any Proceeding.</w:t>
      </w:r>
    </w:p>
    <w:p>
      <w:pPr>
        <w:spacing w:after="0" w:line="183" w:lineRule="exact"/>
        <w:rPr>
          <w:sz w:val="20"/>
          <w:szCs w:val="20"/>
          <w:color w:val="auto"/>
        </w:rPr>
      </w:pPr>
    </w:p>
    <w:p>
      <w:pPr>
        <w:ind w:left="1305" w:hanging="670"/>
        <w:spacing w:after="0"/>
        <w:tabs>
          <w:tab w:leader="none" w:pos="1305" w:val="left"/>
        </w:tabs>
        <w:numPr>
          <w:ilvl w:val="0"/>
          <w:numId w:val="311"/>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the Executive Released</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9"/>
          <w:szCs w:val="19"/>
          <w:color w:val="auto"/>
        </w:rPr>
        <w:t>Claims do not include any claims (i) for indemnification in accordance with Section 4(f) of the Employment Agreement,</w:t>
      </w:r>
    </w:p>
    <w:p>
      <w:pPr>
        <w:spacing w:after="0" w:line="20" w:lineRule="exact"/>
        <w:rPr>
          <w:sz w:val="20"/>
          <w:szCs w:val="20"/>
          <w:color w:val="auto"/>
        </w:rPr>
      </w:pPr>
    </w:p>
    <w:p>
      <w:pPr>
        <w:ind w:left="5" w:right="260" w:hanging="5"/>
        <w:spacing w:after="0" w:line="261" w:lineRule="auto"/>
        <w:tabs>
          <w:tab w:leader="none" w:pos="316" w:val="left"/>
        </w:tabs>
        <w:numPr>
          <w:ilvl w:val="0"/>
          <w:numId w:val="312"/>
        </w:numPr>
        <w:rPr>
          <w:rFonts w:ascii="Arial" w:cs="Arial" w:eastAsia="Arial" w:hAnsi="Arial"/>
          <w:sz w:val="19"/>
          <w:szCs w:val="19"/>
          <w:color w:val="auto"/>
        </w:rPr>
      </w:pPr>
      <w:r>
        <w:rPr>
          <w:rFonts w:ascii="Arial" w:cs="Arial" w:eastAsia="Arial" w:hAnsi="Arial"/>
          <w:sz w:val="19"/>
          <w:szCs w:val="19"/>
          <w:color w:val="auto"/>
        </w:rPr>
        <w:t>for unemployment compensation benefits, (iii) any claims by Executive in respect of any vested benefits under any Company tax-qualified benefit plans or other Company retirement plans of any type that Executive is entitled to pursuant to the terms thereof as a result of his employment with the Company, (iv) any rights of the Executive in</w:t>
      </w:r>
    </w:p>
    <w:p>
      <w:pPr>
        <w:spacing w:after="0" w:line="1" w:lineRule="exact"/>
        <w:rPr>
          <w:rFonts w:ascii="Arial" w:cs="Arial" w:eastAsia="Arial" w:hAnsi="Arial"/>
          <w:sz w:val="19"/>
          <w:szCs w:val="19"/>
          <w:color w:val="auto"/>
        </w:rPr>
      </w:pPr>
    </w:p>
    <w:p>
      <w:pPr>
        <w:ind w:left="5" w:right="40"/>
        <w:spacing w:after="0" w:line="239" w:lineRule="auto"/>
        <w:rPr>
          <w:rFonts w:ascii="Arial" w:cs="Arial" w:eastAsia="Arial" w:hAnsi="Arial"/>
          <w:sz w:val="19"/>
          <w:szCs w:val="19"/>
          <w:color w:val="auto"/>
        </w:rPr>
      </w:pPr>
      <w:r>
        <w:rPr>
          <w:rFonts w:ascii="Arial" w:cs="Arial" w:eastAsia="Arial" w:hAnsi="Arial"/>
          <w:sz w:val="21"/>
          <w:szCs w:val="21"/>
          <w:color w:val="auto"/>
        </w:rPr>
        <w:t>his capacity as an equity holder in the Company or any of its Affiliates, (v) any right or claim that arises against the Company after the date of this Agreement, or (vi) any right the Executive may have to obtain contribution as permitted by law in the event of entry of judgment against the Executive and the Company as a result of any act or failure to act for which the Executive and the Company are jointly liable.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5"/>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78105</wp:posOffset>
            </wp:positionV>
            <wp:extent cx="6610985" cy="165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4">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305"/>
          </w:cols>
          <w:pgMar w:left="855" w:top="118" w:right="739" w:bottom="1440" w:gutter="0" w:footer="0" w:header="0"/>
        </w:sectPr>
      </w:pPr>
    </w:p>
    <w:bookmarkStart w:id="375" w:name="page376"/>
    <w:bookmarkEnd w:id="375"/>
    <w:p>
      <w:pPr>
        <w:ind w:left="643" w:hanging="643"/>
        <w:spacing w:after="0"/>
        <w:tabs>
          <w:tab w:leader="none" w:pos="643" w:val="left"/>
        </w:tabs>
        <w:numPr>
          <w:ilvl w:val="0"/>
          <w:numId w:val="313"/>
        </w:numPr>
        <w:rPr>
          <w:rFonts w:ascii="Arial" w:cs="Arial" w:eastAsia="Arial" w:hAnsi="Arial"/>
          <w:sz w:val="21"/>
          <w:szCs w:val="21"/>
          <w:color w:val="auto"/>
        </w:rPr>
      </w:pPr>
      <w:r>
        <w:rPr>
          <w:rFonts w:ascii="Arial" w:cs="Arial" w:eastAsia="Arial" w:hAnsi="Arial"/>
          <w:sz w:val="21"/>
          <w:szCs w:val="21"/>
          <w:u w:val="single" w:color="auto"/>
          <w:color w:val="auto"/>
        </w:rPr>
        <w:t>Acknowledgment of Consideration</w:t>
      </w:r>
      <w:r>
        <w:rPr>
          <w:rFonts w:ascii="Arial" w:cs="Arial" w:eastAsia="Arial" w:hAnsi="Arial"/>
          <w:sz w:val="21"/>
          <w:szCs w:val="21"/>
          <w:color w:val="auto"/>
        </w:rPr>
        <w:t>.</w:t>
      </w:r>
    </w:p>
    <w:p>
      <w:pPr>
        <w:spacing w:after="0" w:line="222" w:lineRule="exact"/>
        <w:rPr>
          <w:sz w:val="20"/>
          <w:szCs w:val="20"/>
          <w:color w:val="auto"/>
        </w:rPr>
      </w:pPr>
    </w:p>
    <w:p>
      <w:pPr>
        <w:jc w:val="both"/>
        <w:ind w:left="3" w:right="60" w:firstLine="1270"/>
        <w:spacing w:after="0" w:line="268" w:lineRule="auto"/>
        <w:rPr>
          <w:sz w:val="20"/>
          <w:szCs w:val="20"/>
          <w:color w:val="auto"/>
        </w:rPr>
      </w:pPr>
      <w:r>
        <w:rPr>
          <w:rFonts w:ascii="Arial" w:cs="Arial" w:eastAsia="Arial" w:hAnsi="Arial"/>
          <w:sz w:val="19"/>
          <w:szCs w:val="19"/>
          <w:color w:val="auto"/>
        </w:rPr>
        <w:t>The Executive is specifically agreeing to the terms of this release because the Company has agreed to pay the Executive money and other benefits to which the Executive was not otherwise entitled under the Company’s policies or under the Employment Agreement (in the absence of providing this release). The Company has agreed to</w:t>
      </w:r>
    </w:p>
    <w:p>
      <w:pPr>
        <w:ind w:left="3" w:right="560"/>
        <w:spacing w:after="0" w:line="296" w:lineRule="auto"/>
        <w:rPr>
          <w:sz w:val="20"/>
          <w:szCs w:val="20"/>
          <w:color w:val="auto"/>
        </w:rPr>
      </w:pPr>
      <w:r>
        <w:rPr>
          <w:rFonts w:ascii="Arial" w:cs="Arial" w:eastAsia="Arial" w:hAnsi="Arial"/>
          <w:sz w:val="19"/>
          <w:szCs w:val="19"/>
          <w:color w:val="auto"/>
        </w:rPr>
        <w:t>provide this money and other benefits because of the Executive’s agreement to accept it in full settlement of all possible claims the Executive might have or ever had, and because of the Executive’s execution of this Agreement.</w:t>
      </w:r>
    </w:p>
    <w:p>
      <w:pPr>
        <w:spacing w:after="0" w:line="131" w:lineRule="exact"/>
        <w:rPr>
          <w:sz w:val="20"/>
          <w:szCs w:val="20"/>
          <w:color w:val="auto"/>
        </w:rPr>
      </w:pPr>
    </w:p>
    <w:p>
      <w:pPr>
        <w:ind w:left="643" w:hanging="643"/>
        <w:spacing w:after="0"/>
        <w:tabs>
          <w:tab w:leader="none" w:pos="643" w:val="left"/>
        </w:tabs>
        <w:numPr>
          <w:ilvl w:val="0"/>
          <w:numId w:val="314"/>
        </w:numPr>
        <w:rPr>
          <w:rFonts w:ascii="Arial" w:cs="Arial" w:eastAsia="Arial" w:hAnsi="Arial"/>
          <w:sz w:val="21"/>
          <w:szCs w:val="21"/>
          <w:color w:val="auto"/>
        </w:rPr>
      </w:pPr>
      <w:r>
        <w:rPr>
          <w:rFonts w:ascii="Arial" w:cs="Arial" w:eastAsia="Arial" w:hAnsi="Arial"/>
          <w:sz w:val="21"/>
          <w:szCs w:val="21"/>
          <w:u w:val="single" w:color="auto"/>
          <w:color w:val="auto"/>
        </w:rPr>
        <w:t>Acknowledgments Relating to Waiver and Release; Revocation Period</w:t>
      </w:r>
      <w:r>
        <w:rPr>
          <w:rFonts w:ascii="Arial" w:cs="Arial" w:eastAsia="Arial" w:hAnsi="Arial"/>
          <w:sz w:val="21"/>
          <w:szCs w:val="21"/>
          <w:color w:val="auto"/>
        </w:rPr>
        <w:t>.</w:t>
      </w:r>
    </w:p>
    <w:p>
      <w:pPr>
        <w:spacing w:after="0" w:line="208" w:lineRule="exact"/>
        <w:rPr>
          <w:sz w:val="20"/>
          <w:szCs w:val="20"/>
          <w:color w:val="auto"/>
        </w:rPr>
      </w:pPr>
    </w:p>
    <w:p>
      <w:pPr>
        <w:ind w:left="1923" w:hanging="653"/>
        <w:spacing w:after="0"/>
        <w:tabs>
          <w:tab w:leader="none" w:pos="1923" w:val="left"/>
        </w:tabs>
        <w:numPr>
          <w:ilvl w:val="0"/>
          <w:numId w:val="315"/>
        </w:numPr>
        <w:rPr>
          <w:rFonts w:ascii="Arial" w:cs="Arial" w:eastAsia="Arial" w:hAnsi="Arial"/>
          <w:sz w:val="21"/>
          <w:szCs w:val="21"/>
          <w:color w:val="auto"/>
        </w:rPr>
      </w:pPr>
      <w:r>
        <w:rPr>
          <w:rFonts w:ascii="Arial" w:cs="Arial" w:eastAsia="Arial" w:hAnsi="Arial"/>
          <w:sz w:val="21"/>
          <w:szCs w:val="21"/>
          <w:color w:val="auto"/>
        </w:rPr>
        <w:t>The Executive acknowledges that the Executive has read this Agreement in its</w:t>
      </w:r>
    </w:p>
    <w:p>
      <w:pPr>
        <w:spacing w:after="0" w:line="15" w:lineRule="exact"/>
        <w:rPr>
          <w:sz w:val="20"/>
          <w:szCs w:val="20"/>
          <w:color w:val="auto"/>
        </w:rPr>
      </w:pPr>
    </w:p>
    <w:p>
      <w:pPr>
        <w:ind w:left="3" w:right="200"/>
        <w:spacing w:after="0" w:line="267" w:lineRule="auto"/>
        <w:rPr>
          <w:sz w:val="20"/>
          <w:szCs w:val="20"/>
          <w:color w:val="auto"/>
        </w:rPr>
      </w:pPr>
      <w:r>
        <w:rPr>
          <w:rFonts w:ascii="Arial" w:cs="Arial" w:eastAsia="Arial" w:hAnsi="Arial"/>
          <w:sz w:val="19"/>
          <w:szCs w:val="19"/>
          <w:color w:val="auto"/>
        </w:rPr>
        <w:t>entirety, fully understands its meaning and is executing this Agreement voluntarily and of the Executive’s own free will with full knowledge of its significance. The Executive acknowledges and warrants that the Executive has been advised by the Company to consult with an attorney prior to executing this Agreement. The offer to accept the terms of the Agreement is open for twenty-one (21) days from the date the Executive receives the Agreement. The Executive shall have the right to revoke this Agreement for a period of seven days following the Executive’s execution of this Agreement, by giving written notice of such revocation to the Company. This Agreement shall not become effective until the eighth day following the Executive’s execution of it (without prior revocation)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72" w:lineRule="exact"/>
        <w:rPr>
          <w:sz w:val="20"/>
          <w:szCs w:val="20"/>
          <w:color w:val="auto"/>
        </w:rPr>
      </w:pPr>
    </w:p>
    <w:p>
      <w:pPr>
        <w:ind w:left="1943" w:hanging="673"/>
        <w:spacing w:after="0"/>
        <w:tabs>
          <w:tab w:leader="none" w:pos="1943" w:val="left"/>
        </w:tabs>
        <w:numPr>
          <w:ilvl w:val="0"/>
          <w:numId w:val="316"/>
        </w:numPr>
        <w:rPr>
          <w:rFonts w:ascii="Arial" w:cs="Arial" w:eastAsia="Arial" w:hAnsi="Arial"/>
          <w:sz w:val="20"/>
          <w:szCs w:val="20"/>
          <w:color w:val="auto"/>
        </w:rPr>
      </w:pPr>
      <w:r>
        <w:rPr>
          <w:rFonts w:ascii="Arial" w:cs="Arial" w:eastAsia="Arial" w:hAnsi="Arial"/>
          <w:sz w:val="20"/>
          <w:szCs w:val="20"/>
          <w:color w:val="auto"/>
        </w:rPr>
        <w:t>It is the intention of the Executive Release Parties that this Agreement shall be effective as a</w:t>
      </w:r>
    </w:p>
    <w:p>
      <w:pPr>
        <w:spacing w:after="0" w:line="26" w:lineRule="exact"/>
        <w:rPr>
          <w:sz w:val="20"/>
          <w:szCs w:val="20"/>
          <w:color w:val="auto"/>
        </w:rPr>
      </w:pPr>
    </w:p>
    <w:p>
      <w:pPr>
        <w:ind w:left="3"/>
        <w:spacing w:after="0" w:line="265" w:lineRule="auto"/>
        <w:rPr>
          <w:sz w:val="20"/>
          <w:szCs w:val="20"/>
          <w:color w:val="auto"/>
        </w:rPr>
      </w:pPr>
      <w:r>
        <w:rPr>
          <w:rFonts w:ascii="Arial" w:cs="Arial" w:eastAsia="Arial" w:hAnsi="Arial"/>
          <w:sz w:val="19"/>
          <w:szCs w:val="19"/>
          <w:color w:val="auto"/>
        </w:rPr>
        <w:t>full and final accord and satisfaction, and release, of the Executive Released Claims and that the releases herein extend to any and all claims of whatsoever kind or character, known or unknown. In connection with such waiver and relinquishment, the Executive Release Parties acknowledge that they are aware that they may later discover facts in addition to or different from those which they now know or believe to be true with respect to the subject matter of this Agreement, but that it is their intention hereby fully, finally and forever to settle and release all of the Executive Released Claims, known or unknown, suspected or unsuspected, which now exist, or previously existed. In furtherance of such intention, the releases given herein shall be, and shall remain, in effect as a full and complete release of the Executive Released Claims, notwithstanding the discovery or existence of any such additional or different facts. Nothing herein shall be construed as a release of the obligations under this Agreement or claims which may arise from the breach hereof.</w:t>
      </w:r>
    </w:p>
    <w:p>
      <w:pPr>
        <w:spacing w:after="0" w:line="165" w:lineRule="exact"/>
        <w:rPr>
          <w:sz w:val="20"/>
          <w:szCs w:val="20"/>
          <w:color w:val="auto"/>
        </w:rPr>
      </w:pPr>
    </w:p>
    <w:p>
      <w:pPr>
        <w:ind w:left="643" w:hanging="643"/>
        <w:spacing w:after="0"/>
        <w:tabs>
          <w:tab w:leader="none" w:pos="643" w:val="left"/>
        </w:tabs>
        <w:numPr>
          <w:ilvl w:val="0"/>
          <w:numId w:val="317"/>
        </w:numPr>
        <w:rPr>
          <w:rFonts w:ascii="Arial" w:cs="Arial" w:eastAsia="Arial" w:hAnsi="Arial"/>
          <w:sz w:val="21"/>
          <w:szCs w:val="21"/>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w:t>
      </w:r>
    </w:p>
    <w:p>
      <w:pPr>
        <w:spacing w:after="0" w:line="222" w:lineRule="exact"/>
        <w:rPr>
          <w:sz w:val="20"/>
          <w:szCs w:val="20"/>
          <w:color w:val="auto"/>
        </w:rPr>
      </w:pPr>
    </w:p>
    <w:p>
      <w:pPr>
        <w:ind w:left="3" w:right="340" w:firstLine="1270"/>
        <w:spacing w:after="0" w:line="266" w:lineRule="auto"/>
        <w:rPr>
          <w:sz w:val="20"/>
          <w:szCs w:val="20"/>
          <w:color w:val="auto"/>
        </w:rPr>
      </w:pPr>
      <w:r>
        <w:rPr>
          <w:rFonts w:ascii="Arial" w:cs="Arial" w:eastAsia="Arial" w:hAnsi="Arial"/>
          <w:sz w:val="19"/>
          <w:szCs w:val="19"/>
          <w:color w:val="auto"/>
        </w:rPr>
        <w:t>Moreover, the Executive understands and agrees that if the Executive breaches any provisions of this Agreement, in addition to any other legal or equitable remedy the Company may have, the Company shall be entitled to cease making any payments or providing any benefits to the Executive agreed hereunder. The remedies set forth in this paragraph shall not apply to any challenge to the validity of the waiver and release of the</w:t>
      </w:r>
    </w:p>
    <w:p>
      <w:pPr>
        <w:spacing w:after="0" w:line="2" w:lineRule="exact"/>
        <w:rPr>
          <w:sz w:val="20"/>
          <w:szCs w:val="20"/>
          <w:color w:val="auto"/>
        </w:rPr>
      </w:pPr>
    </w:p>
    <w:p>
      <w:pPr>
        <w:ind w:left="3" w:right="280"/>
        <w:spacing w:after="0" w:line="241" w:lineRule="auto"/>
        <w:rPr>
          <w:sz w:val="20"/>
          <w:szCs w:val="20"/>
          <w:color w:val="auto"/>
        </w:rPr>
      </w:pPr>
      <w:r>
        <w:rPr>
          <w:rFonts w:ascii="Arial" w:cs="Arial" w:eastAsia="Arial" w:hAnsi="Arial"/>
          <w:sz w:val="21"/>
          <w:szCs w:val="21"/>
          <w:color w:val="auto"/>
        </w:rPr>
        <w:t>Executive’s rights under the ADEA. In the event the Executive challenges the validity of the waiver and release of the Executive’s rights under the ADEA, then the Company’s right to attorneys’ fees and costs shall be governed by the provisions of the ADEA, so that the Company may recover such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78105</wp:posOffset>
            </wp:positionV>
            <wp:extent cx="6610985" cy="165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5">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283"/>
          </w:cols>
          <w:pgMar w:left="837" w:top="408" w:right="779" w:bottom="1440" w:gutter="0" w:footer="0" w:header="0"/>
        </w:sectPr>
      </w:pPr>
    </w:p>
    <w:bookmarkStart w:id="376" w:name="page377"/>
    <w:bookmarkEnd w:id="376"/>
    <w:p>
      <w:pPr>
        <w:jc w:val="both"/>
        <w:ind w:left="3"/>
        <w:spacing w:after="0" w:line="279" w:lineRule="auto"/>
        <w:rPr>
          <w:sz w:val="20"/>
          <w:szCs w:val="20"/>
          <w:color w:val="auto"/>
        </w:rPr>
      </w:pPr>
      <w:r>
        <w:rPr>
          <w:rFonts w:ascii="Arial" w:cs="Arial" w:eastAsia="Arial" w:hAnsi="Arial"/>
          <w:sz w:val="19"/>
          <w:szCs w:val="19"/>
          <w:color w:val="auto"/>
        </w:rPr>
        <w:t>costs if the lawsuit is brought by the Executive in bad faith. Any such action permitted to the Company by this paragraph, however, shall not affect or impair any of the Executive’s obligations under this Agreement, including without limitation, the release of claims in paragraph 1 hereof. The Executive further agrees that nothing herein shall preclude the Company from recovering attorneys’ fees, costs or any other remedies specifically authorized under applicable law.</w:t>
      </w:r>
    </w:p>
    <w:p>
      <w:pPr>
        <w:spacing w:after="0" w:line="148" w:lineRule="exact"/>
        <w:rPr>
          <w:sz w:val="20"/>
          <w:szCs w:val="20"/>
          <w:color w:val="auto"/>
        </w:rPr>
      </w:pPr>
    </w:p>
    <w:p>
      <w:pPr>
        <w:ind w:left="643" w:hanging="643"/>
        <w:spacing w:after="0"/>
        <w:tabs>
          <w:tab w:leader="none" w:pos="643" w:val="left"/>
        </w:tabs>
        <w:numPr>
          <w:ilvl w:val="0"/>
          <w:numId w:val="318"/>
        </w:numPr>
        <w:rPr>
          <w:rFonts w:ascii="Arial" w:cs="Arial" w:eastAsia="Arial" w:hAnsi="Arial"/>
          <w:sz w:val="21"/>
          <w:szCs w:val="21"/>
          <w:color w:val="auto"/>
        </w:rPr>
      </w:pPr>
      <w:r>
        <w:rPr>
          <w:rFonts w:ascii="Arial" w:cs="Arial" w:eastAsia="Arial" w:hAnsi="Arial"/>
          <w:sz w:val="21"/>
          <w:szCs w:val="21"/>
          <w:u w:val="single" w:color="auto"/>
          <w:color w:val="auto"/>
        </w:rPr>
        <w:t>No Admission</w:t>
      </w:r>
      <w:r>
        <w:rPr>
          <w:rFonts w:ascii="Arial" w:cs="Arial" w:eastAsia="Arial" w:hAnsi="Arial"/>
          <w:sz w:val="21"/>
          <w:szCs w:val="21"/>
          <w:color w:val="auto"/>
        </w:rPr>
        <w:t>.</w:t>
      </w:r>
    </w:p>
    <w:p>
      <w:pPr>
        <w:spacing w:after="0" w:line="222" w:lineRule="exact"/>
        <w:rPr>
          <w:sz w:val="20"/>
          <w:szCs w:val="20"/>
          <w:color w:val="auto"/>
        </w:rPr>
      </w:pPr>
    </w:p>
    <w:p>
      <w:pPr>
        <w:ind w:left="3" w:firstLine="1270"/>
        <w:spacing w:after="0" w:line="289" w:lineRule="auto"/>
        <w:rPr>
          <w:sz w:val="20"/>
          <w:szCs w:val="20"/>
          <w:color w:val="auto"/>
        </w:rPr>
      </w:pPr>
      <w:r>
        <w:rPr>
          <w:rFonts w:ascii="Arial" w:cs="Arial" w:eastAsia="Arial" w:hAnsi="Arial"/>
          <w:sz w:val="19"/>
          <w:szCs w:val="19"/>
          <w:color w:val="auto"/>
        </w:rPr>
        <w:t>Nothing herein shall be deemed to constitute an admission of wrongdoing by any member of the Company Group. Neither this Agreement nor any of its terms shall be used as an admission or introduced as evidence as to any issue of law or fact in any proceeding, suit or action, other than an action to enforce this Agreement.</w:t>
      </w:r>
    </w:p>
    <w:p>
      <w:pPr>
        <w:spacing w:after="0" w:line="150" w:lineRule="exact"/>
        <w:rPr>
          <w:sz w:val="20"/>
          <w:szCs w:val="20"/>
          <w:color w:val="auto"/>
        </w:rPr>
      </w:pPr>
    </w:p>
    <w:p>
      <w:pPr>
        <w:ind w:left="643" w:hanging="643"/>
        <w:spacing w:after="0"/>
        <w:tabs>
          <w:tab w:leader="none" w:pos="643" w:val="left"/>
        </w:tabs>
        <w:numPr>
          <w:ilvl w:val="0"/>
          <w:numId w:val="319"/>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w:t>
      </w:r>
    </w:p>
    <w:p>
      <w:pPr>
        <w:spacing w:after="0" w:line="216" w:lineRule="exact"/>
        <w:rPr>
          <w:sz w:val="20"/>
          <w:szCs w:val="20"/>
          <w:color w:val="auto"/>
        </w:rPr>
      </w:pPr>
    </w:p>
    <w:p>
      <w:pPr>
        <w:ind w:left="3" w:right="120" w:firstLine="1270"/>
        <w:spacing w:after="0" w:line="243" w:lineRule="auto"/>
        <w:rPr>
          <w:sz w:val="20"/>
          <w:szCs w:val="20"/>
          <w:color w:val="auto"/>
        </w:rPr>
      </w:pPr>
      <w:r>
        <w:rPr>
          <w:rFonts w:ascii="Arial" w:cs="Arial" w:eastAsia="Arial" w:hAnsi="Arial"/>
          <w:sz w:val="21"/>
          <w:szCs w:val="21"/>
          <w:b w:val="1"/>
          <w:bCs w:val="1"/>
          <w:color w:val="auto"/>
        </w:rPr>
        <w:t>THE TERMS OF THIS AGREEMENT AND ALL RIGHTS AND OBLIGATIONS OF THE PARTIES HERETO, INCLUDING ITS ENFORCEMENT, SHALL BE INTERPRETED AND GOVERNED BY THE LAWS OF THE STATE OF DELAWARE WITHOUT REGARD TO THE PRINCIPLES OF CONFLICTS OF LAWS OF THE STATE OF DELAWARE OR THOSE OF ANY OTHER JURISDICTION WHICH COULD CAUSE THE APPLICATION OF THE LAWS OF ANY JURISDICTION OTHER THAN THE STATE OF DELAWARE.</w:t>
      </w:r>
    </w:p>
    <w:p>
      <w:pPr>
        <w:spacing w:after="0" w:line="200" w:lineRule="exact"/>
        <w:rPr>
          <w:sz w:val="20"/>
          <w:szCs w:val="20"/>
          <w:color w:val="auto"/>
        </w:rPr>
      </w:pPr>
    </w:p>
    <w:p>
      <w:pPr>
        <w:spacing w:after="0" w:line="244" w:lineRule="exact"/>
        <w:rPr>
          <w:sz w:val="20"/>
          <w:szCs w:val="20"/>
          <w:color w:val="auto"/>
        </w:rPr>
      </w:pPr>
    </w:p>
    <w:p>
      <w:pPr>
        <w:jc w:val="center"/>
        <w:ind w:right="57"/>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78105</wp:posOffset>
            </wp:positionV>
            <wp:extent cx="6610985" cy="165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6">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303"/>
          </w:cols>
          <w:pgMar w:left="837" w:top="118" w:right="759" w:bottom="1440" w:gutter="0" w:footer="0" w:header="0"/>
        </w:sectPr>
      </w:pPr>
    </w:p>
    <w:bookmarkStart w:id="377" w:name="page378"/>
    <w:bookmarkEnd w:id="377"/>
    <w:p>
      <w:pPr>
        <w:ind w:left="120" w:firstLine="1270"/>
        <w:spacing w:after="0" w:line="263" w:lineRule="auto"/>
        <w:rPr>
          <w:sz w:val="20"/>
          <w:szCs w:val="20"/>
          <w:color w:val="auto"/>
        </w:rPr>
      </w:pPr>
      <w:r>
        <w:rPr>
          <w:rFonts w:ascii="Arial" w:cs="Arial" w:eastAsia="Arial" w:hAnsi="Arial"/>
          <w:sz w:val="21"/>
          <w:szCs w:val="21"/>
          <w:color w:val="auto"/>
        </w:rPr>
        <w:t>IN WITNESS WHEREOF, Executive has executed this Agreement as of the date set forth opposite the Executive’s signature below.</w:t>
      </w:r>
    </w:p>
    <w:p>
      <w:pPr>
        <w:spacing w:after="0" w:line="200" w:lineRule="exact"/>
        <w:rPr>
          <w:sz w:val="20"/>
          <w:szCs w:val="20"/>
          <w:color w:val="auto"/>
        </w:rPr>
      </w:pPr>
    </w:p>
    <w:p>
      <w:pPr>
        <w:spacing w:after="0" w:line="290" w:lineRule="exact"/>
        <w:rPr>
          <w:sz w:val="20"/>
          <w:szCs w:val="20"/>
          <w:color w:val="auto"/>
        </w:rPr>
      </w:pPr>
    </w:p>
    <w:p>
      <w:pPr>
        <w:spacing w:after="0"/>
        <w:tabs>
          <w:tab w:leader="none" w:pos="468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-147320</wp:posOffset>
            </wp:positionV>
            <wp:extent cx="660273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7">
                      <a:extLst>
                        <a:ext uri="{28A0092B-C50C-407E-A947-70E740481C1C}"/>
                      </a:extLst>
                    </a:blip>
                    <a:srcRect/>
                    <a:stretch>
                      <a:fillRect/>
                    </a:stretch>
                  </pic:blipFill>
                  <pic:spPr bwMode="auto">
                    <a:xfrm>
                      <a:off x="0" y="0"/>
                      <a:ext cx="66027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(not to be signed prior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610985" cy="165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8">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100"/>
          </w:cols>
          <w:pgMar w:left="740" w:top="118" w:right="1059" w:bottom="1440" w:gutter="0" w:footer="0" w:header="0"/>
        </w:sectPr>
      </w:pPr>
    </w:p>
    <w:bookmarkStart w:id="378" w:name="page379"/>
    <w:bookmarkEnd w:id="378"/>
    <w:p>
      <w:pPr>
        <w:jc w:val="center"/>
        <w:ind w:right="95"/>
        <w:spacing w:after="0"/>
        <w:rPr>
          <w:sz w:val="20"/>
          <w:szCs w:val="20"/>
          <w:color w:val="auto"/>
        </w:rPr>
      </w:pPr>
      <w:r>
        <w:rPr>
          <w:rFonts w:ascii="Arial" w:cs="Arial" w:eastAsia="Arial" w:hAnsi="Arial"/>
          <w:sz w:val="21"/>
          <w:szCs w:val="21"/>
          <w:b w:val="1"/>
          <w:bCs w:val="1"/>
          <w:color w:val="auto"/>
        </w:rPr>
        <w:t>EXHIBIT C</w:t>
      </w:r>
    </w:p>
    <w:p>
      <w:pPr>
        <w:spacing w:after="0" w:line="235" w:lineRule="exact"/>
        <w:rPr>
          <w:sz w:val="20"/>
          <w:szCs w:val="20"/>
          <w:color w:val="auto"/>
        </w:rPr>
      </w:pPr>
    </w:p>
    <w:p>
      <w:pPr>
        <w:jc w:val="center"/>
        <w:ind w:right="95"/>
        <w:spacing w:after="0"/>
        <w:rPr>
          <w:sz w:val="20"/>
          <w:szCs w:val="20"/>
          <w:color w:val="auto"/>
        </w:rPr>
      </w:pPr>
      <w:r>
        <w:rPr>
          <w:rFonts w:ascii="Arial" w:cs="Arial" w:eastAsia="Arial" w:hAnsi="Arial"/>
          <w:sz w:val="21"/>
          <w:szCs w:val="21"/>
          <w:b w:val="1"/>
          <w:bCs w:val="1"/>
          <w:color w:val="auto"/>
        </w:rPr>
        <w:t>WAIVER AND RELEASE OF CLAIMS</w:t>
      </w:r>
    </w:p>
    <w:p>
      <w:pPr>
        <w:spacing w:after="0" w:line="228" w:lineRule="exact"/>
        <w:rPr>
          <w:sz w:val="20"/>
          <w:szCs w:val="20"/>
          <w:color w:val="auto"/>
        </w:rPr>
      </w:pPr>
    </w:p>
    <w:p>
      <w:pPr>
        <w:ind w:left="5" w:right="600" w:firstLine="1270"/>
        <w:spacing w:after="0" w:line="263" w:lineRule="auto"/>
        <w:rPr>
          <w:sz w:val="20"/>
          <w:szCs w:val="20"/>
          <w:color w:val="auto"/>
        </w:rPr>
      </w:pPr>
      <w:r>
        <w:rPr>
          <w:rFonts w:ascii="Arial" w:cs="Arial" w:eastAsia="Arial" w:hAnsi="Arial"/>
          <w:sz w:val="21"/>
          <w:szCs w:val="21"/>
          <w:color w:val="auto"/>
        </w:rPr>
        <w:t>In connection with the termination of employment of Douglas A. Cifu (the “</w:t>
      </w:r>
      <w:r>
        <w:rPr>
          <w:rFonts w:ascii="Arial" w:cs="Arial" w:eastAsia="Arial" w:hAnsi="Arial"/>
          <w:sz w:val="21"/>
          <w:szCs w:val="21"/>
          <w:u w:val="single" w:color="auto"/>
          <w:color w:val="auto"/>
        </w:rPr>
        <w:t>Executive</w:t>
      </w:r>
      <w:r>
        <w:rPr>
          <w:rFonts w:ascii="Arial" w:cs="Arial" w:eastAsia="Arial" w:hAnsi="Arial"/>
          <w:sz w:val="21"/>
          <w:szCs w:val="21"/>
          <w:color w:val="auto"/>
        </w:rPr>
        <w:t>”) from Virtu Financial, Inc. (the “</w:t>
      </w:r>
      <w:r>
        <w:rPr>
          <w:rFonts w:ascii="Arial" w:cs="Arial" w:eastAsia="Arial" w:hAnsi="Arial"/>
          <w:sz w:val="21"/>
          <w:szCs w:val="21"/>
          <w:u w:val="single" w:color="auto"/>
          <w:color w:val="auto"/>
        </w:rPr>
        <w:t>Company</w:t>
      </w:r>
      <w:r>
        <w:rPr>
          <w:rFonts w:ascii="Arial" w:cs="Arial" w:eastAsia="Arial" w:hAnsi="Arial"/>
          <w:sz w:val="21"/>
          <w:szCs w:val="21"/>
          <w:color w:val="auto"/>
        </w:rPr>
        <w:t>”), the Company agrees as follows:</w:t>
      </w:r>
    </w:p>
    <w:p>
      <w:pPr>
        <w:spacing w:after="0" w:line="159" w:lineRule="exact"/>
        <w:rPr>
          <w:sz w:val="20"/>
          <w:szCs w:val="20"/>
          <w:color w:val="auto"/>
        </w:rPr>
      </w:pPr>
    </w:p>
    <w:p>
      <w:pPr>
        <w:ind w:left="645" w:hanging="645"/>
        <w:spacing w:after="0"/>
        <w:tabs>
          <w:tab w:leader="none" w:pos="645" w:val="left"/>
        </w:tabs>
        <w:numPr>
          <w:ilvl w:val="0"/>
          <w:numId w:val="320"/>
        </w:numPr>
        <w:rPr>
          <w:rFonts w:ascii="Arial" w:cs="Arial" w:eastAsia="Arial" w:hAnsi="Arial"/>
          <w:sz w:val="21"/>
          <w:szCs w:val="21"/>
          <w:color w:val="auto"/>
        </w:rPr>
      </w:pPr>
      <w:r>
        <w:rPr>
          <w:rFonts w:ascii="Arial" w:cs="Arial" w:eastAsia="Arial" w:hAnsi="Arial"/>
          <w:sz w:val="21"/>
          <w:szCs w:val="21"/>
          <w:u w:val="single" w:color="auto"/>
          <w:color w:val="auto"/>
        </w:rPr>
        <w:t>Waiver and Release by the Company</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ind w:left="5" w:right="60" w:firstLine="630"/>
        <w:spacing w:after="0" w:line="254" w:lineRule="auto"/>
        <w:tabs>
          <w:tab w:leader="none" w:pos="1286" w:val="left"/>
        </w:tabs>
        <w:numPr>
          <w:ilvl w:val="1"/>
          <w:numId w:val="320"/>
        </w:numPr>
        <w:rPr>
          <w:rFonts w:ascii="Arial" w:cs="Arial" w:eastAsia="Arial" w:hAnsi="Arial"/>
          <w:sz w:val="20"/>
          <w:szCs w:val="20"/>
          <w:color w:val="auto"/>
        </w:rPr>
      </w:pPr>
      <w:r>
        <w:rPr>
          <w:rFonts w:ascii="Arial" w:cs="Arial" w:eastAsia="Arial" w:hAnsi="Arial"/>
          <w:sz w:val="20"/>
          <w:szCs w:val="20"/>
          <w:color w:val="auto"/>
        </w:rPr>
        <w:t>As used in this Waiver and Release of Claims (this “</w:t>
      </w:r>
      <w:r>
        <w:rPr>
          <w:rFonts w:ascii="Arial" w:cs="Arial" w:eastAsia="Arial" w:hAnsi="Arial"/>
          <w:sz w:val="20"/>
          <w:szCs w:val="20"/>
          <w:u w:val="single" w:color="auto"/>
          <w:color w:val="auto"/>
        </w:rPr>
        <w:t>Agreement</w:t>
      </w:r>
      <w:r>
        <w:rPr>
          <w:rFonts w:ascii="Arial" w:cs="Arial" w:eastAsia="Arial" w:hAnsi="Arial"/>
          <w:sz w:val="20"/>
          <w:szCs w:val="20"/>
          <w:color w:val="auto"/>
        </w:rPr>
        <w:t>”), the term “</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as to any Person (as such term is defined in the amended and restated employment agreement between the Executive and the Company, dated as of November 15, 2017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such Person’s successors, assigns, agents, attorneys, servants, representatives, employees, independent contractors, trustees, administrators, predecessors-in-interest, insurers, partners, joint venturers, stockholders, directors, officers, parent companies, associated companies, holding companies, divisions, Affiliates (as such term is defined in the Employment Agreement), associates, managers, licensees, accountants and consultants and any other Person claiming through or under such Person or each or all of the foregoing.</w:t>
      </w:r>
    </w:p>
    <w:p>
      <w:pPr>
        <w:spacing w:after="0" w:line="182" w:lineRule="exact"/>
        <w:rPr>
          <w:rFonts w:ascii="Arial" w:cs="Arial" w:eastAsia="Arial" w:hAnsi="Arial"/>
          <w:sz w:val="20"/>
          <w:szCs w:val="20"/>
          <w:color w:val="auto"/>
        </w:rPr>
      </w:pPr>
    </w:p>
    <w:p>
      <w:pPr>
        <w:ind w:left="5" w:right="520" w:firstLine="630"/>
        <w:spacing w:after="0" w:line="279" w:lineRule="auto"/>
        <w:tabs>
          <w:tab w:leader="none" w:pos="1298" w:val="left"/>
        </w:tabs>
        <w:numPr>
          <w:ilvl w:val="1"/>
          <w:numId w:val="320"/>
        </w:numPr>
        <w:rPr>
          <w:rFonts w:ascii="Arial" w:cs="Arial" w:eastAsia="Arial" w:hAnsi="Arial"/>
          <w:sz w:val="19"/>
          <w:szCs w:val="19"/>
          <w:color w:val="auto"/>
        </w:rPr>
      </w:pPr>
      <w:r>
        <w:rPr>
          <w:rFonts w:ascii="Arial" w:cs="Arial" w:eastAsia="Arial" w:hAnsi="Arial"/>
          <w:sz w:val="19"/>
          <w:szCs w:val="19"/>
          <w:color w:val="auto"/>
        </w:rPr>
        <w:t>As used in this Agreement, the term “claims” shall include all claims, actions, arbitrations, charges, complaints (including, without limitation, complaints or allegations to any bar association or similar professional governing body), grievances, hearings, causes of action, actions, suits, damages, costs, expenses, judgments, losses, liabilities, demands, derivative claims, inquiries, investigations, proceedings or suits.</w:t>
      </w:r>
    </w:p>
    <w:p>
      <w:pPr>
        <w:spacing w:after="0" w:line="148" w:lineRule="exact"/>
        <w:rPr>
          <w:rFonts w:ascii="Arial" w:cs="Arial" w:eastAsia="Arial" w:hAnsi="Arial"/>
          <w:sz w:val="19"/>
          <w:szCs w:val="19"/>
          <w:color w:val="auto"/>
        </w:rPr>
      </w:pPr>
    </w:p>
    <w:p>
      <w:pPr>
        <w:jc w:val="both"/>
        <w:ind w:left="5" w:firstLine="630"/>
        <w:spacing w:after="0" w:line="265" w:lineRule="auto"/>
        <w:tabs>
          <w:tab w:leader="none" w:pos="1425" w:val="left"/>
        </w:tabs>
        <w:numPr>
          <w:ilvl w:val="1"/>
          <w:numId w:val="320"/>
        </w:numPr>
        <w:rPr>
          <w:rFonts w:ascii="Arial" w:cs="Arial" w:eastAsia="Arial" w:hAnsi="Arial"/>
          <w:sz w:val="19"/>
          <w:szCs w:val="19"/>
          <w:color w:val="auto"/>
        </w:rPr>
      </w:pPr>
      <w:r>
        <w:rPr>
          <w:rFonts w:ascii="Arial" w:cs="Arial" w:eastAsia="Arial" w:hAnsi="Arial"/>
          <w:sz w:val="19"/>
          <w:szCs w:val="19"/>
          <w:color w:val="auto"/>
        </w:rPr>
        <w:t>The Company on behalf of itself and its subsidiaries, predecessors, successors and assigns (hereinafter collectively referred to as the “</w:t>
      </w:r>
      <w:r>
        <w:rPr>
          <w:rFonts w:ascii="Arial" w:cs="Arial" w:eastAsia="Arial" w:hAnsi="Arial"/>
          <w:sz w:val="19"/>
          <w:szCs w:val="19"/>
          <w:u w:val="single" w:color="auto"/>
          <w:color w:val="auto"/>
        </w:rPr>
        <w:t>Company Release Parties</w:t>
      </w:r>
      <w:r>
        <w:rPr>
          <w:rFonts w:ascii="Arial" w:cs="Arial" w:eastAsia="Arial" w:hAnsi="Arial"/>
          <w:sz w:val="19"/>
          <w:szCs w:val="19"/>
          <w:color w:val="auto"/>
        </w:rPr>
        <w:t>”) effective as of the Effective Date (as defined in Exhibit C of the Employment Agreement), hereby acquits, releases and discharges the Executive, individually and jointly, for himself and each of his Related Parties, in each case in such Related Party’s representative capacity (collectively, the “</w:t>
      </w:r>
      <w:r>
        <w:rPr>
          <w:rFonts w:ascii="Arial" w:cs="Arial" w:eastAsia="Arial" w:hAnsi="Arial"/>
          <w:sz w:val="19"/>
          <w:szCs w:val="19"/>
          <w:u w:val="single" w:color="auto"/>
          <w:color w:val="auto"/>
        </w:rPr>
        <w:t>Executive Release Parties</w:t>
      </w:r>
      <w:r>
        <w:rPr>
          <w:rFonts w:ascii="Arial" w:cs="Arial" w:eastAsia="Arial" w:hAnsi="Arial"/>
          <w:sz w:val="19"/>
          <w:szCs w:val="19"/>
          <w:color w:val="auto"/>
        </w:rPr>
        <w:t>”) of and from any and all claims of every kind and nature whatsoever, whether known or unknown, suspected or unsuspected, previously existing, or now existing, in law or in equity, which the Company Release Parties or any of them had, may have had, or now has, from the beginning of time through the execution of this Agreement, against the Executive Release Parties, collectively or individually, for or by reason of any matter whatsoever including, but not limited to, any claims relating to, arising out of or attributable to the Executive’s employment or the termination of the Executive’s employment with the Company (collectively, the “</w:t>
      </w:r>
      <w:r>
        <w:rPr>
          <w:rFonts w:ascii="Arial" w:cs="Arial" w:eastAsia="Arial" w:hAnsi="Arial"/>
          <w:sz w:val="19"/>
          <w:szCs w:val="19"/>
          <w:u w:val="single" w:color="auto"/>
          <w:color w:val="auto"/>
        </w:rPr>
        <w:t>Company Released Claims</w:t>
      </w:r>
      <w:r>
        <w:rPr>
          <w:rFonts w:ascii="Arial" w:cs="Arial" w:eastAsia="Arial" w:hAnsi="Arial"/>
          <w:sz w:val="19"/>
          <w:szCs w:val="19"/>
          <w:color w:val="auto"/>
        </w:rPr>
        <w:t>”). Notwithstanding anything in this Agreement to the contrary, the Company Release Parties shall not acquit, release or discharge, and the Company Released Claims shall not include (a) any claims relating to fraud or willful misconduct of the Executive or (b) any claims to enforce (i) this Agreement, (ii) the Employment Agreement, or (iii) any restrictive covenant agreements, which claims may include but are not limited to the enforcement of any agreements by the Executive not to compete with the Company Group or solicit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471170</wp:posOffset>
            </wp:positionV>
            <wp:extent cx="661098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05"/>
          </w:cols>
          <w:pgMar w:left="855" w:top="111" w:right="739" w:bottom="1440" w:gutter="0" w:footer="0" w:header="0"/>
        </w:sectPr>
      </w:pPr>
    </w:p>
    <w:bookmarkStart w:id="379" w:name="page380"/>
    <w:bookmarkEnd w:id="379"/>
    <w:p>
      <w:pPr>
        <w:ind w:left="760" w:hanging="645"/>
        <w:spacing w:after="0"/>
        <w:tabs>
          <w:tab w:leader="none" w:pos="760" w:val="left"/>
        </w:tabs>
        <w:numPr>
          <w:ilvl w:val="0"/>
          <w:numId w:val="321"/>
        </w:numPr>
        <w:rPr>
          <w:rFonts w:ascii="Arial" w:cs="Arial" w:eastAsia="Arial" w:hAnsi="Arial"/>
          <w:sz w:val="21"/>
          <w:szCs w:val="21"/>
          <w:color w:val="auto"/>
        </w:rPr>
      </w:pPr>
      <w:r>
        <w:rPr>
          <w:rFonts w:ascii="Arial" w:cs="Arial" w:eastAsia="Arial" w:hAnsi="Arial"/>
          <w:sz w:val="21"/>
          <w:szCs w:val="21"/>
          <w:u w:val="single" w:color="auto"/>
          <w:color w:val="auto"/>
        </w:rPr>
        <w:t>Acknowledgment of Consideration</w:t>
      </w:r>
      <w:r>
        <w:rPr>
          <w:rFonts w:ascii="Arial" w:cs="Arial" w:eastAsia="Arial" w:hAnsi="Arial"/>
          <w:sz w:val="21"/>
          <w:szCs w:val="21"/>
          <w:color w:val="auto"/>
        </w:rPr>
        <w:t>.</w:t>
      </w:r>
    </w:p>
    <w:p>
      <w:pPr>
        <w:spacing w:after="0" w:line="222" w:lineRule="exact"/>
        <w:rPr>
          <w:sz w:val="20"/>
          <w:szCs w:val="20"/>
          <w:color w:val="auto"/>
        </w:rPr>
      </w:pPr>
    </w:p>
    <w:p>
      <w:pPr>
        <w:ind w:left="120" w:right="380" w:firstLine="1270"/>
        <w:spacing w:after="0" w:line="288" w:lineRule="auto"/>
        <w:rPr>
          <w:sz w:val="20"/>
          <w:szCs w:val="20"/>
          <w:color w:val="auto"/>
        </w:rPr>
      </w:pPr>
      <w:r>
        <w:rPr>
          <w:rFonts w:ascii="Arial" w:cs="Arial" w:eastAsia="Arial" w:hAnsi="Arial"/>
          <w:sz w:val="20"/>
          <w:szCs w:val="20"/>
          <w:color w:val="auto"/>
        </w:rPr>
        <w:t>The Company is specifically agreeing to the terms of this release because the Executive has agreed to release the Company Release Parties from all possible claims the Executive might have or ever had.</w:t>
      </w:r>
    </w:p>
    <w:p>
      <w:pPr>
        <w:spacing w:after="0" w:line="17" w:lineRule="exact"/>
        <w:rPr>
          <w:sz w:val="20"/>
          <w:szCs w:val="20"/>
          <w:color w:val="auto"/>
        </w:rPr>
      </w:pPr>
    </w:p>
    <w:p>
      <w:pPr>
        <w:ind w:left="760" w:hanging="645"/>
        <w:spacing w:after="0"/>
        <w:tabs>
          <w:tab w:leader="none" w:pos="760" w:val="left"/>
        </w:tabs>
        <w:numPr>
          <w:ilvl w:val="0"/>
          <w:numId w:val="322"/>
        </w:numPr>
        <w:rPr>
          <w:rFonts w:ascii="Arial" w:cs="Arial" w:eastAsia="Arial" w:hAnsi="Arial"/>
          <w:sz w:val="21"/>
          <w:szCs w:val="21"/>
          <w:color w:val="auto"/>
        </w:rPr>
      </w:pPr>
      <w:r>
        <w:rPr>
          <w:rFonts w:ascii="Arial" w:cs="Arial" w:eastAsia="Arial" w:hAnsi="Arial"/>
          <w:sz w:val="21"/>
          <w:szCs w:val="21"/>
          <w:u w:val="single" w:color="auto"/>
          <w:color w:val="auto"/>
        </w:rPr>
        <w:t>Acknowledgments Relating to Waiver and Release</w:t>
      </w:r>
      <w:r>
        <w:rPr>
          <w:rFonts w:ascii="Arial" w:cs="Arial" w:eastAsia="Arial" w:hAnsi="Arial"/>
          <w:sz w:val="21"/>
          <w:szCs w:val="21"/>
          <w:color w:val="auto"/>
        </w:rPr>
        <w:t>.</w:t>
      </w:r>
    </w:p>
    <w:p>
      <w:pPr>
        <w:spacing w:after="0" w:line="208" w:lineRule="exact"/>
        <w:rPr>
          <w:sz w:val="20"/>
          <w:szCs w:val="20"/>
          <w:color w:val="auto"/>
        </w:rPr>
      </w:pPr>
    </w:p>
    <w:p>
      <w:pPr>
        <w:ind w:right="60" w:firstLine="1371"/>
        <w:spacing w:after="0" w:line="271" w:lineRule="auto"/>
        <w:rPr>
          <w:sz w:val="20"/>
          <w:szCs w:val="20"/>
          <w:color w:val="auto"/>
        </w:rPr>
      </w:pPr>
      <w:r>
        <w:rPr>
          <w:rFonts w:ascii="Arial" w:cs="Arial" w:eastAsia="Arial" w:hAnsi="Arial"/>
          <w:sz w:val="19"/>
          <w:szCs w:val="19"/>
          <w:color w:val="auto"/>
        </w:rPr>
        <w:t>It is the intention of the Company Release Parties that this Agreement shall be effective as a full and final accord and satisfaction, and release, of the Company Released Claims and that the releases herein extend to any and</w:t>
      </w:r>
    </w:p>
    <w:p>
      <w:pPr>
        <w:spacing w:after="0" w:line="1" w:lineRule="exact"/>
        <w:rPr>
          <w:sz w:val="20"/>
          <w:szCs w:val="20"/>
          <w:color w:val="auto"/>
        </w:rPr>
      </w:pPr>
    </w:p>
    <w:p>
      <w:pPr>
        <w:jc w:val="both"/>
        <w:ind w:right="240"/>
        <w:spacing w:after="0" w:line="261" w:lineRule="auto"/>
        <w:rPr>
          <w:sz w:val="20"/>
          <w:szCs w:val="20"/>
          <w:color w:val="auto"/>
        </w:rPr>
      </w:pPr>
      <w:r>
        <w:rPr>
          <w:rFonts w:ascii="Arial" w:cs="Arial" w:eastAsia="Arial" w:hAnsi="Arial"/>
          <w:sz w:val="19"/>
          <w:szCs w:val="19"/>
          <w:color w:val="auto"/>
        </w:rPr>
        <w:t>all claims of whatsoever kind or character, known or unknown. In connection with such waiver and relinquishment, the Company Release Parties acknowledge that they are aware that they may later discover facts in addition to or different from those which they now know or believe to be true with respect to the subject matter of this Agreement, but that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it is their intention hereby fully, finally and forever to settle and release all of the Company Released Claims, known or unknown, suspected or unsuspected, which now exist, or previously existed. In furtherance of such intention, the releases given herein shall be, and shall remain, in effect as a full and complete release of the Company Released Claims, notwithstanding the discovery or existence of any such additional or different facts. Nothing herein shall be construed as a release of the obligations under this Agreement or claims which may arise from the breach hereof.</w:t>
      </w:r>
    </w:p>
    <w:p>
      <w:pPr>
        <w:spacing w:after="0" w:line="172" w:lineRule="exact"/>
        <w:rPr>
          <w:sz w:val="20"/>
          <w:szCs w:val="20"/>
          <w:color w:val="auto"/>
        </w:rPr>
      </w:pPr>
    </w:p>
    <w:p>
      <w:pPr>
        <w:ind w:left="760" w:hanging="645"/>
        <w:spacing w:after="0"/>
        <w:tabs>
          <w:tab w:leader="none" w:pos="760" w:val="left"/>
        </w:tabs>
        <w:numPr>
          <w:ilvl w:val="0"/>
          <w:numId w:val="323"/>
        </w:numPr>
        <w:rPr>
          <w:rFonts w:ascii="Arial" w:cs="Arial" w:eastAsia="Arial" w:hAnsi="Arial"/>
          <w:sz w:val="21"/>
          <w:szCs w:val="21"/>
          <w:color w:val="auto"/>
        </w:rPr>
      </w:pPr>
      <w:r>
        <w:rPr>
          <w:rFonts w:ascii="Arial" w:cs="Arial" w:eastAsia="Arial" w:hAnsi="Arial"/>
          <w:sz w:val="21"/>
          <w:szCs w:val="21"/>
          <w:u w:val="single" w:color="auto"/>
          <w:color w:val="auto"/>
        </w:rPr>
        <w:t>No Admission</w:t>
      </w:r>
      <w:r>
        <w:rPr>
          <w:rFonts w:ascii="Arial" w:cs="Arial" w:eastAsia="Arial" w:hAnsi="Arial"/>
          <w:sz w:val="21"/>
          <w:szCs w:val="21"/>
          <w:color w:val="auto"/>
        </w:rPr>
        <w:t>.</w:t>
      </w:r>
    </w:p>
    <w:p>
      <w:pPr>
        <w:spacing w:after="0" w:line="222" w:lineRule="exact"/>
        <w:rPr>
          <w:sz w:val="20"/>
          <w:szCs w:val="20"/>
          <w:color w:val="auto"/>
        </w:rPr>
      </w:pPr>
    </w:p>
    <w:p>
      <w:pPr>
        <w:ind w:left="120" w:right="160" w:firstLine="1270"/>
        <w:spacing w:after="0" w:line="289" w:lineRule="auto"/>
        <w:rPr>
          <w:sz w:val="20"/>
          <w:szCs w:val="20"/>
          <w:color w:val="auto"/>
        </w:rPr>
      </w:pPr>
      <w:r>
        <w:rPr>
          <w:rFonts w:ascii="Arial" w:cs="Arial" w:eastAsia="Arial" w:hAnsi="Arial"/>
          <w:sz w:val="19"/>
          <w:szCs w:val="19"/>
          <w:color w:val="auto"/>
        </w:rPr>
        <w:t>Nothing herein shall be deemed to constitute an admission of wrongdoing by any member of the Executive Release Parties. Neither this Agreement nor any of its terms shall be used as an admission or introduced as evidence as to any issue of law or fact in any proceeding, suit or action, other than an action to enforce this Agreement.</w:t>
      </w:r>
    </w:p>
    <w:p>
      <w:pPr>
        <w:spacing w:after="0" w:line="150" w:lineRule="exact"/>
        <w:rPr>
          <w:sz w:val="20"/>
          <w:szCs w:val="20"/>
          <w:color w:val="auto"/>
        </w:rPr>
      </w:pPr>
    </w:p>
    <w:p>
      <w:pPr>
        <w:ind w:left="760" w:hanging="645"/>
        <w:spacing w:after="0"/>
        <w:tabs>
          <w:tab w:leader="none" w:pos="760" w:val="left"/>
        </w:tabs>
        <w:numPr>
          <w:ilvl w:val="0"/>
          <w:numId w:val="32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w:t>
      </w:r>
    </w:p>
    <w:p>
      <w:pPr>
        <w:spacing w:after="0" w:line="216" w:lineRule="exact"/>
        <w:rPr>
          <w:sz w:val="20"/>
          <w:szCs w:val="20"/>
          <w:color w:val="auto"/>
        </w:rPr>
      </w:pPr>
    </w:p>
    <w:p>
      <w:pPr>
        <w:ind w:left="100" w:right="80" w:firstLine="1270"/>
        <w:spacing w:after="0" w:line="243" w:lineRule="auto"/>
        <w:rPr>
          <w:sz w:val="20"/>
          <w:szCs w:val="20"/>
          <w:color w:val="auto"/>
        </w:rPr>
      </w:pPr>
      <w:r>
        <w:rPr>
          <w:rFonts w:ascii="Arial" w:cs="Arial" w:eastAsia="Arial" w:hAnsi="Arial"/>
          <w:sz w:val="21"/>
          <w:szCs w:val="21"/>
          <w:b w:val="1"/>
          <w:bCs w:val="1"/>
          <w:color w:val="auto"/>
        </w:rPr>
        <w:t>THE TERMS OF THIS AGREEMENT AND ALL RIGHTS AND OBLIGATIONS OF THE PARTIES HERETO, INCLUDING ITS ENFORCEMENT, SHALL BE INTERPRETED AND GOVERNED BY THE LAWS OF THE STATE OF DELAWARE WITHOUT REGARD TO THE PRINCIPLES OF CONFLICTS OF LAWS OF THE STATE OF DELAWARE OR THOSE OF ANY OTHER JURISDICTION WHICH COULD CAUSE THE APPLICATION OF THE LAWS OF ANY JURISDICTION OTHER THAN THE STATE OF DELAWARE.</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Remainder of Page Intentionally Left Blank</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610985" cy="1651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0">
                      <a:extLst>
                        <a:ext uri="{28A0092B-C50C-407E-A947-70E740481C1C}"/>
                      </a:extLst>
                    </a:blip>
                    <a:srcRect/>
                    <a:stretch>
                      <a:fillRect/>
                    </a:stretch>
                  </pic:blipFill>
                  <pic:spPr bwMode="auto">
                    <a:xfrm>
                      <a:off x="0" y="0"/>
                      <a:ext cx="6610985" cy="16510"/>
                    </a:xfrm>
                    <a:prstGeom prst="rect">
                      <a:avLst/>
                    </a:prstGeom>
                    <a:noFill/>
                  </pic:spPr>
                </pic:pic>
              </a:graphicData>
            </a:graphic>
          </wp:anchor>
        </w:drawing>
      </w:r>
    </w:p>
    <w:p>
      <w:pPr>
        <w:sectPr>
          <w:pgSz w:w="11900" w:h="16838" w:orient="portrait"/>
          <w:cols w:equalWidth="0" w:num="1">
            <w:col w:w="10360"/>
          </w:cols>
          <w:pgMar w:left="740" w:top="409" w:right="799" w:bottom="1440" w:gutter="0" w:footer="0" w:header="0"/>
        </w:sectPr>
      </w:pPr>
    </w:p>
    <w:bookmarkStart w:id="380" w:name="page381"/>
    <w:bookmarkEnd w:id="380"/>
    <w:p>
      <w:pPr>
        <w:ind w:left="100" w:right="60" w:firstLine="1270"/>
        <w:spacing w:after="0" w:line="263" w:lineRule="auto"/>
        <w:rPr>
          <w:sz w:val="20"/>
          <w:szCs w:val="20"/>
          <w:color w:val="auto"/>
        </w:rPr>
      </w:pPr>
      <w:r>
        <w:rPr>
          <w:rFonts w:ascii="Arial" w:cs="Arial" w:eastAsia="Arial" w:hAnsi="Arial"/>
          <w:sz w:val="21"/>
          <w:szCs w:val="21"/>
          <w:color w:val="auto"/>
        </w:rPr>
        <w:t>IN WITNESS WHEREOF, the Company has executed this Agreement as of the date set forth opposite the Company’s signature below.</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c>
          <w:tcPr>
            <w:tcW w:w="1040" w:type="dxa"/>
            <w:vAlign w:val="bottom"/>
          </w:tcPr>
          <w:p>
            <w:pPr>
              <w:spacing w:after="0"/>
              <w:rPr>
                <w:sz w:val="22"/>
                <w:szCs w:val="22"/>
                <w:color w:val="auto"/>
              </w:rPr>
            </w:pPr>
          </w:p>
        </w:tc>
        <w:tc>
          <w:tcPr>
            <w:tcW w:w="570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Virtu Financial, Inc.</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700" w:type="dxa"/>
            <w:vAlign w:val="bottom"/>
            <w:gridSpan w:val="2"/>
          </w:tcPr>
          <w:p>
            <w:pPr>
              <w:spacing w:after="0"/>
              <w:rPr>
                <w:sz w:val="20"/>
                <w:szCs w:val="20"/>
                <w:color w:val="auto"/>
              </w:rPr>
            </w:pPr>
            <w:r>
              <w:rPr>
                <w:rFonts w:ascii="Arial" w:cs="Arial" w:eastAsia="Arial" w:hAnsi="Arial"/>
                <w:sz w:val="18"/>
                <w:szCs w:val="18"/>
                <w:color w:val="auto"/>
              </w:rPr>
              <w:t>(not to be signed prior to</w:t>
            </w:r>
          </w:p>
        </w:tc>
        <w:tc>
          <w:tcPr>
            <w:tcW w:w="5700" w:type="dxa"/>
            <w:vAlign w:val="bottom"/>
            <w:gridSpan w:val="2"/>
          </w:tcPr>
          <w:p>
            <w:pPr>
              <w:spacing w:after="0"/>
              <w:rPr>
                <w:sz w:val="20"/>
                <w:szCs w:val="20"/>
                <w:color w:val="auto"/>
              </w:rPr>
            </w:pPr>
            <w:r>
              <w:rPr>
                <w:rFonts w:ascii="Arial" w:cs="Arial" w:eastAsia="Arial" w:hAnsi="Arial"/>
                <w:sz w:val="21"/>
                <w:szCs w:val="21"/>
                <w:color w:val="auto"/>
              </w:rPr>
              <w:t>By: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termination of employment)</w:t>
            </w:r>
          </w:p>
        </w:tc>
        <w:tc>
          <w:tcPr>
            <w:tcW w:w="480" w:type="dxa"/>
            <w:vAlign w:val="bottom"/>
            <w:vMerge w:val="restart"/>
          </w:tcPr>
          <w:p>
            <w:pPr>
              <w:spacing w:after="0"/>
              <w:rPr>
                <w:sz w:val="20"/>
                <w:szCs w:val="20"/>
                <w:color w:val="auto"/>
              </w:rPr>
            </w:pPr>
            <w:r>
              <w:rPr>
                <w:rFonts w:ascii="Arial" w:cs="Arial" w:eastAsia="Arial" w:hAnsi="Arial"/>
                <w:sz w:val="21"/>
                <w:szCs w:val="21"/>
                <w:color w:val="auto"/>
              </w:rPr>
              <w:t>Title:</w:t>
            </w:r>
          </w:p>
        </w:tc>
        <w:tc>
          <w:tcPr>
            <w:tcW w:w="5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70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5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3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9"/>
        </w:trPr>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00" w:type="dxa"/>
            <w:vAlign w:val="bottom"/>
            <w:gridSpan w:val="2"/>
          </w:tcPr>
          <w:p>
            <w:pPr>
              <w:jc w:val="right"/>
              <w:ind w:right="5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6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740" w:top="118" w:right="739" w:bottom="1440" w:gutter="0" w:footer="0" w:header="0"/>
        </w:sectPr>
      </w:pPr>
    </w:p>
    <w:bookmarkStart w:id="381" w:name="page382"/>
    <w:bookmarkEnd w:id="381"/>
    <w:p>
      <w:pPr>
        <w:jc w:val="right"/>
        <w:spacing w:after="0"/>
        <w:rPr>
          <w:sz w:val="20"/>
          <w:szCs w:val="20"/>
          <w:color w:val="auto"/>
        </w:rPr>
      </w:pPr>
      <w:r>
        <w:rPr>
          <w:rFonts w:ascii="Arial" w:cs="Arial" w:eastAsia="Arial" w:hAnsi="Arial"/>
          <w:sz w:val="21"/>
          <w:szCs w:val="21"/>
          <w:b w:val="1"/>
          <w:bCs w:val="1"/>
          <w:color w:val="auto"/>
        </w:rPr>
        <w:t>Exhibit 10.7</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 SEPARATION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INTEREST REPURCHASE</w:t>
      </w:r>
    </w:p>
    <w:p>
      <w:pPr>
        <w:jc w:val="center"/>
        <w:spacing w:after="0"/>
        <w:rPr>
          <w:sz w:val="20"/>
          <w:szCs w:val="20"/>
          <w:color w:val="auto"/>
        </w:rPr>
      </w:pPr>
      <w:r>
        <w:rPr>
          <w:rFonts w:ascii="Arial" w:cs="Arial" w:eastAsia="Arial" w:hAnsi="Arial"/>
          <w:sz w:val="21"/>
          <w:szCs w:val="21"/>
          <w:b w:val="1"/>
          <w:bCs w:val="1"/>
          <w:color w:val="auto"/>
        </w:rPr>
        <w:t>AND GENERAL RELEASE OF CLAIMS</w:t>
      </w:r>
    </w:p>
    <w:p>
      <w:pPr>
        <w:spacing w:after="0" w:line="217" w:lineRule="exact"/>
        <w:rPr>
          <w:sz w:val="20"/>
          <w:szCs w:val="20"/>
          <w:color w:val="auto"/>
        </w:rPr>
      </w:pPr>
    </w:p>
    <w:p>
      <w:pPr>
        <w:jc w:val="both"/>
        <w:ind w:right="20" w:firstLine="1270"/>
        <w:spacing w:after="0"/>
        <w:rPr>
          <w:sz w:val="20"/>
          <w:szCs w:val="20"/>
          <w:color w:val="auto"/>
        </w:rPr>
      </w:pPr>
      <w:r>
        <w:rPr>
          <w:rFonts w:ascii="Arial" w:cs="Arial" w:eastAsia="Arial" w:hAnsi="Arial"/>
          <w:sz w:val="21"/>
          <w:szCs w:val="21"/>
          <w:color w:val="auto"/>
        </w:rPr>
        <w:t>THIS CONFIDENTIAL SEPARATION AGREEMENT, INTEREST REPURCHASE AND GENERAL RELEASE OF CLAIMS (“Agreement”), dated September 11, 2017 is made and entered into by and between Venu Palaparthi (“Employee”) and Virtu Financial Operating LLC and Virtu Financial, Inc. and all of its and their current or former parents, successors, predecessors, affiliates, subsidiaries and related entities, divisions, departments, partnerships, corporations, limited liability partnerships and limited liability companies, and each of its and their former, present and future directors, officers, employees, shareholders, fiduciaries, insurers, managers and agents (collectively, the “Company”). Capitalized terms used but not defined herein shall have the meanings assigned to them in the At-Will Agreement (as defined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RECITALS</w:t>
      </w:r>
      <w:r>
        <w:rPr>
          <w:rFonts w:ascii="Arial" w:cs="Arial" w:eastAsia="Arial" w:hAnsi="Arial"/>
          <w:sz w:val="21"/>
          <w:szCs w:val="21"/>
          <w:color w:val="auto"/>
        </w:rPr>
        <w:t>:</w:t>
      </w:r>
    </w:p>
    <w:p>
      <w:pPr>
        <w:spacing w:after="0" w:line="235" w:lineRule="exact"/>
        <w:rPr>
          <w:sz w:val="20"/>
          <w:szCs w:val="20"/>
          <w:color w:val="auto"/>
        </w:rPr>
      </w:pPr>
    </w:p>
    <w:p>
      <w:pPr>
        <w:ind w:right="20" w:firstLine="1267"/>
        <w:spacing w:after="0" w:line="263" w:lineRule="auto"/>
        <w:tabs>
          <w:tab w:leader="none" w:pos="1966" w:val="left"/>
        </w:tabs>
        <w:numPr>
          <w:ilvl w:val="0"/>
          <w:numId w:val="325"/>
        </w:numPr>
        <w:rPr>
          <w:rFonts w:ascii="Arial" w:cs="Arial" w:eastAsia="Arial" w:hAnsi="Arial"/>
          <w:sz w:val="21"/>
          <w:szCs w:val="21"/>
          <w:color w:val="auto"/>
        </w:rPr>
      </w:pPr>
      <w:r>
        <w:rPr>
          <w:rFonts w:ascii="Arial" w:cs="Arial" w:eastAsia="Arial" w:hAnsi="Arial"/>
          <w:sz w:val="21"/>
          <w:szCs w:val="21"/>
          <w:color w:val="auto"/>
        </w:rPr>
        <w:t>Employee and the Company (or one of the Company’s affiliates) are party to an offer letter (the “Employment Letter”) and employment agreement (the “At-Will Agreement”).</w:t>
      </w:r>
    </w:p>
    <w:p>
      <w:pPr>
        <w:spacing w:after="0" w:line="185" w:lineRule="exact"/>
        <w:rPr>
          <w:rFonts w:ascii="Arial" w:cs="Arial" w:eastAsia="Arial" w:hAnsi="Arial"/>
          <w:sz w:val="21"/>
          <w:szCs w:val="21"/>
          <w:color w:val="auto"/>
        </w:rPr>
      </w:pPr>
    </w:p>
    <w:p>
      <w:pPr>
        <w:ind w:left="2400" w:hanging="1133"/>
        <w:spacing w:after="0"/>
        <w:tabs>
          <w:tab w:leader="none" w:pos="240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Employee’s employment with the Company will end as of September 11, 2017 (the</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“Termination Date”).</w:t>
      </w:r>
    </w:p>
    <w:p>
      <w:pPr>
        <w:spacing w:after="0" w:line="216" w:lineRule="exact"/>
        <w:rPr>
          <w:rFonts w:ascii="Arial" w:cs="Arial" w:eastAsia="Arial" w:hAnsi="Arial"/>
          <w:sz w:val="20"/>
          <w:szCs w:val="20"/>
          <w:color w:val="auto"/>
        </w:rPr>
      </w:pPr>
    </w:p>
    <w:p>
      <w:pPr>
        <w:ind w:right="20" w:firstLine="1267"/>
        <w:spacing w:after="0" w:line="316" w:lineRule="auto"/>
        <w:tabs>
          <w:tab w:leader="none" w:pos="2166" w:val="left"/>
        </w:tabs>
        <w:numPr>
          <w:ilvl w:val="0"/>
          <w:numId w:val="325"/>
        </w:numPr>
        <w:rPr>
          <w:rFonts w:ascii="Arial" w:cs="Arial" w:eastAsia="Arial" w:hAnsi="Arial"/>
          <w:sz w:val="19"/>
          <w:szCs w:val="19"/>
          <w:color w:val="auto"/>
        </w:rPr>
      </w:pPr>
      <w:r>
        <w:rPr>
          <w:rFonts w:ascii="Arial" w:cs="Arial" w:eastAsia="Arial" w:hAnsi="Arial"/>
          <w:sz w:val="19"/>
          <w:szCs w:val="19"/>
          <w:color w:val="auto"/>
        </w:rPr>
        <w:t>Regardless of whether Employee signs this Agreement, Employee will receive all accrued salary, wages, vacation, expenses, and all other monies owed to Employee through the Termination Date.</w:t>
      </w:r>
    </w:p>
    <w:p>
      <w:pPr>
        <w:spacing w:after="0" w:line="138" w:lineRule="exact"/>
        <w:rPr>
          <w:rFonts w:ascii="Arial" w:cs="Arial" w:eastAsia="Arial" w:hAnsi="Arial"/>
          <w:sz w:val="19"/>
          <w:szCs w:val="19"/>
          <w:color w:val="auto"/>
        </w:rPr>
      </w:pPr>
    </w:p>
    <w:p>
      <w:pPr>
        <w:jc w:val="both"/>
        <w:ind w:right="20" w:firstLine="1267"/>
        <w:spacing w:after="0" w:line="245" w:lineRule="auto"/>
        <w:tabs>
          <w:tab w:leader="none" w:pos="2305" w:val="left"/>
        </w:tabs>
        <w:numPr>
          <w:ilvl w:val="0"/>
          <w:numId w:val="325"/>
        </w:numPr>
        <w:rPr>
          <w:rFonts w:ascii="Arial" w:cs="Arial" w:eastAsia="Arial" w:hAnsi="Arial"/>
          <w:sz w:val="21"/>
          <w:szCs w:val="21"/>
          <w:color w:val="auto"/>
        </w:rPr>
      </w:pPr>
      <w:r>
        <w:rPr>
          <w:rFonts w:ascii="Arial" w:cs="Arial" w:eastAsia="Arial" w:hAnsi="Arial"/>
          <w:sz w:val="21"/>
          <w:szCs w:val="21"/>
          <w:color w:val="auto"/>
        </w:rPr>
        <w:t>This Agreement is intended to assist employee in his transition in connection with his separation of employment. Also, by this Agreement, Employee and the Company want to settle fully and finally all potential and/or actual differences between them, including all actual or potential differences which arise out of or relate to Employee’s employment or separation of employment with the Company.</w:t>
      </w:r>
    </w:p>
    <w:p>
      <w:pPr>
        <w:spacing w:after="0" w:line="198" w:lineRule="exact"/>
        <w:rPr>
          <w:rFonts w:ascii="Arial" w:cs="Arial" w:eastAsia="Arial" w:hAnsi="Arial"/>
          <w:sz w:val="21"/>
          <w:szCs w:val="21"/>
          <w:color w:val="auto"/>
        </w:rPr>
      </w:pPr>
    </w:p>
    <w:p>
      <w:pPr>
        <w:ind w:right="20" w:firstLine="1267"/>
        <w:spacing w:after="0" w:line="269" w:lineRule="auto"/>
        <w:tabs>
          <w:tab w:leader="none" w:pos="2233" w:val="left"/>
        </w:tabs>
        <w:numPr>
          <w:ilvl w:val="0"/>
          <w:numId w:val="325"/>
        </w:numPr>
        <w:rPr>
          <w:rFonts w:ascii="Arial" w:cs="Arial" w:eastAsia="Arial" w:hAnsi="Arial"/>
          <w:sz w:val="21"/>
          <w:szCs w:val="21"/>
          <w:color w:val="auto"/>
        </w:rPr>
      </w:pPr>
      <w:r>
        <w:rPr>
          <w:rFonts w:ascii="Arial" w:cs="Arial" w:eastAsia="Arial" w:hAnsi="Arial"/>
          <w:sz w:val="21"/>
          <w:szCs w:val="21"/>
          <w:color w:val="auto"/>
        </w:rPr>
        <w:t xml:space="preserve">This preamble and recitals set forth herein, and </w:t>
      </w:r>
      <w:r>
        <w:rPr>
          <w:rFonts w:ascii="Arial" w:cs="Arial" w:eastAsia="Arial" w:hAnsi="Arial"/>
          <w:sz w:val="21"/>
          <w:szCs w:val="21"/>
          <w:b w:val="1"/>
          <w:bCs w:val="1"/>
          <w:color w:val="auto"/>
        </w:rPr>
        <w:t>Schedule A</w:t>
      </w:r>
      <w:r>
        <w:rPr>
          <w:rFonts w:ascii="Arial" w:cs="Arial" w:eastAsia="Arial" w:hAnsi="Arial"/>
          <w:sz w:val="21"/>
          <w:szCs w:val="21"/>
          <w:color w:val="auto"/>
        </w:rPr>
        <w:t xml:space="preserve"> attached hereto, are hereby incorporated in and made a part of this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NOW, </w:t>
      </w:r>
      <w:r>
        <w:rPr>
          <w:rFonts w:ascii="Arial" w:cs="Arial" w:eastAsia="Arial" w:hAnsi="Arial"/>
          <w:sz w:val="21"/>
          <w:szCs w:val="21"/>
          <w:color w:val="auto"/>
        </w:rPr>
        <w:t>THEREFORE</w:t>
      </w:r>
      <w:r>
        <w:rPr>
          <w:rFonts w:ascii="Arial" w:cs="Arial" w:eastAsia="Arial" w:hAnsi="Arial"/>
          <w:sz w:val="19"/>
          <w:szCs w:val="19"/>
          <w:color w:val="auto"/>
        </w:rPr>
        <w:t>, Employee and the Company understand and agree as follows:</w:t>
      </w:r>
    </w:p>
    <w:p>
      <w:pPr>
        <w:spacing w:after="0" w:line="222" w:lineRule="exact"/>
        <w:rPr>
          <w:sz w:val="20"/>
          <w:szCs w:val="20"/>
          <w:color w:val="auto"/>
        </w:rPr>
      </w:pPr>
    </w:p>
    <w:p>
      <w:pPr>
        <w:ind w:left="1900" w:hanging="633"/>
        <w:spacing w:after="0"/>
        <w:tabs>
          <w:tab w:leader="none" w:pos="1900" w:val="left"/>
        </w:tabs>
        <w:numPr>
          <w:ilvl w:val="0"/>
          <w:numId w:val="326"/>
        </w:numPr>
        <w:rPr>
          <w:rFonts w:ascii="Arial" w:cs="Arial" w:eastAsia="Arial" w:hAnsi="Arial"/>
          <w:sz w:val="21"/>
          <w:szCs w:val="21"/>
          <w:u w:val="single" w:color="auto"/>
          <w:color w:val="auto"/>
        </w:rPr>
      </w:pPr>
      <w:r>
        <w:rPr>
          <w:rFonts w:ascii="Arial" w:cs="Arial" w:eastAsia="Arial" w:hAnsi="Arial"/>
          <w:sz w:val="21"/>
          <w:szCs w:val="21"/>
          <w:color w:val="auto"/>
        </w:rPr>
        <w:t>Non-Admission of Discrimination or Wrongdoing.</w:t>
      </w:r>
    </w:p>
    <w:p>
      <w:pPr>
        <w:spacing w:after="0" w:line="235" w:lineRule="exact"/>
        <w:rPr>
          <w:sz w:val="20"/>
          <w:szCs w:val="20"/>
          <w:color w:val="auto"/>
        </w:rPr>
      </w:pPr>
    </w:p>
    <w:p>
      <w:pPr>
        <w:jc w:val="both"/>
        <w:ind w:right="20" w:firstLine="1270"/>
        <w:spacing w:after="0" w:line="250" w:lineRule="auto"/>
        <w:rPr>
          <w:sz w:val="20"/>
          <w:szCs w:val="20"/>
          <w:color w:val="auto"/>
        </w:rPr>
      </w:pPr>
      <w:r>
        <w:rPr>
          <w:rFonts w:ascii="Arial" w:cs="Arial" w:eastAsia="Arial" w:hAnsi="Arial"/>
          <w:sz w:val="21"/>
          <w:szCs w:val="21"/>
          <w:color w:val="auto"/>
        </w:rPr>
        <w:t>This Agreement shall not in any way be construed as an admission by the Company or Employee that they acted wrongfully with respect to the other, or any other person. The Company and Employee specifically disclaim any liability to, or wrongful acts against each other,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1" w:right="899" w:bottom="1440" w:gutter="0" w:footer="0" w:header="0"/>
        </w:sectPr>
      </w:pPr>
    </w:p>
    <w:bookmarkStart w:id="382" w:name="page383"/>
    <w:bookmarkEnd w:id="382"/>
    <w:p>
      <w:pPr>
        <w:ind w:right="120"/>
        <w:spacing w:after="0" w:line="263" w:lineRule="auto"/>
        <w:rPr>
          <w:sz w:val="20"/>
          <w:szCs w:val="20"/>
          <w:color w:val="auto"/>
        </w:rPr>
      </w:pPr>
      <w:r>
        <w:rPr>
          <w:rFonts w:ascii="Arial" w:cs="Arial" w:eastAsia="Arial" w:hAnsi="Arial"/>
          <w:sz w:val="21"/>
          <w:szCs w:val="21"/>
          <w:color w:val="auto"/>
        </w:rPr>
        <w:t>or any other person or entity, on the part of themselves, their parents, subsidiaries, affiliates, predecessors, successors, officers, employees, or agents.</w:t>
      </w:r>
    </w:p>
    <w:p>
      <w:pPr>
        <w:spacing w:after="0" w:line="185" w:lineRule="exact"/>
        <w:rPr>
          <w:sz w:val="20"/>
          <w:szCs w:val="20"/>
          <w:color w:val="auto"/>
        </w:rPr>
      </w:pPr>
    </w:p>
    <w:p>
      <w:pPr>
        <w:ind w:left="1900" w:hanging="633"/>
        <w:spacing w:after="0"/>
        <w:tabs>
          <w:tab w:leader="none" w:pos="1900" w:val="left"/>
        </w:tabs>
        <w:numPr>
          <w:ilvl w:val="0"/>
          <w:numId w:val="32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Separation of Employment</w:t>
      </w:r>
      <w:r>
        <w:rPr>
          <w:rFonts w:ascii="Arial" w:cs="Arial" w:eastAsia="Arial" w:hAnsi="Arial"/>
          <w:sz w:val="21"/>
          <w:szCs w:val="21"/>
          <w:color w:val="auto"/>
        </w:rPr>
        <w:t>.</w:t>
      </w:r>
    </w:p>
    <w:p>
      <w:pPr>
        <w:spacing w:after="0" w:line="235" w:lineRule="exact"/>
        <w:rPr>
          <w:sz w:val="20"/>
          <w:szCs w:val="20"/>
          <w:color w:val="auto"/>
        </w:rPr>
      </w:pPr>
    </w:p>
    <w:p>
      <w:pPr>
        <w:jc w:val="both"/>
        <w:ind w:right="20" w:firstLine="1270"/>
        <w:spacing w:after="0" w:line="245" w:lineRule="auto"/>
        <w:rPr>
          <w:sz w:val="20"/>
          <w:szCs w:val="20"/>
          <w:color w:val="auto"/>
        </w:rPr>
      </w:pPr>
      <w:r>
        <w:rPr>
          <w:rFonts w:ascii="Arial" w:cs="Arial" w:eastAsia="Arial" w:hAnsi="Arial"/>
          <w:sz w:val="21"/>
          <w:szCs w:val="21"/>
          <w:color w:val="auto"/>
        </w:rPr>
        <w:t>Employee acknowledges that his employment with the Company has permanently ended as of the Termination Date and that such employment will not be resumed again at any time. In addition, Employee will not apply for, or otherwise seek employment with the Company and/or any of the Company Releasees at any time in the future.</w:t>
      </w:r>
    </w:p>
    <w:p>
      <w:pPr>
        <w:spacing w:after="0" w:line="205" w:lineRule="exact"/>
        <w:rPr>
          <w:sz w:val="20"/>
          <w:szCs w:val="20"/>
          <w:color w:val="auto"/>
        </w:rPr>
      </w:pPr>
    </w:p>
    <w:p>
      <w:pPr>
        <w:ind w:left="1900" w:hanging="633"/>
        <w:spacing w:after="0"/>
        <w:tabs>
          <w:tab w:leader="none" w:pos="1900" w:val="left"/>
        </w:tabs>
        <w:numPr>
          <w:ilvl w:val="0"/>
          <w:numId w:val="32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Return of Company Property; Developments</w:t>
      </w:r>
      <w:r>
        <w:rPr>
          <w:rFonts w:ascii="Arial" w:cs="Arial" w:eastAsia="Arial" w:hAnsi="Arial"/>
          <w:sz w:val="21"/>
          <w:szCs w:val="21"/>
          <w:color w:val="auto"/>
        </w:rPr>
        <w:t>.</w:t>
      </w:r>
    </w:p>
    <w:p>
      <w:pPr>
        <w:spacing w:after="0" w:line="235" w:lineRule="exact"/>
        <w:rPr>
          <w:sz w:val="20"/>
          <w:szCs w:val="20"/>
          <w:color w:val="auto"/>
        </w:rPr>
      </w:pPr>
    </w:p>
    <w:p>
      <w:pPr>
        <w:jc w:val="both"/>
        <w:ind w:firstLine="1267"/>
        <w:spacing w:after="0" w:line="252" w:lineRule="auto"/>
        <w:tabs>
          <w:tab w:leader="none" w:pos="2055" w:val="left"/>
        </w:tabs>
        <w:numPr>
          <w:ilvl w:val="0"/>
          <w:numId w:val="329"/>
        </w:numPr>
        <w:rPr>
          <w:rFonts w:ascii="Arial" w:cs="Arial" w:eastAsia="Arial" w:hAnsi="Arial"/>
          <w:sz w:val="20"/>
          <w:szCs w:val="20"/>
          <w:color w:val="auto"/>
        </w:rPr>
      </w:pPr>
      <w:r>
        <w:rPr>
          <w:rFonts w:ascii="Arial" w:cs="Arial" w:eastAsia="Arial" w:hAnsi="Arial"/>
          <w:sz w:val="20"/>
          <w:szCs w:val="20"/>
          <w:color w:val="auto"/>
        </w:rPr>
        <w:t>Employee represents, warrants, and affirms to the Company that: (i) Employee has returned, destroyed, or will destroy (unless as otherwise directed by the Company) all property of the Company and its affiliates to the Company, including, without limitation, keys and key cards to the Company’s business premises, credit cards, documents, memoranda, notes, records, source code, correspondence, handwritten notes, computer and physical files, passwords, access codes, records of developments, tapes, disks and other electronic, optical or other media, computers, including the monitors and all related hardware and software and all other tangible property in Employee’s possession or control; (ii) Employee did not delete, copy, download or transfer any data from any of the Company’s or its affiliates’ computers or any of their business documents or records except in the normal course of Employee’s duties, and to the extent he/she did, all such information shall be destroyed or has been destroyed; and (iii) any Confidential Information (as defined in the Employment Letter, At-Will Agreement or any agreement to which Employee and the Company are parties) or data in Employee’s possession that resides on personal computers or other electronic media will be deleted.</w:t>
      </w:r>
    </w:p>
    <w:p>
      <w:pPr>
        <w:spacing w:after="0" w:line="197" w:lineRule="exact"/>
        <w:rPr>
          <w:rFonts w:ascii="Arial" w:cs="Arial" w:eastAsia="Arial" w:hAnsi="Arial"/>
          <w:sz w:val="20"/>
          <w:szCs w:val="20"/>
          <w:color w:val="auto"/>
        </w:rPr>
      </w:pPr>
    </w:p>
    <w:p>
      <w:pPr>
        <w:jc w:val="both"/>
        <w:ind w:right="20" w:firstLine="1267"/>
        <w:spacing w:after="0" w:line="275" w:lineRule="auto"/>
        <w:tabs>
          <w:tab w:leader="none" w:pos="2035" w:val="left"/>
        </w:tabs>
        <w:numPr>
          <w:ilvl w:val="0"/>
          <w:numId w:val="329"/>
        </w:numPr>
        <w:rPr>
          <w:rFonts w:ascii="Arial" w:cs="Arial" w:eastAsia="Arial" w:hAnsi="Arial"/>
          <w:sz w:val="19"/>
          <w:szCs w:val="19"/>
          <w:color w:val="auto"/>
        </w:rPr>
      </w:pPr>
      <w:r>
        <w:rPr>
          <w:rFonts w:ascii="Arial" w:cs="Arial" w:eastAsia="Arial" w:hAnsi="Arial"/>
          <w:sz w:val="19"/>
          <w:szCs w:val="19"/>
          <w:color w:val="auto"/>
        </w:rPr>
        <w:t>Employee represents, warrants, and affirms that Employee has irrevocably sold, assigned and transferred to the Company and its successors and assigns all of Employee’s legal and equitable right, title and interest throughout the world in and to Employee’s ideas, inventions, trademarks and other developments or improvements conceived by Employee, either alone or with others, during Employee’s employment, whether or not during working hours, that are within the scope of the Company’s business operations or that relate to any Company work or projects.</w:t>
      </w:r>
    </w:p>
    <w:p>
      <w:pPr>
        <w:spacing w:after="0" w:line="177" w:lineRule="exact"/>
        <w:rPr>
          <w:sz w:val="20"/>
          <w:szCs w:val="20"/>
          <w:color w:val="auto"/>
        </w:rPr>
      </w:pPr>
    </w:p>
    <w:p>
      <w:pPr>
        <w:ind w:left="2000" w:hanging="644"/>
        <w:spacing w:after="0"/>
        <w:tabs>
          <w:tab w:leader="none" w:pos="2000" w:val="left"/>
        </w:tabs>
        <w:numPr>
          <w:ilvl w:val="1"/>
          <w:numId w:val="33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 Lawsuits</w:t>
      </w:r>
      <w:r>
        <w:rPr>
          <w:rFonts w:ascii="Arial" w:cs="Arial" w:eastAsia="Arial" w:hAnsi="Arial"/>
          <w:sz w:val="21"/>
          <w:szCs w:val="21"/>
          <w:color w:val="auto"/>
        </w:rPr>
        <w:t>.</w:t>
      </w:r>
    </w:p>
    <w:p>
      <w:pPr>
        <w:spacing w:after="0" w:line="234" w:lineRule="exact"/>
        <w:rPr>
          <w:rFonts w:ascii="Arial" w:cs="Arial" w:eastAsia="Arial" w:hAnsi="Arial"/>
          <w:sz w:val="21"/>
          <w:szCs w:val="21"/>
          <w:u w:val="single" w:color="auto"/>
          <w:color w:val="auto"/>
        </w:rPr>
      </w:pPr>
    </w:p>
    <w:p>
      <w:pPr>
        <w:jc w:val="both"/>
        <w:ind w:right="20" w:firstLine="1267"/>
        <w:spacing w:after="0" w:line="245" w:lineRule="auto"/>
        <w:tabs>
          <w:tab w:leader="none" w:pos="1933" w:val="left"/>
        </w:tabs>
        <w:numPr>
          <w:ilvl w:val="0"/>
          <w:numId w:val="331"/>
        </w:numPr>
        <w:rPr>
          <w:rFonts w:ascii="Arial" w:cs="Arial" w:eastAsia="Arial" w:hAnsi="Arial"/>
          <w:sz w:val="21"/>
          <w:szCs w:val="21"/>
          <w:color w:val="auto"/>
        </w:rPr>
      </w:pPr>
      <w:r>
        <w:rPr>
          <w:rFonts w:ascii="Arial" w:cs="Arial" w:eastAsia="Arial" w:hAnsi="Arial"/>
          <w:sz w:val="21"/>
          <w:szCs w:val="21"/>
          <w:color w:val="auto"/>
        </w:rPr>
        <w:t>Employee promises never to file a lawsuit, administrative complaint, or charge of any kind with any court, governmental or administrative agency, or arbitrator in any jurisdiction against the Company, or any of its current or former officers, directors, agents or employees, or any of the Releasees as defined below, asserting any claims that are released in this Agreement.</w:t>
      </w:r>
    </w:p>
    <w:p>
      <w:pPr>
        <w:spacing w:after="0" w:line="204" w:lineRule="exact"/>
        <w:rPr>
          <w:rFonts w:ascii="Arial" w:cs="Arial" w:eastAsia="Arial" w:hAnsi="Arial"/>
          <w:sz w:val="21"/>
          <w:szCs w:val="21"/>
          <w:color w:val="auto"/>
        </w:rPr>
      </w:pPr>
    </w:p>
    <w:p>
      <w:pPr>
        <w:jc w:val="both"/>
        <w:ind w:right="20" w:firstLine="1267"/>
        <w:spacing w:after="0" w:line="261" w:lineRule="auto"/>
        <w:tabs>
          <w:tab w:leader="none" w:pos="2001" w:val="left"/>
        </w:tabs>
        <w:numPr>
          <w:ilvl w:val="0"/>
          <w:numId w:val="331"/>
        </w:numPr>
        <w:rPr>
          <w:rFonts w:ascii="Arial" w:cs="Arial" w:eastAsia="Arial" w:hAnsi="Arial"/>
          <w:sz w:val="20"/>
          <w:szCs w:val="20"/>
          <w:color w:val="auto"/>
        </w:rPr>
      </w:pPr>
      <w:r>
        <w:rPr>
          <w:rFonts w:ascii="Arial" w:cs="Arial" w:eastAsia="Arial" w:hAnsi="Arial"/>
          <w:sz w:val="20"/>
          <w:szCs w:val="20"/>
          <w:color w:val="auto"/>
        </w:rPr>
        <w:t>Employee represents and agrees that, prior to signing this Agreement, Employee has not filed, or pursued any complaints, charges or lawsuits of any kind with any court, governmental or administrative agency, or arbitrator against the Company, or any of its current or former officers, directors, agents, or employees, or any of the Releasees as defined below, asserting any claims that are released in this Agreement.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83" w:name="page384"/>
    <w:bookmarkEnd w:id="383"/>
    <w:p>
      <w:pPr>
        <w:ind w:left="1920" w:right="760" w:hanging="644"/>
        <w:spacing w:after="0" w:line="263" w:lineRule="auto"/>
        <w:tabs>
          <w:tab w:leader="none" w:pos="1920" w:val="left"/>
        </w:tabs>
        <w:numPr>
          <w:ilvl w:val="0"/>
          <w:numId w:val="33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Payments by the 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No Obligation To Make Payment Under Normal Policies;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Consideration</w:t>
      </w:r>
      <w:r>
        <w:rPr>
          <w:rFonts w:ascii="Arial" w:cs="Arial" w:eastAsia="Arial" w:hAnsi="Arial"/>
          <w:sz w:val="21"/>
          <w:szCs w:val="21"/>
          <w:color w:val="auto"/>
        </w:rPr>
        <w:t>.</w:t>
      </w:r>
    </w:p>
    <w:p>
      <w:pPr>
        <w:spacing w:after="0" w:line="185" w:lineRule="exact"/>
        <w:rPr>
          <w:sz w:val="20"/>
          <w:szCs w:val="20"/>
          <w:color w:val="auto"/>
        </w:rPr>
      </w:pPr>
    </w:p>
    <w:p>
      <w:pPr>
        <w:ind w:right="20" w:firstLine="1275"/>
        <w:spacing w:after="0" w:line="272" w:lineRule="auto"/>
        <w:tabs>
          <w:tab w:leader="none" w:pos="1924"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The Company agrees that, on next regularly scheduled payday following the eighth calendar day after the later of (i) its receipt of this Agreement signed by Employee and (ii) the Termination Date, (such date, the “Effective Date”) and provided that Employee has delivered a signed copy of the Agreement in accordance with section (d) of this Paragraph 5, does not revoke this Agreement as described herein, and complies with the terms and conditions set forth herein, the Company will pay Employee the following benefits (collectively, the “Consideration”) contained in </w:t>
      </w:r>
      <w:r>
        <w:rPr>
          <w:rFonts w:ascii="Arial" w:cs="Arial" w:eastAsia="Arial" w:hAnsi="Arial"/>
          <w:sz w:val="19"/>
          <w:szCs w:val="19"/>
          <w:b w:val="1"/>
          <w:bCs w:val="1"/>
          <w:color w:val="auto"/>
        </w:rPr>
        <w:t>Schedule A</w:t>
      </w:r>
      <w:r>
        <w:rPr>
          <w:rFonts w:ascii="Arial" w:cs="Arial" w:eastAsia="Arial" w:hAnsi="Arial"/>
          <w:sz w:val="19"/>
          <w:szCs w:val="19"/>
          <w:color w:val="auto"/>
        </w:rPr>
        <w:t xml:space="preserve"> attached hereto in accordance with the schedule set forth thereon.</w:t>
      </w:r>
    </w:p>
    <w:p>
      <w:pPr>
        <w:spacing w:after="0" w:line="181" w:lineRule="exact"/>
        <w:rPr>
          <w:rFonts w:ascii="Arial" w:cs="Arial" w:eastAsia="Arial" w:hAnsi="Arial"/>
          <w:sz w:val="19"/>
          <w:szCs w:val="19"/>
          <w:color w:val="auto"/>
        </w:rPr>
      </w:pPr>
    </w:p>
    <w:p>
      <w:pPr>
        <w:jc w:val="both"/>
        <w:ind w:right="20" w:firstLine="1276"/>
        <w:spacing w:after="0" w:line="255" w:lineRule="auto"/>
        <w:tabs>
          <w:tab w:leader="none" w:pos="2132" w:val="left"/>
        </w:tabs>
        <w:numPr>
          <w:ilvl w:val="0"/>
          <w:numId w:val="333"/>
        </w:numPr>
        <w:rPr>
          <w:rFonts w:ascii="Arial" w:cs="Arial" w:eastAsia="Arial" w:hAnsi="Arial"/>
          <w:sz w:val="20"/>
          <w:szCs w:val="20"/>
          <w:color w:val="auto"/>
        </w:rPr>
      </w:pPr>
      <w:r>
        <w:rPr>
          <w:rFonts w:ascii="Arial" w:cs="Arial" w:eastAsia="Arial" w:hAnsi="Arial"/>
          <w:sz w:val="20"/>
          <w:szCs w:val="20"/>
          <w:color w:val="auto"/>
        </w:rPr>
        <w:t xml:space="preserve">The Company will arrange to pay directly the premiums relating to Employee’s coverage under COBRA for the period of time set forth in </w:t>
      </w:r>
      <w:r>
        <w:rPr>
          <w:rFonts w:ascii="Arial" w:cs="Arial" w:eastAsia="Arial" w:hAnsi="Arial"/>
          <w:sz w:val="20"/>
          <w:szCs w:val="20"/>
          <w:b w:val="1"/>
          <w:bCs w:val="1"/>
          <w:color w:val="auto"/>
        </w:rPr>
        <w:t>Schedule A</w:t>
      </w:r>
      <w:r>
        <w:rPr>
          <w:rFonts w:ascii="Arial" w:cs="Arial" w:eastAsia="Arial" w:hAnsi="Arial"/>
          <w:sz w:val="20"/>
          <w:szCs w:val="20"/>
          <w:color w:val="auto"/>
        </w:rPr>
        <w:t xml:space="preserve"> attached hereto, and, thereafter, continued coverage will be at Employee’s full expense. No such premium contribution will be paid for any period of coverage after Employee is eligible to elect for comparable coverage on another employer’s group health plan. Payment of the Company’s portion of the premiums of Employee’s coverage under COBRA for the period of time set forth in </w:t>
      </w:r>
      <w:r>
        <w:rPr>
          <w:rFonts w:ascii="Arial" w:cs="Arial" w:eastAsia="Arial" w:hAnsi="Arial"/>
          <w:sz w:val="20"/>
          <w:szCs w:val="20"/>
          <w:b w:val="1"/>
          <w:bCs w:val="1"/>
          <w:color w:val="auto"/>
        </w:rPr>
        <w:t>Schedule A</w:t>
      </w:r>
      <w:r>
        <w:rPr>
          <w:rFonts w:ascii="Arial" w:cs="Arial" w:eastAsia="Arial" w:hAnsi="Arial"/>
          <w:sz w:val="20"/>
          <w:szCs w:val="20"/>
          <w:color w:val="auto"/>
        </w:rPr>
        <w:t xml:space="preserve"> is contingent upon Employee’s initial and continuing eligibility for such coverage (and associated costs) as determined by, and subject to Employee’s present eligibility for such coverage.</w:t>
      </w:r>
    </w:p>
    <w:p>
      <w:pPr>
        <w:spacing w:after="0" w:line="194" w:lineRule="exact"/>
        <w:rPr>
          <w:rFonts w:ascii="Arial" w:cs="Arial" w:eastAsia="Arial" w:hAnsi="Arial"/>
          <w:sz w:val="20"/>
          <w:szCs w:val="20"/>
          <w:color w:val="auto"/>
        </w:rPr>
      </w:pPr>
    </w:p>
    <w:p>
      <w:pPr>
        <w:jc w:val="both"/>
        <w:ind w:right="20" w:firstLine="1276"/>
        <w:spacing w:after="0" w:line="243" w:lineRule="auto"/>
        <w:tabs>
          <w:tab w:leader="none" w:pos="1995" w:val="left"/>
        </w:tabs>
        <w:numPr>
          <w:ilvl w:val="0"/>
          <w:numId w:val="333"/>
        </w:numPr>
        <w:rPr>
          <w:rFonts w:ascii="Arial" w:cs="Arial" w:eastAsia="Arial" w:hAnsi="Arial"/>
          <w:sz w:val="21"/>
          <w:szCs w:val="21"/>
          <w:color w:val="auto"/>
        </w:rPr>
      </w:pPr>
      <w:r>
        <w:rPr>
          <w:rFonts w:ascii="Arial" w:cs="Arial" w:eastAsia="Arial" w:hAnsi="Arial"/>
          <w:sz w:val="21"/>
          <w:szCs w:val="21"/>
          <w:color w:val="auto"/>
        </w:rPr>
        <w:t xml:space="preserve">The Company will provide Employee with Outplacement Services, for the period set forth in </w:t>
      </w:r>
      <w:r>
        <w:rPr>
          <w:rFonts w:ascii="Arial" w:cs="Arial" w:eastAsia="Arial" w:hAnsi="Arial"/>
          <w:sz w:val="21"/>
          <w:szCs w:val="21"/>
          <w:b w:val="1"/>
          <w:bCs w:val="1"/>
          <w:color w:val="auto"/>
        </w:rPr>
        <w:t xml:space="preserve">Schedule A </w:t>
      </w:r>
      <w:r>
        <w:rPr>
          <w:rFonts w:ascii="Arial" w:cs="Arial" w:eastAsia="Arial" w:hAnsi="Arial"/>
          <w:sz w:val="21"/>
          <w:szCs w:val="21"/>
          <w:color w:val="auto"/>
        </w:rPr>
        <w:t>attached hereto, to cover Employee in conducting a job search for replacement employment,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that such services are provided on or before the date set forth in </w:t>
      </w:r>
      <w:r>
        <w:rPr>
          <w:rFonts w:ascii="Arial" w:cs="Arial" w:eastAsia="Arial" w:hAnsi="Arial"/>
          <w:sz w:val="21"/>
          <w:szCs w:val="21"/>
          <w:b w:val="1"/>
          <w:bCs w:val="1"/>
          <w:color w:val="auto"/>
        </w:rPr>
        <w:t>Schedule A</w:t>
      </w:r>
      <w:r>
        <w:rPr>
          <w:rFonts w:ascii="Arial" w:cs="Arial" w:eastAsia="Arial" w:hAnsi="Arial"/>
          <w:sz w:val="21"/>
          <w:szCs w:val="21"/>
          <w:color w:val="auto"/>
        </w:rPr>
        <w:t xml:space="preserve"> attached hereto, and arranged through the Company’s outplacement assistance vendor. The Company will be billed directly for the expenses, up to the stated maximum, by the outplacement assistance vendor.</w:t>
      </w:r>
    </w:p>
    <w:p>
      <w:pPr>
        <w:spacing w:after="0" w:line="206" w:lineRule="exact"/>
        <w:rPr>
          <w:rFonts w:ascii="Arial" w:cs="Arial" w:eastAsia="Arial" w:hAnsi="Arial"/>
          <w:sz w:val="21"/>
          <w:szCs w:val="21"/>
          <w:color w:val="auto"/>
        </w:rPr>
      </w:pPr>
    </w:p>
    <w:p>
      <w:pPr>
        <w:jc w:val="both"/>
        <w:ind w:firstLine="1276"/>
        <w:spacing w:after="0" w:line="267" w:lineRule="auto"/>
        <w:tabs>
          <w:tab w:leader="none" w:pos="203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Employee understands that, in order to receive and retain the Consideration, Employee must sign this Agreement and comply with the terms herein, in addition to the applicable terms of the Employment Letter, the At-Will Agreement, the terms of any equity or option award issued pursuant to the Virtu Financial, Inc. 2015 Management Incentive Plan (as amended or amended and restated from time to time) (collectively, the “Pubco Award Documents”), the terms of any equity or option award issued pursuant to any pre-IPO equity incentive plan maintained by any affiliate of Virtu Financial LLC, including the terms of the limited liability company agreement of Virtu Employee Holdco LLC (to the extent Employee is a member thereof) (collectively, the “Pre-IPO Award Documents” and together with the Pubco Award Documents, the “Virtu Award Documents”), or any other agreement to which the Employee and the Company are parties, which explicitly or by their nature survive the termination of Employee’s employment with the Company. Employee also must not rescind his agreement hereto during the seven-day revocation period following the receipt of the signed Agreement by the Company.</w:t>
      </w:r>
    </w:p>
    <w:p>
      <w:pPr>
        <w:spacing w:after="0" w:line="183" w:lineRule="exact"/>
        <w:rPr>
          <w:rFonts w:ascii="Arial" w:cs="Arial" w:eastAsia="Arial" w:hAnsi="Arial"/>
          <w:sz w:val="19"/>
          <w:szCs w:val="19"/>
          <w:color w:val="auto"/>
        </w:rPr>
      </w:pPr>
    </w:p>
    <w:p>
      <w:pPr>
        <w:jc w:val="both"/>
        <w:ind w:right="20" w:firstLine="1276"/>
        <w:spacing w:after="0" w:line="245" w:lineRule="auto"/>
        <w:tabs>
          <w:tab w:leader="none" w:pos="1943" w:val="left"/>
        </w:tabs>
        <w:numPr>
          <w:ilvl w:val="0"/>
          <w:numId w:val="333"/>
        </w:numPr>
        <w:rPr>
          <w:rFonts w:ascii="Arial" w:cs="Arial" w:eastAsia="Arial" w:hAnsi="Arial"/>
          <w:sz w:val="21"/>
          <w:szCs w:val="21"/>
          <w:color w:val="auto"/>
        </w:rPr>
      </w:pPr>
      <w:r>
        <w:rPr>
          <w:rFonts w:ascii="Arial" w:cs="Arial" w:eastAsia="Arial" w:hAnsi="Arial"/>
          <w:sz w:val="21"/>
          <w:szCs w:val="21"/>
          <w:color w:val="auto"/>
        </w:rPr>
        <w:t>As provided in Paragraph 15 below, Employee shall have up to 45 days to consider whether to sign this Agreement. If Employee does not sign this Agreement within 45 days, it shall be withdrawn without further notice. If Employee signs this Agreement within 45 days, he shall then have seven days to revoke his release of claims for age discrimination. If</w:t>
      </w: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Page 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78740</wp:posOffset>
            </wp:positionV>
            <wp:extent cx="639254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00"/>
          </w:cols>
          <w:pgMar w:left="1000" w:top="118" w:right="899" w:bottom="1440" w:gutter="0" w:footer="0" w:header="0"/>
        </w:sectPr>
      </w:pPr>
    </w:p>
    <w:bookmarkStart w:id="384" w:name="page385"/>
    <w:bookmarkEnd w:id="384"/>
    <w:p>
      <w:pPr>
        <w:jc w:val="both"/>
        <w:ind w:left="80" w:right="20"/>
        <w:spacing w:after="0" w:line="250" w:lineRule="auto"/>
        <w:rPr>
          <w:sz w:val="20"/>
          <w:szCs w:val="20"/>
          <w:color w:val="auto"/>
        </w:rPr>
      </w:pPr>
      <w:r>
        <w:rPr>
          <w:rFonts w:ascii="Arial" w:cs="Arial" w:eastAsia="Arial" w:hAnsi="Arial"/>
          <w:sz w:val="21"/>
          <w:szCs w:val="21"/>
          <w:color w:val="auto"/>
        </w:rPr>
        <w:t>Employee signs this Agreement within 45 days, and does not revoke this Agreement as to any claims for age discrimination within seven days, then the Consideration payments shall be provided to Employee in accordance with the terms of this Agreement.</w:t>
      </w:r>
    </w:p>
    <w:p>
      <w:pPr>
        <w:spacing w:after="0" w:line="198" w:lineRule="exact"/>
        <w:rPr>
          <w:sz w:val="20"/>
          <w:szCs w:val="20"/>
          <w:color w:val="auto"/>
        </w:rPr>
      </w:pPr>
    </w:p>
    <w:p>
      <w:pPr>
        <w:ind w:right="20" w:firstLine="1267"/>
        <w:spacing w:after="0" w:line="263" w:lineRule="auto"/>
        <w:tabs>
          <w:tab w:leader="none" w:pos="2087" w:val="left"/>
        </w:tabs>
        <w:numPr>
          <w:ilvl w:val="0"/>
          <w:numId w:val="334"/>
        </w:numPr>
        <w:rPr>
          <w:rFonts w:ascii="Arial" w:cs="Arial" w:eastAsia="Arial" w:hAnsi="Arial"/>
          <w:sz w:val="21"/>
          <w:szCs w:val="21"/>
          <w:color w:val="auto"/>
        </w:rPr>
      </w:pPr>
      <w:r>
        <w:rPr>
          <w:rFonts w:ascii="Arial" w:cs="Arial" w:eastAsia="Arial" w:hAnsi="Arial"/>
          <w:sz w:val="21"/>
          <w:szCs w:val="21"/>
          <w:color w:val="auto"/>
        </w:rPr>
        <w:t>The payment of the Consideration shall be subject to applicable payroll tax deductions and withholdings as required by federal and state law.</w:t>
      </w:r>
    </w:p>
    <w:p>
      <w:pPr>
        <w:spacing w:after="0" w:line="185" w:lineRule="exact"/>
        <w:rPr>
          <w:sz w:val="20"/>
          <w:szCs w:val="20"/>
          <w:color w:val="auto"/>
        </w:rPr>
      </w:pPr>
    </w:p>
    <w:p>
      <w:pPr>
        <w:ind w:left="1900" w:hanging="633"/>
        <w:spacing w:after="0"/>
        <w:tabs>
          <w:tab w:leader="none" w:pos="1900" w:val="left"/>
        </w:tabs>
        <w:numPr>
          <w:ilvl w:val="0"/>
          <w:numId w:val="33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Forfeiture and Repurchase of Certain Interests; Forfeiture of Titles</w:t>
      </w:r>
    </w:p>
    <w:p>
      <w:pPr>
        <w:spacing w:after="0" w:line="235" w:lineRule="exact"/>
        <w:rPr>
          <w:sz w:val="20"/>
          <w:szCs w:val="20"/>
          <w:color w:val="auto"/>
        </w:rPr>
      </w:pPr>
    </w:p>
    <w:p>
      <w:pPr>
        <w:jc w:val="both"/>
        <w:ind w:right="20" w:firstLine="1267"/>
        <w:spacing w:after="0" w:line="258" w:lineRule="auto"/>
        <w:tabs>
          <w:tab w:leader="none" w:pos="2016" w:val="left"/>
        </w:tabs>
        <w:numPr>
          <w:ilvl w:val="0"/>
          <w:numId w:val="336"/>
        </w:numPr>
        <w:rPr>
          <w:rFonts w:ascii="Arial" w:cs="Arial" w:eastAsia="Arial" w:hAnsi="Arial"/>
          <w:sz w:val="20"/>
          <w:szCs w:val="20"/>
          <w:color w:val="auto"/>
        </w:rPr>
      </w:pPr>
      <w:r>
        <w:rPr>
          <w:rFonts w:ascii="Arial" w:cs="Arial" w:eastAsia="Arial" w:hAnsi="Arial"/>
          <w:sz w:val="20"/>
          <w:szCs w:val="20"/>
          <w:color w:val="auto"/>
        </w:rPr>
        <w:t>The Employee and the Company acknowledge that, in accordance with the terms of the Virtu Financial, Inc. 2015 Management Incentive Plan (the “2015 MIP”), any and all unvested Options to purchase shares of Class A Common Stock are automatically forfeited without the payment of any consideration and are rendered null and void as of the Termination Date, and the Employees vested Options to purchase shares of Class A Common Stock will automatically expire on the 90</w:t>
      </w:r>
      <w:r>
        <w:rPr>
          <w:rFonts w:ascii="Arial" w:cs="Arial" w:eastAsia="Arial" w:hAnsi="Arial"/>
          <w:sz w:val="13"/>
          <w:szCs w:val="13"/>
          <w:color w:val="auto"/>
        </w:rPr>
        <w:t>th</w:t>
      </w:r>
      <w:r>
        <w:rPr>
          <w:rFonts w:ascii="Arial" w:cs="Arial" w:eastAsia="Arial" w:hAnsi="Arial"/>
          <w:sz w:val="20"/>
          <w:szCs w:val="20"/>
          <w:color w:val="auto"/>
        </w:rPr>
        <w:t xml:space="preserve"> day after the Termination Date.</w:t>
      </w:r>
    </w:p>
    <w:p>
      <w:pPr>
        <w:spacing w:after="0" w:line="192" w:lineRule="exact"/>
        <w:rPr>
          <w:rFonts w:ascii="Arial" w:cs="Arial" w:eastAsia="Arial" w:hAnsi="Arial"/>
          <w:sz w:val="20"/>
          <w:szCs w:val="20"/>
          <w:color w:val="auto"/>
        </w:rPr>
      </w:pPr>
    </w:p>
    <w:p>
      <w:pPr>
        <w:jc w:val="both"/>
        <w:ind w:right="20" w:firstLine="1267"/>
        <w:spacing w:after="0" w:line="289" w:lineRule="auto"/>
        <w:tabs>
          <w:tab w:leader="none" w:pos="2028" w:val="left"/>
        </w:tabs>
        <w:numPr>
          <w:ilvl w:val="0"/>
          <w:numId w:val="336"/>
        </w:numPr>
        <w:rPr>
          <w:rFonts w:ascii="Arial" w:cs="Arial" w:eastAsia="Arial" w:hAnsi="Arial"/>
          <w:sz w:val="19"/>
          <w:szCs w:val="19"/>
          <w:color w:val="auto"/>
        </w:rPr>
      </w:pPr>
      <w:r>
        <w:rPr>
          <w:rFonts w:ascii="Arial" w:cs="Arial" w:eastAsia="Arial" w:hAnsi="Arial"/>
          <w:sz w:val="19"/>
          <w:szCs w:val="19"/>
          <w:color w:val="auto"/>
        </w:rPr>
        <w:t>The Employee and the Company acknowledge that, in accordance with the terms of the 2015 MIP, any and all unvested Restricted Stock Units previously granted to Employee are automatically forfeited and cancelled without the payment of any consideration and are rendered null and void as of the Termination Date.</w:t>
      </w:r>
    </w:p>
    <w:p>
      <w:pPr>
        <w:spacing w:after="0" w:line="163" w:lineRule="exact"/>
        <w:rPr>
          <w:rFonts w:ascii="Arial" w:cs="Arial" w:eastAsia="Arial" w:hAnsi="Arial"/>
          <w:sz w:val="19"/>
          <w:szCs w:val="19"/>
          <w:color w:val="auto"/>
        </w:rPr>
      </w:pPr>
    </w:p>
    <w:p>
      <w:pPr>
        <w:jc w:val="both"/>
        <w:ind w:firstLine="1267"/>
        <w:spacing w:after="0" w:line="256" w:lineRule="auto"/>
        <w:tabs>
          <w:tab w:leader="none" w:pos="2079" w:val="left"/>
        </w:tabs>
        <w:numPr>
          <w:ilvl w:val="0"/>
          <w:numId w:val="336"/>
        </w:numPr>
        <w:rPr>
          <w:rFonts w:ascii="Arial" w:cs="Arial" w:eastAsia="Arial" w:hAnsi="Arial"/>
          <w:sz w:val="20"/>
          <w:szCs w:val="20"/>
          <w:color w:val="auto"/>
        </w:rPr>
      </w:pPr>
      <w:r>
        <w:rPr>
          <w:rFonts w:ascii="Arial" w:cs="Arial" w:eastAsia="Arial" w:hAnsi="Arial"/>
          <w:sz w:val="20"/>
          <w:szCs w:val="20"/>
          <w:color w:val="auto"/>
        </w:rPr>
        <w:t xml:space="preserve">Employee Holdco hereby exercises its rights pursuant to the terms of the Employee Holdco Operating Agreement to repurchase all of Employee’s vested Common Units (the “Repurchased Interests”) in consideration of the payments described above. By executing this Agreement, Employee hereby delivers the Repurchased Interests, free and clear of all liens, to Employee Holdco in exchange for the applicable payments identified on </w:t>
      </w:r>
      <w:r>
        <w:rPr>
          <w:rFonts w:ascii="Arial" w:cs="Arial" w:eastAsia="Arial" w:hAnsi="Arial"/>
          <w:sz w:val="20"/>
          <w:szCs w:val="20"/>
          <w:b w:val="1"/>
          <w:bCs w:val="1"/>
          <w:color w:val="auto"/>
        </w:rPr>
        <w:t>Schedule A</w:t>
      </w:r>
      <w:r>
        <w:rPr>
          <w:rFonts w:ascii="Arial" w:cs="Arial" w:eastAsia="Arial" w:hAnsi="Arial"/>
          <w:sz w:val="20"/>
          <w:szCs w:val="20"/>
          <w:color w:val="auto"/>
        </w:rPr>
        <w:t>. All of Employee’s unvested Common Units are automatically forfeited and cancelled without the payment of any consideration and are rendered null and void as of the Termination Date.</w:t>
      </w:r>
    </w:p>
    <w:p>
      <w:pPr>
        <w:spacing w:after="0" w:line="194" w:lineRule="exact"/>
        <w:rPr>
          <w:rFonts w:ascii="Arial" w:cs="Arial" w:eastAsia="Arial" w:hAnsi="Arial"/>
          <w:sz w:val="20"/>
          <w:szCs w:val="20"/>
          <w:color w:val="auto"/>
        </w:rPr>
      </w:pPr>
    </w:p>
    <w:p>
      <w:pPr>
        <w:jc w:val="both"/>
        <w:ind w:right="20" w:firstLine="1267"/>
        <w:spacing w:after="0" w:line="245" w:lineRule="auto"/>
        <w:tabs>
          <w:tab w:leader="none" w:pos="2071" w:val="left"/>
        </w:tabs>
        <w:numPr>
          <w:ilvl w:val="0"/>
          <w:numId w:val="336"/>
        </w:numPr>
        <w:rPr>
          <w:rFonts w:ascii="Arial" w:cs="Arial" w:eastAsia="Arial" w:hAnsi="Arial"/>
          <w:sz w:val="21"/>
          <w:szCs w:val="21"/>
          <w:color w:val="auto"/>
        </w:rPr>
      </w:pPr>
      <w:r>
        <w:rPr>
          <w:rFonts w:ascii="Arial" w:cs="Arial" w:eastAsia="Arial" w:hAnsi="Arial"/>
          <w:sz w:val="21"/>
          <w:szCs w:val="21"/>
          <w:color w:val="auto"/>
        </w:rPr>
        <w:t>As of the Termination Date, any and all titles, designations, appointments, directorships and offices held by the Employee with respect to the Company or any of its affiliates, are forfeited and the Employee agrees to execute promptly upon request by the Company or its affiliates, attorneys or advisors, any additional documents necessary to effectuate the provisions of this clause (d).</w:t>
      </w:r>
    </w:p>
    <w:p>
      <w:pPr>
        <w:spacing w:after="0" w:line="205" w:lineRule="exact"/>
        <w:rPr>
          <w:sz w:val="20"/>
          <w:szCs w:val="20"/>
          <w:color w:val="auto"/>
        </w:rPr>
      </w:pPr>
    </w:p>
    <w:p>
      <w:pPr>
        <w:ind w:left="1900" w:hanging="633"/>
        <w:spacing w:after="0"/>
        <w:tabs>
          <w:tab w:leader="none" w:pos="1900" w:val="left"/>
        </w:tabs>
        <w:numPr>
          <w:ilvl w:val="0"/>
          <w:numId w:val="33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General and Complete Release</w:t>
      </w:r>
      <w:r>
        <w:rPr>
          <w:rFonts w:ascii="Arial" w:cs="Arial" w:eastAsia="Arial" w:hAnsi="Arial"/>
          <w:sz w:val="21"/>
          <w:szCs w:val="21"/>
          <w:color w:val="auto"/>
        </w:rPr>
        <w:t>.</w:t>
      </w:r>
    </w:p>
    <w:p>
      <w:pPr>
        <w:spacing w:after="0" w:line="235" w:lineRule="exact"/>
        <w:rPr>
          <w:sz w:val="20"/>
          <w:szCs w:val="20"/>
          <w:color w:val="auto"/>
        </w:rPr>
      </w:pPr>
    </w:p>
    <w:p>
      <w:pPr>
        <w:jc w:val="both"/>
        <w:ind w:firstLine="1267"/>
        <w:spacing w:after="0" w:line="252" w:lineRule="auto"/>
        <w:tabs>
          <w:tab w:leader="none" w:pos="2018" w:val="left"/>
        </w:tabs>
        <w:numPr>
          <w:ilvl w:val="0"/>
          <w:numId w:val="338"/>
        </w:numPr>
        <w:rPr>
          <w:rFonts w:ascii="Arial" w:cs="Arial" w:eastAsia="Arial" w:hAnsi="Arial"/>
          <w:sz w:val="20"/>
          <w:szCs w:val="20"/>
          <w:color w:val="auto"/>
        </w:rPr>
      </w:pPr>
      <w:r>
        <w:rPr>
          <w:rFonts w:ascii="Arial" w:cs="Arial" w:eastAsia="Arial" w:hAnsi="Arial"/>
          <w:sz w:val="20"/>
          <w:szCs w:val="20"/>
          <w:color w:val="auto"/>
        </w:rPr>
        <w:t>As a material inducement for the Company to enter into this Agreement, and in exchange for the Consideration provided herein, Employee knowingly and voluntarily waives and releases all rights and claims, known and unknown, which Employee may have against the Company, and/or any of the Company’s current or former parents (including Virtu Financial Inc.), successors, predecessors, affiliates, subsidiaries or related entities, or any of their current or former officers, directors, members, shareholders, managers, human resources representatives, employees, agents, contractors, insurance carriers, representatives, or attorneys (“Releasees”), including any and all charges, complaints, claims, liabilities, obligations, promises, agreements, including but not limited to the Employment Letter, the At-Will Agreement, the Virtu Award Documents, and any other contracts, controversies, damages, actions, causes of action, suits, rights, demands, costs, losses, debts and expenses of any kind. Employee further agrees to execute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85" w:name="page386"/>
    <w:bookmarkEnd w:id="385"/>
    <w:p>
      <w:pPr>
        <w:spacing w:after="0"/>
        <w:rPr>
          <w:sz w:val="20"/>
          <w:szCs w:val="20"/>
          <w:color w:val="auto"/>
        </w:rPr>
      </w:pPr>
      <w:r>
        <w:rPr>
          <w:rFonts w:ascii="Arial" w:cs="Arial" w:eastAsia="Arial" w:hAnsi="Arial"/>
          <w:sz w:val="21"/>
          <w:szCs w:val="21"/>
          <w:color w:val="auto"/>
        </w:rPr>
        <w:t>and comply with additional documentation giving effect to such releases as required by the Company.</w:t>
      </w:r>
    </w:p>
    <w:p>
      <w:pPr>
        <w:spacing w:after="0" w:line="235" w:lineRule="exact"/>
        <w:rPr>
          <w:sz w:val="20"/>
          <w:szCs w:val="20"/>
          <w:color w:val="auto"/>
        </w:rPr>
      </w:pPr>
    </w:p>
    <w:p>
      <w:pPr>
        <w:jc w:val="both"/>
        <w:ind w:firstLine="1267"/>
        <w:spacing w:after="0" w:line="242" w:lineRule="auto"/>
        <w:tabs>
          <w:tab w:leader="none" w:pos="2265" w:val="left"/>
        </w:tabs>
        <w:numPr>
          <w:ilvl w:val="0"/>
          <w:numId w:val="339"/>
        </w:numPr>
        <w:rPr>
          <w:rFonts w:ascii="Arial" w:cs="Arial" w:eastAsia="Arial" w:hAnsi="Arial"/>
          <w:sz w:val="21"/>
          <w:szCs w:val="21"/>
          <w:color w:val="auto"/>
        </w:rPr>
      </w:pPr>
      <w:r>
        <w:rPr>
          <w:rFonts w:ascii="Arial" w:cs="Arial" w:eastAsia="Arial" w:hAnsi="Arial"/>
          <w:sz w:val="21"/>
          <w:szCs w:val="21"/>
          <w:color w:val="auto"/>
        </w:rPr>
        <w:t>This includes, but is not limited to, claims for employment discrimination, harassment, wrongful termination, constructive termination, violation of public policy, breach of any express or implied contract, breach of any implied covenant, fraud, intentional or negligent misrepresentation, emotional distress, defamation, libel, slander, or any other claims relating to Employee’s relationship with the Company. However, any recovery Employee may obtain as a whistleblower under federal or state law or regulation is excluded from this general and complete release.</w:t>
      </w:r>
    </w:p>
    <w:p>
      <w:pPr>
        <w:spacing w:after="0" w:line="205" w:lineRule="exact"/>
        <w:rPr>
          <w:rFonts w:ascii="Arial" w:cs="Arial" w:eastAsia="Arial" w:hAnsi="Arial"/>
          <w:sz w:val="21"/>
          <w:szCs w:val="21"/>
          <w:color w:val="auto"/>
        </w:rPr>
      </w:pPr>
    </w:p>
    <w:p>
      <w:pPr>
        <w:jc w:val="both"/>
        <w:ind w:right="20" w:firstLine="1267"/>
        <w:spacing w:after="0" w:line="265" w:lineRule="auto"/>
        <w:tabs>
          <w:tab w:leader="none" w:pos="1990" w:val="left"/>
        </w:tabs>
        <w:numPr>
          <w:ilvl w:val="0"/>
          <w:numId w:val="339"/>
        </w:numPr>
        <w:rPr>
          <w:rFonts w:ascii="Arial" w:cs="Arial" w:eastAsia="Arial" w:hAnsi="Arial"/>
          <w:sz w:val="19"/>
          <w:szCs w:val="19"/>
          <w:color w:val="auto"/>
        </w:rPr>
      </w:pPr>
      <w:r>
        <w:rPr>
          <w:rFonts w:ascii="Arial" w:cs="Arial" w:eastAsia="Arial" w:hAnsi="Arial"/>
          <w:sz w:val="19"/>
          <w:szCs w:val="19"/>
          <w:color w:val="auto"/>
        </w:rPr>
        <w:t xml:space="preserve">This also includes a release of any claims under any federal, state or local laws or regulations, including, but not limited to: (1) Title VII of the Civil Rights Act of 1964, 42 U.S.C. §§ 2000(e),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Civil Rights Act of 1991, 2 U.S.C. §§ 60l, </w:t>
      </w:r>
      <w:r>
        <w:rPr>
          <w:rFonts w:ascii="Arial" w:cs="Arial" w:eastAsia="Arial" w:hAnsi="Arial"/>
          <w:sz w:val="19"/>
          <w:szCs w:val="19"/>
          <w:i w:val="1"/>
          <w:iCs w:val="1"/>
          <w:color w:val="auto"/>
        </w:rPr>
        <w:t>et seq.</w:t>
      </w:r>
      <w:r>
        <w:rPr>
          <w:rFonts w:ascii="Arial" w:cs="Arial" w:eastAsia="Arial" w:hAnsi="Arial"/>
          <w:sz w:val="19"/>
          <w:szCs w:val="19"/>
          <w:color w:val="auto"/>
        </w:rPr>
        <w:t xml:space="preserve"> (race, color, religion, sex, and national origin discrimination or harassment); (2) the Age Discrimination in Employment Act,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(age discrimination); (3) Section 1981 of the Civil Rights Act of 1866, 42 U.S.C. § 1981 (race discrimination); (4) the Equal Pay Act of 1963, 29 U.S.C. § 206 (equal pay); (5) the Fair Labor Standards Act, 29 U.S.C. §§ 201,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(wage and hour matters, including overtime pay); (6) the Consolidated Omnibus Budget Reconciliation Act of 1985 (“COBRA”), 42 U.S.C. § 1395(c) (insurance matters); (7) Executive Order 11141 (age discrimination); (8) Section 503 of the Rehabilitation Act of 1973, 29 U.S.C. §§ 701,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(disability discrimination); (9) the Employee Retirement Income Security Act of 1974, 29 U.S.C. §§ 1001,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(employee benefits); (10) Title I or Title III of the Americans with Disabilities Act (disability discrimination); (11) the Economic Dislocation and Worker Adjustment Assistance Act, 41 U.S.C. §§ 701, </w:t>
      </w:r>
      <w:r>
        <w:rPr>
          <w:rFonts w:ascii="Arial" w:cs="Arial" w:eastAsia="Arial" w:hAnsi="Arial"/>
          <w:sz w:val="19"/>
          <w:szCs w:val="19"/>
          <w:i w:val="1"/>
          <w:iCs w:val="1"/>
          <w:color w:val="auto"/>
        </w:rPr>
        <w:t xml:space="preserve">et seq. </w:t>
      </w:r>
      <w:r>
        <w:rPr>
          <w:rFonts w:ascii="Arial" w:cs="Arial" w:eastAsia="Arial" w:hAnsi="Arial"/>
          <w:sz w:val="19"/>
          <w:szCs w:val="19"/>
          <w:color w:val="auto"/>
        </w:rPr>
        <w:t>or the Worker Adjustment and Retraining Notification Act (“WARN” Act), 29 U.S.C. §§ 2101-09; (12)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Family and Medical Leave Act of 1993, 29 U.S.C. §§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(leaves of absence); (13) the Older Worker Benefit Protection Act,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(age discrimination issues); (14) the Fair Credit Reporting Act, 15 U.S.C. §§ 1681,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(issues involving gathering information from third parties); (15) the New York State and City Human Rights Laws, the New York Executive Law, the New York Labor Laws, the New York Workers’ Compensation Law, the New York City Administrative Code and the New York State Worker Adjustment and Retraining Notification Act.</w:t>
      </w:r>
    </w:p>
    <w:p>
      <w:pPr>
        <w:spacing w:after="0" w:line="185" w:lineRule="exact"/>
        <w:rPr>
          <w:sz w:val="20"/>
          <w:szCs w:val="20"/>
          <w:color w:val="auto"/>
        </w:rPr>
      </w:pPr>
    </w:p>
    <w:p>
      <w:pPr>
        <w:ind w:left="1900" w:hanging="633"/>
        <w:spacing w:after="0"/>
        <w:tabs>
          <w:tab w:leader="none" w:pos="1900" w:val="left"/>
        </w:tabs>
        <w:numPr>
          <w:ilvl w:val="0"/>
          <w:numId w:val="34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Unknown Claims</w:t>
      </w:r>
      <w:r>
        <w:rPr>
          <w:rFonts w:ascii="Arial" w:cs="Arial" w:eastAsia="Arial" w:hAnsi="Arial"/>
          <w:sz w:val="21"/>
          <w:szCs w:val="21"/>
          <w:color w:val="auto"/>
        </w:rPr>
        <w:t>.</w:t>
      </w:r>
    </w:p>
    <w:p>
      <w:pPr>
        <w:spacing w:after="0" w:line="235" w:lineRule="exact"/>
        <w:rPr>
          <w:sz w:val="20"/>
          <w:szCs w:val="20"/>
          <w:color w:val="auto"/>
        </w:rPr>
      </w:pPr>
    </w:p>
    <w:p>
      <w:pPr>
        <w:jc w:val="both"/>
        <w:ind w:right="20" w:firstLine="1270"/>
        <w:spacing w:after="0" w:line="250" w:lineRule="auto"/>
        <w:rPr>
          <w:sz w:val="20"/>
          <w:szCs w:val="20"/>
          <w:color w:val="auto"/>
        </w:rPr>
      </w:pPr>
      <w:r>
        <w:rPr>
          <w:rFonts w:ascii="Arial" w:cs="Arial" w:eastAsia="Arial" w:hAnsi="Arial"/>
          <w:sz w:val="21"/>
          <w:szCs w:val="21"/>
          <w:color w:val="auto"/>
        </w:rPr>
        <w:t>Employee acknowledges and agrees that, as a condition of this Agreement, Employee expressly releases all rights and claims against the Company that Employee knows about as well as that Employee may not know about.</w:t>
      </w:r>
    </w:p>
    <w:p>
      <w:pPr>
        <w:spacing w:after="0" w:line="198" w:lineRule="exact"/>
        <w:rPr>
          <w:sz w:val="20"/>
          <w:szCs w:val="20"/>
          <w:color w:val="auto"/>
        </w:rPr>
      </w:pPr>
    </w:p>
    <w:p>
      <w:pPr>
        <w:ind w:left="1900" w:hanging="633"/>
        <w:spacing w:after="0"/>
        <w:tabs>
          <w:tab w:leader="none" w:pos="1900" w:val="left"/>
        </w:tabs>
        <w:numPr>
          <w:ilvl w:val="0"/>
          <w:numId w:val="34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Ownership of Claims</w:t>
      </w:r>
      <w:r>
        <w:rPr>
          <w:rFonts w:ascii="Arial" w:cs="Arial" w:eastAsia="Arial" w:hAnsi="Arial"/>
          <w:sz w:val="21"/>
          <w:szCs w:val="21"/>
          <w:color w:val="auto"/>
        </w:rPr>
        <w:t>.</w:t>
      </w:r>
    </w:p>
    <w:p>
      <w:pPr>
        <w:spacing w:after="0" w:line="235" w:lineRule="exact"/>
        <w:rPr>
          <w:sz w:val="20"/>
          <w:szCs w:val="20"/>
          <w:color w:val="auto"/>
        </w:rPr>
      </w:pPr>
    </w:p>
    <w:p>
      <w:pPr>
        <w:ind w:right="20" w:firstLine="1270"/>
        <w:spacing w:after="0" w:line="263" w:lineRule="auto"/>
        <w:rPr>
          <w:sz w:val="20"/>
          <w:szCs w:val="20"/>
          <w:color w:val="auto"/>
        </w:rPr>
      </w:pPr>
      <w:r>
        <w:rPr>
          <w:rFonts w:ascii="Arial" w:cs="Arial" w:eastAsia="Arial" w:hAnsi="Arial"/>
          <w:sz w:val="21"/>
          <w:szCs w:val="21"/>
          <w:color w:val="auto"/>
        </w:rPr>
        <w:t>Employee represents and agrees that Employee has not assigned or transferred, or attempted to assign or transfer, to any person or entity, any of the claims Employee is releasing in this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86" w:name="page387"/>
    <w:bookmarkEnd w:id="386"/>
    <w:p>
      <w:pPr>
        <w:ind w:left="1900" w:hanging="633"/>
        <w:spacing w:after="0"/>
        <w:tabs>
          <w:tab w:leader="none" w:pos="1900" w:val="left"/>
        </w:tabs>
        <w:numPr>
          <w:ilvl w:val="0"/>
          <w:numId w:val="34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 Representations</w:t>
      </w:r>
      <w:r>
        <w:rPr>
          <w:rFonts w:ascii="Arial" w:cs="Arial" w:eastAsia="Arial" w:hAnsi="Arial"/>
          <w:sz w:val="21"/>
          <w:szCs w:val="21"/>
          <w:color w:val="auto"/>
        </w:rPr>
        <w:t>.</w:t>
      </w:r>
    </w:p>
    <w:p>
      <w:pPr>
        <w:spacing w:after="0" w:line="234" w:lineRule="exact"/>
        <w:rPr>
          <w:sz w:val="20"/>
          <w:szCs w:val="20"/>
          <w:color w:val="auto"/>
        </w:rPr>
      </w:pPr>
    </w:p>
    <w:p>
      <w:pPr>
        <w:jc w:val="both"/>
        <w:ind w:firstLine="1270"/>
        <w:spacing w:after="0" w:line="245" w:lineRule="auto"/>
        <w:rPr>
          <w:sz w:val="20"/>
          <w:szCs w:val="20"/>
          <w:color w:val="auto"/>
        </w:rPr>
      </w:pPr>
      <w:r>
        <w:rPr>
          <w:rFonts w:ascii="Arial" w:cs="Arial" w:eastAsia="Arial" w:hAnsi="Arial"/>
          <w:sz w:val="21"/>
          <w:szCs w:val="21"/>
          <w:color w:val="auto"/>
        </w:rPr>
        <w:t>Employee represents and agrees that no promises, statements or inducements have been made to Employee that caused Employee to sign this Agreement other than those expressly stated in this Agreement. Employee represents and agrees that this Agreement is a fully integrated contract and that there are no terms, conditions or clauses that exist outside of what is written in this Agreement.</w:t>
      </w:r>
    </w:p>
    <w:p>
      <w:pPr>
        <w:spacing w:after="0" w:line="205" w:lineRule="exact"/>
        <w:rPr>
          <w:sz w:val="20"/>
          <w:szCs w:val="20"/>
          <w:color w:val="auto"/>
        </w:rPr>
      </w:pPr>
    </w:p>
    <w:p>
      <w:pPr>
        <w:ind w:left="1900" w:hanging="633"/>
        <w:spacing w:after="0"/>
        <w:tabs>
          <w:tab w:leader="none" w:pos="1900" w:val="left"/>
        </w:tabs>
        <w:numPr>
          <w:ilvl w:val="0"/>
          <w:numId w:val="34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Confidentiality of this Agreement</w:t>
      </w:r>
      <w:r>
        <w:rPr>
          <w:rFonts w:ascii="Arial" w:cs="Arial" w:eastAsia="Arial" w:hAnsi="Arial"/>
          <w:sz w:val="21"/>
          <w:szCs w:val="21"/>
          <w:color w:val="auto"/>
        </w:rPr>
        <w:t>.</w:t>
      </w:r>
    </w:p>
    <w:p>
      <w:pPr>
        <w:spacing w:after="0" w:line="235" w:lineRule="exact"/>
        <w:rPr>
          <w:sz w:val="20"/>
          <w:szCs w:val="20"/>
          <w:color w:val="auto"/>
        </w:rPr>
      </w:pPr>
    </w:p>
    <w:p>
      <w:pPr>
        <w:jc w:val="both"/>
        <w:ind w:firstLine="1267"/>
        <w:spacing w:after="0" w:line="243" w:lineRule="auto"/>
        <w:tabs>
          <w:tab w:leader="none" w:pos="2116" w:val="left"/>
        </w:tabs>
        <w:numPr>
          <w:ilvl w:val="0"/>
          <w:numId w:val="344"/>
        </w:numPr>
        <w:rPr>
          <w:rFonts w:ascii="Arial" w:cs="Arial" w:eastAsia="Arial" w:hAnsi="Arial"/>
          <w:sz w:val="21"/>
          <w:szCs w:val="21"/>
          <w:color w:val="auto"/>
        </w:rPr>
      </w:pPr>
      <w:r>
        <w:rPr>
          <w:rFonts w:ascii="Arial" w:cs="Arial" w:eastAsia="Arial" w:hAnsi="Arial"/>
          <w:sz w:val="21"/>
          <w:szCs w:val="21"/>
          <w:color w:val="auto"/>
        </w:rPr>
        <w:t>Except as expressly stated in this Agreement, Employee agrees to keep the fact, terms and amount of this Agreement completely confidential, and not to disclose such information to anyone other than Employee’s spouse or domestic partner, if any, or Employee’s attorneys and licensed tax and/or professional investment advisor (hereafter referred to as “Employee’s Confidants”), all of whom will be informed of, and be bound by, this confidentiality provision.</w:t>
      </w:r>
    </w:p>
    <w:p>
      <w:pPr>
        <w:spacing w:after="0" w:line="206" w:lineRule="exact"/>
        <w:rPr>
          <w:rFonts w:ascii="Arial" w:cs="Arial" w:eastAsia="Arial" w:hAnsi="Arial"/>
          <w:sz w:val="21"/>
          <w:szCs w:val="21"/>
          <w:color w:val="auto"/>
        </w:rPr>
      </w:pPr>
    </w:p>
    <w:p>
      <w:pPr>
        <w:jc w:val="both"/>
        <w:ind w:right="20" w:firstLine="1267"/>
        <w:spacing w:after="0" w:line="243" w:lineRule="auto"/>
        <w:tabs>
          <w:tab w:leader="none" w:pos="2041" w:val="left"/>
        </w:tabs>
        <w:numPr>
          <w:ilvl w:val="0"/>
          <w:numId w:val="344"/>
        </w:numPr>
        <w:rPr>
          <w:rFonts w:ascii="Arial" w:cs="Arial" w:eastAsia="Arial" w:hAnsi="Arial"/>
          <w:sz w:val="21"/>
          <w:szCs w:val="21"/>
          <w:color w:val="auto"/>
        </w:rPr>
      </w:pPr>
      <w:r>
        <w:rPr>
          <w:rFonts w:ascii="Arial" w:cs="Arial" w:eastAsia="Arial" w:hAnsi="Arial"/>
          <w:sz w:val="21"/>
          <w:szCs w:val="21"/>
          <w:color w:val="auto"/>
        </w:rPr>
        <w:t>Neither Employee nor Employee’s Confidants shall disclose the fact, amount or terms of this Agreement to anyone including, but not limited to, any representative of any Internet site, Blog site, print, radio or television media, to any past, present or prospective applicant for employment with the Company, executive recruiter or “headhunter,” to any counsel for any current or former employee of the Company, to any other counsel or third party, or to the public at large.</w:t>
      </w:r>
    </w:p>
    <w:p>
      <w:pPr>
        <w:spacing w:after="0" w:line="206" w:lineRule="exact"/>
        <w:rPr>
          <w:rFonts w:ascii="Arial" w:cs="Arial" w:eastAsia="Arial" w:hAnsi="Arial"/>
          <w:sz w:val="21"/>
          <w:szCs w:val="21"/>
          <w:color w:val="auto"/>
        </w:rPr>
      </w:pPr>
    </w:p>
    <w:p>
      <w:pPr>
        <w:jc w:val="both"/>
        <w:ind w:firstLine="1267"/>
        <w:spacing w:after="0" w:line="241" w:lineRule="auto"/>
        <w:tabs>
          <w:tab w:leader="none" w:pos="2219" w:val="left"/>
        </w:tabs>
        <w:numPr>
          <w:ilvl w:val="0"/>
          <w:numId w:val="344"/>
        </w:numPr>
        <w:rPr>
          <w:rFonts w:ascii="Arial" w:cs="Arial" w:eastAsia="Arial" w:hAnsi="Arial"/>
          <w:sz w:val="21"/>
          <w:szCs w:val="21"/>
          <w:color w:val="auto"/>
        </w:rPr>
      </w:pPr>
      <w:r>
        <w:rPr>
          <w:rFonts w:ascii="Arial" w:cs="Arial" w:eastAsia="Arial" w:hAnsi="Arial"/>
          <w:sz w:val="21"/>
          <w:szCs w:val="21"/>
          <w:color w:val="auto"/>
        </w:rPr>
        <w:t>Employee understands and agrees that any disclosure of information in violation of this confidentiality provision by Employee or by any of Employee’s Confidants would cause the Company injury and damage, the actual amount of which would be impractical or extremely difficult to determine. Accordingly, Employee agrees that the Company, in addition to any and all other remedies to which it may be entitled, shall be entitled to recover from Employee liquidated damages in the amount of Five Thousand Dollars ($5,000) for each occasion on which Employee, or any of Employee’s Confidants disclose any information in violation of the terms of this confidentiality provision.</w:t>
      </w:r>
    </w:p>
    <w:p>
      <w:pPr>
        <w:spacing w:after="0" w:line="207" w:lineRule="exact"/>
        <w:rPr>
          <w:rFonts w:ascii="Arial" w:cs="Arial" w:eastAsia="Arial" w:hAnsi="Arial"/>
          <w:sz w:val="21"/>
          <w:szCs w:val="21"/>
          <w:color w:val="auto"/>
        </w:rPr>
      </w:pPr>
    </w:p>
    <w:p>
      <w:pPr>
        <w:jc w:val="both"/>
        <w:ind w:firstLine="1267"/>
        <w:spacing w:after="0" w:line="241" w:lineRule="auto"/>
        <w:tabs>
          <w:tab w:leader="none" w:pos="1984" w:val="left"/>
        </w:tabs>
        <w:numPr>
          <w:ilvl w:val="0"/>
          <w:numId w:val="344"/>
        </w:numPr>
        <w:rPr>
          <w:rFonts w:ascii="Arial" w:cs="Arial" w:eastAsia="Arial" w:hAnsi="Arial"/>
          <w:sz w:val="21"/>
          <w:szCs w:val="21"/>
          <w:color w:val="auto"/>
        </w:rPr>
      </w:pPr>
      <w:r>
        <w:rPr>
          <w:rFonts w:ascii="Arial" w:cs="Arial" w:eastAsia="Arial" w:hAnsi="Arial"/>
          <w:sz w:val="21"/>
          <w:szCs w:val="21"/>
          <w:color w:val="auto"/>
        </w:rPr>
        <w:t>Any alleged violation of this confidentiality provision shall be resolved in accordance with the arbitration provisions herein. If any proceeding is brought concerning an alleged violation of this confidentiality provision, the prevailing party shall recover from the losing party all reasonable attorneys’ fees and costs incurred in connection with such proceeding. The Company shall have the burden of proving such violation by a preponderance of the evidence. The parties understand and agree that only the Company would be damaged by a violation of this confidentiality provision and for that reason the arbitrator shall have no authority to award any damages against the Company if it does not prevail.</w:t>
      </w:r>
    </w:p>
    <w:p>
      <w:pPr>
        <w:spacing w:after="0" w:line="208" w:lineRule="exact"/>
        <w:rPr>
          <w:sz w:val="20"/>
          <w:szCs w:val="20"/>
          <w:color w:val="auto"/>
        </w:rPr>
      </w:pPr>
    </w:p>
    <w:p>
      <w:pPr>
        <w:ind w:left="1900" w:hanging="633"/>
        <w:spacing w:after="0"/>
        <w:tabs>
          <w:tab w:leader="none" w:pos="1900" w:val="left"/>
        </w:tabs>
        <w:numPr>
          <w:ilvl w:val="0"/>
          <w:numId w:val="34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p>
    <w:p>
      <w:pPr>
        <w:spacing w:after="0" w:line="235" w:lineRule="exact"/>
        <w:rPr>
          <w:sz w:val="20"/>
          <w:szCs w:val="20"/>
          <w:color w:val="auto"/>
        </w:rPr>
      </w:pPr>
    </w:p>
    <w:p>
      <w:pPr>
        <w:jc w:val="both"/>
        <w:ind w:right="20" w:firstLine="1270"/>
        <w:spacing w:after="0" w:line="289" w:lineRule="auto"/>
        <w:rPr>
          <w:sz w:val="20"/>
          <w:szCs w:val="20"/>
          <w:color w:val="auto"/>
        </w:rPr>
      </w:pPr>
      <w:r>
        <w:rPr>
          <w:rFonts w:ascii="Arial" w:cs="Arial" w:eastAsia="Arial" w:hAnsi="Arial"/>
          <w:sz w:val="19"/>
          <w:szCs w:val="19"/>
          <w:color w:val="auto"/>
        </w:rPr>
        <w:t>Employee understands and agrees that in the course of employment with the Company he has acquired Confidential Information and acknowledges that the obligations with respect to such Confidential Information continue in full force beyond the Termination Date in accordance with the terms of the At-Will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87" w:name="page388"/>
    <w:bookmarkEnd w:id="387"/>
    <w:p>
      <w:pPr>
        <w:ind w:left="1900" w:hanging="633"/>
        <w:spacing w:after="0"/>
        <w:tabs>
          <w:tab w:leader="none" w:pos="1900" w:val="left"/>
        </w:tabs>
        <w:numPr>
          <w:ilvl w:val="0"/>
          <w:numId w:val="34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Future Obligations</w:t>
      </w:r>
      <w:r>
        <w:rPr>
          <w:rFonts w:ascii="Arial" w:cs="Arial" w:eastAsia="Arial" w:hAnsi="Arial"/>
          <w:sz w:val="21"/>
          <w:szCs w:val="21"/>
          <w:color w:val="auto"/>
        </w:rPr>
        <w:t>.</w:t>
      </w:r>
    </w:p>
    <w:p>
      <w:pPr>
        <w:spacing w:after="0" w:line="288" w:lineRule="exact"/>
        <w:rPr>
          <w:sz w:val="20"/>
          <w:szCs w:val="20"/>
          <w:color w:val="auto"/>
        </w:rPr>
      </w:pPr>
    </w:p>
    <w:p>
      <w:pPr>
        <w:jc w:val="both"/>
        <w:ind w:firstLine="1267"/>
        <w:spacing w:after="0" w:line="250" w:lineRule="auto"/>
        <w:tabs>
          <w:tab w:leader="none" w:pos="2225" w:val="left"/>
        </w:tabs>
        <w:numPr>
          <w:ilvl w:val="0"/>
          <w:numId w:val="347"/>
        </w:numPr>
        <w:rPr>
          <w:rFonts w:ascii="Arial" w:cs="Arial" w:eastAsia="Arial" w:hAnsi="Arial"/>
          <w:sz w:val="20"/>
          <w:szCs w:val="20"/>
          <w:color w:val="auto"/>
        </w:rPr>
      </w:pPr>
      <w:r>
        <w:rPr>
          <w:rFonts w:ascii="Arial" w:cs="Arial" w:eastAsia="Arial" w:hAnsi="Arial"/>
          <w:sz w:val="20"/>
          <w:szCs w:val="20"/>
          <w:color w:val="auto"/>
        </w:rPr>
        <w:t>Employee will not voluntarily assist any party engaged in current or future litigation or arbitration involving the Company, by furnishing information, declarations, affidavits, statements, letters, oral assistance, documents, or depositions. Employee, however, may respond to a valid and legally enforceable subpoena or other discovery request, provided that such subpoena or discovery request also has been served on the Company. Nothing in any code, agreement, manual or in any other policies, procedures or agreements of the Company shall prohibit or restrict Employee or Employee’s counsel from providing information in connection with: (i) any disclosure of information required by law or legal process; (ii) reporting possible violations of federal or state law or regulation to any governmental agency, commission or entity, including but not limited to, the Department of Justice, the Commodities Futures Trading Commission, the Securities and Exchange Commission, the Department of Labor, the Congress, any state Attorney General, self-regulatory organization and any agency Inspector General (collectively “Government Agencies”) (iii) filing a charge or complaint with Government Agencies; (iv) making disclosures that are protected under the whistleblower provisions of federal or state law or regulation (collectively the “Whistleblower Statutes”); or (v) from initiating communications directly with, responding to any inquiry from, volunteering information to, testifying or otherwise participating in or assisting in any inquiry, investigation or proceeding brought by Government Agencies in connection with (i) through (v). You are not required to advise or seek permission from the Company before engaging in any activity set forth in (i) through (v). Further, the Company does not in any manner limit your right to receive an award from Government Agencies for information provided to Government Agencies or pursuant to the Whistleblower Statutes.</w:t>
      </w:r>
    </w:p>
    <w:p>
      <w:pPr>
        <w:spacing w:after="0" w:line="265" w:lineRule="exact"/>
        <w:rPr>
          <w:rFonts w:ascii="Arial" w:cs="Arial" w:eastAsia="Arial" w:hAnsi="Arial"/>
          <w:sz w:val="20"/>
          <w:szCs w:val="20"/>
          <w:color w:val="auto"/>
        </w:rPr>
      </w:pPr>
    </w:p>
    <w:p>
      <w:pPr>
        <w:jc w:val="both"/>
        <w:ind w:right="20" w:firstLine="1267"/>
        <w:spacing w:after="0" w:line="270" w:lineRule="auto"/>
        <w:tabs>
          <w:tab w:leader="none" w:pos="2080" w:val="left"/>
        </w:tabs>
        <w:numPr>
          <w:ilvl w:val="0"/>
          <w:numId w:val="347"/>
        </w:numPr>
        <w:rPr>
          <w:rFonts w:ascii="Arial" w:cs="Arial" w:eastAsia="Arial" w:hAnsi="Arial"/>
          <w:sz w:val="19"/>
          <w:szCs w:val="19"/>
          <w:color w:val="auto"/>
        </w:rPr>
      </w:pPr>
      <w:r>
        <w:rPr>
          <w:rFonts w:ascii="Arial" w:cs="Arial" w:eastAsia="Arial" w:hAnsi="Arial"/>
          <w:sz w:val="19"/>
          <w:szCs w:val="19"/>
          <w:color w:val="auto"/>
        </w:rPr>
        <w:t>If any subpoena or discovery request is served on Employee, Employee agrees to notify the Company of such a subpoena or discovery request, so that the Company may challenge its validity, at the Company’s expense. If such a challenge is not successful and a court or arbitrator rules that a valid subpoena or discovery request has been served, and Employee is required to provide information, Employee agrees to provide truthful information or testimony. If thereafter required by judicial process to provide testimony or other discovery, Employee agrees that he will not object to a representative of the Company being present for such testimony, or being served with all responses to discovery, if not otherwise prohibited by the court or arbitrator having jurisdiction.</w:t>
      </w:r>
    </w:p>
    <w:p>
      <w:pPr>
        <w:spacing w:after="0" w:line="237" w:lineRule="exact"/>
        <w:rPr>
          <w:rFonts w:ascii="Arial" w:cs="Arial" w:eastAsia="Arial" w:hAnsi="Arial"/>
          <w:sz w:val="19"/>
          <w:szCs w:val="19"/>
          <w:color w:val="auto"/>
        </w:rPr>
      </w:pPr>
    </w:p>
    <w:p>
      <w:pPr>
        <w:jc w:val="both"/>
        <w:ind w:right="20" w:firstLine="1267"/>
        <w:spacing w:after="0" w:line="261" w:lineRule="auto"/>
        <w:tabs>
          <w:tab w:leader="none" w:pos="1939" w:val="left"/>
        </w:tabs>
        <w:numPr>
          <w:ilvl w:val="0"/>
          <w:numId w:val="347"/>
        </w:numPr>
        <w:rPr>
          <w:rFonts w:ascii="Arial" w:cs="Arial" w:eastAsia="Arial" w:hAnsi="Arial"/>
          <w:sz w:val="20"/>
          <w:szCs w:val="20"/>
          <w:color w:val="auto"/>
        </w:rPr>
      </w:pPr>
      <w:r>
        <w:rPr>
          <w:rFonts w:ascii="Arial" w:cs="Arial" w:eastAsia="Arial" w:hAnsi="Arial"/>
          <w:sz w:val="20"/>
          <w:szCs w:val="20"/>
          <w:color w:val="auto"/>
        </w:rPr>
        <w:t>Upon reasonable notice and based on Employee’s reasonable availability, Employee also agrees to meet with counsel for the Company or Company representative to gather information in connection with any current or future investigation, lawsuit or arbitration in which Employee is asked to participate, and to prepare for any deposition, or any other form of testimony sought from Employee in connection therewith.</w:t>
      </w:r>
    </w:p>
    <w:p>
      <w:pPr>
        <w:spacing w:after="0" w:line="243" w:lineRule="exact"/>
        <w:rPr>
          <w:rFonts w:ascii="Arial" w:cs="Arial" w:eastAsia="Arial" w:hAnsi="Arial"/>
          <w:sz w:val="20"/>
          <w:szCs w:val="20"/>
          <w:color w:val="auto"/>
        </w:rPr>
      </w:pPr>
    </w:p>
    <w:p>
      <w:pPr>
        <w:jc w:val="both"/>
        <w:ind w:right="20" w:firstLine="1267"/>
        <w:spacing w:after="0" w:line="275" w:lineRule="auto"/>
        <w:tabs>
          <w:tab w:leader="none" w:pos="2056" w:val="left"/>
        </w:tabs>
        <w:numPr>
          <w:ilvl w:val="0"/>
          <w:numId w:val="347"/>
        </w:numPr>
        <w:rPr>
          <w:rFonts w:ascii="Arial" w:cs="Arial" w:eastAsia="Arial" w:hAnsi="Arial"/>
          <w:sz w:val="19"/>
          <w:szCs w:val="19"/>
          <w:color w:val="auto"/>
        </w:rPr>
      </w:pPr>
      <w:r>
        <w:rPr>
          <w:rFonts w:ascii="Arial" w:cs="Arial" w:eastAsia="Arial" w:hAnsi="Arial"/>
          <w:sz w:val="19"/>
          <w:szCs w:val="19"/>
          <w:color w:val="auto"/>
        </w:rPr>
        <w:t>Employee agrees that (i) Employee will comply with Employee’s obligations with respect to Confidential Information; and (ii) Employee will comply with the restrictive covenants (including Employee’s non-interference and non-solicitation obligations) as set forth in the Employment Letter, At Will Agreement, the Virtu Award Documents or any other agreement to which the Employee and the Company are parties. Employee acknowledges that if Employee does fail to comply with the terms thereof the Company may, in addition to exercising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7">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88" w:name="page389"/>
    <w:bookmarkEnd w:id="388"/>
    <w:p>
      <w:pPr>
        <w:jc w:val="both"/>
        <w:ind w:left="80" w:right="20"/>
        <w:spacing w:after="0" w:line="250" w:lineRule="auto"/>
        <w:rPr>
          <w:sz w:val="20"/>
          <w:szCs w:val="20"/>
          <w:color w:val="auto"/>
        </w:rPr>
      </w:pPr>
      <w:r>
        <w:rPr>
          <w:rFonts w:ascii="Arial" w:cs="Arial" w:eastAsia="Arial" w:hAnsi="Arial"/>
          <w:sz w:val="21"/>
          <w:szCs w:val="21"/>
          <w:color w:val="auto"/>
        </w:rPr>
        <w:t>any other remedies available to it under the Agreement or otherwise in contract or at law, immediately cease paying the Consideration and shall be entitled to a full recovery of any and all installments of the Consideration previously paid.</w:t>
      </w:r>
    </w:p>
    <w:p>
      <w:pPr>
        <w:spacing w:after="0" w:line="198" w:lineRule="exact"/>
        <w:rPr>
          <w:sz w:val="20"/>
          <w:szCs w:val="20"/>
          <w:color w:val="auto"/>
        </w:rPr>
      </w:pPr>
    </w:p>
    <w:p>
      <w:pPr>
        <w:ind w:left="1900" w:hanging="633"/>
        <w:spacing w:after="0"/>
        <w:tabs>
          <w:tab w:leader="none" w:pos="1900" w:val="left"/>
        </w:tabs>
        <w:numPr>
          <w:ilvl w:val="0"/>
          <w:numId w:val="34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w:t>
      </w:r>
    </w:p>
    <w:p>
      <w:pPr>
        <w:spacing w:after="0" w:line="235" w:lineRule="exact"/>
        <w:rPr>
          <w:sz w:val="20"/>
          <w:szCs w:val="20"/>
          <w:color w:val="auto"/>
        </w:rPr>
      </w:pPr>
    </w:p>
    <w:p>
      <w:pPr>
        <w:jc w:val="both"/>
        <w:ind w:right="20" w:firstLine="1270"/>
        <w:spacing w:after="0" w:line="250" w:lineRule="auto"/>
        <w:rPr>
          <w:sz w:val="20"/>
          <w:szCs w:val="20"/>
          <w:color w:val="auto"/>
        </w:rPr>
      </w:pPr>
      <w:r>
        <w:rPr>
          <w:rFonts w:ascii="Arial" w:cs="Arial" w:eastAsia="Arial" w:hAnsi="Arial"/>
          <w:sz w:val="21"/>
          <w:szCs w:val="21"/>
          <w:color w:val="auto"/>
        </w:rPr>
        <w:t>This Agreement shall be binding upon Employee and upon Employee’s heirs, administrators, representatives, executors, successors and assigns, and shall inure to the benefit of the Company and the other Releasees, and to their heirs, administrators, representatives, executors, successors and assigns.</w:t>
      </w:r>
    </w:p>
    <w:p>
      <w:pPr>
        <w:spacing w:after="0" w:line="198" w:lineRule="exact"/>
        <w:rPr>
          <w:sz w:val="20"/>
          <w:szCs w:val="20"/>
          <w:color w:val="auto"/>
        </w:rPr>
      </w:pPr>
    </w:p>
    <w:p>
      <w:pPr>
        <w:ind w:left="1900" w:hanging="633"/>
        <w:spacing w:after="0"/>
        <w:tabs>
          <w:tab w:leader="none" w:pos="1900" w:val="left"/>
        </w:tabs>
        <w:numPr>
          <w:ilvl w:val="0"/>
          <w:numId w:val="34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Release of Age Discrimination Claims</w:t>
      </w:r>
      <w:r>
        <w:rPr>
          <w:rFonts w:ascii="Arial" w:cs="Arial" w:eastAsia="Arial" w:hAnsi="Arial"/>
          <w:sz w:val="21"/>
          <w:szCs w:val="21"/>
          <w:color w:val="auto"/>
        </w:rPr>
        <w:t>.</w:t>
      </w:r>
    </w:p>
    <w:p>
      <w:pPr>
        <w:spacing w:after="0" w:line="235" w:lineRule="exact"/>
        <w:rPr>
          <w:sz w:val="20"/>
          <w:szCs w:val="20"/>
          <w:color w:val="auto"/>
        </w:rPr>
      </w:pPr>
    </w:p>
    <w:p>
      <w:pPr>
        <w:jc w:val="both"/>
        <w:ind w:right="20" w:firstLine="1267"/>
        <w:spacing w:after="0" w:line="243" w:lineRule="auto"/>
        <w:tabs>
          <w:tab w:leader="none" w:pos="2113" w:val="left"/>
        </w:tabs>
        <w:numPr>
          <w:ilvl w:val="0"/>
          <w:numId w:val="350"/>
        </w:numPr>
        <w:rPr>
          <w:rFonts w:ascii="Arial" w:cs="Arial" w:eastAsia="Arial" w:hAnsi="Arial"/>
          <w:sz w:val="21"/>
          <w:szCs w:val="21"/>
          <w:color w:val="auto"/>
        </w:rPr>
      </w:pPr>
      <w:r>
        <w:rPr>
          <w:rFonts w:ascii="Arial" w:cs="Arial" w:eastAsia="Arial" w:hAnsi="Arial"/>
          <w:sz w:val="21"/>
          <w:szCs w:val="21"/>
          <w:u w:val="single" w:color="auto"/>
          <w:color w:val="auto"/>
        </w:rPr>
        <w:t>Age discrimination is specifically intended to be included as a Released Action</w:t>
      </w:r>
      <w:r>
        <w:rPr>
          <w:rFonts w:ascii="Arial" w:cs="Arial" w:eastAsia="Arial" w:hAnsi="Arial"/>
          <w:sz w:val="21"/>
          <w:szCs w:val="21"/>
          <w:color w:val="auto"/>
        </w:rPr>
        <w:t xml:space="preserve">: Employee specifically intends that this Agreement shall include a complete release of claims under the Age Discrimination in Employment Act of 1967 (the “ADEA,” 29 U.S.C. §§ 621, </w:t>
      </w:r>
      <w:r>
        <w:rPr>
          <w:rFonts w:ascii="Arial" w:cs="Arial" w:eastAsia="Arial" w:hAnsi="Arial"/>
          <w:sz w:val="21"/>
          <w:szCs w:val="21"/>
          <w:i w:val="1"/>
          <w:iCs w:val="1"/>
          <w:color w:val="auto"/>
        </w:rPr>
        <w:t>et seq.</w:t>
      </w:r>
      <w:r>
        <w:rPr>
          <w:rFonts w:ascii="Arial" w:cs="Arial" w:eastAsia="Arial" w:hAnsi="Arial"/>
          <w:sz w:val="21"/>
          <w:szCs w:val="21"/>
          <w:color w:val="auto"/>
        </w:rPr>
        <w:t>), as amended by the Older Workers’ Benefit Protection Act of 1990, except for any allegation that a breach of this Act occurred following the Effective Date of this Agreement.</w:t>
      </w:r>
    </w:p>
    <w:p>
      <w:pPr>
        <w:spacing w:after="0" w:line="206" w:lineRule="exact"/>
        <w:rPr>
          <w:rFonts w:ascii="Arial" w:cs="Arial" w:eastAsia="Arial" w:hAnsi="Arial"/>
          <w:sz w:val="21"/>
          <w:szCs w:val="21"/>
          <w:color w:val="auto"/>
        </w:rPr>
      </w:pPr>
    </w:p>
    <w:p>
      <w:pPr>
        <w:jc w:val="both"/>
        <w:ind w:right="20" w:firstLine="1267"/>
        <w:spacing w:after="0" w:line="242" w:lineRule="auto"/>
        <w:tabs>
          <w:tab w:leader="none" w:pos="1967" w:val="left"/>
        </w:tabs>
        <w:numPr>
          <w:ilvl w:val="0"/>
          <w:numId w:val="350"/>
        </w:numPr>
        <w:rPr>
          <w:rFonts w:ascii="Arial" w:cs="Arial" w:eastAsia="Arial" w:hAnsi="Arial"/>
          <w:sz w:val="21"/>
          <w:szCs w:val="21"/>
          <w:color w:val="auto"/>
        </w:rPr>
      </w:pPr>
      <w:r>
        <w:rPr>
          <w:rFonts w:ascii="Arial" w:cs="Arial" w:eastAsia="Arial" w:hAnsi="Arial"/>
          <w:sz w:val="21"/>
          <w:szCs w:val="21"/>
          <w:u w:val="single" w:color="auto"/>
          <w:color w:val="auto"/>
        </w:rPr>
        <w:t>Additional Consideration</w:t>
      </w:r>
      <w:r>
        <w:rPr>
          <w:rFonts w:ascii="Arial" w:cs="Arial" w:eastAsia="Arial" w:hAnsi="Arial"/>
          <w:sz w:val="21"/>
          <w:szCs w:val="21"/>
          <w:color w:val="auto"/>
        </w:rPr>
        <w:t>: Employee agrees and promises that this Agreement by the Company represents obligations by the Company to Employee that are in addition to anything of value to which Employee was otherwise entitled from the Company. In addition, Employee agrees and acknowledges that additional consideration has been provided by the Company, beyond that which would have otherwise been provided, in the form of continued COBRA payments as identified above, in order to effect a valid waiver of Employee’s claims under the federal age discrimination laws.</w:t>
      </w:r>
    </w:p>
    <w:p>
      <w:pPr>
        <w:spacing w:after="0" w:line="205" w:lineRule="exact"/>
        <w:rPr>
          <w:rFonts w:ascii="Arial" w:cs="Arial" w:eastAsia="Arial" w:hAnsi="Arial"/>
          <w:sz w:val="21"/>
          <w:szCs w:val="21"/>
          <w:color w:val="auto"/>
        </w:rPr>
      </w:pPr>
    </w:p>
    <w:p>
      <w:pPr>
        <w:jc w:val="both"/>
        <w:ind w:firstLine="1267"/>
        <w:spacing w:after="0" w:line="289" w:lineRule="auto"/>
        <w:tabs>
          <w:tab w:leader="none" w:pos="1981" w:val="left"/>
        </w:tabs>
        <w:numPr>
          <w:ilvl w:val="0"/>
          <w:numId w:val="350"/>
        </w:numPr>
        <w:rPr>
          <w:rFonts w:ascii="Arial" w:cs="Arial" w:eastAsia="Arial" w:hAnsi="Arial"/>
          <w:sz w:val="19"/>
          <w:szCs w:val="19"/>
          <w:color w:val="auto"/>
        </w:rPr>
      </w:pPr>
      <w:r>
        <w:rPr>
          <w:rFonts w:ascii="Arial" w:cs="Arial" w:eastAsia="Arial" w:hAnsi="Arial"/>
          <w:sz w:val="19"/>
          <w:szCs w:val="19"/>
          <w:u w:val="single" w:color="auto"/>
          <w:color w:val="auto"/>
        </w:rPr>
        <w:t>Advice To Consult An Attorney</w:t>
      </w:r>
      <w:r>
        <w:rPr>
          <w:rFonts w:ascii="Arial" w:cs="Arial" w:eastAsia="Arial" w:hAnsi="Arial"/>
          <w:sz w:val="19"/>
          <w:szCs w:val="19"/>
          <w:color w:val="auto"/>
        </w:rPr>
        <w:t>: Employee is hereby advised to consult with an attorney prior to signing this Agreement, because Employee is waiving significant legal rights. Employee acknowledges that he has been so advised and has, in fact, considered whether to consult with an attorney prior to signing this Agreement.</w:t>
      </w:r>
    </w:p>
    <w:p>
      <w:pPr>
        <w:spacing w:after="0" w:line="163" w:lineRule="exact"/>
        <w:rPr>
          <w:rFonts w:ascii="Arial" w:cs="Arial" w:eastAsia="Arial" w:hAnsi="Arial"/>
          <w:sz w:val="19"/>
          <w:szCs w:val="19"/>
          <w:color w:val="auto"/>
        </w:rPr>
      </w:pPr>
    </w:p>
    <w:p>
      <w:pPr>
        <w:jc w:val="both"/>
        <w:ind w:right="20" w:firstLine="1267"/>
        <w:spacing w:after="0" w:line="270" w:lineRule="auto"/>
        <w:tabs>
          <w:tab w:leader="none" w:pos="2125" w:val="left"/>
        </w:tabs>
        <w:numPr>
          <w:ilvl w:val="0"/>
          <w:numId w:val="350"/>
        </w:numPr>
        <w:rPr>
          <w:rFonts w:ascii="Arial" w:cs="Arial" w:eastAsia="Arial" w:hAnsi="Arial"/>
          <w:sz w:val="19"/>
          <w:szCs w:val="19"/>
          <w:color w:val="auto"/>
        </w:rPr>
      </w:pPr>
      <w:r>
        <w:rPr>
          <w:rFonts w:ascii="Arial" w:cs="Arial" w:eastAsia="Arial" w:hAnsi="Arial"/>
          <w:sz w:val="19"/>
          <w:szCs w:val="19"/>
          <w:u w:val="single" w:color="auto"/>
          <w:color w:val="auto"/>
        </w:rPr>
        <w:t>Reasonable Time To Consider Settlement Agreement</w:t>
      </w:r>
      <w:r>
        <w:rPr>
          <w:rFonts w:ascii="Arial" w:cs="Arial" w:eastAsia="Arial" w:hAnsi="Arial"/>
          <w:sz w:val="19"/>
          <w:szCs w:val="19"/>
          <w:color w:val="auto"/>
        </w:rPr>
        <w:t>: Employee acknowledges that he has been given a reasonable period of time (a maximum of 45 days, if Employee so chooses) to consider this Agreement prior to signing this Agreement. Employee understands that he has seven days following his signing of this Agreement to rescind it, but only insofar as it effects a release of a claim for violation of the ADEA, in which case it shall remain fully effective in all other respects. To rescind this Agreement as to the ADEA, Employee agrees to send a letter via electronic mail signed by Employee to the Company’s legal department, electronic mail address legal@virtu.com, by the end of the seven-day period. The remainder of this Agreement shall remain in full force and effect.</w:t>
      </w:r>
    </w:p>
    <w:p>
      <w:pPr>
        <w:spacing w:after="0" w:line="184" w:lineRule="exact"/>
        <w:rPr>
          <w:rFonts w:ascii="Arial" w:cs="Arial" w:eastAsia="Arial" w:hAnsi="Arial"/>
          <w:sz w:val="19"/>
          <w:szCs w:val="19"/>
          <w:color w:val="auto"/>
        </w:rPr>
      </w:pPr>
    </w:p>
    <w:p>
      <w:pPr>
        <w:jc w:val="both"/>
        <w:ind w:firstLine="1267"/>
        <w:spacing w:after="0" w:line="245" w:lineRule="auto"/>
        <w:tabs>
          <w:tab w:leader="none" w:pos="1928" w:val="left"/>
        </w:tabs>
        <w:numPr>
          <w:ilvl w:val="0"/>
          <w:numId w:val="350"/>
        </w:numPr>
        <w:rPr>
          <w:rFonts w:ascii="Arial" w:cs="Arial" w:eastAsia="Arial" w:hAnsi="Arial"/>
          <w:sz w:val="21"/>
          <w:szCs w:val="21"/>
          <w:color w:val="auto"/>
        </w:rPr>
      </w:pPr>
      <w:r>
        <w:rPr>
          <w:rFonts w:ascii="Arial" w:cs="Arial" w:eastAsia="Arial" w:hAnsi="Arial"/>
          <w:sz w:val="21"/>
          <w:szCs w:val="21"/>
          <w:u w:val="single" w:color="auto"/>
          <w:color w:val="auto"/>
        </w:rPr>
        <w:t>Non-Release of Future Claims</w:t>
      </w:r>
      <w:r>
        <w:rPr>
          <w:rFonts w:ascii="Arial" w:cs="Arial" w:eastAsia="Arial" w:hAnsi="Arial"/>
          <w:sz w:val="21"/>
          <w:szCs w:val="21"/>
          <w:color w:val="auto"/>
        </w:rPr>
        <w:t>: Employee is hereby advised that this Agreement does not waive or release any rights or claims that Employee may have under the ADEA, or otherwise, which arise after the date Employee signs this Agreement, including any right or claim Employee may have as a whistleblower under federal or state law or regulation.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8">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89" w:name="page390"/>
    <w:bookmarkEnd w:id="389"/>
    <w:p>
      <w:pPr>
        <w:jc w:val="both"/>
        <w:ind w:right="20" w:firstLine="1267"/>
        <w:spacing w:after="0" w:line="253" w:lineRule="auto"/>
        <w:tabs>
          <w:tab w:leader="none" w:pos="2011" w:val="left"/>
        </w:tabs>
        <w:numPr>
          <w:ilvl w:val="0"/>
          <w:numId w:val="351"/>
        </w:numPr>
        <w:rPr>
          <w:rFonts w:ascii="Arial" w:cs="Arial" w:eastAsia="Arial" w:hAnsi="Arial"/>
          <w:sz w:val="21"/>
          <w:szCs w:val="21"/>
          <w:color w:val="auto"/>
        </w:rPr>
      </w:pPr>
      <w:r>
        <w:rPr>
          <w:rFonts w:ascii="Arial" w:cs="Arial" w:eastAsia="Arial" w:hAnsi="Arial"/>
          <w:sz w:val="21"/>
          <w:szCs w:val="21"/>
          <w:color w:val="auto"/>
        </w:rPr>
        <w:t xml:space="preserve">Employee has received, together with this Agreement a </w:t>
      </w:r>
      <w:r>
        <w:rPr>
          <w:rFonts w:ascii="Arial" w:cs="Arial" w:eastAsia="Arial" w:hAnsi="Arial"/>
          <w:sz w:val="21"/>
          <w:szCs w:val="21"/>
          <w:b w:val="1"/>
          <w:bCs w:val="1"/>
          <w:color w:val="auto"/>
        </w:rPr>
        <w:t>Schedule B</w:t>
      </w:r>
      <w:r>
        <w:rPr>
          <w:rFonts w:ascii="Arial" w:cs="Arial" w:eastAsia="Arial" w:hAnsi="Arial"/>
          <w:sz w:val="21"/>
          <w:szCs w:val="21"/>
          <w:color w:val="auto"/>
        </w:rPr>
        <w:t>, a listing of the job titles and ages of employees selected and not selected for involuntary termination in connection with the Company’s group termination program.</w:t>
      </w:r>
    </w:p>
    <w:p>
      <w:pPr>
        <w:spacing w:after="0" w:line="195" w:lineRule="exact"/>
        <w:rPr>
          <w:sz w:val="20"/>
          <w:szCs w:val="20"/>
          <w:color w:val="auto"/>
        </w:rPr>
      </w:pPr>
    </w:p>
    <w:p>
      <w:pPr>
        <w:ind w:left="1900" w:hanging="633"/>
        <w:spacing w:after="0"/>
        <w:tabs>
          <w:tab w:leader="none" w:pos="1900" w:val="left"/>
        </w:tabs>
        <w:numPr>
          <w:ilvl w:val="0"/>
          <w:numId w:val="35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w:t>
      </w:r>
    </w:p>
    <w:p>
      <w:pPr>
        <w:spacing w:after="0" w:line="235" w:lineRule="exact"/>
        <w:rPr>
          <w:sz w:val="20"/>
          <w:szCs w:val="20"/>
          <w:color w:val="auto"/>
        </w:rPr>
      </w:pPr>
    </w:p>
    <w:p>
      <w:pPr>
        <w:jc w:val="both"/>
        <w:ind w:firstLine="1270"/>
        <w:spacing w:after="0" w:line="267" w:lineRule="auto"/>
        <w:rPr>
          <w:sz w:val="20"/>
          <w:szCs w:val="20"/>
          <w:color w:val="auto"/>
        </w:rPr>
      </w:pPr>
      <w:r>
        <w:rPr>
          <w:rFonts w:ascii="Arial" w:cs="Arial" w:eastAsia="Arial" w:hAnsi="Arial"/>
          <w:sz w:val="19"/>
          <w:szCs w:val="19"/>
          <w:color w:val="auto"/>
        </w:rPr>
        <w:t>The Employee understands and agrees that if he breaches any provision of this Agreement, including but not limited to those in Paragraph 4, 7, 11, 12, 13 and 15 of this Agreement, as determined by the Company in good faith, such breach will be considered a material breach and, in addition to any other legal or equitable remedy the Company may have, the Company shall be entitled to cease making any payments of Consideration or providing any benefits to the Employee agreed hereunder and shall be entitled to a full recovery of any and all installments of the Consideration previously paid. Any such action permitted to the Company by this paragraph, however, shall not affect or impair any of the Employee’s obligations under this Agreement, including without limitation, the release of claims in Paragraph 7 hereof or the obligation to maintain the confidentiality of Confidential Information in Paragraph 11 (as defined therein). The Employee further agrees that nothing herein shall preclude the Company from recovering attorneys’ fees, costs or any other remedies specifically authorized under applicable law.</w:t>
      </w:r>
    </w:p>
    <w:p>
      <w:pPr>
        <w:spacing w:after="0" w:line="189" w:lineRule="exact"/>
        <w:rPr>
          <w:sz w:val="20"/>
          <w:szCs w:val="20"/>
          <w:color w:val="auto"/>
        </w:rPr>
      </w:pPr>
    </w:p>
    <w:p>
      <w:pPr>
        <w:ind w:left="1900" w:hanging="633"/>
        <w:spacing w:after="0"/>
        <w:tabs>
          <w:tab w:leader="none" w:pos="1900" w:val="left"/>
        </w:tabs>
        <w:numPr>
          <w:ilvl w:val="0"/>
          <w:numId w:val="35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Severability; Governing Law; Exclusive Jurisdiction; Arbitration; fees and expenses</w:t>
      </w:r>
      <w:r>
        <w:rPr>
          <w:rFonts w:ascii="Arial" w:cs="Arial" w:eastAsia="Arial" w:hAnsi="Arial"/>
          <w:sz w:val="21"/>
          <w:szCs w:val="21"/>
          <w:color w:val="auto"/>
        </w:rPr>
        <w:t>.</w:t>
      </w:r>
    </w:p>
    <w:p>
      <w:pPr>
        <w:spacing w:after="0" w:line="235" w:lineRule="exact"/>
        <w:rPr>
          <w:sz w:val="20"/>
          <w:szCs w:val="20"/>
          <w:color w:val="auto"/>
        </w:rPr>
      </w:pPr>
    </w:p>
    <w:p>
      <w:pPr>
        <w:jc w:val="both"/>
        <w:ind w:right="20" w:firstLine="1267"/>
        <w:spacing w:after="0" w:line="250" w:lineRule="auto"/>
        <w:tabs>
          <w:tab w:leader="none" w:pos="2025" w:val="left"/>
        </w:tabs>
        <w:numPr>
          <w:ilvl w:val="0"/>
          <w:numId w:val="354"/>
        </w:numPr>
        <w:rPr>
          <w:rFonts w:ascii="Arial" w:cs="Arial" w:eastAsia="Arial" w:hAnsi="Arial"/>
          <w:sz w:val="21"/>
          <w:szCs w:val="21"/>
          <w:color w:val="auto"/>
        </w:rPr>
      </w:pPr>
      <w:r>
        <w:rPr>
          <w:rFonts w:ascii="Arial" w:cs="Arial" w:eastAsia="Arial" w:hAnsi="Arial"/>
          <w:sz w:val="21"/>
          <w:szCs w:val="21"/>
          <w:color w:val="auto"/>
        </w:rPr>
        <w:t>Should any of the provisions in this Agreement be declared, or be determined to be illegal or invalid, all remaining parts, terms or provisions shall be valid, and the illegal or invalid part, term or provision shall be deemed not to be a part of this Agreement.</w:t>
      </w:r>
    </w:p>
    <w:p>
      <w:pPr>
        <w:spacing w:after="0" w:line="197" w:lineRule="exact"/>
        <w:rPr>
          <w:rFonts w:ascii="Arial" w:cs="Arial" w:eastAsia="Arial" w:hAnsi="Arial"/>
          <w:sz w:val="21"/>
          <w:szCs w:val="21"/>
          <w:color w:val="auto"/>
        </w:rPr>
      </w:pPr>
    </w:p>
    <w:p>
      <w:pPr>
        <w:ind w:firstLine="1267"/>
        <w:spacing w:after="0" w:line="263" w:lineRule="auto"/>
        <w:tabs>
          <w:tab w:leader="none" w:pos="2001" w:val="left"/>
        </w:tabs>
        <w:numPr>
          <w:ilvl w:val="0"/>
          <w:numId w:val="354"/>
        </w:numPr>
        <w:rPr>
          <w:rFonts w:ascii="Arial" w:cs="Arial" w:eastAsia="Arial" w:hAnsi="Arial"/>
          <w:sz w:val="21"/>
          <w:szCs w:val="21"/>
          <w:color w:val="auto"/>
        </w:rPr>
      </w:pPr>
      <w:r>
        <w:rPr>
          <w:rFonts w:ascii="Arial" w:cs="Arial" w:eastAsia="Arial" w:hAnsi="Arial"/>
          <w:sz w:val="21"/>
          <w:szCs w:val="21"/>
          <w:color w:val="auto"/>
        </w:rPr>
        <w:t>This Agreement is made and entered into in the State of New York and shall in all respects be interpreted, enforced and governed under the laws of New York.</w:t>
      </w:r>
    </w:p>
    <w:p>
      <w:pPr>
        <w:spacing w:after="0" w:line="185" w:lineRule="exact"/>
        <w:rPr>
          <w:rFonts w:ascii="Arial" w:cs="Arial" w:eastAsia="Arial" w:hAnsi="Arial"/>
          <w:sz w:val="21"/>
          <w:szCs w:val="21"/>
          <w:color w:val="auto"/>
        </w:rPr>
      </w:pPr>
    </w:p>
    <w:p>
      <w:pPr>
        <w:jc w:val="both"/>
        <w:ind w:firstLine="1267"/>
        <w:spacing w:after="0" w:line="251" w:lineRule="auto"/>
        <w:tabs>
          <w:tab w:leader="none" w:pos="2030" w:val="left"/>
        </w:tabs>
        <w:numPr>
          <w:ilvl w:val="0"/>
          <w:numId w:val="354"/>
        </w:numPr>
        <w:rPr>
          <w:rFonts w:ascii="Arial" w:cs="Arial" w:eastAsia="Arial" w:hAnsi="Arial"/>
          <w:sz w:val="20"/>
          <w:szCs w:val="20"/>
          <w:color w:val="auto"/>
        </w:rPr>
      </w:pPr>
      <w:r>
        <w:rPr>
          <w:rFonts w:ascii="Arial" w:cs="Arial" w:eastAsia="Arial" w:hAnsi="Arial"/>
          <w:sz w:val="20"/>
          <w:szCs w:val="20"/>
          <w:color w:val="auto"/>
        </w:rPr>
        <w:t>The parties knowingly and voluntarily agree to a pre-dispute arbitration clause so that should any controversy or dispute arise in connection with this Agreement, Employee and the Company agree to arbitrate any and all such claims at a site in New York, before a neutral panel of the American Arbitration Association or JAMS, as dictated by the underlying facts and circumstances giving rise to the claim(s). Where no such forum is required by regulatory rules or directed by a court of competent jurisdiction, such forum shall be selected at the sole discretion of the Company. In the course of any arbitration pursuant to this Agreement, the Employee and the Company agree: (a) to request that a written award be issued by the panel, and (b) that each side is entitled to receive any and all relief they would be entitled to receive in a court proceeding. Employee and the Company knowingly and voluntarily agree to enter into this arbitration clause and to waive any rights that might otherwise exist to request a jury trial or other court proceeding, except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However, this Agreement does not prohibit you or restrict you from filing an arbitration claim a FINRA arbitration forum as specified in FINRA rules.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9">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1" w:right="899" w:bottom="1440" w:gutter="0" w:footer="0" w:header="0"/>
        </w:sectPr>
      </w:pPr>
    </w:p>
    <w:bookmarkStart w:id="390" w:name="page391"/>
    <w:bookmarkEnd w:id="390"/>
    <w:p>
      <w:pPr>
        <w:jc w:val="both"/>
        <w:ind w:right="20" w:firstLine="1267"/>
        <w:spacing w:after="0" w:line="250" w:lineRule="auto"/>
        <w:tabs>
          <w:tab w:leader="none" w:pos="2032" w:val="left"/>
        </w:tabs>
        <w:numPr>
          <w:ilvl w:val="0"/>
          <w:numId w:val="355"/>
        </w:numPr>
        <w:rPr>
          <w:rFonts w:ascii="Arial" w:cs="Arial" w:eastAsia="Arial" w:hAnsi="Arial"/>
          <w:sz w:val="21"/>
          <w:szCs w:val="21"/>
          <w:color w:val="auto"/>
        </w:rPr>
      </w:pPr>
      <w:r>
        <w:rPr>
          <w:rFonts w:ascii="Arial" w:cs="Arial" w:eastAsia="Arial" w:hAnsi="Arial"/>
          <w:sz w:val="21"/>
          <w:szCs w:val="21"/>
          <w:color w:val="auto"/>
        </w:rPr>
        <w:t>In the event that the Company prevails in any action related to this Agreement, the Company shall have the right to collect from Employee the Company’s legal or other fees, costs and expenses incurred in connection therewith.</w:t>
      </w:r>
    </w:p>
    <w:p>
      <w:pPr>
        <w:spacing w:after="0" w:line="191" w:lineRule="exact"/>
        <w:rPr>
          <w:rFonts w:ascii="Arial" w:cs="Arial" w:eastAsia="Arial" w:hAnsi="Arial"/>
          <w:sz w:val="21"/>
          <w:szCs w:val="21"/>
          <w:color w:val="auto"/>
        </w:rPr>
      </w:pPr>
    </w:p>
    <w:p>
      <w:pPr>
        <w:ind w:right="600" w:firstLine="1267"/>
        <w:spacing w:after="0" w:line="269" w:lineRule="auto"/>
        <w:tabs>
          <w:tab w:leader="none" w:pos="1924" w:val="left"/>
        </w:tabs>
        <w:numPr>
          <w:ilvl w:val="0"/>
          <w:numId w:val="355"/>
        </w:numPr>
        <w:rPr>
          <w:rFonts w:ascii="Arial" w:cs="Arial" w:eastAsia="Arial" w:hAnsi="Arial"/>
          <w:sz w:val="21"/>
          <w:szCs w:val="21"/>
          <w:b w:val="1"/>
          <w:bCs w:val="1"/>
          <w:color w:val="auto"/>
        </w:rPr>
      </w:pPr>
      <w:r>
        <w:rPr>
          <w:rFonts w:ascii="Arial" w:cs="Arial" w:eastAsia="Arial" w:hAnsi="Arial"/>
          <w:sz w:val="21"/>
          <w:szCs w:val="21"/>
          <w:b w:val="1"/>
          <w:bCs w:val="1"/>
          <w:color w:val="auto"/>
        </w:rPr>
        <w:t>THE PARTIES HEREBY VOLUNTARILY, KNOWINGLY, IRREVOCABLY AND UNCONDITIONALLY WAIVE THEIR RESPECTIVE RIGHT TO TRIAL BY JURY.</w:t>
      </w:r>
    </w:p>
    <w:p>
      <w:pPr>
        <w:spacing w:after="0" w:line="179" w:lineRule="exact"/>
        <w:rPr>
          <w:rFonts w:ascii="Arial" w:cs="Arial" w:eastAsia="Arial" w:hAnsi="Arial"/>
          <w:sz w:val="21"/>
          <w:szCs w:val="21"/>
          <w:b w:val="1"/>
          <w:bCs w:val="1"/>
          <w:color w:val="auto"/>
        </w:rPr>
      </w:pPr>
    </w:p>
    <w:p>
      <w:pPr>
        <w:jc w:val="both"/>
        <w:ind w:firstLine="1267"/>
        <w:spacing w:after="0" w:line="264" w:lineRule="auto"/>
        <w:tabs>
          <w:tab w:leader="none" w:pos="2146" w:val="left"/>
        </w:tabs>
        <w:numPr>
          <w:ilvl w:val="0"/>
          <w:numId w:val="355"/>
        </w:numPr>
        <w:rPr>
          <w:rFonts w:ascii="Arial" w:cs="Arial" w:eastAsia="Arial" w:hAnsi="Arial"/>
          <w:sz w:val="19"/>
          <w:szCs w:val="19"/>
          <w:color w:val="auto"/>
        </w:rPr>
      </w:pPr>
      <w:r>
        <w:rPr>
          <w:rFonts w:ascii="Arial" w:cs="Arial" w:eastAsia="Arial" w:hAnsi="Arial"/>
          <w:sz w:val="19"/>
          <w:szCs w:val="19"/>
          <w:color w:val="auto"/>
        </w:rPr>
        <w:t>To the extent applicable, it is intended that this Agreement comply with or as applicable, constitute a short-term deferral or otherwise be exempt from the provisions of Section 409A. This Agreement will be administered and interpreted in a manner consistent with this intent, and any provision that would cause this Agreement to fail to satisfy Section 409A will have no force and effect until amended to comply therewith (which amendment may be retroactive to the extent permitted by Section 409A). Employee and the Company agree that Employee’s termination of employment shall be considered a “separation from service” from the Company within the meaning of Section 409A. To the extent required in order to avoid accelerated taxation and/or tax penalties under Section 409A, amounts that would otherwise be payable and benefits that would otherwise be provided pursuant to this Agreement during the six-month period immediately following your separation from service shall instead be paid on the first business day after the date that is six months following Employee’s termination of employment (or upon Employee’s death, if earlier). In addition, for purposes of this Agreement, each amount to be paid or benefit to be provided to you pursuant to this Agreement shall be construed as a separate identified payment for purposes of Section 409A. With respect to expenses eligible for reimbursement under the terms of this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The Company makes no representation that any or all of the payments described in this Agreement will be exempt from or comply with Section 409A and makes no undertaking to preclude Section 409A from applying to any such payment. Employee understands and agrees that Employee shall be solely responsible for the payment of any taxes and penalties incurred under Section 409A.</w:t>
      </w:r>
    </w:p>
    <w:p>
      <w:pPr>
        <w:spacing w:after="0" w:line="192" w:lineRule="exact"/>
        <w:rPr>
          <w:sz w:val="20"/>
          <w:szCs w:val="20"/>
          <w:color w:val="auto"/>
        </w:rPr>
      </w:pPr>
    </w:p>
    <w:p>
      <w:pPr>
        <w:ind w:left="1900" w:hanging="633"/>
        <w:spacing w:after="0"/>
        <w:tabs>
          <w:tab w:leader="none" w:pos="1900" w:val="left"/>
        </w:tabs>
        <w:numPr>
          <w:ilvl w:val="0"/>
          <w:numId w:val="35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Proper Construction</w:t>
      </w:r>
      <w:r>
        <w:rPr>
          <w:rFonts w:ascii="Arial" w:cs="Arial" w:eastAsia="Arial" w:hAnsi="Arial"/>
          <w:sz w:val="21"/>
          <w:szCs w:val="21"/>
          <w:color w:val="auto"/>
        </w:rPr>
        <w:t>.</w:t>
      </w:r>
    </w:p>
    <w:p>
      <w:pPr>
        <w:spacing w:after="0" w:line="235" w:lineRule="exact"/>
        <w:rPr>
          <w:sz w:val="20"/>
          <w:szCs w:val="20"/>
          <w:color w:val="auto"/>
        </w:rPr>
      </w:pPr>
    </w:p>
    <w:p>
      <w:pPr>
        <w:jc w:val="both"/>
        <w:ind w:right="20" w:firstLine="1267"/>
        <w:spacing w:after="0" w:line="245" w:lineRule="auto"/>
        <w:tabs>
          <w:tab w:leader="none" w:pos="1946" w:val="left"/>
        </w:tabs>
        <w:numPr>
          <w:ilvl w:val="0"/>
          <w:numId w:val="357"/>
        </w:numPr>
        <w:rPr>
          <w:rFonts w:ascii="Arial" w:cs="Arial" w:eastAsia="Arial" w:hAnsi="Arial"/>
          <w:sz w:val="21"/>
          <w:szCs w:val="21"/>
          <w:color w:val="auto"/>
        </w:rPr>
      </w:pPr>
      <w:r>
        <w:rPr>
          <w:rFonts w:ascii="Arial" w:cs="Arial" w:eastAsia="Arial" w:hAnsi="Arial"/>
          <w:sz w:val="21"/>
          <w:szCs w:val="21"/>
          <w:color w:val="auto"/>
        </w:rPr>
        <w:t>The language of all parts of this Agreement shall in all cases be construed as a whole according to its fair meaning, and not strictly for or against any of the parties. The Parties acknowledge and agree that they have participated fully in the preparation of this Agreement and that neither this Agreement nor any provision shall be construed for or against Employee or the Company.</w:t>
      </w:r>
    </w:p>
    <w:p>
      <w:pPr>
        <w:spacing w:after="0" w:line="204" w:lineRule="exact"/>
        <w:rPr>
          <w:rFonts w:ascii="Arial" w:cs="Arial" w:eastAsia="Arial" w:hAnsi="Arial"/>
          <w:sz w:val="21"/>
          <w:szCs w:val="21"/>
          <w:color w:val="auto"/>
        </w:rPr>
      </w:pPr>
    </w:p>
    <w:p>
      <w:pPr>
        <w:ind w:right="180" w:firstLine="1267"/>
        <w:spacing w:after="0" w:line="316" w:lineRule="auto"/>
        <w:tabs>
          <w:tab w:leader="none" w:pos="1928" w:val="left"/>
        </w:tabs>
        <w:numPr>
          <w:ilvl w:val="0"/>
          <w:numId w:val="357"/>
        </w:numPr>
        <w:rPr>
          <w:rFonts w:ascii="Arial" w:cs="Arial" w:eastAsia="Arial" w:hAnsi="Arial"/>
          <w:sz w:val="19"/>
          <w:szCs w:val="19"/>
          <w:color w:val="auto"/>
        </w:rPr>
      </w:pPr>
      <w:r>
        <w:rPr>
          <w:rFonts w:ascii="Arial" w:cs="Arial" w:eastAsia="Arial" w:hAnsi="Arial"/>
          <w:sz w:val="19"/>
          <w:szCs w:val="19"/>
          <w:color w:val="auto"/>
        </w:rPr>
        <w:t>As used in this Agreement, the term “or” shall be deemed to include the term “and/or” and the singular or plural number shall be deemed to include the other whenever the context so indicates or requires.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91" w:name="page392"/>
    <w:bookmarkEnd w:id="391"/>
    <w:p>
      <w:pPr>
        <w:jc w:val="both"/>
        <w:ind w:right="20" w:firstLine="1267"/>
        <w:spacing w:after="0" w:line="250" w:lineRule="auto"/>
        <w:tabs>
          <w:tab w:leader="none" w:pos="2247" w:val="left"/>
        </w:tabs>
        <w:numPr>
          <w:ilvl w:val="0"/>
          <w:numId w:val="358"/>
        </w:numPr>
        <w:rPr>
          <w:rFonts w:ascii="Arial" w:cs="Arial" w:eastAsia="Arial" w:hAnsi="Arial"/>
          <w:sz w:val="21"/>
          <w:szCs w:val="21"/>
          <w:color w:val="auto"/>
        </w:rPr>
      </w:pPr>
      <w:r>
        <w:rPr>
          <w:rFonts w:ascii="Arial" w:cs="Arial" w:eastAsia="Arial" w:hAnsi="Arial"/>
          <w:sz w:val="21"/>
          <w:szCs w:val="21"/>
          <w:color w:val="auto"/>
        </w:rPr>
        <w:t>The paragraph headings used in this Agreement are intended solely for convenience of reference and shall not in any manner amplify, limit, modify or otherwise be used in the interpretation of any of the provisions hereof.</w:t>
      </w:r>
    </w:p>
    <w:p>
      <w:pPr>
        <w:spacing w:after="0" w:line="198" w:lineRule="exact"/>
        <w:rPr>
          <w:sz w:val="20"/>
          <w:szCs w:val="20"/>
          <w:color w:val="auto"/>
        </w:rPr>
      </w:pPr>
    </w:p>
    <w:p>
      <w:pPr>
        <w:ind w:left="1900" w:hanging="633"/>
        <w:spacing w:after="0"/>
        <w:tabs>
          <w:tab w:leader="none" w:pos="1900" w:val="left"/>
        </w:tabs>
        <w:numPr>
          <w:ilvl w:val="0"/>
          <w:numId w:val="35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w:t>
      </w:r>
    </w:p>
    <w:p>
      <w:pPr>
        <w:spacing w:after="0" w:line="235" w:lineRule="exact"/>
        <w:rPr>
          <w:sz w:val="20"/>
          <w:szCs w:val="20"/>
          <w:color w:val="auto"/>
        </w:rPr>
      </w:pPr>
    </w:p>
    <w:p>
      <w:pPr>
        <w:ind w:right="20" w:firstLine="1270"/>
        <w:spacing w:after="0" w:line="288" w:lineRule="auto"/>
        <w:rPr>
          <w:sz w:val="20"/>
          <w:szCs w:val="20"/>
          <w:color w:val="auto"/>
        </w:rPr>
      </w:pPr>
      <w:r>
        <w:rPr>
          <w:rFonts w:ascii="Arial" w:cs="Arial" w:eastAsia="Arial" w:hAnsi="Arial"/>
          <w:sz w:val="20"/>
          <w:szCs w:val="20"/>
          <w:color w:val="auto"/>
        </w:rPr>
        <w:t>This Agreement is the entire agreement between Employee and the Company and fully supersedes any and all prior agreements or understandings between the parties pertaining to its subject matter.</w:t>
      </w:r>
    </w:p>
    <w:p>
      <w:pPr>
        <w:spacing w:after="0" w:line="162" w:lineRule="exact"/>
        <w:rPr>
          <w:sz w:val="20"/>
          <w:szCs w:val="20"/>
          <w:color w:val="auto"/>
        </w:rPr>
      </w:pPr>
    </w:p>
    <w:p>
      <w:pPr>
        <w:ind w:left="1900" w:hanging="633"/>
        <w:spacing w:after="0"/>
        <w:tabs>
          <w:tab w:leader="none" w:pos="1900" w:val="left"/>
        </w:tabs>
        <w:numPr>
          <w:ilvl w:val="0"/>
          <w:numId w:val="36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Confirmation of Employee’s Understanding of the Terms of This Agreement</w:t>
      </w:r>
      <w:r>
        <w:rPr>
          <w:rFonts w:ascii="Arial" w:cs="Arial" w:eastAsia="Arial" w:hAnsi="Arial"/>
          <w:sz w:val="21"/>
          <w:szCs w:val="21"/>
          <w:color w:val="auto"/>
        </w:rPr>
        <w:t>.</w:t>
      </w:r>
    </w:p>
    <w:p>
      <w:pPr>
        <w:spacing w:after="0" w:line="235" w:lineRule="exact"/>
        <w:rPr>
          <w:sz w:val="20"/>
          <w:szCs w:val="20"/>
          <w:color w:val="auto"/>
        </w:rPr>
      </w:pPr>
    </w:p>
    <w:p>
      <w:pPr>
        <w:jc w:val="both"/>
        <w:ind w:firstLine="1267"/>
        <w:spacing w:after="0" w:line="250" w:lineRule="auto"/>
        <w:tabs>
          <w:tab w:leader="none" w:pos="1947" w:val="left"/>
        </w:tabs>
        <w:numPr>
          <w:ilvl w:val="0"/>
          <w:numId w:val="361"/>
        </w:numPr>
        <w:rPr>
          <w:rFonts w:ascii="Arial" w:cs="Arial" w:eastAsia="Arial" w:hAnsi="Arial"/>
          <w:sz w:val="21"/>
          <w:szCs w:val="21"/>
          <w:color w:val="auto"/>
        </w:rPr>
      </w:pPr>
      <w:r>
        <w:rPr>
          <w:rFonts w:ascii="Arial" w:cs="Arial" w:eastAsia="Arial" w:hAnsi="Arial"/>
          <w:sz w:val="21"/>
          <w:szCs w:val="21"/>
          <w:color w:val="auto"/>
        </w:rPr>
        <w:t>Employee represents that he has read this Agreement, in full, and understands each of its terms. Employee also represents that he has had sufficient time and opportunity to obtain legal advice, if desired, before signing this Agreement.</w:t>
      </w:r>
    </w:p>
    <w:p>
      <w:pPr>
        <w:spacing w:after="0" w:line="197" w:lineRule="exact"/>
        <w:rPr>
          <w:rFonts w:ascii="Arial" w:cs="Arial" w:eastAsia="Arial" w:hAnsi="Arial"/>
          <w:sz w:val="21"/>
          <w:szCs w:val="21"/>
          <w:color w:val="auto"/>
        </w:rPr>
      </w:pPr>
    </w:p>
    <w:p>
      <w:pPr>
        <w:jc w:val="both"/>
        <w:ind w:firstLine="1267"/>
        <w:spacing w:after="0" w:line="268" w:lineRule="auto"/>
        <w:tabs>
          <w:tab w:leader="none" w:pos="1995" w:val="left"/>
        </w:tabs>
        <w:numPr>
          <w:ilvl w:val="0"/>
          <w:numId w:val="361"/>
        </w:numPr>
        <w:rPr>
          <w:rFonts w:ascii="Arial" w:cs="Arial" w:eastAsia="Arial" w:hAnsi="Arial"/>
          <w:sz w:val="20"/>
          <w:szCs w:val="20"/>
          <w:color w:val="auto"/>
        </w:rPr>
      </w:pPr>
      <w:r>
        <w:rPr>
          <w:rFonts w:ascii="Arial" w:cs="Arial" w:eastAsia="Arial" w:hAnsi="Arial"/>
          <w:sz w:val="20"/>
          <w:szCs w:val="20"/>
          <w:color w:val="auto"/>
        </w:rPr>
        <w:t>Employee understands that Employee has been given a reasonable time to consider whether to sign this Agreement, up to a period of 45 days. If Employee fails to sign and deliver this Agreement back to the Company within 45 days, this Agreement shall automatically be revoked without further notice.</w:t>
      </w:r>
    </w:p>
    <w:p>
      <w:pPr>
        <w:spacing w:after="0" w:line="182" w:lineRule="exact"/>
        <w:rPr>
          <w:rFonts w:ascii="Arial" w:cs="Arial" w:eastAsia="Arial" w:hAnsi="Arial"/>
          <w:sz w:val="20"/>
          <w:szCs w:val="20"/>
          <w:color w:val="auto"/>
        </w:rPr>
      </w:pPr>
    </w:p>
    <w:p>
      <w:pPr>
        <w:jc w:val="both"/>
        <w:ind w:right="20" w:firstLine="1267"/>
        <w:spacing w:after="0" w:line="250" w:lineRule="auto"/>
        <w:tabs>
          <w:tab w:leader="none" w:pos="2180" w:val="left"/>
        </w:tabs>
        <w:numPr>
          <w:ilvl w:val="0"/>
          <w:numId w:val="361"/>
        </w:numPr>
        <w:rPr>
          <w:rFonts w:ascii="Arial" w:cs="Arial" w:eastAsia="Arial" w:hAnsi="Arial"/>
          <w:sz w:val="21"/>
          <w:szCs w:val="21"/>
          <w:color w:val="auto"/>
        </w:rPr>
      </w:pPr>
      <w:r>
        <w:rPr>
          <w:rFonts w:ascii="Arial" w:cs="Arial" w:eastAsia="Arial" w:hAnsi="Arial"/>
          <w:sz w:val="21"/>
          <w:szCs w:val="21"/>
          <w:color w:val="auto"/>
        </w:rPr>
        <w:t>If Employee chooses to sign this Agreement, Employee represents that he is signing this Agreement voluntarily, without any form of duress or coercion. Employee understands that this Agreement shall be final and binding on Employee and the Company.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pages to follow]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1">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392" w:name="page393"/>
    <w:bookmarkEnd w:id="392"/>
    <w:p>
      <w:pPr>
        <w:jc w:val="center"/>
        <w:ind w:left="1400"/>
        <w:spacing w:after="0" w:line="282" w:lineRule="auto"/>
        <w:rPr>
          <w:sz w:val="20"/>
          <w:szCs w:val="20"/>
          <w:color w:val="auto"/>
        </w:rPr>
      </w:pPr>
      <w:r>
        <w:rPr>
          <w:rFonts w:ascii="Arial" w:cs="Arial" w:eastAsia="Arial" w:hAnsi="Arial"/>
          <w:sz w:val="20"/>
          <w:szCs w:val="20"/>
          <w:b w:val="1"/>
          <w:bCs w:val="1"/>
          <w:color w:val="2D2D2D"/>
        </w:rPr>
        <w:t>PLEASE READ CAREFULLY. THIS CONFIDENTIAL SEVERANCE AGREEMENT AND GENERAL RELEASE OF CLAIMS INCLUDES A RELEASE OF ALL KNOWN AND UNKNOWN CLAIMS.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900" w:type="dxa"/>
            <w:vAlign w:val="bottom"/>
            <w:gridSpan w:val="2"/>
          </w:tcPr>
          <w:p>
            <w:pPr>
              <w:spacing w:after="0"/>
              <w:rPr>
                <w:sz w:val="20"/>
                <w:szCs w:val="20"/>
                <w:color w:val="auto"/>
              </w:rPr>
            </w:pPr>
            <w:r>
              <w:rPr>
                <w:rFonts w:ascii="Arial" w:cs="Arial" w:eastAsia="Arial" w:hAnsi="Arial"/>
                <w:sz w:val="21"/>
                <w:szCs w:val="21"/>
                <w:color w:val="auto"/>
              </w:rPr>
              <w:t>Executed on 10/2</w:t>
            </w:r>
          </w:p>
        </w:tc>
        <w:tc>
          <w:tcPr>
            <w:tcW w:w="1040" w:type="dxa"/>
            <w:vAlign w:val="bottom"/>
            <w:gridSpan w:val="4"/>
          </w:tcPr>
          <w:p>
            <w:pPr>
              <w:jc w:val="right"/>
              <w:ind w:right="40"/>
              <w:spacing w:after="0"/>
              <w:rPr>
                <w:sz w:val="20"/>
                <w:szCs w:val="20"/>
                <w:color w:val="auto"/>
              </w:rPr>
            </w:pPr>
            <w:r>
              <w:rPr>
                <w:rFonts w:ascii="Arial" w:cs="Arial" w:eastAsia="Arial" w:hAnsi="Arial"/>
                <w:sz w:val="21"/>
                <w:szCs w:val="21"/>
                <w:color w:val="auto"/>
              </w:rPr>
              <w:t>,2017 .</w:t>
            </w:r>
          </w:p>
        </w:tc>
        <w:tc>
          <w:tcPr>
            <w:tcW w:w="29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469"/>
        </w:trPr>
        <w:tc>
          <w:tcPr>
            <w:tcW w:w="1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1"/>
                <w:szCs w:val="21"/>
                <w:color w:val="auto"/>
              </w:rPr>
              <w:t xml:space="preserve">/s/ </w:t>
            </w:r>
            <w:r>
              <w:rPr>
                <w:rFonts w:ascii="Arial" w:cs="Arial" w:eastAsia="Arial" w:hAnsi="Arial"/>
                <w:sz w:val="19"/>
                <w:szCs w:val="19"/>
                <w:color w:val="2D2D2D"/>
              </w:rPr>
              <w:t>Venu Palaparthi</w:t>
            </w:r>
          </w:p>
        </w:tc>
        <w:tc>
          <w:tcPr>
            <w:tcW w:w="1360" w:type="dxa"/>
            <w:vAlign w:val="bottom"/>
          </w:tcPr>
          <w:p>
            <w:pPr>
              <w:ind w:left="180"/>
              <w:spacing w:after="0"/>
              <w:rPr>
                <w:sz w:val="20"/>
                <w:szCs w:val="20"/>
                <w:color w:val="auto"/>
              </w:rPr>
            </w:pPr>
            <w:r>
              <w:rPr>
                <w:rFonts w:ascii="Arial" w:cs="Arial" w:eastAsia="Arial" w:hAnsi="Arial"/>
                <w:sz w:val="19"/>
                <w:szCs w:val="19"/>
                <w:color w:val="2D2D2D"/>
                <w:w w:val="98"/>
              </w:rPr>
              <w:t>(EMPLOYEE)</w:t>
            </w:r>
          </w:p>
        </w:tc>
      </w:tr>
      <w:tr>
        <w:trPr>
          <w:trHeight w:val="475"/>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19"/>
                <w:szCs w:val="19"/>
                <w:color w:val="2D2D2D"/>
              </w:rPr>
              <w:t>By: Venu Palaparthi</w:t>
            </w:r>
          </w:p>
        </w:tc>
        <w:tc>
          <w:tcPr>
            <w:tcW w:w="1360" w:type="dxa"/>
            <w:vAlign w:val="bottom"/>
          </w:tcPr>
          <w:p>
            <w:pPr>
              <w:spacing w:after="0"/>
              <w:rPr>
                <w:sz w:val="24"/>
                <w:szCs w:val="24"/>
                <w:color w:val="auto"/>
              </w:rPr>
            </w:pPr>
          </w:p>
        </w:tc>
      </w:tr>
      <w:tr>
        <w:trPr>
          <w:trHeight w:val="1185"/>
        </w:trPr>
        <w:tc>
          <w:tcPr>
            <w:tcW w:w="1160" w:type="dxa"/>
            <w:vAlign w:val="bottom"/>
          </w:tcPr>
          <w:p>
            <w:pPr>
              <w:spacing w:after="0"/>
              <w:rPr>
                <w:sz w:val="20"/>
                <w:szCs w:val="20"/>
                <w:color w:val="auto"/>
              </w:rPr>
            </w:pPr>
            <w:r>
              <w:rPr>
                <w:rFonts w:ascii="Arial" w:cs="Arial" w:eastAsia="Arial" w:hAnsi="Arial"/>
                <w:sz w:val="21"/>
                <w:szCs w:val="21"/>
                <w:color w:val="auto"/>
                <w:w w:val="97"/>
              </w:rPr>
              <w:t>Executed on</w:t>
            </w:r>
          </w:p>
        </w:tc>
        <w:tc>
          <w:tcPr>
            <w:tcW w:w="1780" w:type="dxa"/>
            <w:vAlign w:val="bottom"/>
            <w:gridSpan w:val="5"/>
          </w:tcPr>
          <w:p>
            <w:pPr>
              <w:jc w:val="right"/>
              <w:ind w:right="40"/>
              <w:spacing w:after="0"/>
              <w:rPr>
                <w:sz w:val="20"/>
                <w:szCs w:val="20"/>
                <w:color w:val="auto"/>
              </w:rPr>
            </w:pPr>
            <w:r>
              <w:rPr>
                <w:rFonts w:ascii="Arial" w:cs="Arial" w:eastAsia="Arial" w:hAnsi="Arial"/>
                <w:sz w:val="21"/>
                <w:szCs w:val="21"/>
                <w:color w:val="auto"/>
              </w:rPr>
              <w:t>October 2,2017 .</w:t>
            </w:r>
          </w:p>
        </w:tc>
        <w:tc>
          <w:tcPr>
            <w:tcW w:w="2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3"/>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79"/>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80" w:type="dxa"/>
            <w:vAlign w:val="bottom"/>
            <w:gridSpan w:val="4"/>
          </w:tcPr>
          <w:p>
            <w:pPr>
              <w:spacing w:after="0"/>
              <w:rPr>
                <w:sz w:val="20"/>
                <w:szCs w:val="20"/>
                <w:color w:val="auto"/>
              </w:rPr>
            </w:pPr>
            <w:r>
              <w:rPr>
                <w:rFonts w:ascii="Arial" w:cs="Arial" w:eastAsia="Arial" w:hAnsi="Arial"/>
                <w:sz w:val="21"/>
                <w:szCs w:val="21"/>
                <w:b w:val="1"/>
                <w:bCs w:val="1"/>
                <w:color w:val="2D2D2D"/>
              </w:rPr>
              <w:t>VIRTU FINANCIAL OPERATING LLC</w:t>
            </w:r>
          </w:p>
        </w:tc>
      </w:tr>
      <w:tr>
        <w:trPr>
          <w:trHeight w:val="467"/>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21"/>
                <w:szCs w:val="21"/>
                <w:color w:val="auto"/>
              </w:rPr>
              <w:t>By:</w:t>
            </w:r>
          </w:p>
        </w:tc>
        <w:tc>
          <w:tcPr>
            <w:tcW w:w="29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Justin Waldie</w:t>
            </w:r>
          </w:p>
        </w:tc>
        <w:tc>
          <w:tcPr>
            <w:tcW w:w="1360" w:type="dxa"/>
            <w:vAlign w:val="bottom"/>
          </w:tcPr>
          <w:p>
            <w:pPr>
              <w:spacing w:after="0"/>
              <w:rPr>
                <w:sz w:val="24"/>
                <w:szCs w:val="24"/>
                <w:color w:val="auto"/>
              </w:rPr>
            </w:pPr>
          </w:p>
        </w:tc>
      </w:tr>
      <w:tr>
        <w:trPr>
          <w:trHeight w:val="456"/>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21"/>
                <w:szCs w:val="21"/>
                <w:color w:val="2D2D2D"/>
              </w:rPr>
              <w:t>Name:</w:t>
            </w:r>
            <w:r>
              <w:rPr>
                <w:rFonts w:ascii="Arial" w:cs="Arial" w:eastAsia="Arial" w:hAnsi="Arial"/>
                <w:sz w:val="21"/>
                <w:szCs w:val="21"/>
                <w:color w:val="000000"/>
              </w:rPr>
              <w:t>Justin Waldie</w:t>
            </w:r>
          </w:p>
        </w:tc>
        <w:tc>
          <w:tcPr>
            <w:tcW w:w="13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6"/>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21"/>
                <w:szCs w:val="21"/>
                <w:color w:val="2D2D2D"/>
              </w:rPr>
              <w:t xml:space="preserve">Title: </w:t>
            </w:r>
            <w:r>
              <w:rPr>
                <w:rFonts w:ascii="Arial" w:cs="Arial" w:eastAsia="Arial" w:hAnsi="Arial"/>
                <w:sz w:val="21"/>
                <w:szCs w:val="21"/>
                <w:color w:val="000000"/>
              </w:rPr>
              <w:t>SVP &amp; General Counsel</w:t>
            </w:r>
          </w:p>
        </w:tc>
        <w:tc>
          <w:tcPr>
            <w:tcW w:w="1360" w:type="dxa"/>
            <w:vAlign w:val="bottom"/>
          </w:tcPr>
          <w:p>
            <w:pPr>
              <w:spacing w:after="0"/>
              <w:rPr>
                <w:sz w:val="24"/>
                <w:szCs w:val="24"/>
                <w:color w:val="auto"/>
              </w:rPr>
            </w:pPr>
          </w:p>
        </w:tc>
      </w:tr>
      <w:tr>
        <w:trPr>
          <w:trHeight w:val="456"/>
        </w:trPr>
        <w:tc>
          <w:tcPr>
            <w:tcW w:w="1160" w:type="dxa"/>
            <w:vAlign w:val="bottom"/>
          </w:tcPr>
          <w:p>
            <w:pPr>
              <w:spacing w:after="0"/>
              <w:rPr>
                <w:sz w:val="20"/>
                <w:szCs w:val="20"/>
                <w:color w:val="auto"/>
              </w:rPr>
            </w:pPr>
            <w:r>
              <w:rPr>
                <w:rFonts w:ascii="Arial" w:cs="Arial" w:eastAsia="Arial" w:hAnsi="Arial"/>
                <w:sz w:val="21"/>
                <w:szCs w:val="21"/>
                <w:color w:val="auto"/>
                <w:w w:val="97"/>
              </w:rPr>
              <w:t>Executed on</w:t>
            </w:r>
          </w:p>
        </w:tc>
        <w:tc>
          <w:tcPr>
            <w:tcW w:w="1780" w:type="dxa"/>
            <w:vAlign w:val="bottom"/>
            <w:gridSpan w:val="5"/>
          </w:tcPr>
          <w:p>
            <w:pPr>
              <w:jc w:val="right"/>
              <w:ind w:right="40"/>
              <w:spacing w:after="0"/>
              <w:rPr>
                <w:sz w:val="20"/>
                <w:szCs w:val="20"/>
                <w:color w:val="auto"/>
              </w:rPr>
            </w:pPr>
            <w:r>
              <w:rPr>
                <w:rFonts w:ascii="Arial" w:cs="Arial" w:eastAsia="Arial" w:hAnsi="Arial"/>
                <w:sz w:val="21"/>
                <w:szCs w:val="21"/>
                <w:color w:val="2D2D2D"/>
              </w:rPr>
              <w:t>October 2</w:t>
            </w:r>
            <w:r>
              <w:rPr>
                <w:rFonts w:ascii="Arial" w:cs="Arial" w:eastAsia="Arial" w:hAnsi="Arial"/>
                <w:sz w:val="21"/>
                <w:szCs w:val="21"/>
                <w:color w:val="000000"/>
              </w:rPr>
              <w:t>,2017 .</w:t>
            </w:r>
          </w:p>
        </w:tc>
        <w:tc>
          <w:tcPr>
            <w:tcW w:w="294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479"/>
        </w:trPr>
        <w:tc>
          <w:tcPr>
            <w:tcW w:w="1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tcBorders>
              <w:top w:val="single" w:sz="8" w:color="auto"/>
            </w:tcBorders>
            <w:gridSpan w:val="3"/>
          </w:tcPr>
          <w:p>
            <w:pPr>
              <w:spacing w:after="0"/>
              <w:rPr>
                <w:sz w:val="20"/>
                <w:szCs w:val="20"/>
                <w:color w:val="auto"/>
              </w:rPr>
            </w:pPr>
            <w:r>
              <w:rPr>
                <w:rFonts w:ascii="Arial" w:cs="Arial" w:eastAsia="Arial" w:hAnsi="Arial"/>
                <w:sz w:val="21"/>
                <w:szCs w:val="21"/>
                <w:b w:val="1"/>
                <w:bCs w:val="1"/>
                <w:color w:val="2D2D2D"/>
              </w:rPr>
              <w:t>VIRTU FINANCIAL, INC.</w:t>
            </w:r>
          </w:p>
        </w:tc>
        <w:tc>
          <w:tcPr>
            <w:tcW w:w="1360" w:type="dxa"/>
            <w:vAlign w:val="bottom"/>
          </w:tcPr>
          <w:p>
            <w:pPr>
              <w:spacing w:after="0"/>
              <w:rPr>
                <w:sz w:val="24"/>
                <w:szCs w:val="24"/>
                <w:color w:val="auto"/>
              </w:rPr>
            </w:pPr>
          </w:p>
        </w:tc>
      </w:tr>
      <w:tr>
        <w:trPr>
          <w:trHeight w:val="467"/>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21"/>
                <w:szCs w:val="21"/>
                <w:color w:val="auto"/>
              </w:rPr>
              <w:t>By:</w:t>
            </w:r>
          </w:p>
        </w:tc>
        <w:tc>
          <w:tcPr>
            <w:tcW w:w="29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Justin Waldie</w:t>
            </w:r>
          </w:p>
        </w:tc>
        <w:tc>
          <w:tcPr>
            <w:tcW w:w="1360" w:type="dxa"/>
            <w:vAlign w:val="bottom"/>
          </w:tcPr>
          <w:p>
            <w:pPr>
              <w:spacing w:after="0"/>
              <w:rPr>
                <w:sz w:val="24"/>
                <w:szCs w:val="24"/>
                <w:color w:val="auto"/>
              </w:rPr>
            </w:pPr>
          </w:p>
        </w:tc>
      </w:tr>
      <w:tr>
        <w:trPr>
          <w:trHeight w:val="456"/>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21"/>
                <w:szCs w:val="21"/>
                <w:color w:val="2D2D2D"/>
              </w:rPr>
              <w:t>Name:</w:t>
            </w:r>
            <w:r>
              <w:rPr>
                <w:rFonts w:ascii="Arial" w:cs="Arial" w:eastAsia="Arial" w:hAnsi="Arial"/>
                <w:sz w:val="21"/>
                <w:szCs w:val="21"/>
                <w:color w:val="000000"/>
              </w:rPr>
              <w:t>Justin Waldie</w:t>
            </w:r>
          </w:p>
        </w:tc>
        <w:tc>
          <w:tcPr>
            <w:tcW w:w="13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6"/>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21"/>
                <w:szCs w:val="21"/>
                <w:color w:val="2D2D2D"/>
              </w:rPr>
              <w:t xml:space="preserve">Title: </w:t>
            </w:r>
            <w:r>
              <w:rPr>
                <w:rFonts w:ascii="Arial" w:cs="Arial" w:eastAsia="Arial" w:hAnsi="Arial"/>
                <w:sz w:val="21"/>
                <w:szCs w:val="21"/>
                <w:color w:val="000000"/>
              </w:rPr>
              <w:t>SVP &amp; General Counsel</w:t>
            </w:r>
          </w:p>
        </w:tc>
        <w:tc>
          <w:tcPr>
            <w:tcW w:w="1360" w:type="dxa"/>
            <w:vAlign w:val="bottom"/>
          </w:tcPr>
          <w:p>
            <w:pPr>
              <w:spacing w:after="0"/>
              <w:rPr>
                <w:sz w:val="24"/>
                <w:szCs w:val="24"/>
                <w:color w:val="auto"/>
              </w:rPr>
            </w:pPr>
          </w:p>
        </w:tc>
      </w:tr>
      <w:tr>
        <w:trPr>
          <w:trHeight w:val="456"/>
        </w:trPr>
        <w:tc>
          <w:tcPr>
            <w:tcW w:w="1160" w:type="dxa"/>
            <w:vAlign w:val="bottom"/>
          </w:tcPr>
          <w:p>
            <w:pPr>
              <w:spacing w:after="0"/>
              <w:rPr>
                <w:sz w:val="20"/>
                <w:szCs w:val="20"/>
                <w:color w:val="auto"/>
              </w:rPr>
            </w:pPr>
            <w:r>
              <w:rPr>
                <w:rFonts w:ascii="Arial" w:cs="Arial" w:eastAsia="Arial" w:hAnsi="Arial"/>
                <w:sz w:val="21"/>
                <w:szCs w:val="21"/>
                <w:color w:val="auto"/>
                <w:w w:val="97"/>
              </w:rPr>
              <w:t>Executed on</w:t>
            </w:r>
          </w:p>
        </w:tc>
        <w:tc>
          <w:tcPr>
            <w:tcW w:w="1780" w:type="dxa"/>
            <w:vAlign w:val="bottom"/>
            <w:gridSpan w:val="5"/>
          </w:tcPr>
          <w:p>
            <w:pPr>
              <w:jc w:val="right"/>
              <w:ind w:right="40"/>
              <w:spacing w:after="0"/>
              <w:rPr>
                <w:sz w:val="20"/>
                <w:szCs w:val="20"/>
                <w:color w:val="auto"/>
              </w:rPr>
            </w:pPr>
            <w:r>
              <w:rPr>
                <w:rFonts w:ascii="Arial" w:cs="Arial" w:eastAsia="Arial" w:hAnsi="Arial"/>
                <w:sz w:val="21"/>
                <w:szCs w:val="21"/>
                <w:color w:val="2D2D2D"/>
              </w:rPr>
              <w:t xml:space="preserve">October 2, </w:t>
            </w:r>
            <w:r>
              <w:rPr>
                <w:rFonts w:ascii="Arial" w:cs="Arial" w:eastAsia="Arial" w:hAnsi="Arial"/>
                <w:sz w:val="21"/>
                <w:szCs w:val="21"/>
                <w:color w:val="000000"/>
              </w:rPr>
              <w:t>2017 .</w:t>
            </w:r>
          </w:p>
        </w:tc>
        <w:tc>
          <w:tcPr>
            <w:tcW w:w="294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21"/>
          <w:szCs w:val="21"/>
          <w:color w:val="auto"/>
        </w:rPr>
        <w:t>Page 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78740</wp:posOffset>
            </wp:positionV>
            <wp:extent cx="639254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2">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520"/>
          </w:cols>
          <w:pgMar w:left="1000" w:top="122" w:right="1379" w:bottom="1440" w:gutter="0" w:footer="0" w:header="0"/>
        </w:sectPr>
      </w:pPr>
    </w:p>
    <w:bookmarkStart w:id="393" w:name="page394"/>
    <w:bookmarkEnd w:id="393"/>
    <w:tbl>
      <w:tblPr>
        <w:tblLayout w:type="fixed"/>
        <w:tblInd w:w="10" w:type="dxa"/>
        <w:tblCellMar>
          <w:top w:w="0" w:type="dxa"/>
          <w:left w:w="0" w:type="dxa"/>
          <w:bottom w:w="0" w:type="dxa"/>
          <w:right w:w="0" w:type="dxa"/>
        </w:tblCellMar>
      </w:tblPr>
      <w:tr>
        <w:trPr>
          <w:trHeight w:val="242"/>
        </w:trPr>
        <w:tc>
          <w:tcPr>
            <w:tcW w:w="2660" w:type="dxa"/>
            <w:vAlign w:val="bottom"/>
            <w:tcBorders>
              <w:top w:val="single" w:sz="8" w:color="auto"/>
              <w:left w:val="single" w:sz="8" w:color="auto"/>
              <w:right w:val="single" w:sz="8" w:color="A6A6A6"/>
            </w:tcBorders>
            <w:shd w:val="clear" w:color="auto" w:fill="A6A6A6"/>
          </w:tcPr>
          <w:p>
            <w:pPr>
              <w:spacing w:after="0"/>
              <w:rPr>
                <w:sz w:val="21"/>
                <w:szCs w:val="21"/>
                <w:color w:val="auto"/>
              </w:rPr>
            </w:pPr>
          </w:p>
        </w:tc>
        <w:tc>
          <w:tcPr>
            <w:tcW w:w="80" w:type="dxa"/>
            <w:vAlign w:val="bottom"/>
            <w:tcBorders>
              <w:top w:val="single" w:sz="8" w:color="auto"/>
            </w:tcBorders>
            <w:shd w:val="clear" w:color="auto" w:fill="A6A6A6"/>
          </w:tcPr>
          <w:p>
            <w:pPr>
              <w:spacing w:after="0"/>
              <w:rPr>
                <w:sz w:val="21"/>
                <w:szCs w:val="21"/>
                <w:color w:val="auto"/>
              </w:rPr>
            </w:pPr>
          </w:p>
        </w:tc>
        <w:tc>
          <w:tcPr>
            <w:tcW w:w="7340" w:type="dxa"/>
            <w:vAlign w:val="bottom"/>
            <w:tcBorders>
              <w:top w:val="single" w:sz="8" w:color="auto"/>
              <w:right w:val="single" w:sz="8" w:color="auto"/>
            </w:tcBorders>
            <w:gridSpan w:val="3"/>
            <w:shd w:val="clear" w:color="auto" w:fill="A6A6A6"/>
          </w:tcPr>
          <w:p>
            <w:pPr>
              <w:ind w:left="500"/>
              <w:spacing w:after="0"/>
              <w:rPr>
                <w:sz w:val="20"/>
                <w:szCs w:val="20"/>
                <w:color w:val="auto"/>
              </w:rPr>
            </w:pPr>
            <w:r>
              <w:rPr>
                <w:rFonts w:ascii="Arial" w:cs="Arial" w:eastAsia="Arial" w:hAnsi="Arial"/>
                <w:sz w:val="18"/>
                <w:szCs w:val="18"/>
                <w:b w:val="1"/>
                <w:bCs w:val="1"/>
                <w:color w:val="FFFFFF"/>
              </w:rPr>
              <w:t>SCHEDULE A -- TERMS AND CONDITIONS</w:t>
            </w:r>
          </w:p>
        </w:tc>
        <w:tc>
          <w:tcPr>
            <w:tcW w:w="0" w:type="dxa"/>
            <w:vAlign w:val="bottom"/>
          </w:tcPr>
          <w:p>
            <w:pPr>
              <w:spacing w:after="0"/>
              <w:rPr>
                <w:sz w:val="1"/>
                <w:szCs w:val="1"/>
                <w:color w:val="auto"/>
              </w:rPr>
            </w:pPr>
          </w:p>
        </w:tc>
      </w:tr>
      <w:tr>
        <w:trPr>
          <w:trHeight w:val="194"/>
        </w:trPr>
        <w:tc>
          <w:tcPr>
            <w:tcW w:w="2660" w:type="dxa"/>
            <w:vAlign w:val="bottom"/>
            <w:tcBorders>
              <w:left w:val="single" w:sz="8" w:color="auto"/>
              <w:bottom w:val="single" w:sz="8" w:color="auto"/>
              <w:right w:val="single" w:sz="8" w:color="A6A6A6"/>
            </w:tcBorders>
            <w:shd w:val="clear" w:color="auto" w:fill="A6A6A6"/>
          </w:tcPr>
          <w:p>
            <w:pPr>
              <w:spacing w:after="0"/>
              <w:rPr>
                <w:sz w:val="16"/>
                <w:szCs w:val="16"/>
                <w:color w:val="auto"/>
              </w:rPr>
            </w:pPr>
          </w:p>
        </w:tc>
        <w:tc>
          <w:tcPr>
            <w:tcW w:w="80" w:type="dxa"/>
            <w:vAlign w:val="bottom"/>
            <w:tcBorders>
              <w:bottom w:val="single" w:sz="8" w:color="auto"/>
            </w:tcBorders>
            <w:shd w:val="clear" w:color="auto" w:fill="A6A6A6"/>
          </w:tcPr>
          <w:p>
            <w:pPr>
              <w:spacing w:after="0"/>
              <w:rPr>
                <w:sz w:val="16"/>
                <w:szCs w:val="16"/>
                <w:color w:val="auto"/>
              </w:rPr>
            </w:pPr>
          </w:p>
        </w:tc>
        <w:tc>
          <w:tcPr>
            <w:tcW w:w="1480" w:type="dxa"/>
            <w:vAlign w:val="bottom"/>
            <w:tcBorders>
              <w:bottom w:val="single" w:sz="8" w:color="auto"/>
            </w:tcBorders>
            <w:shd w:val="clear" w:color="auto" w:fill="A6A6A6"/>
          </w:tcPr>
          <w:p>
            <w:pPr>
              <w:spacing w:after="0"/>
              <w:rPr>
                <w:sz w:val="16"/>
                <w:szCs w:val="16"/>
                <w:color w:val="auto"/>
              </w:rPr>
            </w:pPr>
          </w:p>
        </w:tc>
        <w:tc>
          <w:tcPr>
            <w:tcW w:w="1440" w:type="dxa"/>
            <w:vAlign w:val="bottom"/>
            <w:tcBorders>
              <w:bottom w:val="single" w:sz="8" w:color="auto"/>
            </w:tcBorders>
            <w:shd w:val="clear" w:color="auto" w:fill="A6A6A6"/>
          </w:tcPr>
          <w:p>
            <w:pPr>
              <w:spacing w:after="0"/>
              <w:rPr>
                <w:sz w:val="16"/>
                <w:szCs w:val="16"/>
                <w:color w:val="auto"/>
              </w:rPr>
            </w:pPr>
          </w:p>
        </w:tc>
        <w:tc>
          <w:tcPr>
            <w:tcW w:w="4420" w:type="dxa"/>
            <w:vAlign w:val="bottom"/>
            <w:tcBorders>
              <w:bottom w:val="single" w:sz="8" w:color="auto"/>
              <w:right w:val="single" w:sz="8" w:color="auto"/>
            </w:tcBorders>
            <w:shd w:val="clear" w:color="auto" w:fill="A6A6A6"/>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60" w:type="dxa"/>
            <w:vAlign w:val="bottom"/>
            <w:tcBorders>
              <w:left w:val="single" w:sz="8" w:color="auto"/>
              <w:right w:val="single" w:sz="8" w:color="auto"/>
            </w:tcBorders>
            <w:shd w:val="clear" w:color="auto" w:fill="D9D9D9"/>
          </w:tcPr>
          <w:p>
            <w:pPr>
              <w:ind w:left="80"/>
              <w:spacing w:after="0" w:line="205" w:lineRule="exact"/>
              <w:rPr>
                <w:sz w:val="20"/>
                <w:szCs w:val="20"/>
                <w:color w:val="auto"/>
              </w:rPr>
            </w:pPr>
            <w:r>
              <w:rPr>
                <w:rFonts w:ascii="Arial" w:cs="Arial" w:eastAsia="Arial" w:hAnsi="Arial"/>
                <w:sz w:val="18"/>
                <w:szCs w:val="18"/>
                <w:b w:val="1"/>
                <w:bCs w:val="1"/>
                <w:color w:val="auto"/>
              </w:rPr>
              <w:t>I. General Information</w:t>
            </w:r>
          </w:p>
        </w:tc>
        <w:tc>
          <w:tcPr>
            <w:tcW w:w="80" w:type="dxa"/>
            <w:vAlign w:val="bottom"/>
            <w:shd w:val="clear" w:color="auto" w:fill="D9D9D9"/>
          </w:tcPr>
          <w:p>
            <w:pPr>
              <w:spacing w:after="0"/>
              <w:rPr>
                <w:sz w:val="17"/>
                <w:szCs w:val="17"/>
                <w:color w:val="auto"/>
              </w:rPr>
            </w:pPr>
          </w:p>
        </w:tc>
        <w:tc>
          <w:tcPr>
            <w:tcW w:w="1480" w:type="dxa"/>
            <w:vAlign w:val="bottom"/>
            <w:shd w:val="clear" w:color="auto" w:fill="D9D9D9"/>
          </w:tcPr>
          <w:p>
            <w:pPr>
              <w:spacing w:after="0"/>
              <w:rPr>
                <w:sz w:val="17"/>
                <w:szCs w:val="17"/>
                <w:color w:val="auto"/>
              </w:rPr>
            </w:pPr>
          </w:p>
        </w:tc>
        <w:tc>
          <w:tcPr>
            <w:tcW w:w="1440" w:type="dxa"/>
            <w:vAlign w:val="bottom"/>
            <w:shd w:val="clear" w:color="auto" w:fill="D9D9D9"/>
          </w:tcPr>
          <w:p>
            <w:pPr>
              <w:spacing w:after="0"/>
              <w:rPr>
                <w:sz w:val="17"/>
                <w:szCs w:val="17"/>
                <w:color w:val="auto"/>
              </w:rPr>
            </w:pPr>
          </w:p>
        </w:tc>
        <w:tc>
          <w:tcPr>
            <w:tcW w:w="442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6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80" w:type="dxa"/>
            <w:vAlign w:val="bottom"/>
            <w:tcBorders>
              <w:bottom w:val="single" w:sz="8" w:color="auto"/>
            </w:tcBorders>
            <w:shd w:val="clear" w:color="auto" w:fill="D9D9D9"/>
          </w:tcPr>
          <w:p>
            <w:pPr>
              <w:spacing w:after="0"/>
              <w:rPr>
                <w:sz w:val="18"/>
                <w:szCs w:val="18"/>
                <w:color w:val="auto"/>
              </w:rPr>
            </w:pPr>
          </w:p>
        </w:tc>
        <w:tc>
          <w:tcPr>
            <w:tcW w:w="1480" w:type="dxa"/>
            <w:vAlign w:val="bottom"/>
            <w:tcBorders>
              <w:bottom w:val="single" w:sz="8" w:color="auto"/>
            </w:tcBorders>
            <w:shd w:val="clear" w:color="auto" w:fill="D9D9D9"/>
          </w:tcPr>
          <w:p>
            <w:pPr>
              <w:spacing w:after="0"/>
              <w:rPr>
                <w:sz w:val="18"/>
                <w:szCs w:val="18"/>
                <w:color w:val="auto"/>
              </w:rPr>
            </w:pPr>
          </w:p>
        </w:tc>
        <w:tc>
          <w:tcPr>
            <w:tcW w:w="1440" w:type="dxa"/>
            <w:vAlign w:val="bottom"/>
            <w:tcBorders>
              <w:bottom w:val="single" w:sz="8" w:color="auto"/>
            </w:tcBorders>
            <w:shd w:val="clear" w:color="auto" w:fill="D9D9D9"/>
          </w:tcPr>
          <w:p>
            <w:pPr>
              <w:spacing w:after="0"/>
              <w:rPr>
                <w:sz w:val="18"/>
                <w:szCs w:val="18"/>
                <w:color w:val="auto"/>
              </w:rPr>
            </w:pPr>
          </w:p>
        </w:tc>
        <w:tc>
          <w:tcPr>
            <w:tcW w:w="442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Employee</w:t>
            </w:r>
          </w:p>
        </w:tc>
        <w:tc>
          <w:tcPr>
            <w:tcW w:w="80" w:type="dxa"/>
            <w:vAlign w:val="bottom"/>
          </w:tcPr>
          <w:p>
            <w:pPr>
              <w:spacing w:after="0"/>
              <w:rPr>
                <w:sz w:val="19"/>
                <w:szCs w:val="19"/>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Venu Palaparthi</w:t>
            </w:r>
          </w:p>
        </w:tc>
        <w:tc>
          <w:tcPr>
            <w:tcW w:w="0" w:type="dxa"/>
            <w:vAlign w:val="bottom"/>
          </w:tcPr>
          <w:p>
            <w:pPr>
              <w:spacing w:after="0"/>
              <w:rPr>
                <w:sz w:val="1"/>
                <w:szCs w:val="1"/>
                <w:color w:val="auto"/>
              </w:rPr>
            </w:pPr>
          </w:p>
        </w:tc>
      </w:tr>
      <w:tr>
        <w:trPr>
          <w:trHeight w:val="194"/>
        </w:trPr>
        <w:tc>
          <w:tcPr>
            <w:tcW w:w="266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4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Notice Date</w:t>
            </w:r>
          </w:p>
        </w:tc>
        <w:tc>
          <w:tcPr>
            <w:tcW w:w="80" w:type="dxa"/>
            <w:vAlign w:val="bottom"/>
          </w:tcPr>
          <w:p>
            <w:pPr>
              <w:spacing w:after="0"/>
              <w:rPr>
                <w:sz w:val="19"/>
                <w:szCs w:val="19"/>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September 11, 2017</w:t>
            </w:r>
          </w:p>
        </w:tc>
        <w:tc>
          <w:tcPr>
            <w:tcW w:w="0" w:type="dxa"/>
            <w:vAlign w:val="bottom"/>
          </w:tcPr>
          <w:p>
            <w:pPr>
              <w:spacing w:after="0"/>
              <w:rPr>
                <w:sz w:val="1"/>
                <w:szCs w:val="1"/>
                <w:color w:val="auto"/>
              </w:rPr>
            </w:pPr>
          </w:p>
        </w:tc>
      </w:tr>
      <w:tr>
        <w:trPr>
          <w:trHeight w:val="194"/>
        </w:trPr>
        <w:tc>
          <w:tcPr>
            <w:tcW w:w="266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4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Termination Date</w:t>
            </w:r>
          </w:p>
        </w:tc>
        <w:tc>
          <w:tcPr>
            <w:tcW w:w="80" w:type="dxa"/>
            <w:vAlign w:val="bottom"/>
          </w:tcPr>
          <w:p>
            <w:pPr>
              <w:spacing w:after="0"/>
              <w:rPr>
                <w:sz w:val="19"/>
                <w:szCs w:val="19"/>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September 11, 2017</w:t>
            </w:r>
          </w:p>
        </w:tc>
        <w:tc>
          <w:tcPr>
            <w:tcW w:w="0" w:type="dxa"/>
            <w:vAlign w:val="bottom"/>
          </w:tcPr>
          <w:p>
            <w:pPr>
              <w:spacing w:after="0"/>
              <w:rPr>
                <w:sz w:val="1"/>
                <w:szCs w:val="1"/>
                <w:color w:val="auto"/>
              </w:rPr>
            </w:pPr>
          </w:p>
        </w:tc>
      </w:tr>
      <w:tr>
        <w:trPr>
          <w:trHeight w:val="194"/>
        </w:trPr>
        <w:tc>
          <w:tcPr>
            <w:tcW w:w="266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4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60" w:type="dxa"/>
            <w:vAlign w:val="bottom"/>
            <w:tcBorders>
              <w:left w:val="single" w:sz="8" w:color="auto"/>
              <w:right w:val="single" w:sz="8" w:color="auto"/>
            </w:tcBorders>
            <w:shd w:val="clear" w:color="auto" w:fill="D9D9D9"/>
          </w:tcPr>
          <w:p>
            <w:pPr>
              <w:ind w:left="80"/>
              <w:spacing w:after="0" w:line="205" w:lineRule="exact"/>
              <w:rPr>
                <w:sz w:val="20"/>
                <w:szCs w:val="20"/>
                <w:color w:val="auto"/>
              </w:rPr>
            </w:pPr>
            <w:r>
              <w:rPr>
                <w:rFonts w:ascii="Arial" w:cs="Arial" w:eastAsia="Arial" w:hAnsi="Arial"/>
                <w:sz w:val="18"/>
                <w:szCs w:val="18"/>
                <w:b w:val="1"/>
                <w:bCs w:val="1"/>
                <w:color w:val="auto"/>
              </w:rPr>
              <w:t>II. Final Compensation</w:t>
            </w:r>
          </w:p>
        </w:tc>
        <w:tc>
          <w:tcPr>
            <w:tcW w:w="80" w:type="dxa"/>
            <w:vAlign w:val="bottom"/>
            <w:shd w:val="clear" w:color="auto" w:fill="D9D9D9"/>
          </w:tcPr>
          <w:p>
            <w:pPr>
              <w:spacing w:after="0"/>
              <w:rPr>
                <w:sz w:val="17"/>
                <w:szCs w:val="17"/>
                <w:color w:val="auto"/>
              </w:rPr>
            </w:pPr>
          </w:p>
        </w:tc>
        <w:tc>
          <w:tcPr>
            <w:tcW w:w="7340" w:type="dxa"/>
            <w:vAlign w:val="bottom"/>
            <w:tcBorders>
              <w:right w:val="single" w:sz="8" w:color="auto"/>
            </w:tcBorders>
            <w:gridSpan w:val="3"/>
            <w:shd w:val="clear" w:color="auto" w:fill="D9D9D9"/>
          </w:tcPr>
          <w:p>
            <w:pPr>
              <w:spacing w:after="0" w:line="205" w:lineRule="exact"/>
              <w:rPr>
                <w:sz w:val="20"/>
                <w:szCs w:val="20"/>
                <w:color w:val="auto"/>
              </w:rPr>
            </w:pPr>
            <w:r>
              <w:rPr>
                <w:rFonts w:ascii="Arial" w:cs="Arial" w:eastAsia="Arial" w:hAnsi="Arial"/>
                <w:sz w:val="18"/>
                <w:szCs w:val="18"/>
                <w:i w:val="1"/>
                <w:iCs w:val="1"/>
                <w:color w:val="auto"/>
                <w:w w:val="95"/>
              </w:rPr>
              <w:t>Whether or not Employee signs the Agreement, the Company will make the following payments.</w:t>
            </w:r>
          </w:p>
        </w:tc>
        <w:tc>
          <w:tcPr>
            <w:tcW w:w="0" w:type="dxa"/>
            <w:vAlign w:val="bottom"/>
          </w:tcPr>
          <w:p>
            <w:pPr>
              <w:spacing w:after="0"/>
              <w:rPr>
                <w:sz w:val="1"/>
                <w:szCs w:val="1"/>
                <w:color w:val="auto"/>
              </w:rPr>
            </w:pPr>
          </w:p>
        </w:tc>
      </w:tr>
      <w:tr>
        <w:trPr>
          <w:trHeight w:val="212"/>
        </w:trPr>
        <w:tc>
          <w:tcPr>
            <w:tcW w:w="266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80" w:type="dxa"/>
            <w:vAlign w:val="bottom"/>
            <w:tcBorders>
              <w:bottom w:val="single" w:sz="8" w:color="auto"/>
            </w:tcBorders>
            <w:shd w:val="clear" w:color="auto" w:fill="D9D9D9"/>
          </w:tcPr>
          <w:p>
            <w:pPr>
              <w:spacing w:after="0"/>
              <w:rPr>
                <w:sz w:val="18"/>
                <w:szCs w:val="18"/>
                <w:color w:val="auto"/>
              </w:rPr>
            </w:pPr>
          </w:p>
        </w:tc>
        <w:tc>
          <w:tcPr>
            <w:tcW w:w="1480" w:type="dxa"/>
            <w:vAlign w:val="bottom"/>
            <w:tcBorders>
              <w:bottom w:val="single" w:sz="8" w:color="auto"/>
            </w:tcBorders>
            <w:shd w:val="clear" w:color="auto" w:fill="D9D9D9"/>
          </w:tcPr>
          <w:p>
            <w:pPr>
              <w:spacing w:after="0"/>
              <w:rPr>
                <w:sz w:val="18"/>
                <w:szCs w:val="18"/>
                <w:color w:val="auto"/>
              </w:rPr>
            </w:pPr>
          </w:p>
        </w:tc>
        <w:tc>
          <w:tcPr>
            <w:tcW w:w="1440" w:type="dxa"/>
            <w:vAlign w:val="bottom"/>
            <w:tcBorders>
              <w:bottom w:val="single" w:sz="8" w:color="auto"/>
            </w:tcBorders>
            <w:shd w:val="clear" w:color="auto" w:fill="D9D9D9"/>
          </w:tcPr>
          <w:p>
            <w:pPr>
              <w:spacing w:after="0"/>
              <w:rPr>
                <w:sz w:val="18"/>
                <w:szCs w:val="18"/>
                <w:color w:val="auto"/>
              </w:rPr>
            </w:pPr>
          </w:p>
        </w:tc>
        <w:tc>
          <w:tcPr>
            <w:tcW w:w="442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Outstanding Salary</w:t>
            </w:r>
          </w:p>
        </w:tc>
        <w:tc>
          <w:tcPr>
            <w:tcW w:w="74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You will receive a payment equaling any outstanding salary, if any, as of the Termination Date.</w:t>
            </w:r>
          </w:p>
        </w:tc>
        <w:tc>
          <w:tcPr>
            <w:tcW w:w="0" w:type="dxa"/>
            <w:vAlign w:val="bottom"/>
          </w:tcPr>
          <w:p>
            <w:pPr>
              <w:spacing w:after="0"/>
              <w:rPr>
                <w:sz w:val="1"/>
                <w:szCs w:val="1"/>
                <w:color w:val="auto"/>
              </w:rPr>
            </w:pPr>
          </w:p>
        </w:tc>
      </w:tr>
      <w:tr>
        <w:trPr>
          <w:trHeight w:val="194"/>
        </w:trPr>
        <w:tc>
          <w:tcPr>
            <w:tcW w:w="266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4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660" w:type="dxa"/>
            <w:vAlign w:val="bottom"/>
            <w:tcBorders>
              <w:left w:val="single" w:sz="8" w:color="auto"/>
              <w:right w:val="single" w:sz="8" w:color="auto"/>
            </w:tcBorders>
          </w:tcPr>
          <w:p>
            <w:pPr>
              <w:ind w:left="80"/>
              <w:spacing w:after="0" w:line="187" w:lineRule="exact"/>
              <w:rPr>
                <w:sz w:val="20"/>
                <w:szCs w:val="20"/>
                <w:color w:val="auto"/>
              </w:rPr>
            </w:pPr>
            <w:r>
              <w:rPr>
                <w:rFonts w:ascii="Arial" w:cs="Arial" w:eastAsia="Arial" w:hAnsi="Arial"/>
                <w:sz w:val="18"/>
                <w:szCs w:val="18"/>
                <w:b w:val="1"/>
                <w:bCs w:val="1"/>
                <w:color w:val="auto"/>
                <w:w w:val="98"/>
              </w:rPr>
              <w:t>Accrued But Unused Vacation</w:t>
            </w:r>
          </w:p>
        </w:tc>
        <w:tc>
          <w:tcPr>
            <w:tcW w:w="80" w:type="dxa"/>
            <w:vAlign w:val="bottom"/>
          </w:tcPr>
          <w:p>
            <w:pPr>
              <w:spacing w:after="0"/>
              <w:rPr>
                <w:sz w:val="16"/>
                <w:szCs w:val="16"/>
                <w:color w:val="auto"/>
              </w:rPr>
            </w:pPr>
          </w:p>
        </w:tc>
        <w:tc>
          <w:tcPr>
            <w:tcW w:w="7340" w:type="dxa"/>
            <w:vAlign w:val="bottom"/>
            <w:tcBorders>
              <w:right w:val="single" w:sz="8" w:color="auto"/>
            </w:tcBorders>
            <w:gridSpan w:val="3"/>
          </w:tcPr>
          <w:p>
            <w:pPr>
              <w:spacing w:after="0" w:line="187" w:lineRule="exact"/>
              <w:rPr>
                <w:sz w:val="20"/>
                <w:szCs w:val="20"/>
                <w:color w:val="auto"/>
              </w:rPr>
            </w:pPr>
            <w:r>
              <w:rPr>
                <w:rFonts w:ascii="Arial" w:cs="Arial" w:eastAsia="Arial" w:hAnsi="Arial"/>
                <w:sz w:val="18"/>
                <w:szCs w:val="18"/>
                <w:color w:val="auto"/>
                <w:w w:val="94"/>
              </w:rPr>
              <w:t>You will receive a payment equaling any outstanding vacation, if any, as of the Termination Date.</w:t>
            </w:r>
          </w:p>
        </w:tc>
        <w:tc>
          <w:tcPr>
            <w:tcW w:w="0" w:type="dxa"/>
            <w:vAlign w:val="bottom"/>
          </w:tcPr>
          <w:p>
            <w:pPr>
              <w:spacing w:after="0"/>
              <w:rPr>
                <w:sz w:val="1"/>
                <w:szCs w:val="1"/>
                <w:color w:val="auto"/>
              </w:rPr>
            </w:pPr>
          </w:p>
        </w:tc>
      </w:tr>
      <w:tr>
        <w:trPr>
          <w:trHeight w:val="229"/>
        </w:trPr>
        <w:tc>
          <w:tcPr>
            <w:tcW w:w="26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Days</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4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auto"/>
            </w:tcBorders>
            <w:shd w:val="clear" w:color="auto" w:fill="D9D9D9"/>
          </w:tcPr>
          <w:p>
            <w:pPr>
              <w:ind w:left="80"/>
              <w:spacing w:after="0" w:line="193" w:lineRule="exact"/>
              <w:rPr>
                <w:sz w:val="20"/>
                <w:szCs w:val="20"/>
                <w:color w:val="auto"/>
              </w:rPr>
            </w:pPr>
            <w:r>
              <w:rPr>
                <w:rFonts w:ascii="Arial" w:cs="Arial" w:eastAsia="Arial" w:hAnsi="Arial"/>
                <w:sz w:val="18"/>
                <w:szCs w:val="18"/>
                <w:b w:val="1"/>
                <w:bCs w:val="1"/>
                <w:color w:val="auto"/>
              </w:rPr>
              <w:t>III. Separation Benefits</w:t>
            </w:r>
          </w:p>
        </w:tc>
        <w:tc>
          <w:tcPr>
            <w:tcW w:w="80" w:type="dxa"/>
            <w:vAlign w:val="bottom"/>
            <w:shd w:val="clear" w:color="auto" w:fill="D9D9D9"/>
          </w:tcPr>
          <w:p>
            <w:pPr>
              <w:spacing w:after="0"/>
              <w:rPr>
                <w:sz w:val="16"/>
                <w:szCs w:val="16"/>
                <w:color w:val="auto"/>
              </w:rPr>
            </w:pPr>
          </w:p>
        </w:tc>
        <w:tc>
          <w:tcPr>
            <w:tcW w:w="7340" w:type="dxa"/>
            <w:vAlign w:val="bottom"/>
            <w:tcBorders>
              <w:right w:val="single" w:sz="8" w:color="auto"/>
            </w:tcBorders>
            <w:gridSpan w:val="3"/>
            <w:shd w:val="clear" w:color="auto" w:fill="D9D9D9"/>
          </w:tcPr>
          <w:p>
            <w:pPr>
              <w:spacing w:after="0" w:line="193" w:lineRule="exact"/>
              <w:rPr>
                <w:sz w:val="20"/>
                <w:szCs w:val="20"/>
                <w:color w:val="auto"/>
              </w:rPr>
            </w:pPr>
            <w:r>
              <w:rPr>
                <w:rFonts w:ascii="Arial" w:cs="Arial" w:eastAsia="Arial" w:hAnsi="Arial"/>
                <w:sz w:val="18"/>
                <w:szCs w:val="18"/>
                <w:i w:val="1"/>
                <w:iCs w:val="1"/>
                <w:color w:val="auto"/>
                <w:w w:val="93"/>
              </w:rPr>
              <w:t>In consideration for Employee’s execution, non-revocation of, and compliance with the Agreement,</w:t>
            </w:r>
          </w:p>
        </w:tc>
        <w:tc>
          <w:tcPr>
            <w:tcW w:w="0" w:type="dxa"/>
            <w:vAlign w:val="bottom"/>
          </w:tcPr>
          <w:p>
            <w:pPr>
              <w:spacing w:after="0"/>
              <w:rPr>
                <w:sz w:val="1"/>
                <w:szCs w:val="1"/>
                <w:color w:val="auto"/>
              </w:rPr>
            </w:pPr>
          </w:p>
        </w:tc>
      </w:tr>
      <w:tr>
        <w:trPr>
          <w:trHeight w:val="212"/>
        </w:trPr>
        <w:tc>
          <w:tcPr>
            <w:tcW w:w="2660" w:type="dxa"/>
            <w:vAlign w:val="bottom"/>
            <w:tcBorders>
              <w:left w:val="single" w:sz="8" w:color="auto"/>
              <w:right w:val="single" w:sz="8" w:color="auto"/>
            </w:tcBorders>
            <w:shd w:val="clear" w:color="auto" w:fill="D9D9D9"/>
          </w:tcPr>
          <w:p>
            <w:pPr>
              <w:spacing w:after="0"/>
              <w:rPr>
                <w:sz w:val="18"/>
                <w:szCs w:val="18"/>
                <w:color w:val="auto"/>
              </w:rPr>
            </w:pPr>
          </w:p>
        </w:tc>
        <w:tc>
          <w:tcPr>
            <w:tcW w:w="80" w:type="dxa"/>
            <w:vAlign w:val="bottom"/>
            <w:shd w:val="clear" w:color="auto" w:fill="D9D9D9"/>
          </w:tcPr>
          <w:p>
            <w:pPr>
              <w:spacing w:after="0"/>
              <w:rPr>
                <w:sz w:val="18"/>
                <w:szCs w:val="18"/>
                <w:color w:val="auto"/>
              </w:rPr>
            </w:pPr>
          </w:p>
        </w:tc>
        <w:tc>
          <w:tcPr>
            <w:tcW w:w="7340" w:type="dxa"/>
            <w:vAlign w:val="bottom"/>
            <w:tcBorders>
              <w:right w:val="single" w:sz="8" w:color="auto"/>
            </w:tcBorders>
            <w:gridSpan w:val="3"/>
            <w:shd w:val="clear" w:color="auto" w:fill="D9D9D9"/>
          </w:tcPr>
          <w:p>
            <w:pPr>
              <w:spacing w:after="0"/>
              <w:rPr>
                <w:sz w:val="20"/>
                <w:szCs w:val="20"/>
                <w:color w:val="auto"/>
              </w:rPr>
            </w:pPr>
            <w:r>
              <w:rPr>
                <w:rFonts w:ascii="Arial" w:cs="Arial" w:eastAsia="Arial" w:hAnsi="Arial"/>
                <w:sz w:val="18"/>
                <w:szCs w:val="18"/>
                <w:i w:val="1"/>
                <w:iCs w:val="1"/>
                <w:color w:val="auto"/>
                <w:w w:val="92"/>
              </w:rPr>
              <w:t>including the General Release of Claims, the Company agrees to provide the following Termination</w:t>
            </w:r>
          </w:p>
        </w:tc>
        <w:tc>
          <w:tcPr>
            <w:tcW w:w="0" w:type="dxa"/>
            <w:vAlign w:val="bottom"/>
          </w:tcPr>
          <w:p>
            <w:pPr>
              <w:spacing w:after="0"/>
              <w:rPr>
                <w:sz w:val="1"/>
                <w:szCs w:val="1"/>
                <w:color w:val="auto"/>
              </w:rPr>
            </w:pPr>
          </w:p>
        </w:tc>
      </w:tr>
      <w:tr>
        <w:trPr>
          <w:trHeight w:val="224"/>
        </w:trPr>
        <w:tc>
          <w:tcPr>
            <w:tcW w:w="2660" w:type="dxa"/>
            <w:vAlign w:val="bottom"/>
            <w:tcBorders>
              <w:left w:val="single" w:sz="8" w:color="auto"/>
              <w:bottom w:val="single" w:sz="8" w:color="auto"/>
              <w:right w:val="single" w:sz="8" w:color="auto"/>
            </w:tcBorders>
            <w:shd w:val="clear" w:color="auto" w:fill="D9D9D9"/>
          </w:tcPr>
          <w:p>
            <w:pPr>
              <w:spacing w:after="0"/>
              <w:rPr>
                <w:sz w:val="19"/>
                <w:szCs w:val="19"/>
                <w:color w:val="auto"/>
              </w:rPr>
            </w:pPr>
          </w:p>
        </w:tc>
        <w:tc>
          <w:tcPr>
            <w:tcW w:w="80" w:type="dxa"/>
            <w:vAlign w:val="bottom"/>
            <w:tcBorders>
              <w:bottom w:val="single" w:sz="8" w:color="auto"/>
            </w:tcBorders>
            <w:shd w:val="clear" w:color="auto" w:fill="D9D9D9"/>
          </w:tcPr>
          <w:p>
            <w:pPr>
              <w:spacing w:after="0"/>
              <w:rPr>
                <w:sz w:val="19"/>
                <w:szCs w:val="19"/>
                <w:color w:val="auto"/>
              </w:rPr>
            </w:pPr>
          </w:p>
        </w:tc>
        <w:tc>
          <w:tcPr>
            <w:tcW w:w="7340" w:type="dxa"/>
            <w:vAlign w:val="bottom"/>
            <w:tcBorders>
              <w:bottom w:val="single" w:sz="8" w:color="auto"/>
              <w:right w:val="single" w:sz="8" w:color="auto"/>
            </w:tcBorders>
            <w:gridSpan w:val="3"/>
            <w:shd w:val="clear" w:color="auto" w:fill="D9D9D9"/>
          </w:tcPr>
          <w:p>
            <w:pPr>
              <w:spacing w:after="0"/>
              <w:rPr>
                <w:sz w:val="20"/>
                <w:szCs w:val="20"/>
                <w:color w:val="auto"/>
              </w:rPr>
            </w:pPr>
            <w:r>
              <w:rPr>
                <w:rFonts w:ascii="Arial" w:cs="Arial" w:eastAsia="Arial" w:hAnsi="Arial"/>
                <w:sz w:val="18"/>
                <w:szCs w:val="18"/>
                <w:i w:val="1"/>
                <w:iCs w:val="1"/>
                <w:color w:val="auto"/>
              </w:rPr>
              <w:t>Benefits.</w:t>
            </w:r>
          </w:p>
        </w:tc>
        <w:tc>
          <w:tcPr>
            <w:tcW w:w="0" w:type="dxa"/>
            <w:vAlign w:val="bottom"/>
          </w:tcPr>
          <w:p>
            <w:pPr>
              <w:spacing w:after="0"/>
              <w:rPr>
                <w:sz w:val="1"/>
                <w:szCs w:val="1"/>
                <w:color w:val="auto"/>
              </w:rPr>
            </w:pPr>
          </w:p>
        </w:tc>
      </w:tr>
      <w:tr>
        <w:trPr>
          <w:trHeight w:val="377"/>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In consideration of Repurchased Interests</w:t>
            </w:r>
          </w:p>
        </w:tc>
        <w:tc>
          <w:tcPr>
            <w:tcW w:w="0" w:type="dxa"/>
            <w:vAlign w:val="bottom"/>
          </w:tcPr>
          <w:p>
            <w:pPr>
              <w:spacing w:after="0"/>
              <w:rPr>
                <w:sz w:val="1"/>
                <w:szCs w:val="1"/>
                <w:color w:val="auto"/>
              </w:rPr>
            </w:pPr>
          </w:p>
        </w:tc>
      </w:tr>
      <w:tr>
        <w:trPr>
          <w:trHeight w:val="442"/>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$65,437.68 on November 1, 2017</w:t>
            </w:r>
          </w:p>
        </w:tc>
        <w:tc>
          <w:tcPr>
            <w:tcW w:w="4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February 1, 2018</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May 1, 2018</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August 1, 2018</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November 1, 2018</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Termination Payments</w:t>
            </w: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February 1, 2019</w:t>
            </w:r>
          </w:p>
        </w:tc>
        <w:tc>
          <w:tcPr>
            <w:tcW w:w="0" w:type="dxa"/>
            <w:vAlign w:val="bottom"/>
          </w:tcPr>
          <w:p>
            <w:pPr>
              <w:spacing w:after="0"/>
              <w:rPr>
                <w:sz w:val="1"/>
                <w:szCs w:val="1"/>
                <w:color w:val="auto"/>
              </w:rPr>
            </w:pPr>
          </w:p>
        </w:tc>
      </w:tr>
      <w:tr>
        <w:trPr>
          <w:trHeight w:val="212"/>
        </w:trPr>
        <w:tc>
          <w:tcPr>
            <w:tcW w:w="2660" w:type="dxa"/>
            <w:vAlign w:val="bottom"/>
            <w:tcBorders>
              <w:left w:val="single" w:sz="8" w:color="auto"/>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3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$65,437.68 on May 1, 2019</w:t>
            </w:r>
          </w:p>
        </w:tc>
        <w:tc>
          <w:tcPr>
            <w:tcW w:w="0" w:type="dxa"/>
            <w:vAlign w:val="bottom"/>
          </w:tcPr>
          <w:p>
            <w:pPr>
              <w:spacing w:after="0"/>
              <w:rPr>
                <w:sz w:val="1"/>
                <w:szCs w:val="1"/>
                <w:color w:val="auto"/>
              </w:rPr>
            </w:pPr>
          </w:p>
        </w:tc>
      </w:tr>
      <w:tr>
        <w:trPr>
          <w:trHeight w:val="212"/>
        </w:trPr>
        <w:tc>
          <w:tcPr>
            <w:tcW w:w="26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340" w:type="dxa"/>
            <w:vAlign w:val="bottom"/>
            <w:tcBorders>
              <w:right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August 1, 2019</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November 1, 2019</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February 1, 2020</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May 1, 2020</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$65,437.68 on August 1, 2020</w:t>
            </w:r>
          </w:p>
        </w:tc>
        <w:tc>
          <w:tcPr>
            <w:tcW w:w="0" w:type="dxa"/>
            <w:vAlign w:val="bottom"/>
          </w:tcPr>
          <w:p>
            <w:pPr>
              <w:spacing w:after="0"/>
              <w:rPr>
                <w:sz w:val="1"/>
                <w:szCs w:val="1"/>
                <w:color w:val="auto"/>
              </w:rPr>
            </w:pPr>
          </w:p>
        </w:tc>
      </w:tr>
      <w:tr>
        <w:trPr>
          <w:trHeight w:val="385"/>
        </w:trPr>
        <w:tc>
          <w:tcPr>
            <w:tcW w:w="266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Additional Payments</w:t>
            </w:r>
          </w:p>
        </w:tc>
        <w:tc>
          <w:tcPr>
            <w:tcW w:w="0" w:type="dxa"/>
            <w:vAlign w:val="bottom"/>
          </w:tcPr>
          <w:p>
            <w:pPr>
              <w:spacing w:after="0"/>
              <w:rPr>
                <w:sz w:val="1"/>
                <w:szCs w:val="1"/>
                <w:color w:val="auto"/>
              </w:rPr>
            </w:pPr>
          </w:p>
        </w:tc>
      </w:tr>
      <w:tr>
        <w:trPr>
          <w:trHeight w:val="231"/>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Page 13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344" w:right="919" w:bottom="1440" w:gutter="0" w:footer="0" w:header="0"/>
        </w:sectPr>
      </w:pPr>
    </w:p>
    <w:bookmarkStart w:id="394" w:name="page395"/>
    <w:bookmarkEnd w:id="394"/>
    <w:tbl>
      <w:tblPr>
        <w:tblLayout w:type="fixed"/>
        <w:tblInd w:w="10" w:type="dxa"/>
        <w:tblCellMar>
          <w:top w:w="0" w:type="dxa"/>
          <w:left w:w="0" w:type="dxa"/>
          <w:bottom w:w="0" w:type="dxa"/>
          <w:right w:w="0" w:type="dxa"/>
        </w:tblCellMar>
      </w:tblPr>
      <w:tr>
        <w:trPr>
          <w:trHeight w:val="236"/>
        </w:trPr>
        <w:tc>
          <w:tcPr>
            <w:tcW w:w="2660" w:type="dxa"/>
            <w:vAlign w:val="bottom"/>
            <w:tcBorders>
              <w:top w:val="single" w:sz="8" w:color="auto"/>
              <w:left w:val="single" w:sz="8" w:color="auto"/>
              <w:right w:val="single" w:sz="8" w:color="auto"/>
            </w:tcBorders>
          </w:tcPr>
          <w:p>
            <w:pPr>
              <w:spacing w:after="0"/>
              <w:rPr>
                <w:sz w:val="20"/>
                <w:szCs w:val="20"/>
                <w:color w:val="auto"/>
              </w:rPr>
            </w:pPr>
          </w:p>
        </w:tc>
        <w:tc>
          <w:tcPr>
            <w:tcW w:w="74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$64,635.91 on November 1,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660" w:type="dxa"/>
            <w:vAlign w:val="bottom"/>
            <w:tcBorders>
              <w:left w:val="single" w:sz="8" w:color="auto"/>
              <w:right w:val="single" w:sz="8" w:color="auto"/>
            </w:tcBorders>
          </w:tcPr>
          <w:p>
            <w:pPr>
              <w:spacing w:after="0"/>
              <w:rPr>
                <w:sz w:val="24"/>
                <w:szCs w:val="24"/>
                <w:color w:val="auto"/>
              </w:rPr>
            </w:pP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$64,635.91 on February 1, 2018</w:t>
            </w: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20" w:type="dxa"/>
            <w:vAlign w:val="bottom"/>
            <w:gridSpan w:val="2"/>
          </w:tcPr>
          <w:p>
            <w:pPr>
              <w:ind w:left="80"/>
              <w:spacing w:after="0"/>
              <w:rPr>
                <w:sz w:val="20"/>
                <w:szCs w:val="20"/>
                <w:color w:val="auto"/>
              </w:rPr>
            </w:pPr>
            <w:r>
              <w:rPr>
                <w:rFonts w:ascii="Arial" w:cs="Arial" w:eastAsia="Arial" w:hAnsi="Arial"/>
                <w:sz w:val="18"/>
                <w:szCs w:val="18"/>
                <w:color w:val="auto"/>
              </w:rPr>
              <w:t>$64,635.91 on May 1, 2018</w:t>
            </w: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right w:val="single" w:sz="8" w:color="auto"/>
            </w:tcBorders>
          </w:tcPr>
          <w:p>
            <w:pPr>
              <w:spacing w:after="0"/>
              <w:rPr>
                <w:sz w:val="18"/>
                <w:szCs w:val="18"/>
                <w:color w:val="auto"/>
              </w:rPr>
            </w:pPr>
          </w:p>
        </w:tc>
        <w:tc>
          <w:tcPr>
            <w:tcW w:w="7400" w:type="dxa"/>
            <w:vAlign w:val="bottom"/>
            <w:vMerge w:val="restart"/>
          </w:tcPr>
          <w:p>
            <w:pPr>
              <w:ind w:left="80"/>
              <w:spacing w:after="0"/>
              <w:rPr>
                <w:sz w:val="20"/>
                <w:szCs w:val="20"/>
                <w:color w:val="auto"/>
              </w:rPr>
            </w:pPr>
            <w:r>
              <w:rPr>
                <w:rFonts w:ascii="Arial" w:cs="Arial" w:eastAsia="Arial" w:hAnsi="Arial"/>
                <w:sz w:val="18"/>
                <w:szCs w:val="18"/>
                <w:color w:val="auto"/>
              </w:rPr>
              <w:t>$64,635.91 on August 1,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60" w:type="dxa"/>
            <w:vAlign w:val="bottom"/>
            <w:tcBorders>
              <w:left w:val="single" w:sz="8" w:color="auto"/>
              <w:right w:val="single" w:sz="8" w:color="auto"/>
            </w:tcBorders>
          </w:tcPr>
          <w:p>
            <w:pPr>
              <w:spacing w:after="0"/>
              <w:rPr>
                <w:sz w:val="18"/>
                <w:szCs w:val="18"/>
                <w:color w:val="auto"/>
              </w:rPr>
            </w:pPr>
          </w:p>
        </w:tc>
        <w:tc>
          <w:tcPr>
            <w:tcW w:w="74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November 1, 2018</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February 1, 2019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May 1, 2019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August 1, 2019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November 1, 2019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February 1, 2020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May 1, 2020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60" w:type="dxa"/>
            <w:vAlign w:val="bottom"/>
            <w:tcBorders>
              <w:left w:val="single" w:sz="8" w:color="auto"/>
              <w:right w:val="single" w:sz="8" w:color="auto"/>
            </w:tcBorders>
          </w:tcPr>
          <w:p>
            <w:pPr>
              <w:spacing w:after="0"/>
              <w:rPr>
                <w:sz w:val="24"/>
                <w:szCs w:val="24"/>
                <w:color w:val="auto"/>
              </w:rPr>
            </w:pPr>
          </w:p>
        </w:tc>
        <w:tc>
          <w:tcPr>
            <w:tcW w:w="7400" w:type="dxa"/>
            <w:vAlign w:val="bottom"/>
          </w:tcPr>
          <w:p>
            <w:pPr>
              <w:ind w:left="80"/>
              <w:spacing w:after="0"/>
              <w:rPr>
                <w:sz w:val="20"/>
                <w:szCs w:val="20"/>
                <w:color w:val="auto"/>
              </w:rPr>
            </w:pPr>
            <w:r>
              <w:rPr>
                <w:rFonts w:ascii="Arial" w:cs="Arial" w:eastAsia="Arial" w:hAnsi="Arial"/>
                <w:sz w:val="18"/>
                <w:szCs w:val="18"/>
                <w:color w:val="auto"/>
              </w:rPr>
              <w:t>$64,635.91 on August 1, 2020</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60" w:type="dxa"/>
            <w:vAlign w:val="bottom"/>
            <w:tcBorders>
              <w:left w:val="single" w:sz="8" w:color="auto"/>
              <w:right w:val="single" w:sz="8" w:color="auto"/>
            </w:tcBorders>
          </w:tcPr>
          <w:p>
            <w:pPr>
              <w:ind w:left="80"/>
              <w:spacing w:after="0" w:line="193" w:lineRule="exact"/>
              <w:rPr>
                <w:sz w:val="20"/>
                <w:szCs w:val="20"/>
                <w:color w:val="auto"/>
              </w:rPr>
            </w:pPr>
            <w:r>
              <w:rPr>
                <w:rFonts w:ascii="Arial" w:cs="Arial" w:eastAsia="Arial" w:hAnsi="Arial"/>
                <w:sz w:val="18"/>
                <w:szCs w:val="18"/>
                <w:b w:val="1"/>
                <w:bCs w:val="1"/>
                <w:color w:val="auto"/>
              </w:rPr>
              <w:t>COBRA Benefits</w:t>
            </w:r>
          </w:p>
        </w:tc>
        <w:tc>
          <w:tcPr>
            <w:tcW w:w="7400" w:type="dxa"/>
            <w:vAlign w:val="bottom"/>
          </w:tcPr>
          <w:p>
            <w:pPr>
              <w:ind w:left="80"/>
              <w:spacing w:after="0" w:line="193" w:lineRule="exact"/>
              <w:rPr>
                <w:sz w:val="20"/>
                <w:szCs w:val="20"/>
                <w:color w:val="auto"/>
              </w:rPr>
            </w:pPr>
            <w:r>
              <w:rPr>
                <w:rFonts w:ascii="Arial" w:cs="Arial" w:eastAsia="Arial" w:hAnsi="Arial"/>
                <w:sz w:val="18"/>
                <w:szCs w:val="18"/>
                <w:color w:val="auto"/>
                <w:w w:val="94"/>
              </w:rPr>
              <w:t>In accordance with Paragraph 5(b), the Company will arrange to pay Employee’s coverage under</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60" w:type="dxa"/>
            <w:vAlign w:val="bottom"/>
            <w:tcBorders>
              <w:left w:val="single" w:sz="8" w:color="auto"/>
              <w:bottom w:val="single" w:sz="8" w:color="auto"/>
              <w:right w:val="single" w:sz="8" w:color="auto"/>
            </w:tcBorders>
          </w:tcPr>
          <w:p>
            <w:pPr>
              <w:spacing w:after="0"/>
              <w:rPr>
                <w:sz w:val="19"/>
                <w:szCs w:val="19"/>
                <w:color w:val="auto"/>
              </w:rPr>
            </w:pPr>
          </w:p>
        </w:tc>
        <w:tc>
          <w:tcPr>
            <w:tcW w:w="7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COBRA for the period of September 11, 2017 to the six month anniversary thereof.</w:t>
            </w: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60" w:type="dxa"/>
            <w:vAlign w:val="bottom"/>
            <w:tcBorders>
              <w:left w:val="single" w:sz="8" w:color="auto"/>
              <w:bottom w:val="single" w:sz="8" w:color="auto"/>
              <w:right w:val="single" w:sz="8" w:color="auto"/>
            </w:tcBorders>
          </w:tcPr>
          <w:p>
            <w:pPr>
              <w:ind w:left="80"/>
              <w:spacing w:after="0" w:line="206" w:lineRule="exact"/>
              <w:rPr>
                <w:sz w:val="20"/>
                <w:szCs w:val="20"/>
                <w:color w:val="auto"/>
              </w:rPr>
            </w:pPr>
            <w:r>
              <w:rPr>
                <w:rFonts w:ascii="Arial" w:cs="Arial" w:eastAsia="Arial" w:hAnsi="Arial"/>
                <w:sz w:val="18"/>
                <w:szCs w:val="18"/>
                <w:b w:val="1"/>
                <w:bCs w:val="1"/>
                <w:color w:val="auto"/>
              </w:rPr>
              <w:t>Outplacement Benefits</w:t>
            </w:r>
          </w:p>
        </w:tc>
        <w:tc>
          <w:tcPr>
            <w:tcW w:w="7400" w:type="dxa"/>
            <w:vAlign w:val="bottom"/>
            <w:tcBorders>
              <w:bottom w:val="single" w:sz="8" w:color="auto"/>
            </w:tcBorders>
          </w:tcPr>
          <w:p>
            <w:pPr>
              <w:ind w:left="80"/>
              <w:spacing w:after="0" w:line="206" w:lineRule="exact"/>
              <w:rPr>
                <w:sz w:val="20"/>
                <w:szCs w:val="20"/>
                <w:color w:val="auto"/>
              </w:rPr>
            </w:pPr>
            <w:r>
              <w:rPr>
                <w:rFonts w:ascii="Arial" w:cs="Arial" w:eastAsia="Arial" w:hAnsi="Arial"/>
                <w:sz w:val="18"/>
                <w:szCs w:val="18"/>
                <w:color w:val="auto"/>
              </w:rPr>
              <w:t>A total of 3 months to be used within six months of Termination Date.</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Page 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395" w:name="page396"/>
    <w:bookmarkEnd w:id="395"/>
    <w:p>
      <w:pPr>
        <w:jc w:val="right"/>
        <w:spacing w:after="0"/>
        <w:rPr>
          <w:sz w:val="20"/>
          <w:szCs w:val="20"/>
          <w:color w:val="auto"/>
        </w:rPr>
      </w:pPr>
      <w:r>
        <w:rPr>
          <w:rFonts w:ascii="Arial" w:cs="Arial" w:eastAsia="Arial" w:hAnsi="Arial"/>
          <w:sz w:val="19"/>
          <w:szCs w:val="19"/>
          <w:b w:val="1"/>
          <w:bCs w:val="1"/>
          <w:color w:val="auto"/>
        </w:rPr>
        <w:t>Exhibit 10.8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VIRTU FINANCIAL,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2015 MANAGEMENT INCENTIVE PLAN EMPLOYEE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RESTRICTED STOCK UNIT AND COMMON STOCK AWARD AGREEMENT</w:t>
      </w:r>
    </w:p>
    <w:p>
      <w:pPr>
        <w:spacing w:after="0" w:line="215" w:lineRule="exact"/>
        <w:rPr>
          <w:sz w:val="20"/>
          <w:szCs w:val="20"/>
          <w:color w:val="auto"/>
        </w:rPr>
      </w:pPr>
    </w:p>
    <w:p>
      <w:pPr>
        <w:ind w:right="160" w:firstLine="635"/>
        <w:spacing w:after="0" w:line="262"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January 23, 2018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Joseph Molluso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84" w:lineRule="exact"/>
        <w:rPr>
          <w:sz w:val="20"/>
          <w:szCs w:val="20"/>
          <w:color w:val="auto"/>
        </w:rPr>
      </w:pPr>
    </w:p>
    <w:p>
      <w:pPr>
        <w:ind w:right="340" w:firstLine="634"/>
        <w:spacing w:after="0" w:line="339" w:lineRule="auto"/>
        <w:rPr>
          <w:sz w:val="20"/>
          <w:szCs w:val="20"/>
          <w:color w:val="auto"/>
        </w:rPr>
      </w:pPr>
      <w:r>
        <w:rPr>
          <w:rFonts w:ascii="Arial" w:cs="Arial" w:eastAsia="Arial" w:hAnsi="Arial"/>
          <w:sz w:val="17"/>
          <w:szCs w:val="17"/>
          <w:color w:val="auto"/>
        </w:rPr>
        <w:t>WHEREAS, the Company has adopted the Virtu Financial, Inc. 2015 Amended and Restated Management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which shares of Class A Common Stock and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122" w:lineRule="exact"/>
        <w:rPr>
          <w:sz w:val="20"/>
          <w:szCs w:val="20"/>
          <w:color w:val="auto"/>
        </w:rPr>
      </w:pPr>
    </w:p>
    <w:p>
      <w:pPr>
        <w:ind w:right="140" w:firstLine="634"/>
        <w:spacing w:after="0" w:line="257" w:lineRule="auto"/>
        <w:rPr>
          <w:sz w:val="20"/>
          <w:szCs w:val="20"/>
          <w:color w:val="auto"/>
        </w:rPr>
      </w:pPr>
      <w:r>
        <w:rPr>
          <w:rFonts w:ascii="Arial" w:cs="Arial" w:eastAsia="Arial" w:hAnsi="Arial"/>
          <w:sz w:val="19"/>
          <w:szCs w:val="19"/>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2017 through December 31, 2017, and RSUs provided for herein to the Participant subject to the terms set forth herein.</w:t>
      </w:r>
    </w:p>
    <w:p>
      <w:pPr>
        <w:spacing w:after="0" w:line="189" w:lineRule="exact"/>
        <w:rPr>
          <w:sz w:val="20"/>
          <w:szCs w:val="20"/>
          <w:color w:val="auto"/>
        </w:rPr>
      </w:pPr>
    </w:p>
    <w:p>
      <w:pPr>
        <w:jc w:val="both"/>
        <w:ind w:right="160" w:firstLine="634"/>
        <w:spacing w:after="0" w:line="262"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5" w:lineRule="exact"/>
        <w:rPr>
          <w:sz w:val="20"/>
          <w:szCs w:val="20"/>
          <w:color w:val="auto"/>
        </w:rPr>
      </w:pPr>
    </w:p>
    <w:p>
      <w:pPr>
        <w:ind w:left="640" w:hanging="631"/>
        <w:spacing w:after="0"/>
        <w:tabs>
          <w:tab w:leader="none" w:pos="640" w:val="left"/>
        </w:tabs>
        <w:numPr>
          <w:ilvl w:val="0"/>
          <w:numId w:val="362"/>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224" w:lineRule="exact"/>
        <w:rPr>
          <w:rFonts w:ascii="Arial" w:cs="Arial" w:eastAsia="Arial" w:hAnsi="Arial"/>
          <w:sz w:val="19"/>
          <w:szCs w:val="19"/>
          <w:b w:val="1"/>
          <w:bCs w:val="1"/>
          <w:color w:val="auto"/>
        </w:rPr>
      </w:pPr>
    </w:p>
    <w:p>
      <w:pPr>
        <w:ind w:firstLine="644"/>
        <w:spacing w:after="0" w:line="288" w:lineRule="auto"/>
        <w:tabs>
          <w:tab w:leader="none" w:pos="1238" w:val="left"/>
        </w:tabs>
        <w:numPr>
          <w:ilvl w:val="1"/>
          <w:numId w:val="362"/>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a total number of shares of Class A Common Stock equal to approximately $420,000.00 divided by the Issue Price (the “</w:t>
      </w:r>
      <w:r>
        <w:rPr>
          <w:rFonts w:ascii="Arial" w:cs="Arial" w:eastAsia="Arial" w:hAnsi="Arial"/>
          <w:sz w:val="17"/>
          <w:szCs w:val="17"/>
          <w:u w:val="single" w:color="auto"/>
          <w:color w:val="auto"/>
        </w:rPr>
        <w:t>Shares</w:t>
      </w:r>
      <w:r>
        <w:rPr>
          <w:rFonts w:ascii="Arial" w:cs="Arial" w:eastAsia="Arial" w:hAnsi="Arial"/>
          <w:sz w:val="17"/>
          <w:szCs w:val="17"/>
          <w:color w:val="auto"/>
        </w:rPr>
        <w:t>”), and a total number of RSUs equal to approximately $630,000.00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7"/>
          <w:szCs w:val="17"/>
          <w:u w:val="single" w:color="auto"/>
          <w:color w:val="auto"/>
        </w:rPr>
        <w:t>Issue Price</w:t>
      </w:r>
      <w:r>
        <w:rPr>
          <w:rFonts w:ascii="Arial" w:cs="Arial" w:eastAsia="Arial" w:hAnsi="Arial"/>
          <w:sz w:val="17"/>
          <w:szCs w:val="17"/>
          <w:color w:val="auto"/>
        </w:rPr>
        <w:t>” shall mean the volume weighted average price of shares of the Company’s Class A Common Stock traded during the three days preceding the Date of Grant, as determined by the Company.</w:t>
      </w:r>
    </w:p>
    <w:p>
      <w:pPr>
        <w:spacing w:after="0" w:line="153" w:lineRule="exact"/>
        <w:rPr>
          <w:rFonts w:ascii="Arial" w:cs="Arial" w:eastAsia="Arial" w:hAnsi="Arial"/>
          <w:sz w:val="17"/>
          <w:szCs w:val="17"/>
          <w:color w:val="auto"/>
        </w:rPr>
      </w:pPr>
    </w:p>
    <w:p>
      <w:pPr>
        <w:ind w:right="160" w:firstLine="644"/>
        <w:spacing w:after="0" w:line="267" w:lineRule="auto"/>
        <w:tabs>
          <w:tab w:leader="none" w:pos="1249"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2" w:lineRule="exact"/>
        <w:rPr>
          <w:rFonts w:ascii="Arial" w:cs="Arial" w:eastAsia="Arial" w:hAnsi="Arial"/>
          <w:sz w:val="18"/>
          <w:szCs w:val="18"/>
          <w:color w:val="auto"/>
        </w:rPr>
      </w:pPr>
    </w:p>
    <w:p>
      <w:pPr>
        <w:ind w:left="640" w:hanging="631"/>
        <w:spacing w:after="0"/>
        <w:tabs>
          <w:tab w:leader="none" w:pos="640" w:val="left"/>
        </w:tabs>
        <w:numPr>
          <w:ilvl w:val="0"/>
          <w:numId w:val="362"/>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224" w:lineRule="exact"/>
        <w:rPr>
          <w:rFonts w:ascii="Arial" w:cs="Arial" w:eastAsia="Arial" w:hAnsi="Arial"/>
          <w:sz w:val="19"/>
          <w:szCs w:val="19"/>
          <w:b w:val="1"/>
          <w:bCs w:val="1"/>
          <w:color w:val="auto"/>
        </w:rPr>
      </w:pPr>
    </w:p>
    <w:p>
      <w:pPr>
        <w:ind w:left="1240" w:hanging="596"/>
        <w:spacing w:after="0"/>
        <w:tabs>
          <w:tab w:leader="none" w:pos="1240" w:val="left"/>
        </w:tabs>
        <w:numPr>
          <w:ilvl w:val="1"/>
          <w:numId w:val="362"/>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218" w:lineRule="exact"/>
        <w:rPr>
          <w:rFonts w:ascii="Arial" w:cs="Arial" w:eastAsia="Arial" w:hAnsi="Arial"/>
          <w:sz w:val="19"/>
          <w:szCs w:val="19"/>
          <w:color w:val="auto"/>
        </w:rPr>
      </w:pPr>
    </w:p>
    <w:p>
      <w:pPr>
        <w:ind w:right="260" w:firstLine="644"/>
        <w:spacing w:after="0" w:line="262" w:lineRule="auto"/>
        <w:tabs>
          <w:tab w:leader="none" w:pos="1249" w:val="left"/>
        </w:tabs>
        <w:numPr>
          <w:ilvl w:val="1"/>
          <w:numId w:val="362"/>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261620</wp:posOffset>
            </wp:positionV>
            <wp:extent cx="661098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5">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18" w:right="739" w:bottom="1440" w:gutter="0" w:footer="0" w:header="0"/>
        </w:sectPr>
      </w:pPr>
    </w:p>
    <w:bookmarkStart w:id="396" w:name="page397"/>
    <w:bookmarkEnd w:id="396"/>
    <w:p>
      <w:pPr>
        <w:jc w:val="both"/>
        <w:ind w:right="260"/>
        <w:spacing w:after="0" w:line="284" w:lineRule="auto"/>
        <w:rPr>
          <w:sz w:val="20"/>
          <w:szCs w:val="20"/>
          <w:color w:val="auto"/>
        </w:rPr>
      </w:pPr>
      <w:r>
        <w:rPr>
          <w:rFonts w:ascii="Arial" w:cs="Arial" w:eastAsia="Arial" w:hAnsi="Arial"/>
          <w:sz w:val="18"/>
          <w:szCs w:val="18"/>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52" w:lineRule="exact"/>
        <w:rPr>
          <w:sz w:val="20"/>
          <w:szCs w:val="20"/>
          <w:color w:val="auto"/>
        </w:rPr>
      </w:pPr>
    </w:p>
    <w:p>
      <w:pPr>
        <w:ind w:right="440" w:firstLine="644"/>
        <w:spacing w:after="0" w:line="278" w:lineRule="auto"/>
        <w:tabs>
          <w:tab w:leader="none" w:pos="1234" w:val="left"/>
        </w:tabs>
        <w:numPr>
          <w:ilvl w:val="1"/>
          <w:numId w:val="363"/>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49" w:lineRule="exact"/>
        <w:rPr>
          <w:rFonts w:ascii="Arial" w:cs="Arial" w:eastAsia="Arial" w:hAnsi="Arial"/>
          <w:sz w:val="19"/>
          <w:szCs w:val="19"/>
          <w:color w:val="auto"/>
        </w:rPr>
      </w:pPr>
    </w:p>
    <w:p>
      <w:pPr>
        <w:ind w:left="640" w:hanging="631"/>
        <w:spacing w:after="0"/>
        <w:tabs>
          <w:tab w:leader="none" w:pos="640" w:val="left"/>
        </w:tabs>
        <w:numPr>
          <w:ilvl w:val="0"/>
          <w:numId w:val="3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In the event of any issuance of a cash dividend on the shares of Class A Common Stock (a</w:t>
      </w:r>
    </w:p>
    <w:p>
      <w:pPr>
        <w:spacing w:after="0" w:line="28"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w:t>
      </w:r>
      <w:r>
        <w:rPr>
          <w:rFonts w:ascii="Arial" w:cs="Arial" w:eastAsia="Arial" w:hAnsi="Arial"/>
          <w:sz w:val="19"/>
          <w:szCs w:val="19"/>
          <w:color w:val="auto"/>
        </w:rPr>
        <w:t>”), 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3" w:lineRule="exact"/>
        <w:rPr>
          <w:sz w:val="20"/>
          <w:szCs w:val="20"/>
          <w:color w:val="auto"/>
        </w:rPr>
      </w:pPr>
    </w:p>
    <w:p>
      <w:pPr>
        <w:ind w:right="260" w:firstLine="9"/>
        <w:spacing w:after="0" w:line="265" w:lineRule="auto"/>
        <w:tabs>
          <w:tab w:leader="none" w:pos="627" w:val="left"/>
        </w:tabs>
        <w:numPr>
          <w:ilvl w:val="0"/>
          <w:numId w:val="3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terminates for any reason, all unvested RSUs shall be cancelled immediately and the Participant shall not be entitled to receive any payments with respect thereto.</w:t>
      </w:r>
    </w:p>
    <w:p>
      <w:pPr>
        <w:spacing w:after="0" w:line="162" w:lineRule="exact"/>
        <w:rPr>
          <w:rFonts w:ascii="Arial" w:cs="Arial" w:eastAsia="Arial" w:hAnsi="Arial"/>
          <w:sz w:val="19"/>
          <w:szCs w:val="19"/>
          <w:b w:val="1"/>
          <w:bCs w:val="1"/>
          <w:color w:val="auto"/>
        </w:rPr>
      </w:pPr>
    </w:p>
    <w:p>
      <w:pPr>
        <w:ind w:right="160" w:firstLine="9"/>
        <w:spacing w:after="0" w:line="271" w:lineRule="auto"/>
        <w:tabs>
          <w:tab w:leader="none" w:pos="63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The Participant shall not be deemed for any purpose to be the owner of any shares of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58" w:lineRule="exact"/>
        <w:rPr>
          <w:rFonts w:ascii="Arial" w:cs="Arial" w:eastAsia="Arial" w:hAnsi="Arial"/>
          <w:sz w:val="18"/>
          <w:szCs w:val="18"/>
          <w:b w:val="1"/>
          <w:bCs w:val="1"/>
          <w:color w:val="auto"/>
        </w:rPr>
      </w:pPr>
    </w:p>
    <w:p>
      <w:pPr>
        <w:ind w:left="640" w:hanging="631"/>
        <w:spacing w:after="0"/>
        <w:tabs>
          <w:tab w:leader="none" w:pos="640" w:val="left"/>
        </w:tabs>
        <w:numPr>
          <w:ilvl w:val="0"/>
          <w:numId w:val="365"/>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4" w:lineRule="exact"/>
        <w:rPr>
          <w:rFonts w:ascii="Arial" w:cs="Arial" w:eastAsia="Arial" w:hAnsi="Arial"/>
          <w:sz w:val="19"/>
          <w:szCs w:val="19"/>
          <w:b w:val="1"/>
          <w:bCs w:val="1"/>
          <w:color w:val="auto"/>
        </w:rPr>
      </w:pPr>
    </w:p>
    <w:p>
      <w:pPr>
        <w:ind w:right="120" w:firstLine="644"/>
        <w:spacing w:after="0" w:line="253" w:lineRule="auto"/>
        <w:tabs>
          <w:tab w:leader="none" w:pos="1238" w:val="left"/>
        </w:tabs>
        <w:numPr>
          <w:ilvl w:val="1"/>
          <w:numId w:val="365"/>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9" w:lineRule="exact"/>
        <w:rPr>
          <w:rFonts w:ascii="Arial" w:cs="Arial" w:eastAsia="Arial" w:hAnsi="Arial"/>
          <w:sz w:val="19"/>
          <w:szCs w:val="19"/>
          <w:color w:val="auto"/>
        </w:rPr>
      </w:pPr>
    </w:p>
    <w:p>
      <w:pPr>
        <w:ind w:firstLine="644"/>
        <w:spacing w:after="0" w:line="265" w:lineRule="auto"/>
        <w:tabs>
          <w:tab w:leader="none" w:pos="1249" w:val="left"/>
        </w:tabs>
        <w:numPr>
          <w:ilvl w:val="1"/>
          <w:numId w:val="365"/>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81915</wp:posOffset>
            </wp:positionV>
            <wp:extent cx="661098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6">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20"/>
          </w:cols>
          <w:pgMar w:left="740" w:top="121" w:right="739" w:bottom="1440" w:gutter="0" w:footer="0" w:header="0"/>
        </w:sectPr>
      </w:pPr>
    </w:p>
    <w:bookmarkStart w:id="397" w:name="page398"/>
    <w:bookmarkEnd w:id="397"/>
    <w:p>
      <w:pPr>
        <w:ind w:left="-9" w:right="20" w:firstLine="9"/>
        <w:spacing w:after="0" w:line="264" w:lineRule="auto"/>
        <w:tabs>
          <w:tab w:leader="none" w:pos="621"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Shares and RSU award</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70" w:lineRule="exact"/>
        <w:rPr>
          <w:rFonts w:ascii="Arial" w:cs="Arial" w:eastAsia="Arial" w:hAnsi="Arial"/>
          <w:sz w:val="18"/>
          <w:szCs w:val="18"/>
          <w:b w:val="1"/>
          <w:bCs w:val="1"/>
          <w:color w:val="auto"/>
        </w:rPr>
      </w:pPr>
    </w:p>
    <w:p>
      <w:pPr>
        <w:ind w:left="631" w:hanging="631"/>
        <w:spacing w:after="0"/>
        <w:tabs>
          <w:tab w:leader="none" w:pos="631" w:val="left"/>
        </w:tabs>
        <w:numPr>
          <w:ilvl w:val="0"/>
          <w:numId w:val="366"/>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24" w:lineRule="exact"/>
        <w:rPr>
          <w:rFonts w:ascii="Arial" w:cs="Arial" w:eastAsia="Arial" w:hAnsi="Arial"/>
          <w:sz w:val="19"/>
          <w:szCs w:val="19"/>
          <w:b w:val="1"/>
          <w:bCs w:val="1"/>
          <w:color w:val="auto"/>
        </w:rPr>
      </w:pPr>
    </w:p>
    <w:p>
      <w:pPr>
        <w:jc w:val="both"/>
        <w:ind w:left="-9" w:right="40" w:firstLine="644"/>
        <w:spacing w:after="0" w:line="262" w:lineRule="auto"/>
        <w:tabs>
          <w:tab w:leader="none" w:pos="1374" w:val="left"/>
        </w:tabs>
        <w:numPr>
          <w:ilvl w:val="1"/>
          <w:numId w:val="366"/>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70" w:lineRule="exact"/>
        <w:rPr>
          <w:rFonts w:ascii="Arial" w:cs="Arial" w:eastAsia="Arial" w:hAnsi="Arial"/>
          <w:sz w:val="19"/>
          <w:szCs w:val="19"/>
          <w:color w:val="auto"/>
        </w:rPr>
      </w:pPr>
    </w:p>
    <w:p>
      <w:pPr>
        <w:ind w:left="-9" w:right="180" w:firstLine="644"/>
        <w:spacing w:after="0" w:line="253" w:lineRule="auto"/>
        <w:tabs>
          <w:tab w:leader="none" w:pos="1385" w:val="left"/>
        </w:tabs>
        <w:numPr>
          <w:ilvl w:val="1"/>
          <w:numId w:val="366"/>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3" w:lineRule="exact"/>
        <w:rPr>
          <w:rFonts w:ascii="Arial" w:cs="Arial" w:eastAsia="Arial" w:hAnsi="Arial"/>
          <w:sz w:val="19"/>
          <w:szCs w:val="19"/>
          <w:color w:val="auto"/>
        </w:rPr>
      </w:pPr>
    </w:p>
    <w:p>
      <w:pPr>
        <w:ind w:left="671" w:hanging="671"/>
        <w:spacing w:after="0"/>
        <w:tabs>
          <w:tab w:leader="none" w:pos="671" w:val="left"/>
        </w:tabs>
        <w:numPr>
          <w:ilvl w:val="0"/>
          <w:numId w:val="366"/>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4" w:lineRule="exact"/>
        <w:rPr>
          <w:rFonts w:ascii="Arial" w:cs="Arial" w:eastAsia="Arial" w:hAnsi="Arial"/>
          <w:sz w:val="19"/>
          <w:szCs w:val="19"/>
          <w:b w:val="1"/>
          <w:bCs w:val="1"/>
          <w:color w:val="auto"/>
        </w:rPr>
      </w:pPr>
    </w:p>
    <w:p>
      <w:pPr>
        <w:ind w:left="-9" w:right="60" w:firstLine="644"/>
        <w:spacing w:after="0" w:line="254" w:lineRule="auto"/>
        <w:tabs>
          <w:tab w:leader="none" w:pos="1228" w:val="left"/>
        </w:tabs>
        <w:numPr>
          <w:ilvl w:val="1"/>
          <w:numId w:val="36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RSUs may not be assigned, alienated, pledged, attached, sold or otherwise transferred or encumbered (a “Transfer”)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9" w:lineRule="exact"/>
        <w:rPr>
          <w:rFonts w:ascii="Arial" w:cs="Arial" w:eastAsia="Arial" w:hAnsi="Arial"/>
          <w:sz w:val="19"/>
          <w:szCs w:val="19"/>
          <w:color w:val="auto"/>
        </w:rPr>
      </w:pPr>
    </w:p>
    <w:p>
      <w:pPr>
        <w:ind w:left="-9" w:firstLine="644"/>
        <w:spacing w:after="0" w:line="276" w:lineRule="auto"/>
        <w:tabs>
          <w:tab w:leader="none" w:pos="1239"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0" w:lineRule="exact"/>
        <w:rPr>
          <w:sz w:val="20"/>
          <w:szCs w:val="20"/>
          <w:color w:val="auto"/>
        </w:rPr>
      </w:pPr>
    </w:p>
    <w:p>
      <w:pPr>
        <w:spacing w:after="0" w:line="396" w:lineRule="exact"/>
        <w:rPr>
          <w:sz w:val="20"/>
          <w:szCs w:val="20"/>
          <w:color w:val="auto"/>
        </w:rPr>
      </w:pPr>
    </w:p>
    <w:p>
      <w:pPr>
        <w:jc w:val="center"/>
        <w:ind w:right="-1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61098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7">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411"/>
          </w:cols>
          <w:pgMar w:left="749" w:top="115" w:right="739" w:bottom="1440" w:gutter="0" w:footer="0" w:header="0"/>
        </w:sectPr>
      </w:pPr>
    </w:p>
    <w:bookmarkStart w:id="398" w:name="page399"/>
    <w:bookmarkEnd w:id="398"/>
    <w:p>
      <w:pPr>
        <w:ind w:left="-20" w:right="160" w:firstLine="644"/>
        <w:spacing w:after="0" w:line="284" w:lineRule="auto"/>
        <w:tabs>
          <w:tab w:leader="none" w:pos="1218"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54" w:lineRule="exact"/>
        <w:rPr>
          <w:rFonts w:ascii="Arial" w:cs="Arial" w:eastAsia="Arial" w:hAnsi="Arial"/>
          <w:sz w:val="17"/>
          <w:szCs w:val="17"/>
          <w:color w:val="auto"/>
        </w:rPr>
      </w:pPr>
    </w:p>
    <w:p>
      <w:pPr>
        <w:jc w:val="both"/>
        <w:ind w:left="-20" w:right="280" w:firstLine="644"/>
        <w:spacing w:after="0" w:line="262" w:lineRule="auto"/>
        <w:tabs>
          <w:tab w:leader="none" w:pos="1229"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0" w:lineRule="exact"/>
        <w:rPr>
          <w:rFonts w:ascii="Arial" w:cs="Arial" w:eastAsia="Arial" w:hAnsi="Arial"/>
          <w:sz w:val="19"/>
          <w:szCs w:val="19"/>
          <w:color w:val="auto"/>
        </w:rPr>
      </w:pPr>
    </w:p>
    <w:p>
      <w:pPr>
        <w:ind w:left="-20" w:firstLine="644"/>
        <w:spacing w:after="0" w:line="254" w:lineRule="auto"/>
        <w:tabs>
          <w:tab w:leader="none" w:pos="1218"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9" w:lineRule="exact"/>
        <w:rPr>
          <w:rFonts w:ascii="Arial" w:cs="Arial" w:eastAsia="Arial" w:hAnsi="Arial"/>
          <w:sz w:val="19"/>
          <w:szCs w:val="19"/>
          <w:color w:val="auto"/>
        </w:rPr>
      </w:pPr>
    </w:p>
    <w:p>
      <w:pPr>
        <w:ind w:left="-20" w:right="420" w:firstLine="644"/>
        <w:spacing w:after="0" w:line="262" w:lineRule="auto"/>
        <w:tabs>
          <w:tab w:leader="none" w:pos="1196"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0" w:lineRule="exact"/>
        <w:rPr>
          <w:rFonts w:ascii="Arial" w:cs="Arial" w:eastAsia="Arial" w:hAnsi="Arial"/>
          <w:sz w:val="19"/>
          <w:szCs w:val="19"/>
          <w:color w:val="auto"/>
        </w:rPr>
      </w:pPr>
    </w:p>
    <w:p>
      <w:pPr>
        <w:ind w:left="-20" w:right="260" w:firstLine="644"/>
        <w:spacing w:after="0" w:line="257" w:lineRule="auto"/>
        <w:tabs>
          <w:tab w:leader="none" w:pos="1229"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5" w:lineRule="exact"/>
        <w:rPr>
          <w:rFonts w:ascii="Arial" w:cs="Arial" w:eastAsia="Arial" w:hAnsi="Arial"/>
          <w:sz w:val="19"/>
          <w:szCs w:val="19"/>
          <w:color w:val="auto"/>
        </w:rPr>
      </w:pPr>
    </w:p>
    <w:p>
      <w:pPr>
        <w:ind w:left="-20" w:right="20" w:firstLine="644"/>
        <w:spacing w:after="0" w:line="262" w:lineRule="auto"/>
        <w:tabs>
          <w:tab w:leader="none" w:pos="1229"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0" w:lineRule="exact"/>
        <w:rPr>
          <w:rFonts w:ascii="Arial" w:cs="Arial" w:eastAsia="Arial" w:hAnsi="Arial"/>
          <w:sz w:val="19"/>
          <w:szCs w:val="19"/>
          <w:color w:val="auto"/>
        </w:rPr>
      </w:pPr>
    </w:p>
    <w:p>
      <w:pPr>
        <w:ind w:left="-20" w:right="120" w:firstLine="644"/>
        <w:spacing w:after="0" w:line="278" w:lineRule="auto"/>
        <w:tabs>
          <w:tab w:leader="none" w:pos="1186"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5" w:lineRule="exact"/>
        <w:rPr>
          <w:rFonts w:ascii="Arial" w:cs="Arial" w:eastAsia="Arial" w:hAnsi="Arial"/>
          <w:sz w:val="19"/>
          <w:szCs w:val="19"/>
          <w:color w:val="auto"/>
        </w:rPr>
      </w:pPr>
    </w:p>
    <w:p>
      <w:pPr>
        <w:ind w:left="-20" w:right="80" w:firstLine="644"/>
        <w:spacing w:after="0" w:line="339" w:lineRule="auto"/>
        <w:tabs>
          <w:tab w:leader="none" w:pos="1186"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81915</wp:posOffset>
            </wp:positionV>
            <wp:extent cx="661098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8">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80"/>
          </w:cols>
          <w:pgMar w:left="760" w:top="121" w:right="759" w:bottom="1440" w:gutter="0" w:footer="0" w:header="0"/>
        </w:sectPr>
      </w:pPr>
    </w:p>
    <w:bookmarkStart w:id="399" w:name="page400"/>
    <w:bookmarkEnd w:id="399"/>
    <w:p>
      <w:pPr>
        <w:ind w:left="-9" w:firstLine="644"/>
        <w:spacing w:after="0" w:line="255" w:lineRule="auto"/>
        <w:tabs>
          <w:tab w:leader="none" w:pos="1239" w:val="left"/>
        </w:tabs>
        <w:numPr>
          <w:ilvl w:val="1"/>
          <w:numId w:val="36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76" w:lineRule="exact"/>
        <w:rPr>
          <w:rFonts w:ascii="Arial" w:cs="Arial" w:eastAsia="Arial" w:hAnsi="Arial"/>
          <w:sz w:val="19"/>
          <w:szCs w:val="19"/>
          <w:color w:val="auto"/>
        </w:rPr>
      </w:pPr>
    </w:p>
    <w:p>
      <w:pPr>
        <w:ind w:left="-9" w:right="80" w:firstLine="644"/>
        <w:spacing w:after="0" w:line="262" w:lineRule="auto"/>
        <w:tabs>
          <w:tab w:leader="none" w:pos="1196" w:val="left"/>
        </w:tabs>
        <w:numPr>
          <w:ilvl w:val="1"/>
          <w:numId w:val="368"/>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0" w:lineRule="exact"/>
        <w:rPr>
          <w:rFonts w:ascii="Arial" w:cs="Arial" w:eastAsia="Arial" w:hAnsi="Arial"/>
          <w:sz w:val="19"/>
          <w:szCs w:val="19"/>
          <w:color w:val="auto"/>
        </w:rPr>
      </w:pPr>
    </w:p>
    <w:p>
      <w:pPr>
        <w:ind w:left="631" w:right="20" w:firstLine="639"/>
        <w:spacing w:after="0" w:line="265" w:lineRule="auto"/>
        <w:tabs>
          <w:tab w:leader="none" w:pos="1836" w:val="left"/>
        </w:tabs>
        <w:numPr>
          <w:ilvl w:val="2"/>
          <w:numId w:val="368"/>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75" w:lineRule="exact"/>
        <w:rPr>
          <w:rFonts w:ascii="Arial" w:cs="Arial" w:eastAsia="Arial" w:hAnsi="Arial"/>
          <w:sz w:val="18"/>
          <w:szCs w:val="18"/>
          <w:color w:val="auto"/>
        </w:rPr>
      </w:pPr>
    </w:p>
    <w:p>
      <w:pPr>
        <w:ind w:left="631" w:right="40" w:firstLine="639"/>
        <w:spacing w:after="0" w:line="250" w:lineRule="auto"/>
        <w:tabs>
          <w:tab w:leader="none" w:pos="1890" w:val="left"/>
        </w:tabs>
        <w:numPr>
          <w:ilvl w:val="2"/>
          <w:numId w:val="368"/>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rFonts w:ascii="Arial" w:cs="Arial" w:eastAsia="Arial" w:hAnsi="Arial"/>
          <w:sz w:val="19"/>
          <w:szCs w:val="19"/>
          <w:color w:val="auto"/>
        </w:rPr>
      </w:pPr>
    </w:p>
    <w:p>
      <w:pPr>
        <w:ind w:left="-9" w:right="440" w:firstLine="9"/>
        <w:spacing w:after="0" w:line="260" w:lineRule="auto"/>
        <w:tabs>
          <w:tab w:leader="none" w:pos="297" w:val="left"/>
        </w:tabs>
        <w:numPr>
          <w:ilvl w:val="0"/>
          <w:numId w:val="369"/>
        </w:numPr>
        <w:rPr>
          <w:rFonts w:ascii="Arial" w:cs="Arial" w:eastAsia="Arial" w:hAnsi="Arial"/>
          <w:sz w:val="19"/>
          <w:szCs w:val="19"/>
          <w:color w:val="auto"/>
        </w:rPr>
      </w:pPr>
      <w:r>
        <w:rPr>
          <w:rFonts w:ascii="Arial" w:cs="Arial" w:eastAsia="Arial" w:hAnsi="Arial"/>
          <w:sz w:val="19"/>
          <w:szCs w:val="19"/>
          <w:color w:val="auto"/>
        </w:rPr>
        <w:t>acknowledges that it and the other parties hereto have been induced to enter into this Agreement by, among other things, the mutual waivers and certifications in this section.</w:t>
      </w:r>
    </w:p>
    <w:p>
      <w:pPr>
        <w:spacing w:after="0" w:line="172" w:lineRule="exact"/>
        <w:rPr>
          <w:rFonts w:ascii="Arial" w:cs="Arial" w:eastAsia="Arial" w:hAnsi="Arial"/>
          <w:sz w:val="19"/>
          <w:szCs w:val="19"/>
          <w:color w:val="auto"/>
        </w:rPr>
      </w:pPr>
    </w:p>
    <w:p>
      <w:pPr>
        <w:ind w:left="-9" w:right="160" w:firstLine="644"/>
        <w:spacing w:after="0" w:line="262" w:lineRule="auto"/>
        <w:tabs>
          <w:tab w:leader="none" w:pos="1293" w:val="left"/>
        </w:tabs>
        <w:numPr>
          <w:ilvl w:val="1"/>
          <w:numId w:val="369"/>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0" w:lineRule="exact"/>
        <w:rPr>
          <w:rFonts w:ascii="Arial" w:cs="Arial" w:eastAsia="Arial" w:hAnsi="Arial"/>
          <w:sz w:val="19"/>
          <w:szCs w:val="19"/>
          <w:color w:val="auto"/>
        </w:rPr>
      </w:pPr>
    </w:p>
    <w:p>
      <w:pPr>
        <w:ind w:left="-9" w:right="200" w:firstLine="644"/>
        <w:spacing w:after="0" w:line="257" w:lineRule="auto"/>
        <w:tabs>
          <w:tab w:leader="none" w:pos="1239" w:val="left"/>
        </w:tabs>
        <w:numPr>
          <w:ilvl w:val="1"/>
          <w:numId w:val="36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5" w:lineRule="exact"/>
        <w:rPr>
          <w:rFonts w:ascii="Arial" w:cs="Arial" w:eastAsia="Arial" w:hAnsi="Arial"/>
          <w:sz w:val="19"/>
          <w:szCs w:val="19"/>
          <w:color w:val="auto"/>
        </w:rPr>
      </w:pPr>
    </w:p>
    <w:p>
      <w:pPr>
        <w:ind w:left="-9" w:right="320" w:firstLine="644"/>
        <w:spacing w:after="0" w:line="272" w:lineRule="auto"/>
        <w:tabs>
          <w:tab w:leader="none" w:pos="1239" w:val="left"/>
        </w:tabs>
        <w:numPr>
          <w:ilvl w:val="1"/>
          <w:numId w:val="369"/>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200" w:lineRule="exact"/>
        <w:rPr>
          <w:sz w:val="20"/>
          <w:szCs w:val="20"/>
          <w:color w:val="auto"/>
        </w:rPr>
      </w:pPr>
    </w:p>
    <w:p>
      <w:pPr>
        <w:spacing w:after="0" w:line="400" w:lineRule="exact"/>
        <w:rPr>
          <w:sz w:val="20"/>
          <w:szCs w:val="20"/>
          <w:color w:val="auto"/>
        </w:rPr>
      </w:pPr>
    </w:p>
    <w:p>
      <w:pPr>
        <w:jc w:val="center"/>
        <w:ind w:right="-3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61098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9">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371"/>
          </w:cols>
          <w:pgMar w:left="749" w:top="121" w:right="779" w:bottom="1440" w:gutter="0" w:footer="0" w:header="0"/>
        </w:sectPr>
      </w:pPr>
    </w:p>
    <w:bookmarkStart w:id="400" w:name="page401"/>
    <w:bookmarkEnd w:id="400"/>
    <w:p>
      <w:pPr>
        <w:ind w:left="-140" w:firstLine="644"/>
        <w:spacing w:after="0" w:line="257" w:lineRule="auto"/>
        <w:tabs>
          <w:tab w:leader="none" w:pos="1109" w:val="left"/>
        </w:tabs>
        <w:numPr>
          <w:ilvl w:val="0"/>
          <w:numId w:val="370"/>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81915</wp:posOffset>
            </wp:positionV>
            <wp:extent cx="661098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0">
                      <a:extLst>
                        <a:ext uri="{28A0092B-C50C-407E-A947-70E740481C1C}"/>
                      </a:extLst>
                    </a:blip>
                    <a:srcRect/>
                    <a:stretch>
                      <a:fillRect/>
                    </a:stretch>
                  </pic:blipFill>
                  <pic:spPr bwMode="auto">
                    <a:xfrm>
                      <a:off x="0" y="0"/>
                      <a:ext cx="6610985" cy="25400"/>
                    </a:xfrm>
                    <a:prstGeom prst="rect">
                      <a:avLst/>
                    </a:prstGeom>
                    <a:noFill/>
                  </pic:spPr>
                </pic:pic>
              </a:graphicData>
            </a:graphic>
          </wp:anchor>
        </w:drawing>
      </w:r>
    </w:p>
    <w:p>
      <w:pPr>
        <w:sectPr>
          <w:pgSz w:w="11900" w:h="16838" w:orient="portrait"/>
          <w:cols w:equalWidth="0" w:num="1">
            <w:col w:w="10160"/>
          </w:cols>
          <w:pgMar w:left="880" w:top="121" w:right="859" w:bottom="1440" w:gutter="0" w:footer="0" w:header="0"/>
        </w:sectPr>
      </w:pPr>
    </w:p>
    <w:bookmarkStart w:id="401" w:name="page402"/>
    <w:bookmarkEnd w:id="401"/>
    <w:p>
      <w:pPr>
        <w:ind w:right="520" w:firstLine="863"/>
        <w:spacing w:after="0" w:line="278" w:lineRule="auto"/>
        <w:rPr>
          <w:sz w:val="20"/>
          <w:szCs w:val="20"/>
          <w:color w:val="auto"/>
        </w:rPr>
      </w:pPr>
      <w:r>
        <w:rPr>
          <w:rFonts w:ascii="Arial" w:cs="Arial" w:eastAsia="Arial" w:hAnsi="Arial"/>
          <w:sz w:val="19"/>
          <w:szCs w:val="19"/>
          <w:color w:val="auto"/>
        </w:rPr>
        <w:t>IN WITNESS WHEREOF, this Agreement has been executed by the Company and the Participant as of the day first written above.</w:t>
      </w:r>
    </w:p>
    <w:p>
      <w:pPr>
        <w:spacing w:after="0" w:line="176" w:lineRule="exact"/>
        <w:rPr>
          <w:sz w:val="20"/>
          <w:szCs w:val="20"/>
          <w:color w:val="auto"/>
        </w:rPr>
      </w:pPr>
    </w:p>
    <w:p>
      <w:pPr>
        <w:ind w:left="5220"/>
        <w:spacing w:after="0"/>
        <w:rPr>
          <w:sz w:val="20"/>
          <w:szCs w:val="20"/>
          <w:color w:val="auto"/>
        </w:rPr>
      </w:pPr>
      <w:r>
        <w:rPr>
          <w:rFonts w:ascii="Arial" w:cs="Arial" w:eastAsia="Arial" w:hAnsi="Arial"/>
          <w:sz w:val="19"/>
          <w:szCs w:val="19"/>
          <w:b w:val="1"/>
          <w:bCs w:val="1"/>
          <w:color w:val="auto"/>
        </w:rPr>
        <w:t>VIRTU FINANCIAL, INC.</w:t>
      </w:r>
    </w:p>
    <w:p>
      <w:pPr>
        <w:spacing w:after="0" w:line="200" w:lineRule="exact"/>
        <w:rPr>
          <w:sz w:val="20"/>
          <w:szCs w:val="20"/>
          <w:color w:val="auto"/>
        </w:rPr>
      </w:pPr>
    </w:p>
    <w:p>
      <w:pPr>
        <w:spacing w:after="0" w:line="262"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By: /s/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14605</wp:posOffset>
            </wp:positionV>
            <wp:extent cx="30657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1">
                      <a:extLst>
                        <a:ext uri="{28A0092B-C50C-407E-A947-70E740481C1C}"/>
                      </a:extLst>
                    </a:blip>
                    <a:srcRect/>
                    <a:stretch>
                      <a:fillRect/>
                    </a:stretch>
                  </pic:blipFill>
                  <pic:spPr bwMode="auto">
                    <a:xfrm>
                      <a:off x="0" y="0"/>
                      <a:ext cx="3065780" cy="8255"/>
                    </a:xfrm>
                    <a:prstGeom prst="rect">
                      <a:avLst/>
                    </a:prstGeom>
                    <a:noFill/>
                  </pic:spPr>
                </pic:pic>
              </a:graphicData>
            </a:graphic>
          </wp:anchor>
        </w:drawing>
      </w:r>
    </w:p>
    <w:p>
      <w:pPr>
        <w:spacing w:after="0" w:line="8"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Name: Douglas A. Cifu</w:t>
      </w:r>
    </w:p>
    <w:p>
      <w:pPr>
        <w:spacing w:after="0" w:line="14"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580" w:type="dxa"/>
            <w:vAlign w:val="bottom"/>
          </w:tcPr>
          <w:p>
            <w:pPr>
              <w:jc w:val="right"/>
              <w:ind w:right="263"/>
              <w:spacing w:after="0"/>
              <w:rPr>
                <w:sz w:val="20"/>
                <w:szCs w:val="20"/>
                <w:color w:val="auto"/>
              </w:rPr>
            </w:pPr>
            <w:r>
              <w:rPr>
                <w:rFonts w:ascii="Arial" w:cs="Arial" w:eastAsia="Arial" w:hAnsi="Arial"/>
                <w:sz w:val="19"/>
                <w:szCs w:val="19"/>
                <w:color w:val="auto"/>
              </w:rPr>
              <w:t>Signature: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 xml:space="preserve">/s/ </w:t>
            </w:r>
            <w:r>
              <w:rPr>
                <w:rFonts w:ascii="Arial" w:cs="Arial" w:eastAsia="Arial" w:hAnsi="Arial"/>
                <w:sz w:val="19"/>
                <w:szCs w:val="19"/>
                <w:i w:val="1"/>
                <w:iCs w:val="1"/>
                <w:color w:val="auto"/>
              </w:rPr>
              <w:t>Joseph A. Molluso</w:t>
            </w:r>
          </w:p>
        </w:tc>
        <w:tc>
          <w:tcPr>
            <w:tcW w:w="20" w:type="dxa"/>
            <w:vAlign w:val="bottom"/>
          </w:tcPr>
          <w:p>
            <w:pPr>
              <w:spacing w:after="0"/>
              <w:rPr>
                <w:sz w:val="21"/>
                <w:szCs w:val="21"/>
                <w:color w:val="auto"/>
              </w:rPr>
            </w:pPr>
          </w:p>
        </w:tc>
      </w:tr>
      <w:tr>
        <w:trPr>
          <w:trHeight w:val="240"/>
        </w:trPr>
        <w:tc>
          <w:tcPr>
            <w:tcW w:w="55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9"/>
                <w:szCs w:val="19"/>
                <w:color w:val="auto"/>
              </w:rPr>
              <w:t>Joseph A. Molluso (Jan 24, 2018)</w:t>
            </w:r>
          </w:p>
        </w:tc>
        <w:tc>
          <w:tcPr>
            <w:tcW w:w="20" w:type="dxa"/>
            <w:vAlign w:val="bottom"/>
          </w:tcPr>
          <w:p>
            <w:pPr>
              <w:spacing w:after="0"/>
              <w:rPr>
                <w:sz w:val="20"/>
                <w:szCs w:val="20"/>
                <w:color w:val="auto"/>
              </w:rPr>
            </w:pPr>
          </w:p>
        </w:tc>
      </w:tr>
      <w:tr>
        <w:trPr>
          <w:trHeight w:val="428"/>
        </w:trPr>
        <w:tc>
          <w:tcPr>
            <w:tcW w:w="5580" w:type="dxa"/>
            <w:vAlign w:val="bottom"/>
          </w:tcPr>
          <w:p>
            <w:pPr>
              <w:jc w:val="right"/>
              <w:ind w:right="263"/>
              <w:spacing w:after="0"/>
              <w:rPr>
                <w:sz w:val="20"/>
                <w:szCs w:val="20"/>
                <w:color w:val="auto"/>
              </w:rPr>
            </w:pPr>
            <w:r>
              <w:rPr>
                <w:rFonts w:ascii="Arial" w:cs="Arial" w:eastAsia="Arial" w:hAnsi="Arial"/>
                <w:sz w:val="19"/>
                <w:szCs w:val="19"/>
                <w:color w:val="auto"/>
              </w:rPr>
              <w:t>Email:</w:t>
            </w:r>
          </w:p>
        </w:tc>
        <w:tc>
          <w:tcPr>
            <w:tcW w:w="48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REDACTED</w:t>
            </w:r>
          </w:p>
        </w:tc>
        <w:tc>
          <w:tcPr>
            <w:tcW w:w="20" w:type="dxa"/>
            <w:vAlign w:val="bottom"/>
          </w:tcPr>
          <w:p>
            <w:pPr>
              <w:spacing w:after="0"/>
              <w:rPr>
                <w:sz w:val="24"/>
                <w:szCs w:val="24"/>
                <w:color w:val="auto"/>
              </w:rPr>
            </w:pPr>
          </w:p>
        </w:tc>
      </w:tr>
      <w:tr>
        <w:trPr>
          <w:trHeight w:val="240"/>
        </w:trPr>
        <w:tc>
          <w:tcPr>
            <w:tcW w:w="55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9"/>
                <w:szCs w:val="19"/>
                <w:color w:val="auto"/>
              </w:rPr>
              <w:t>Joseph Molluso</w:t>
            </w:r>
          </w:p>
        </w:tc>
        <w:tc>
          <w:tcPr>
            <w:tcW w:w="20" w:type="dxa"/>
            <w:vAlign w:val="bottom"/>
          </w:tcPr>
          <w:p>
            <w:pPr>
              <w:spacing w:after="0"/>
              <w:rPr>
                <w:sz w:val="20"/>
                <w:szCs w:val="20"/>
                <w:color w:val="auto"/>
              </w:rPr>
            </w:pPr>
          </w:p>
        </w:tc>
      </w:tr>
      <w:tr>
        <w:trPr>
          <w:trHeight w:val="434"/>
        </w:trPr>
        <w:tc>
          <w:tcPr>
            <w:tcW w:w="55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347" w:right="7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9"/>
          <w:szCs w:val="19"/>
          <w:b w:val="1"/>
          <w:bCs w:val="1"/>
          <w:color w:val="auto"/>
        </w:rPr>
        <w:t>Exhibit 10.9</w:t>
      </w:r>
    </w:p>
    <w:p>
      <w:pPr>
        <w:spacing w:after="0" w:line="177"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VIRTU FINANCIAL, INC.</w:t>
      </w:r>
    </w:p>
    <w:p>
      <w:pPr>
        <w:spacing w:after="0" w:line="28"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2015 MANAGEMENT INCENTIVE PLAN</w:t>
      </w:r>
    </w:p>
    <w:p>
      <w:pPr>
        <w:spacing w:after="0" w:line="6"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color w:val="auto"/>
        </w:rPr>
        <w:t>EMPLOYEE</w:t>
      </w:r>
    </w:p>
    <w:p>
      <w:pPr>
        <w:spacing w:after="0" w:line="6" w:lineRule="exact"/>
        <w:rPr>
          <w:sz w:val="20"/>
          <w:szCs w:val="20"/>
          <w:color w:val="auto"/>
        </w:rPr>
      </w:pPr>
    </w:p>
    <w:p>
      <w:pPr>
        <w:jc w:val="center"/>
        <w:ind w:right="-2"/>
        <w:spacing w:after="0"/>
        <w:rPr>
          <w:sz w:val="20"/>
          <w:szCs w:val="20"/>
          <w:color w:val="auto"/>
        </w:rPr>
      </w:pPr>
      <w:r>
        <w:rPr>
          <w:rFonts w:ascii="Arial" w:cs="Arial" w:eastAsia="Arial" w:hAnsi="Arial"/>
          <w:sz w:val="19"/>
          <w:szCs w:val="19"/>
          <w:b w:val="1"/>
          <w:bCs w:val="1"/>
          <w:u w:val="single" w:color="auto"/>
          <w:color w:val="auto"/>
        </w:rPr>
        <w:t>RESTRICTED STOCK UNIT AND COMMON STOCK AWARD AGREEMENT</w:t>
      </w:r>
    </w:p>
    <w:p>
      <w:pPr>
        <w:spacing w:after="0" w:line="176" w:lineRule="exact"/>
        <w:rPr>
          <w:sz w:val="20"/>
          <w:szCs w:val="20"/>
          <w:color w:val="auto"/>
        </w:rPr>
      </w:pPr>
    </w:p>
    <w:p>
      <w:pPr>
        <w:ind w:left="3" w:right="180" w:firstLine="635"/>
        <w:spacing w:after="0" w:line="262"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January 23, 2018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Douglas Cifu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31" w:lineRule="exact"/>
        <w:rPr>
          <w:sz w:val="20"/>
          <w:szCs w:val="20"/>
          <w:color w:val="auto"/>
        </w:rPr>
      </w:pPr>
    </w:p>
    <w:p>
      <w:pPr>
        <w:ind w:left="3" w:right="60" w:firstLine="635"/>
        <w:spacing w:after="0" w:line="339" w:lineRule="auto"/>
        <w:rPr>
          <w:sz w:val="20"/>
          <w:szCs w:val="20"/>
          <w:color w:val="auto"/>
        </w:rPr>
      </w:pPr>
      <w:r>
        <w:rPr>
          <w:rFonts w:ascii="Arial" w:cs="Arial" w:eastAsia="Arial" w:hAnsi="Arial"/>
          <w:sz w:val="17"/>
          <w:szCs w:val="17"/>
          <w:color w:val="auto"/>
        </w:rPr>
        <w:t>WHEREAS, the Company has adopted the Virtu Financial, Inc. 2015 Amended and Restated Management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pursuant to which shares of Class A Common Stock and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70" w:lineRule="exact"/>
        <w:rPr>
          <w:sz w:val="20"/>
          <w:szCs w:val="20"/>
          <w:color w:val="auto"/>
        </w:rPr>
      </w:pPr>
    </w:p>
    <w:p>
      <w:pPr>
        <w:ind w:left="3" w:right="20" w:firstLine="635"/>
        <w:spacing w:after="0" w:line="257" w:lineRule="auto"/>
        <w:rPr>
          <w:sz w:val="20"/>
          <w:szCs w:val="20"/>
          <w:color w:val="auto"/>
        </w:rPr>
      </w:pPr>
      <w:r>
        <w:rPr>
          <w:rFonts w:ascii="Arial" w:cs="Arial" w:eastAsia="Arial" w:hAnsi="Arial"/>
          <w:sz w:val="19"/>
          <w:szCs w:val="19"/>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2017 through December 31, 2017, and RSUs provided for herein to the Participant subject to the terms set forth herein.</w:t>
      </w:r>
    </w:p>
    <w:p>
      <w:pPr>
        <w:spacing w:after="0" w:line="149" w:lineRule="exact"/>
        <w:rPr>
          <w:sz w:val="20"/>
          <w:szCs w:val="20"/>
          <w:color w:val="auto"/>
        </w:rPr>
      </w:pPr>
    </w:p>
    <w:p>
      <w:pPr>
        <w:ind w:left="3" w:right="240" w:firstLine="635"/>
        <w:spacing w:after="0" w:line="262"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25" w:lineRule="exact"/>
        <w:rPr>
          <w:sz w:val="20"/>
          <w:szCs w:val="20"/>
          <w:color w:val="auto"/>
        </w:rPr>
      </w:pPr>
    </w:p>
    <w:p>
      <w:pPr>
        <w:ind w:left="623" w:hanging="623"/>
        <w:spacing w:after="0"/>
        <w:tabs>
          <w:tab w:leader="none" w:pos="623" w:val="left"/>
        </w:tabs>
        <w:numPr>
          <w:ilvl w:val="0"/>
          <w:numId w:val="371"/>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184" w:lineRule="exact"/>
        <w:rPr>
          <w:rFonts w:ascii="Arial" w:cs="Arial" w:eastAsia="Arial" w:hAnsi="Arial"/>
          <w:sz w:val="19"/>
          <w:szCs w:val="19"/>
          <w:b w:val="1"/>
          <w:bCs w:val="1"/>
          <w:color w:val="auto"/>
        </w:rPr>
      </w:pPr>
    </w:p>
    <w:p>
      <w:pPr>
        <w:ind w:left="3" w:right="80" w:firstLine="632"/>
        <w:spacing w:after="0" w:line="252" w:lineRule="auto"/>
        <w:tabs>
          <w:tab w:leader="none" w:pos="1289" w:val="left"/>
        </w:tabs>
        <w:numPr>
          <w:ilvl w:val="1"/>
          <w:numId w:val="371"/>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number of shares of Class A Common Stock equal to approximately $ 600,000.00 divided by the Issue Price (the “</w:t>
      </w:r>
      <w:r>
        <w:rPr>
          <w:rFonts w:ascii="Arial" w:cs="Arial" w:eastAsia="Arial" w:hAnsi="Arial"/>
          <w:sz w:val="19"/>
          <w:szCs w:val="19"/>
          <w:u w:val="single" w:color="auto"/>
          <w:color w:val="auto"/>
        </w:rPr>
        <w:t>Shares</w:t>
      </w:r>
      <w:r>
        <w:rPr>
          <w:rFonts w:ascii="Arial" w:cs="Arial" w:eastAsia="Arial" w:hAnsi="Arial"/>
          <w:sz w:val="19"/>
          <w:szCs w:val="19"/>
          <w:color w:val="auto"/>
        </w:rPr>
        <w:t>”), and a total number of RSUs equal to approximately $ 900,000.00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Arial" w:cs="Arial" w:eastAsia="Arial" w:hAnsi="Arial"/>
          <w:sz w:val="19"/>
          <w:szCs w:val="19"/>
          <w:u w:val="single" w:color="auto"/>
          <w:color w:val="auto"/>
        </w:rPr>
        <w:t>Issue Price</w:t>
      </w:r>
      <w:r>
        <w:rPr>
          <w:rFonts w:ascii="Arial" w:cs="Arial" w:eastAsia="Arial" w:hAnsi="Arial"/>
          <w:sz w:val="19"/>
          <w:szCs w:val="19"/>
          <w:color w:val="auto"/>
        </w:rPr>
        <w:t>” shall mean the volume weighted average price of shares of the Company’s Class A Common Stock traded during the three days preceding the Date of Grant, as determined by the Company.</w:t>
      </w:r>
    </w:p>
    <w:p>
      <w:pPr>
        <w:spacing w:after="0" w:line="153" w:lineRule="exact"/>
        <w:rPr>
          <w:rFonts w:ascii="Arial" w:cs="Arial" w:eastAsia="Arial" w:hAnsi="Arial"/>
          <w:sz w:val="19"/>
          <w:szCs w:val="19"/>
          <w:color w:val="auto"/>
        </w:rPr>
      </w:pPr>
    </w:p>
    <w:p>
      <w:pPr>
        <w:ind w:left="3" w:right="240" w:firstLine="632"/>
        <w:spacing w:after="0" w:line="285" w:lineRule="auto"/>
        <w:tabs>
          <w:tab w:leader="none" w:pos="1300" w:val="left"/>
        </w:tabs>
        <w:numPr>
          <w:ilvl w:val="1"/>
          <w:numId w:val="371"/>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08" w:lineRule="exact"/>
        <w:rPr>
          <w:rFonts w:ascii="Arial" w:cs="Arial" w:eastAsia="Arial" w:hAnsi="Arial"/>
          <w:sz w:val="17"/>
          <w:szCs w:val="17"/>
          <w:color w:val="auto"/>
        </w:rPr>
      </w:pPr>
    </w:p>
    <w:p>
      <w:pPr>
        <w:ind w:left="623" w:hanging="623"/>
        <w:spacing w:after="0"/>
        <w:tabs>
          <w:tab w:leader="none" w:pos="623" w:val="left"/>
        </w:tabs>
        <w:numPr>
          <w:ilvl w:val="0"/>
          <w:numId w:val="371"/>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184" w:lineRule="exact"/>
        <w:rPr>
          <w:rFonts w:ascii="Arial" w:cs="Arial" w:eastAsia="Arial" w:hAnsi="Arial"/>
          <w:sz w:val="19"/>
          <w:szCs w:val="19"/>
          <w:b w:val="1"/>
          <w:bCs w:val="1"/>
          <w:color w:val="auto"/>
        </w:rPr>
      </w:pPr>
    </w:p>
    <w:p>
      <w:pPr>
        <w:ind w:left="1283" w:hanging="648"/>
        <w:spacing w:after="0"/>
        <w:tabs>
          <w:tab w:leader="none" w:pos="1283" w:val="left"/>
        </w:tabs>
        <w:numPr>
          <w:ilvl w:val="1"/>
          <w:numId w:val="371"/>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191" w:lineRule="exact"/>
        <w:rPr>
          <w:rFonts w:ascii="Arial" w:cs="Arial" w:eastAsia="Arial" w:hAnsi="Arial"/>
          <w:sz w:val="19"/>
          <w:szCs w:val="19"/>
          <w:color w:val="auto"/>
        </w:rPr>
      </w:pPr>
    </w:p>
    <w:p>
      <w:pPr>
        <w:jc w:val="both"/>
        <w:ind w:left="3" w:right="180" w:firstLine="632"/>
        <w:spacing w:after="0" w:line="262" w:lineRule="auto"/>
        <w:tabs>
          <w:tab w:leader="none" w:pos="1300" w:val="left"/>
        </w:tabs>
        <w:numPr>
          <w:ilvl w:val="1"/>
          <w:numId w:val="371"/>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392545" cy="165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2">
                      <a:extLst>
                        <a:ext uri="{28A0092B-C50C-407E-A947-70E740481C1C}"/>
                      </a:extLst>
                    </a:blip>
                    <a:srcRect/>
                    <a:stretch>
                      <a:fillRect/>
                    </a:stretch>
                  </pic:blipFill>
                  <pic:spPr bwMode="auto">
                    <a:xfrm>
                      <a:off x="0" y="0"/>
                      <a:ext cx="6392545" cy="16510"/>
                    </a:xfrm>
                    <a:prstGeom prst="rect">
                      <a:avLst/>
                    </a:prstGeom>
                    <a:noFill/>
                  </pic:spPr>
                </pic:pic>
              </a:graphicData>
            </a:graphic>
          </wp:anchor>
        </w:drawing>
      </w:r>
    </w:p>
    <w:p>
      <w:pPr>
        <w:sectPr>
          <w:pgSz w:w="11900" w:h="16838" w:orient="portrait"/>
          <w:cols w:equalWidth="0" w:num="1">
            <w:col w:w="10083"/>
          </w:cols>
          <w:pgMar w:left="917" w:top="118" w:right="899" w:bottom="1440" w:gutter="0" w:footer="0" w:header="0"/>
        </w:sectPr>
      </w:pPr>
    </w:p>
    <w:bookmarkStart w:id="403" w:name="page404"/>
    <w:bookmarkEnd w:id="403"/>
    <w:p>
      <w:pPr>
        <w:ind w:left="3" w:right="80"/>
        <w:spacing w:after="0" w:line="307" w:lineRule="auto"/>
        <w:rPr>
          <w:sz w:val="20"/>
          <w:szCs w:val="20"/>
          <w:color w:val="auto"/>
        </w:rPr>
      </w:pPr>
      <w:r>
        <w:rPr>
          <w:rFonts w:ascii="Arial" w:cs="Arial" w:eastAsia="Arial" w:hAnsi="Arial"/>
          <w:sz w:val="17"/>
          <w:szCs w:val="17"/>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97" w:lineRule="exact"/>
        <w:rPr>
          <w:sz w:val="20"/>
          <w:szCs w:val="20"/>
          <w:color w:val="auto"/>
        </w:rPr>
      </w:pPr>
    </w:p>
    <w:p>
      <w:pPr>
        <w:ind w:left="3" w:right="20" w:firstLine="632"/>
        <w:spacing w:after="0" w:line="278" w:lineRule="auto"/>
        <w:tabs>
          <w:tab w:leader="none" w:pos="1286" w:val="left"/>
        </w:tabs>
        <w:numPr>
          <w:ilvl w:val="1"/>
          <w:numId w:val="372"/>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22" w:lineRule="exact"/>
        <w:rPr>
          <w:rFonts w:ascii="Arial" w:cs="Arial" w:eastAsia="Arial" w:hAnsi="Arial"/>
          <w:sz w:val="19"/>
          <w:szCs w:val="19"/>
          <w:color w:val="auto"/>
        </w:rPr>
      </w:pPr>
    </w:p>
    <w:p>
      <w:pPr>
        <w:ind w:left="623" w:hanging="623"/>
        <w:spacing w:after="0"/>
        <w:tabs>
          <w:tab w:leader="none" w:pos="623"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In the event of any issuance of a cash dividend on the shares of Class A Common Stock (a</w:t>
      </w:r>
    </w:p>
    <w:p>
      <w:pPr>
        <w:spacing w:after="0" w:line="40" w:lineRule="exact"/>
        <w:rPr>
          <w:sz w:val="20"/>
          <w:szCs w:val="20"/>
          <w:color w:val="auto"/>
        </w:rPr>
      </w:pPr>
    </w:p>
    <w:p>
      <w:pPr>
        <w:ind w:left="3" w:right="600"/>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w:t>
      </w:r>
      <w:r>
        <w:rPr>
          <w:rFonts w:ascii="Arial" w:cs="Arial" w:eastAsia="Arial" w:hAnsi="Arial"/>
          <w:sz w:val="19"/>
          <w:szCs w:val="19"/>
          <w:color w:val="auto"/>
        </w:rPr>
        <w:t>”), the 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34" w:lineRule="exact"/>
        <w:rPr>
          <w:sz w:val="20"/>
          <w:szCs w:val="20"/>
          <w:color w:val="auto"/>
        </w:rPr>
      </w:pPr>
    </w:p>
    <w:p>
      <w:pPr>
        <w:ind w:left="3" w:right="60" w:hanging="3"/>
        <w:spacing w:after="0" w:line="265" w:lineRule="auto"/>
        <w:tabs>
          <w:tab w:leader="none" w:pos="629" w:val="left"/>
        </w:tabs>
        <w:numPr>
          <w:ilvl w:val="0"/>
          <w:numId w:val="3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terminates for any reason, all unvested RSUs shall be cancelled immediately and the Participant shall not be entitled to receive any payments with respect thereto.</w:t>
      </w:r>
    </w:p>
    <w:p>
      <w:pPr>
        <w:spacing w:after="0" w:line="122" w:lineRule="exact"/>
        <w:rPr>
          <w:rFonts w:ascii="Arial" w:cs="Arial" w:eastAsia="Arial" w:hAnsi="Arial"/>
          <w:sz w:val="19"/>
          <w:szCs w:val="19"/>
          <w:b w:val="1"/>
          <w:bCs w:val="1"/>
          <w:color w:val="auto"/>
        </w:rPr>
      </w:pPr>
    </w:p>
    <w:p>
      <w:pPr>
        <w:ind w:left="3" w:right="20" w:hanging="3"/>
        <w:spacing w:after="0" w:line="290" w:lineRule="auto"/>
        <w:tabs>
          <w:tab w:leader="none" w:pos="633" w:val="left"/>
        </w:tabs>
        <w:numPr>
          <w:ilvl w:val="0"/>
          <w:numId w:val="3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17" w:lineRule="exact"/>
        <w:rPr>
          <w:rFonts w:ascii="Arial" w:cs="Arial" w:eastAsia="Arial" w:hAnsi="Arial"/>
          <w:sz w:val="17"/>
          <w:szCs w:val="17"/>
          <w:b w:val="1"/>
          <w:bCs w:val="1"/>
          <w:color w:val="auto"/>
        </w:rPr>
      </w:pPr>
    </w:p>
    <w:p>
      <w:pPr>
        <w:ind w:left="623" w:hanging="623"/>
        <w:spacing w:after="0"/>
        <w:tabs>
          <w:tab w:leader="none" w:pos="623" w:val="left"/>
        </w:tabs>
        <w:numPr>
          <w:ilvl w:val="0"/>
          <w:numId w:val="374"/>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184" w:lineRule="exact"/>
        <w:rPr>
          <w:rFonts w:ascii="Arial" w:cs="Arial" w:eastAsia="Arial" w:hAnsi="Arial"/>
          <w:sz w:val="19"/>
          <w:szCs w:val="19"/>
          <w:b w:val="1"/>
          <w:bCs w:val="1"/>
          <w:color w:val="auto"/>
        </w:rPr>
      </w:pPr>
    </w:p>
    <w:p>
      <w:pPr>
        <w:ind w:left="3" w:right="80" w:firstLine="632"/>
        <w:spacing w:after="0" w:line="253" w:lineRule="auto"/>
        <w:tabs>
          <w:tab w:leader="none" w:pos="1289" w:val="left"/>
        </w:tabs>
        <w:numPr>
          <w:ilvl w:val="1"/>
          <w:numId w:val="374"/>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39" w:lineRule="exact"/>
        <w:rPr>
          <w:rFonts w:ascii="Arial" w:cs="Arial" w:eastAsia="Arial" w:hAnsi="Arial"/>
          <w:sz w:val="19"/>
          <w:szCs w:val="19"/>
          <w:color w:val="auto"/>
        </w:rPr>
      </w:pPr>
    </w:p>
    <w:p>
      <w:pPr>
        <w:ind w:left="3" w:firstLine="632"/>
        <w:spacing w:after="0" w:line="282" w:lineRule="auto"/>
        <w:tabs>
          <w:tab w:leader="none" w:pos="1300"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Taxes and Withholding</w:t>
      </w:r>
      <w:r>
        <w:rPr>
          <w:rFonts w:ascii="Arial" w:cs="Arial" w:eastAsia="Arial" w:hAnsi="Arial"/>
          <w:sz w:val="17"/>
          <w:szCs w:val="17"/>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371" w:lineRule="exact"/>
        <w:rPr>
          <w:sz w:val="20"/>
          <w:szCs w:val="20"/>
          <w:color w:val="auto"/>
        </w:rPr>
      </w:pPr>
    </w:p>
    <w:p>
      <w:pPr>
        <w:jc w:val="center"/>
        <w:ind w:right="-22"/>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39254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3">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43"/>
          </w:cols>
          <w:pgMar w:left="917" w:top="347" w:right="939" w:bottom="1440" w:gutter="0" w:footer="0" w:header="0"/>
        </w:sectPr>
      </w:pPr>
    </w:p>
    <w:bookmarkStart w:id="404" w:name="page405"/>
    <w:bookmarkEnd w:id="404"/>
    <w:p>
      <w:pPr>
        <w:ind w:left="3" w:hanging="3"/>
        <w:spacing w:after="0" w:line="264" w:lineRule="auto"/>
        <w:tabs>
          <w:tab w:leader="none" w:pos="633"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Shares and RSU</w:t>
      </w:r>
      <w:r>
        <w:rPr>
          <w:rFonts w:ascii="Arial" w:cs="Arial" w:eastAsia="Arial" w:hAnsi="Arial"/>
          <w:sz w:val="18"/>
          <w:szCs w:val="18"/>
          <w:b w:val="1"/>
          <w:bCs w:val="1"/>
          <w:color w:val="auto"/>
        </w:rPr>
        <w:t xml:space="preserve"> </w:t>
      </w:r>
      <w:r>
        <w:rPr>
          <w:rFonts w:ascii="Arial" w:cs="Arial" w:eastAsia="Arial" w:hAnsi="Arial"/>
          <w:sz w:val="18"/>
          <w:szCs w:val="18"/>
          <w:color w:val="auto"/>
        </w:rPr>
        <w:t>award if the 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27" w:lineRule="exact"/>
        <w:rPr>
          <w:rFonts w:ascii="Arial" w:cs="Arial" w:eastAsia="Arial" w:hAnsi="Arial"/>
          <w:sz w:val="18"/>
          <w:szCs w:val="18"/>
          <w:b w:val="1"/>
          <w:bCs w:val="1"/>
          <w:color w:val="auto"/>
        </w:rPr>
      </w:pPr>
    </w:p>
    <w:p>
      <w:pPr>
        <w:ind w:left="623" w:hanging="623"/>
        <w:spacing w:after="0"/>
        <w:tabs>
          <w:tab w:leader="none" w:pos="623" w:val="left"/>
        </w:tabs>
        <w:numPr>
          <w:ilvl w:val="0"/>
          <w:numId w:val="375"/>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197" w:lineRule="exact"/>
        <w:rPr>
          <w:rFonts w:ascii="Arial" w:cs="Arial" w:eastAsia="Arial" w:hAnsi="Arial"/>
          <w:sz w:val="19"/>
          <w:szCs w:val="19"/>
          <w:b w:val="1"/>
          <w:bCs w:val="1"/>
          <w:color w:val="auto"/>
        </w:rPr>
      </w:pPr>
    </w:p>
    <w:p>
      <w:pPr>
        <w:ind w:left="3" w:right="20" w:firstLine="632"/>
        <w:spacing w:after="0" w:line="262" w:lineRule="auto"/>
        <w:tabs>
          <w:tab w:leader="none" w:pos="1289" w:val="left"/>
        </w:tabs>
        <w:numPr>
          <w:ilvl w:val="1"/>
          <w:numId w:val="375"/>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31" w:lineRule="exact"/>
        <w:rPr>
          <w:rFonts w:ascii="Arial" w:cs="Arial" w:eastAsia="Arial" w:hAnsi="Arial"/>
          <w:sz w:val="19"/>
          <w:szCs w:val="19"/>
          <w:color w:val="auto"/>
        </w:rPr>
      </w:pPr>
    </w:p>
    <w:p>
      <w:pPr>
        <w:ind w:left="3" w:right="40" w:firstLine="632"/>
        <w:spacing w:after="0" w:line="253" w:lineRule="auto"/>
        <w:tabs>
          <w:tab w:leader="none" w:pos="1300" w:val="left"/>
        </w:tabs>
        <w:numPr>
          <w:ilvl w:val="1"/>
          <w:numId w:val="375"/>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33" w:lineRule="exact"/>
        <w:rPr>
          <w:rFonts w:ascii="Arial" w:cs="Arial" w:eastAsia="Arial" w:hAnsi="Arial"/>
          <w:sz w:val="19"/>
          <w:szCs w:val="19"/>
          <w:color w:val="auto"/>
        </w:rPr>
      </w:pPr>
    </w:p>
    <w:p>
      <w:pPr>
        <w:ind w:left="623" w:hanging="623"/>
        <w:spacing w:after="0"/>
        <w:tabs>
          <w:tab w:leader="none" w:pos="623" w:val="left"/>
        </w:tabs>
        <w:numPr>
          <w:ilvl w:val="0"/>
          <w:numId w:val="375"/>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197" w:lineRule="exact"/>
        <w:rPr>
          <w:rFonts w:ascii="Arial" w:cs="Arial" w:eastAsia="Arial" w:hAnsi="Arial"/>
          <w:sz w:val="19"/>
          <w:szCs w:val="19"/>
          <w:b w:val="1"/>
          <w:bCs w:val="1"/>
          <w:color w:val="auto"/>
        </w:rPr>
      </w:pPr>
    </w:p>
    <w:p>
      <w:pPr>
        <w:ind w:left="3" w:right="20" w:firstLine="632"/>
        <w:spacing w:after="0" w:line="254" w:lineRule="auto"/>
        <w:tabs>
          <w:tab w:leader="none" w:pos="1289" w:val="left"/>
        </w:tabs>
        <w:numPr>
          <w:ilvl w:val="1"/>
          <w:numId w:val="375"/>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RSUs may not be assigned, alienated, pledged, attached, sold or otherwise transferred or encumbered (a “</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40" w:lineRule="exact"/>
        <w:rPr>
          <w:rFonts w:ascii="Arial" w:cs="Arial" w:eastAsia="Arial" w:hAnsi="Arial"/>
          <w:sz w:val="19"/>
          <w:szCs w:val="19"/>
          <w:color w:val="auto"/>
        </w:rPr>
      </w:pPr>
    </w:p>
    <w:p>
      <w:pPr>
        <w:ind w:left="3" w:right="80" w:firstLine="632"/>
        <w:spacing w:after="0" w:line="297" w:lineRule="auto"/>
        <w:tabs>
          <w:tab w:leader="none" w:pos="1300" w:val="left"/>
        </w:tabs>
        <w:numPr>
          <w:ilvl w:val="1"/>
          <w:numId w:val="375"/>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355" w:lineRule="exact"/>
        <w:rPr>
          <w:sz w:val="20"/>
          <w:szCs w:val="20"/>
          <w:color w:val="auto"/>
        </w:rPr>
      </w:pPr>
    </w:p>
    <w:p>
      <w:pPr>
        <w:jc w:val="center"/>
        <w:ind w:right="-22"/>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639254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4">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3"/>
          </w:cols>
          <w:pgMar w:left="917" w:top="341" w:right="919" w:bottom="1440" w:gutter="0" w:footer="0" w:header="0"/>
        </w:sectPr>
      </w:pPr>
    </w:p>
    <w:bookmarkStart w:id="405" w:name="page406"/>
    <w:bookmarkEnd w:id="405"/>
    <w:p>
      <w:pPr>
        <w:ind w:right="20" w:firstLine="632"/>
        <w:spacing w:after="0" w:line="250" w:lineRule="auto"/>
        <w:tabs>
          <w:tab w:leader="none" w:pos="1286"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44" w:lineRule="exact"/>
        <w:rPr>
          <w:rFonts w:ascii="Arial" w:cs="Arial" w:eastAsia="Arial" w:hAnsi="Arial"/>
          <w:sz w:val="19"/>
          <w:szCs w:val="19"/>
          <w:color w:val="auto"/>
        </w:rPr>
      </w:pPr>
    </w:p>
    <w:p>
      <w:pPr>
        <w:jc w:val="both"/>
        <w:ind w:right="280" w:firstLine="632"/>
        <w:spacing w:after="0" w:line="262" w:lineRule="auto"/>
        <w:tabs>
          <w:tab w:leader="none" w:pos="1297"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44" w:lineRule="exact"/>
        <w:rPr>
          <w:rFonts w:ascii="Arial" w:cs="Arial" w:eastAsia="Arial" w:hAnsi="Arial"/>
          <w:sz w:val="19"/>
          <w:szCs w:val="19"/>
          <w:color w:val="auto"/>
        </w:rPr>
      </w:pPr>
    </w:p>
    <w:p>
      <w:pPr>
        <w:ind w:right="20" w:firstLine="632"/>
        <w:spacing w:after="0" w:line="272" w:lineRule="auto"/>
        <w:tabs>
          <w:tab w:leader="none" w:pos="1286"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23" w:lineRule="exact"/>
        <w:rPr>
          <w:rFonts w:ascii="Arial" w:cs="Arial" w:eastAsia="Arial" w:hAnsi="Arial"/>
          <w:sz w:val="18"/>
          <w:szCs w:val="18"/>
          <w:color w:val="auto"/>
        </w:rPr>
      </w:pPr>
    </w:p>
    <w:p>
      <w:pPr>
        <w:ind w:firstLine="632"/>
        <w:spacing w:after="0" w:line="262" w:lineRule="auto"/>
        <w:tabs>
          <w:tab w:leader="none" w:pos="1265"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1" w:lineRule="exact"/>
        <w:rPr>
          <w:rFonts w:ascii="Arial" w:cs="Arial" w:eastAsia="Arial" w:hAnsi="Arial"/>
          <w:sz w:val="19"/>
          <w:szCs w:val="19"/>
          <w:color w:val="auto"/>
        </w:rPr>
      </w:pPr>
    </w:p>
    <w:p>
      <w:pPr>
        <w:jc w:val="both"/>
        <w:ind w:right="360" w:firstLine="632"/>
        <w:spacing w:after="0" w:line="276" w:lineRule="auto"/>
        <w:tabs>
          <w:tab w:leader="none" w:pos="1297"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No Rights to Employment or Service</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32" w:lineRule="exact"/>
        <w:rPr>
          <w:rFonts w:ascii="Arial" w:cs="Arial" w:eastAsia="Arial" w:hAnsi="Arial"/>
          <w:sz w:val="18"/>
          <w:szCs w:val="18"/>
          <w:color w:val="auto"/>
        </w:rPr>
      </w:pPr>
    </w:p>
    <w:p>
      <w:pPr>
        <w:ind w:right="60" w:firstLine="632"/>
        <w:spacing w:after="0" w:line="262" w:lineRule="auto"/>
        <w:tabs>
          <w:tab w:leader="none" w:pos="1297"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31" w:lineRule="exact"/>
        <w:rPr>
          <w:rFonts w:ascii="Arial" w:cs="Arial" w:eastAsia="Arial" w:hAnsi="Arial"/>
          <w:sz w:val="19"/>
          <w:szCs w:val="19"/>
          <w:color w:val="auto"/>
        </w:rPr>
      </w:pPr>
    </w:p>
    <w:p>
      <w:pPr>
        <w:ind w:right="20" w:firstLine="632"/>
        <w:spacing w:after="0" w:line="278" w:lineRule="auto"/>
        <w:tabs>
          <w:tab w:leader="none" w:pos="1303"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15" w:lineRule="exact"/>
        <w:rPr>
          <w:rFonts w:ascii="Arial" w:cs="Arial" w:eastAsia="Arial" w:hAnsi="Arial"/>
          <w:sz w:val="19"/>
          <w:szCs w:val="19"/>
          <w:color w:val="auto"/>
        </w:rPr>
      </w:pPr>
    </w:p>
    <w:p>
      <w:pPr>
        <w:ind w:right="120" w:firstLine="632"/>
        <w:spacing w:after="0" w:line="262" w:lineRule="auto"/>
        <w:tabs>
          <w:tab w:leader="none" w:pos="1303"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39254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5">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347" w:right="919" w:bottom="1440" w:gutter="0" w:footer="0" w:header="0"/>
        </w:sectPr>
      </w:pPr>
    </w:p>
    <w:bookmarkStart w:id="406" w:name="page407"/>
    <w:bookmarkEnd w:id="406"/>
    <w:p>
      <w:pPr>
        <w:ind w:firstLine="632"/>
        <w:spacing w:after="0" w:line="254" w:lineRule="auto"/>
        <w:tabs>
          <w:tab w:leader="none" w:pos="1297"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40" w:lineRule="exact"/>
        <w:rPr>
          <w:rFonts w:ascii="Arial" w:cs="Arial" w:eastAsia="Arial" w:hAnsi="Arial"/>
          <w:sz w:val="19"/>
          <w:szCs w:val="19"/>
          <w:color w:val="auto"/>
        </w:rPr>
      </w:pPr>
    </w:p>
    <w:p>
      <w:pPr>
        <w:ind w:right="200" w:firstLine="632"/>
        <w:spacing w:after="0" w:line="283" w:lineRule="auto"/>
        <w:tabs>
          <w:tab w:leader="none" w:pos="1303"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27" w:lineRule="exact"/>
        <w:rPr>
          <w:rFonts w:ascii="Arial" w:cs="Arial" w:eastAsia="Arial" w:hAnsi="Arial"/>
          <w:sz w:val="18"/>
          <w:szCs w:val="18"/>
          <w:color w:val="auto"/>
        </w:rPr>
      </w:pPr>
    </w:p>
    <w:p>
      <w:pPr>
        <w:ind w:left="640" w:right="140" w:firstLine="627"/>
        <w:spacing w:after="0" w:line="283" w:lineRule="auto"/>
        <w:tabs>
          <w:tab w:leader="none" w:pos="1943" w:val="left"/>
        </w:tabs>
        <w:numPr>
          <w:ilvl w:val="1"/>
          <w:numId w:val="377"/>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15" w:lineRule="exact"/>
        <w:rPr>
          <w:rFonts w:ascii="Arial" w:cs="Arial" w:eastAsia="Arial" w:hAnsi="Arial"/>
          <w:sz w:val="17"/>
          <w:szCs w:val="17"/>
          <w:color w:val="auto"/>
        </w:rPr>
      </w:pPr>
    </w:p>
    <w:p>
      <w:pPr>
        <w:ind w:left="640" w:right="40" w:firstLine="627"/>
        <w:spacing w:after="0" w:line="266" w:lineRule="auto"/>
        <w:tabs>
          <w:tab w:leader="none" w:pos="1948" w:val="left"/>
        </w:tabs>
        <w:numPr>
          <w:ilvl w:val="1"/>
          <w:numId w:val="37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w:t>
      </w:r>
    </w:p>
    <w:p>
      <w:pPr>
        <w:spacing w:after="0" w:line="2" w:lineRule="exact"/>
        <w:rPr>
          <w:rFonts w:ascii="Arial" w:cs="Arial" w:eastAsia="Arial" w:hAnsi="Arial"/>
          <w:sz w:val="18"/>
          <w:szCs w:val="18"/>
          <w:color w:val="auto"/>
        </w:rPr>
      </w:pPr>
    </w:p>
    <w:p>
      <w:pPr>
        <w:ind w:left="640" w:right="40"/>
        <w:spacing w:after="0" w:line="251" w:lineRule="auto"/>
        <w:rPr>
          <w:rFonts w:ascii="Arial" w:cs="Arial" w:eastAsia="Arial" w:hAnsi="Arial"/>
          <w:sz w:val="18"/>
          <w:szCs w:val="18"/>
          <w:color w:val="auto"/>
        </w:rPr>
      </w:pPr>
      <w:r>
        <w:rPr>
          <w:rFonts w:ascii="Arial" w:cs="Arial" w:eastAsia="Arial" w:hAnsi="Arial"/>
          <w:sz w:val="19"/>
          <w:szCs w:val="19"/>
          <w:color w:val="auto"/>
        </w:rPr>
        <w:t>(A)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41" w:lineRule="exact"/>
        <w:rPr>
          <w:rFonts w:ascii="Arial" w:cs="Arial" w:eastAsia="Arial" w:hAnsi="Arial"/>
          <w:sz w:val="18"/>
          <w:szCs w:val="18"/>
          <w:color w:val="auto"/>
        </w:rPr>
      </w:pPr>
    </w:p>
    <w:p>
      <w:pPr>
        <w:ind w:right="160" w:firstLine="632"/>
        <w:spacing w:after="0" w:line="262" w:lineRule="auto"/>
        <w:tabs>
          <w:tab w:leader="none" w:pos="1303"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44" w:lineRule="exact"/>
        <w:rPr>
          <w:rFonts w:ascii="Arial" w:cs="Arial" w:eastAsia="Arial" w:hAnsi="Arial"/>
          <w:sz w:val="19"/>
          <w:szCs w:val="19"/>
          <w:color w:val="auto"/>
        </w:rPr>
      </w:pPr>
    </w:p>
    <w:p>
      <w:pPr>
        <w:ind w:right="220" w:firstLine="632"/>
        <w:spacing w:after="0" w:line="257" w:lineRule="auto"/>
        <w:tabs>
          <w:tab w:leader="none" w:pos="1297"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35" w:lineRule="exact"/>
        <w:rPr>
          <w:rFonts w:ascii="Arial" w:cs="Arial" w:eastAsia="Arial" w:hAnsi="Arial"/>
          <w:sz w:val="19"/>
          <w:szCs w:val="19"/>
          <w:color w:val="auto"/>
        </w:rPr>
      </w:pPr>
    </w:p>
    <w:p>
      <w:pPr>
        <w:ind w:right="300" w:firstLine="632"/>
        <w:spacing w:after="0" w:line="272" w:lineRule="auto"/>
        <w:tabs>
          <w:tab w:leader="none" w:pos="1297"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39254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6">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10060"/>
          </w:cols>
          <w:pgMar w:left="920" w:top="347" w:right="919" w:bottom="1440" w:gutter="0" w:footer="0" w:header="0"/>
        </w:sectPr>
      </w:pPr>
    </w:p>
    <w:bookmarkStart w:id="407" w:name="page408"/>
    <w:bookmarkEnd w:id="407"/>
    <w:p>
      <w:pPr>
        <w:ind w:left="-340" w:firstLine="632"/>
        <w:spacing w:after="0" w:line="257" w:lineRule="auto"/>
        <w:tabs>
          <w:tab w:leader="none" w:pos="957" w:val="left"/>
        </w:tabs>
        <w:numPr>
          <w:ilvl w:val="0"/>
          <w:numId w:val="378"/>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30" w:lineRule="exact"/>
        <w:rPr>
          <w:sz w:val="20"/>
          <w:szCs w:val="20"/>
          <w:color w:val="auto"/>
        </w:rPr>
      </w:pPr>
    </w:p>
    <w:p>
      <w:pPr>
        <w:ind w:left="288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81915</wp:posOffset>
            </wp:positionV>
            <wp:extent cx="6392545" cy="165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7">
                      <a:extLst>
                        <a:ext uri="{28A0092B-C50C-407E-A947-70E740481C1C}"/>
                      </a:extLst>
                    </a:blip>
                    <a:srcRect/>
                    <a:stretch>
                      <a:fillRect/>
                    </a:stretch>
                  </pic:blipFill>
                  <pic:spPr bwMode="auto">
                    <a:xfrm>
                      <a:off x="0" y="0"/>
                      <a:ext cx="6392545" cy="16510"/>
                    </a:xfrm>
                    <a:prstGeom prst="rect">
                      <a:avLst/>
                    </a:prstGeom>
                    <a:noFill/>
                  </pic:spPr>
                </pic:pic>
              </a:graphicData>
            </a:graphic>
          </wp:anchor>
        </w:drawing>
      </w:r>
    </w:p>
    <w:p>
      <w:pPr>
        <w:sectPr>
          <w:pgSz w:w="11900" w:h="16838" w:orient="portrait"/>
          <w:cols w:equalWidth="0" w:num="1">
            <w:col w:w="9380"/>
          </w:cols>
          <w:pgMar w:left="1260" w:top="347" w:right="1259" w:bottom="1440" w:gutter="0" w:footer="0" w:header="0"/>
        </w:sectPr>
      </w:pPr>
    </w:p>
    <w:bookmarkStart w:id="408" w:name="page409"/>
    <w:bookmarkEnd w:id="408"/>
    <w:p>
      <w:pPr>
        <w:ind w:firstLine="863"/>
        <w:spacing w:after="0" w:line="278" w:lineRule="auto"/>
        <w:rPr>
          <w:sz w:val="20"/>
          <w:szCs w:val="20"/>
          <w:color w:val="auto"/>
        </w:rPr>
      </w:pPr>
      <w:r>
        <w:rPr>
          <w:rFonts w:ascii="Arial" w:cs="Arial" w:eastAsia="Arial" w:hAnsi="Arial"/>
          <w:sz w:val="19"/>
          <w:szCs w:val="19"/>
          <w:color w:val="auto"/>
        </w:rPr>
        <w:t>IN WITNESS WHEREOF, this Agreement has been executed by the Company and the Participant as of the day first written above.</w:t>
      </w:r>
    </w:p>
    <w:p>
      <w:pPr>
        <w:spacing w:after="0" w:line="20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VIRTU FINANCIAL, INC.</w:t>
      </w:r>
    </w:p>
    <w:p>
      <w:pPr>
        <w:spacing w:after="0" w:line="200" w:lineRule="exact"/>
        <w:rPr>
          <w:sz w:val="20"/>
          <w:szCs w:val="20"/>
          <w:color w:val="auto"/>
        </w:rPr>
      </w:pPr>
    </w:p>
    <w:p>
      <w:pPr>
        <w:spacing w:after="0" w:line="228" w:lineRule="exact"/>
        <w:rPr>
          <w:sz w:val="20"/>
          <w:szCs w:val="20"/>
          <w:color w:val="auto"/>
        </w:rPr>
      </w:pPr>
    </w:p>
    <w:p>
      <w:pPr>
        <w:ind w:left="5040"/>
        <w:spacing w:after="0"/>
        <w:tabs>
          <w:tab w:leader="none" w:pos="5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10795</wp:posOffset>
            </wp:positionV>
            <wp:extent cx="294005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8"/>
          <w:szCs w:val="18"/>
          <w:color w:val="auto"/>
        </w:rPr>
        <w:t>Robert Greifeld</w:t>
      </w:r>
    </w:p>
    <w:p>
      <w:pPr>
        <w:spacing w:after="0" w:line="2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10795</wp:posOffset>
            </wp:positionV>
            <wp:extent cx="319214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9">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ind w:left="5440"/>
        <w:spacing w:after="0"/>
        <w:rPr>
          <w:sz w:val="20"/>
          <w:szCs w:val="20"/>
          <w:color w:val="auto"/>
        </w:rPr>
      </w:pPr>
      <w:r>
        <w:rPr>
          <w:rFonts w:ascii="Arial" w:cs="Arial" w:eastAsia="Arial" w:hAnsi="Arial"/>
          <w:sz w:val="18"/>
          <w:szCs w:val="18"/>
          <w:color w:val="auto"/>
        </w:rPr>
        <w:t>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615950</wp:posOffset>
            </wp:positionV>
            <wp:extent cx="639254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0">
                      <a:extLst>
                        <a:ext uri="{28A0092B-C50C-407E-A947-70E740481C1C}"/>
                      </a:extLst>
                    </a:blip>
                    <a:srcRect/>
                    <a:stretch>
                      <a:fillRect/>
                    </a:stretch>
                  </pic:blipFill>
                  <pic:spPr bwMode="auto">
                    <a:xfrm>
                      <a:off x="0" y="0"/>
                      <a:ext cx="6392545" cy="25400"/>
                    </a:xfrm>
                    <a:prstGeom prst="rect">
                      <a:avLst/>
                    </a:prstGeom>
                    <a:noFill/>
                  </pic:spPr>
                </pic:pic>
              </a:graphicData>
            </a:graphic>
          </wp:anchor>
        </w:drawing>
      </w:r>
    </w:p>
    <w:p>
      <w:pPr>
        <w:sectPr>
          <w:pgSz w:w="11900" w:h="16838" w:orient="portrait"/>
          <w:cols w:equalWidth="0" w:num="1">
            <w:col w:w="9900"/>
          </w:cols>
          <w:pgMar w:left="920" w:top="121" w:right="107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21.1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Virtu Financial, Inc.</w:t>
      </w:r>
    </w:p>
    <w:p>
      <w:pPr>
        <w:spacing w:after="0" w:line="143" w:lineRule="exact"/>
        <w:rPr>
          <w:sz w:val="20"/>
          <w:szCs w:val="20"/>
          <w:color w:val="auto"/>
        </w:rPr>
      </w:pPr>
    </w:p>
    <w:p>
      <w:pPr>
        <w:ind w:right="80" w:firstLine="635"/>
        <w:spacing w:after="0" w:line="214" w:lineRule="auto"/>
        <w:rPr>
          <w:sz w:val="20"/>
          <w:szCs w:val="20"/>
          <w:color w:val="auto"/>
        </w:rPr>
      </w:pPr>
      <w:r>
        <w:rPr>
          <w:rFonts w:ascii="Arial" w:cs="Arial" w:eastAsia="Arial" w:hAnsi="Arial"/>
          <w:sz w:val="18"/>
          <w:szCs w:val="18"/>
          <w:color w:val="auto"/>
        </w:rPr>
        <w:t>The following are subsidiaries of Virtu Financial, Inc. as of December 31, 2017 and the jurisdictions in which they are organized. The names of particular subsidiaries have been omitted because, considered in the aggregate as a single subsidiary, they would not constitute, as of December 31, 2017, a "significant subsidiary" as that term is defined in Rule 1-02(w) of regulation S-X under the Securities Exchange Act of 1934.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jc w:val="center"/>
              <w:ind w:left="832"/>
              <w:spacing w:after="0"/>
              <w:rPr>
                <w:sz w:val="20"/>
                <w:szCs w:val="20"/>
                <w:color w:val="auto"/>
              </w:rPr>
            </w:pPr>
            <w:r>
              <w:rPr>
                <w:rFonts w:ascii="Arial" w:cs="Arial" w:eastAsia="Arial" w:hAnsi="Arial"/>
                <w:sz w:val="18"/>
                <w:szCs w:val="18"/>
                <w:color w:val="auto"/>
                <w:w w:val="90"/>
              </w:rPr>
              <w:t>Jurisdiction of Organization</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Financial LLC</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VFH Parent LLC</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Financial Operating LLC</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Financial Global Markets LLC</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Financial BD LLC</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Intermediate Holdings LLC</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Intermediate Holdings II LLC</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Financial Capital Markets LLC</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92"/>
              </w:rPr>
              <w:t>New York</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Financial Europe Limited</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93"/>
              </w:rPr>
              <w:t>Dublin</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Financial Ireland Limited</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93"/>
              </w:rPr>
              <w:t>Dublin</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Financial Ireland Holdings Limited</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93"/>
              </w:rPr>
              <w:t>Dublin</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Financial Global Services Singapore Pte Ltd.</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7"/>
              </w:rPr>
              <w:t>Singapore</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Financial Singapore Pte Ltd.</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7"/>
              </w:rPr>
              <w:t>Singapore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Financial Asia Pty Limited</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6"/>
              </w:rPr>
              <w:t>Sydney</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KCG Holdings LLC</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Knight Capital Group LLC</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Virtu Strategic Holdings LLC</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Americas LLC</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KCG Europe Limited</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7"/>
              </w:rPr>
              <w:t>England and Wales</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GETCO, LLC</w:t>
            </w:r>
          </w:p>
        </w:tc>
        <w:tc>
          <w:tcPr>
            <w:tcW w:w="4000" w:type="dxa"/>
            <w:vAlign w:val="bottom"/>
          </w:tcPr>
          <w:p>
            <w:pPr>
              <w:jc w:val="center"/>
              <w:ind w:left="852"/>
              <w:spacing w:after="0" w:line="172" w:lineRule="exact"/>
              <w:rPr>
                <w:sz w:val="20"/>
                <w:szCs w:val="20"/>
                <w:color w:val="auto"/>
              </w:rPr>
            </w:pPr>
            <w:r>
              <w:rPr>
                <w:rFonts w:ascii="Arial" w:cs="Arial" w:eastAsia="Arial" w:hAnsi="Arial"/>
                <w:sz w:val="18"/>
                <w:szCs w:val="18"/>
                <w:color w:val="auto"/>
                <w:w w:val="99"/>
              </w:rPr>
              <w:t>Illinois</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Global Colocation Services LLC</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tcPr>
          <w:p>
            <w:pPr>
              <w:spacing w:after="0" w:line="172" w:lineRule="exact"/>
              <w:rPr>
                <w:sz w:val="20"/>
                <w:szCs w:val="20"/>
                <w:color w:val="auto"/>
              </w:rPr>
            </w:pPr>
            <w:r>
              <w:rPr>
                <w:rFonts w:ascii="Arial" w:cs="Arial" w:eastAsia="Arial" w:hAnsi="Arial"/>
                <w:sz w:val="18"/>
                <w:szCs w:val="18"/>
                <w:color w:val="auto"/>
              </w:rPr>
              <w:t>Virtu GETCO Holding Company LLC</w:t>
            </w:r>
          </w:p>
        </w:tc>
        <w:tc>
          <w:tcPr>
            <w:tcW w:w="4000" w:type="dxa"/>
            <w:vAlign w:val="bottom"/>
          </w:tcPr>
          <w:p>
            <w:pPr>
              <w:jc w:val="center"/>
              <w:ind w:left="832"/>
              <w:spacing w:after="0" w:line="172" w:lineRule="exact"/>
              <w:rPr>
                <w:sz w:val="20"/>
                <w:szCs w:val="20"/>
                <w:color w:val="auto"/>
              </w:rPr>
            </w:pPr>
            <w:r>
              <w:rPr>
                <w:rFonts w:ascii="Arial" w:cs="Arial" w:eastAsia="Arial" w:hAnsi="Arial"/>
                <w:sz w:val="18"/>
                <w:szCs w:val="18"/>
                <w:color w:val="auto"/>
                <w:w w:val="89"/>
              </w:rPr>
              <w:t>Delaware</w:t>
            </w:r>
          </w:p>
        </w:tc>
      </w:tr>
      <w:tr>
        <w:trPr>
          <w:trHeight w:val="172"/>
        </w:trPr>
        <w:tc>
          <w:tcPr>
            <w:tcW w:w="506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KCG Asia Pacific Pte. Ltd.</w:t>
            </w:r>
          </w:p>
        </w:tc>
        <w:tc>
          <w:tcPr>
            <w:tcW w:w="4000" w:type="dxa"/>
            <w:vAlign w:val="bottom"/>
            <w:shd w:val="clear" w:color="auto" w:fill="CCEEFF"/>
          </w:tcPr>
          <w:p>
            <w:pPr>
              <w:jc w:val="center"/>
              <w:ind w:left="832"/>
              <w:spacing w:after="0" w:line="172" w:lineRule="exact"/>
              <w:rPr>
                <w:sz w:val="20"/>
                <w:szCs w:val="20"/>
                <w:color w:val="auto"/>
              </w:rPr>
            </w:pPr>
            <w:r>
              <w:rPr>
                <w:rFonts w:ascii="Arial" w:cs="Arial" w:eastAsia="Arial" w:hAnsi="Arial"/>
                <w:sz w:val="18"/>
                <w:szCs w:val="18"/>
                <w:color w:val="auto"/>
                <w:w w:val="87"/>
              </w:rPr>
              <w:t>Singapore</w:t>
            </w:r>
          </w:p>
        </w:tc>
      </w:tr>
      <w:tr>
        <w:trPr>
          <w:trHeight w:val="575"/>
        </w:trPr>
        <w:tc>
          <w:tcPr>
            <w:tcW w:w="50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23.1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3" w:lineRule="exact"/>
        <w:rPr>
          <w:sz w:val="20"/>
          <w:szCs w:val="20"/>
          <w:color w:val="auto"/>
        </w:rPr>
      </w:pPr>
    </w:p>
    <w:p>
      <w:pPr>
        <w:ind w:right="80" w:firstLine="635"/>
        <w:spacing w:after="0" w:line="214" w:lineRule="auto"/>
        <w:rPr>
          <w:sz w:val="20"/>
          <w:szCs w:val="20"/>
          <w:color w:val="auto"/>
        </w:rPr>
      </w:pPr>
      <w:r>
        <w:rPr>
          <w:rFonts w:ascii="Arial" w:cs="Arial" w:eastAsia="Arial" w:hAnsi="Arial"/>
          <w:sz w:val="18"/>
          <w:szCs w:val="18"/>
          <w:color w:val="auto"/>
        </w:rPr>
        <w:t>We consent to the incorporation by reference in Registration Statement Nos. 333-203478 and 333-219110 on Form S-8 and Registration Statement No. 333-213157 on Form S-3 of our report dated March 13, 2018, relating to the consolidated financial statements of Virtu Financial Inc. and Subsidiaries (the “Company”), appearing in this Annual Report on Form 10-K of Virtu Financial Inc., for the year ended December 31, 2017.</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rPr>
          <w:sz w:val="20"/>
          <w:szCs w:val="20"/>
          <w:color w:val="auto"/>
        </w:rPr>
      </w:pPr>
      <w:r>
        <w:rPr>
          <w:rFonts w:ascii="Arial" w:cs="Arial" w:eastAsia="Arial" w:hAnsi="Arial"/>
          <w:sz w:val="18"/>
          <w:szCs w:val="18"/>
          <w:color w:val="auto"/>
        </w:rPr>
        <w:t>March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5754370"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1">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31.1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CEO CERTIFICATION</w:t>
      </w:r>
    </w:p>
    <w:p>
      <w:pPr>
        <w:jc w:val="center"/>
        <w:spacing w:after="0" w:line="199" w:lineRule="auto"/>
        <w:rPr>
          <w:sz w:val="20"/>
          <w:szCs w:val="20"/>
          <w:color w:val="auto"/>
        </w:rPr>
      </w:pPr>
      <w:r>
        <w:rPr>
          <w:rFonts w:ascii="Arial" w:cs="Arial" w:eastAsia="Arial" w:hAnsi="Arial"/>
          <w:sz w:val="18"/>
          <w:szCs w:val="18"/>
          <w:color w:val="auto"/>
        </w:rPr>
        <w:t>PURSUANT TO SECTION 302 OF THE</w:t>
      </w:r>
    </w:p>
    <w:p>
      <w:pPr>
        <w:jc w:val="center"/>
        <w:spacing w:after="0"/>
        <w:rPr>
          <w:sz w:val="20"/>
          <w:szCs w:val="20"/>
          <w:color w:val="auto"/>
        </w:rPr>
      </w:pPr>
      <w:r>
        <w:rPr>
          <w:rFonts w:ascii="Arial" w:cs="Arial" w:eastAsia="Arial" w:hAnsi="Arial"/>
          <w:sz w:val="18"/>
          <w:szCs w:val="18"/>
          <w:color w:val="auto"/>
        </w:rPr>
        <w:t>SARBANES — 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 Douglas A. Cifu, certify that:</w:t>
      </w:r>
    </w:p>
    <w:p>
      <w:pPr>
        <w:spacing w:after="0" w:line="137" w:lineRule="exact"/>
        <w:rPr>
          <w:sz w:val="20"/>
          <w:szCs w:val="20"/>
          <w:color w:val="auto"/>
        </w:rPr>
      </w:pPr>
    </w:p>
    <w:p>
      <w:pPr>
        <w:ind w:left="640" w:right="40" w:hanging="322"/>
        <w:spacing w:after="0" w:line="245" w:lineRule="auto"/>
        <w:tabs>
          <w:tab w:leader="none" w:pos="64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ending December 31, 2017 of Virtu Financial, Inc. (the “registrant”) as filed with the Securities and Exchange Commission on the date hereof;</w:t>
      </w:r>
    </w:p>
    <w:p>
      <w:pPr>
        <w:spacing w:after="0" w:line="116" w:lineRule="exact"/>
        <w:rPr>
          <w:rFonts w:ascii="Arial" w:cs="Arial" w:eastAsia="Arial" w:hAnsi="Arial"/>
          <w:sz w:val="17"/>
          <w:szCs w:val="17"/>
          <w:color w:val="auto"/>
        </w:rPr>
      </w:pPr>
    </w:p>
    <w:p>
      <w:pPr>
        <w:jc w:val="both"/>
        <w:ind w:left="640" w:right="60" w:hanging="322"/>
        <w:spacing w:after="0" w:line="219" w:lineRule="auto"/>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40" w:right="20" w:hanging="322"/>
        <w:spacing w:after="0" w:line="219" w:lineRule="auto"/>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8"/>
          <w:szCs w:val="18"/>
          <w:color w:val="auto"/>
        </w:rPr>
      </w:pPr>
    </w:p>
    <w:p>
      <w:pPr>
        <w:jc w:val="both"/>
        <w:ind w:left="640" w:right="180" w:hanging="322"/>
        <w:spacing w:after="0" w:line="274" w:lineRule="auto"/>
        <w:tabs>
          <w:tab w:leader="none" w:pos="64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Arial" w:cs="Arial" w:eastAsia="Arial" w:hAnsi="Arial"/>
          <w:sz w:val="15"/>
          <w:szCs w:val="15"/>
          <w:color w:val="auto"/>
        </w:rPr>
      </w:pPr>
    </w:p>
    <w:p>
      <w:pPr>
        <w:ind w:left="1280" w:right="160" w:hanging="644"/>
        <w:spacing w:after="0" w:line="214" w:lineRule="auto"/>
        <w:tabs>
          <w:tab w:leader="none" w:pos="12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ind w:left="1280" w:right="260" w:hanging="644"/>
        <w:spacing w:after="0" w:line="214" w:lineRule="auto"/>
        <w:tabs>
          <w:tab w:leader="none" w:pos="12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1280" w:right="140" w:hanging="644"/>
        <w:spacing w:after="0" w:line="219" w:lineRule="auto"/>
        <w:tabs>
          <w:tab w:leader="none" w:pos="12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ind w:left="1280" w:right="60" w:hanging="644"/>
        <w:spacing w:after="0" w:line="214" w:lineRule="auto"/>
        <w:tabs>
          <w:tab w:leader="none" w:pos="12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640" w:right="260" w:hanging="322"/>
        <w:spacing w:after="0" w:line="219" w:lineRule="auto"/>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1280" w:right="240" w:hanging="644"/>
        <w:spacing w:after="0" w:line="219" w:lineRule="auto"/>
        <w:tabs>
          <w:tab w:leader="none" w:pos="12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280" w:right="40" w:hanging="644"/>
        <w:spacing w:after="0" w:line="229" w:lineRule="auto"/>
        <w:tabs>
          <w:tab w:leader="none" w:pos="12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7"/>
          <w:szCs w:val="17"/>
          <w:color w:val="auto"/>
        </w:rPr>
        <w:t>By: /s/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-635</wp:posOffset>
            </wp:positionV>
            <wp:extent cx="25869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2">
                      <a:extLst>
                        <a:ext uri="{28A0092B-C50C-407E-A947-70E740481C1C}"/>
                      </a:extLst>
                    </a:blip>
                    <a:srcRect/>
                    <a:stretch>
                      <a:fillRect/>
                    </a:stretch>
                  </pic:blipFill>
                  <pic:spPr bwMode="auto">
                    <a:xfrm>
                      <a:off x="0" y="0"/>
                      <a:ext cx="2586990" cy="8255"/>
                    </a:xfrm>
                    <a:prstGeom prst="rect">
                      <a:avLst/>
                    </a:prstGeom>
                    <a:noFill/>
                  </pic:spPr>
                </pic:pic>
              </a:graphicData>
            </a:graphic>
          </wp:anchor>
        </w:drawing>
      </w:r>
    </w:p>
    <w:p>
      <w:pPr>
        <w:ind w:left="4980"/>
        <w:spacing w:after="0" w:line="199" w:lineRule="auto"/>
        <w:rPr>
          <w:sz w:val="20"/>
          <w:szCs w:val="20"/>
          <w:color w:val="auto"/>
        </w:rPr>
      </w:pPr>
      <w:r>
        <w:rPr>
          <w:rFonts w:ascii="Arial" w:cs="Arial" w:eastAsia="Arial" w:hAnsi="Arial"/>
          <w:sz w:val="18"/>
          <w:szCs w:val="18"/>
          <w:color w:val="auto"/>
        </w:rPr>
        <w:t>Douglas A. Cifu</w:t>
      </w:r>
    </w:p>
    <w:p>
      <w:pPr>
        <w:ind w:left="49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3">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31.2</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CFO CERTIFICATION</w:t>
      </w:r>
    </w:p>
    <w:p>
      <w:pPr>
        <w:jc w:val="center"/>
        <w:spacing w:after="0" w:line="199" w:lineRule="auto"/>
        <w:rPr>
          <w:sz w:val="20"/>
          <w:szCs w:val="20"/>
          <w:color w:val="auto"/>
        </w:rPr>
      </w:pPr>
      <w:r>
        <w:rPr>
          <w:rFonts w:ascii="Arial" w:cs="Arial" w:eastAsia="Arial" w:hAnsi="Arial"/>
          <w:sz w:val="18"/>
          <w:szCs w:val="18"/>
          <w:color w:val="auto"/>
        </w:rPr>
        <w:t>PURSUANT TO SECTION 302 OF THE</w:t>
      </w:r>
    </w:p>
    <w:p>
      <w:pPr>
        <w:jc w:val="center"/>
        <w:spacing w:after="0"/>
        <w:rPr>
          <w:sz w:val="20"/>
          <w:szCs w:val="20"/>
          <w:color w:val="auto"/>
        </w:rPr>
      </w:pPr>
      <w:r>
        <w:rPr>
          <w:rFonts w:ascii="Arial" w:cs="Arial" w:eastAsia="Arial" w:hAnsi="Arial"/>
          <w:sz w:val="18"/>
          <w:szCs w:val="18"/>
          <w:color w:val="auto"/>
        </w:rPr>
        <w:t>SARBANES — OXLEY ACT OF 2002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 Joseph Molluso, certify that:</w:t>
      </w:r>
    </w:p>
    <w:p>
      <w:pPr>
        <w:spacing w:after="0" w:line="137" w:lineRule="exact"/>
        <w:rPr>
          <w:sz w:val="20"/>
          <w:szCs w:val="20"/>
          <w:color w:val="auto"/>
        </w:rPr>
      </w:pPr>
    </w:p>
    <w:p>
      <w:pPr>
        <w:ind w:left="640" w:right="40" w:hanging="322"/>
        <w:spacing w:after="0" w:line="245" w:lineRule="auto"/>
        <w:tabs>
          <w:tab w:leader="none" w:pos="64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ending December 31, 2017 of Virtu Financial, Inc. (the “registrant”) as filed with the Securities and Exchange Commission on the date hereof;</w:t>
      </w:r>
    </w:p>
    <w:p>
      <w:pPr>
        <w:spacing w:after="0" w:line="116" w:lineRule="exact"/>
        <w:rPr>
          <w:rFonts w:ascii="Arial" w:cs="Arial" w:eastAsia="Arial" w:hAnsi="Arial"/>
          <w:sz w:val="17"/>
          <w:szCs w:val="17"/>
          <w:color w:val="auto"/>
        </w:rPr>
      </w:pPr>
    </w:p>
    <w:p>
      <w:pPr>
        <w:jc w:val="both"/>
        <w:ind w:left="640" w:right="60" w:hanging="322"/>
        <w:spacing w:after="0" w:line="219" w:lineRule="auto"/>
        <w:tabs>
          <w:tab w:leader="none" w:pos="6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40" w:right="20" w:hanging="322"/>
        <w:spacing w:after="0" w:line="219" w:lineRule="auto"/>
        <w:tabs>
          <w:tab w:leader="none" w:pos="6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8"/>
          <w:szCs w:val="18"/>
          <w:color w:val="auto"/>
        </w:rPr>
      </w:pPr>
    </w:p>
    <w:p>
      <w:pPr>
        <w:jc w:val="both"/>
        <w:ind w:left="640" w:right="180" w:hanging="322"/>
        <w:spacing w:after="0" w:line="274" w:lineRule="auto"/>
        <w:tabs>
          <w:tab w:leader="none" w:pos="64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Arial" w:cs="Arial" w:eastAsia="Arial" w:hAnsi="Arial"/>
          <w:sz w:val="15"/>
          <w:szCs w:val="15"/>
          <w:color w:val="auto"/>
        </w:rPr>
      </w:pPr>
    </w:p>
    <w:p>
      <w:pPr>
        <w:ind w:left="1280" w:right="160" w:hanging="644"/>
        <w:spacing w:after="0" w:line="214" w:lineRule="auto"/>
        <w:tabs>
          <w:tab w:leader="none" w:pos="12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ind w:left="1280" w:right="260" w:hanging="644"/>
        <w:spacing w:after="0" w:line="214" w:lineRule="auto"/>
        <w:tabs>
          <w:tab w:leader="none" w:pos="12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1280" w:right="140" w:hanging="644"/>
        <w:spacing w:after="0" w:line="219" w:lineRule="auto"/>
        <w:tabs>
          <w:tab w:leader="none" w:pos="12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ind w:left="1280" w:right="60" w:hanging="644"/>
        <w:spacing w:after="0" w:line="214" w:lineRule="auto"/>
        <w:tabs>
          <w:tab w:leader="none" w:pos="12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640" w:right="260" w:hanging="322"/>
        <w:spacing w:after="0" w:line="219" w:lineRule="auto"/>
        <w:tabs>
          <w:tab w:leader="none" w:pos="6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Arial" w:cs="Arial" w:eastAsia="Arial" w:hAnsi="Arial"/>
          <w:sz w:val="18"/>
          <w:szCs w:val="18"/>
          <w:color w:val="auto"/>
        </w:rPr>
      </w:pPr>
    </w:p>
    <w:p>
      <w:pPr>
        <w:ind w:left="1280" w:right="240" w:hanging="644"/>
        <w:spacing w:after="0" w:line="219" w:lineRule="auto"/>
        <w:tabs>
          <w:tab w:leader="none" w:pos="12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280" w:right="40" w:hanging="644"/>
        <w:spacing w:after="0" w:line="229" w:lineRule="auto"/>
        <w:tabs>
          <w:tab w:leader="none" w:pos="128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color w:val="auto"/>
        </w:rPr>
        <w:t>Date: March 13, 2018</w:t>
      </w:r>
      <w:r>
        <w:rPr>
          <w:sz w:val="20"/>
          <w:szCs w:val="20"/>
          <w:color w:val="auto"/>
        </w:rPr>
        <w:tab/>
      </w:r>
      <w:r>
        <w:rPr>
          <w:rFonts w:ascii="Arial" w:cs="Arial" w:eastAsia="Arial" w:hAnsi="Arial"/>
          <w:sz w:val="15"/>
          <w:szCs w:val="15"/>
          <w:color w:val="auto"/>
        </w:rPr>
        <w:t>By: /s/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-635</wp:posOffset>
            </wp:positionV>
            <wp:extent cx="25704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4">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ind w:left="5020"/>
        <w:spacing w:after="0" w:line="199" w:lineRule="auto"/>
        <w:rPr>
          <w:sz w:val="20"/>
          <w:szCs w:val="20"/>
          <w:color w:val="auto"/>
        </w:rPr>
      </w:pPr>
      <w:r>
        <w:rPr>
          <w:rFonts w:ascii="Arial" w:cs="Arial" w:eastAsia="Arial" w:hAnsi="Arial"/>
          <w:sz w:val="18"/>
          <w:szCs w:val="18"/>
          <w:color w:val="auto"/>
        </w:rPr>
        <w:t>Joseph Molluso</w:t>
      </w:r>
    </w:p>
    <w:p>
      <w:pPr>
        <w:ind w:left="50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5">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32.1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line="199" w:lineRule="auto"/>
        <w:rPr>
          <w:sz w:val="20"/>
          <w:szCs w:val="20"/>
          <w:color w:val="auto"/>
        </w:rPr>
      </w:pPr>
      <w:r>
        <w:rPr>
          <w:rFonts w:ascii="Arial" w:cs="Arial" w:eastAsia="Arial" w:hAnsi="Arial"/>
          <w:sz w:val="18"/>
          <w:szCs w:val="18"/>
          <w:color w:val="auto"/>
        </w:rPr>
        <w:t>18 U.S.C. SECTION 1350</w:t>
      </w:r>
    </w:p>
    <w:p>
      <w:pPr>
        <w:jc w:val="center"/>
        <w:spacing w:after="0" w:line="199"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23" w:lineRule="exact"/>
        <w:rPr>
          <w:sz w:val="20"/>
          <w:szCs w:val="20"/>
          <w:color w:val="auto"/>
        </w:rPr>
      </w:pPr>
    </w:p>
    <w:p>
      <w:pPr>
        <w:jc w:val="both"/>
        <w:ind w:right="180"/>
        <w:spacing w:after="0" w:line="214" w:lineRule="auto"/>
        <w:rPr>
          <w:sz w:val="20"/>
          <w:szCs w:val="20"/>
          <w:color w:val="auto"/>
        </w:rPr>
      </w:pPr>
      <w:r>
        <w:rPr>
          <w:rFonts w:ascii="Arial" w:cs="Arial" w:eastAsia="Arial" w:hAnsi="Arial"/>
          <w:sz w:val="18"/>
          <w:szCs w:val="18"/>
          <w:color w:val="auto"/>
        </w:rPr>
        <w:t>In connection with the Annual Report of Virtu Financial, Inc. (the “Company”) on Form 10-K for the period ended December 31, 2017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22" w:lineRule="exact"/>
        <w:rPr>
          <w:sz w:val="20"/>
          <w:szCs w:val="20"/>
          <w:color w:val="auto"/>
        </w:rPr>
      </w:pPr>
    </w:p>
    <w:p>
      <w:pPr>
        <w:ind w:left="840" w:right="580" w:hanging="6"/>
        <w:spacing w:after="0" w:line="229" w:lineRule="auto"/>
        <w:tabs>
          <w:tab w:leader="none" w:pos="101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0" w:lineRule="exact"/>
        <w:rPr>
          <w:rFonts w:ascii="Arial" w:cs="Arial" w:eastAsia="Arial" w:hAnsi="Arial"/>
          <w:sz w:val="18"/>
          <w:szCs w:val="18"/>
          <w:color w:val="auto"/>
        </w:rPr>
      </w:pPr>
    </w:p>
    <w:p>
      <w:pPr>
        <w:ind w:left="840" w:hanging="6"/>
        <w:spacing w:after="0" w:line="229" w:lineRule="auto"/>
        <w:tabs>
          <w:tab w:leader="none" w:pos="1013"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-635</wp:posOffset>
            </wp:positionV>
            <wp:extent cx="279717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6">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ind w:left="4660"/>
        <w:spacing w:after="0" w:line="199" w:lineRule="auto"/>
        <w:rPr>
          <w:sz w:val="20"/>
          <w:szCs w:val="20"/>
          <w:color w:val="auto"/>
        </w:rPr>
      </w:pPr>
      <w:r>
        <w:rPr>
          <w:rFonts w:ascii="Arial" w:cs="Arial" w:eastAsia="Arial" w:hAnsi="Arial"/>
          <w:sz w:val="18"/>
          <w:szCs w:val="18"/>
          <w:color w:val="auto"/>
        </w:rPr>
        <w:t>Douglas A. Cifu</w:t>
      </w:r>
    </w:p>
    <w:p>
      <w:pPr>
        <w:ind w:left="4660"/>
        <w:spacing w:after="0"/>
        <w:rPr>
          <w:sz w:val="20"/>
          <w:szCs w:val="20"/>
          <w:color w:val="auto"/>
        </w:rPr>
      </w:pPr>
      <w:r>
        <w:rPr>
          <w:rFonts w:ascii="Arial" w:cs="Arial" w:eastAsia="Arial" w:hAnsi="Arial"/>
          <w:sz w:val="18"/>
          <w:szCs w:val="18"/>
          <w:color w:val="auto"/>
        </w:rPr>
        <w:t>Chief Executive Officer</w:t>
      </w:r>
    </w:p>
    <w:p>
      <w:pPr>
        <w:spacing w:after="0" w:line="1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 March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5754370"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7">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b w:val="1"/>
          <w:bCs w:val="1"/>
          <w:color w:val="auto"/>
        </w:rPr>
        <w:t>EXHIBIT 32.2</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jc w:val="center"/>
        <w:spacing w:after="0" w:line="199" w:lineRule="auto"/>
        <w:rPr>
          <w:sz w:val="20"/>
          <w:szCs w:val="20"/>
          <w:color w:val="auto"/>
        </w:rPr>
      </w:pPr>
      <w:r>
        <w:rPr>
          <w:rFonts w:ascii="Arial" w:cs="Arial" w:eastAsia="Arial" w:hAnsi="Arial"/>
          <w:sz w:val="18"/>
          <w:szCs w:val="18"/>
          <w:color w:val="auto"/>
        </w:rPr>
        <w:t>18 U.S.C. SECTION 1350</w:t>
      </w:r>
    </w:p>
    <w:p>
      <w:pPr>
        <w:jc w:val="center"/>
        <w:spacing w:after="0" w:line="199" w:lineRule="auto"/>
        <w:rPr>
          <w:sz w:val="20"/>
          <w:szCs w:val="20"/>
          <w:color w:val="auto"/>
        </w:rPr>
      </w:pPr>
      <w:r>
        <w:rPr>
          <w:rFonts w:ascii="Arial" w:cs="Arial" w:eastAsia="Arial" w:hAnsi="Arial"/>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23" w:lineRule="exact"/>
        <w:rPr>
          <w:sz w:val="20"/>
          <w:szCs w:val="20"/>
          <w:color w:val="auto"/>
        </w:rPr>
      </w:pPr>
    </w:p>
    <w:p>
      <w:pPr>
        <w:jc w:val="both"/>
        <w:ind w:right="180"/>
        <w:spacing w:after="0" w:line="214" w:lineRule="auto"/>
        <w:rPr>
          <w:sz w:val="20"/>
          <w:szCs w:val="20"/>
          <w:color w:val="auto"/>
        </w:rPr>
      </w:pPr>
      <w:r>
        <w:rPr>
          <w:rFonts w:ascii="Arial" w:cs="Arial" w:eastAsia="Arial" w:hAnsi="Arial"/>
          <w:sz w:val="18"/>
          <w:szCs w:val="18"/>
          <w:color w:val="auto"/>
        </w:rPr>
        <w:t>In connection with the Annual Report of Virtu Financial, Inc. (the “Company”) on Form 10-K for the period ended December 31, 2017 as filed with the Securities and Exchange Commission on the date hereof (the “Report”), I, Joseph Molluso, certify, pursuant to 18 U.S.C. Section 1350, as adopted pursuant to Section 906 of the Sarbanes-Oxley Act of 2002, in my capacity as an officer of the Company that, to my knowledge:</w:t>
      </w:r>
    </w:p>
    <w:p>
      <w:pPr>
        <w:spacing w:after="0" w:line="122" w:lineRule="exact"/>
        <w:rPr>
          <w:sz w:val="20"/>
          <w:szCs w:val="20"/>
          <w:color w:val="auto"/>
        </w:rPr>
      </w:pPr>
    </w:p>
    <w:p>
      <w:pPr>
        <w:ind w:left="840" w:right="580" w:hanging="6"/>
        <w:spacing w:after="0" w:line="229" w:lineRule="auto"/>
        <w:tabs>
          <w:tab w:leader="none" w:pos="101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20" w:lineRule="exact"/>
        <w:rPr>
          <w:rFonts w:ascii="Arial" w:cs="Arial" w:eastAsia="Arial" w:hAnsi="Arial"/>
          <w:sz w:val="18"/>
          <w:szCs w:val="18"/>
          <w:color w:val="auto"/>
        </w:rPr>
      </w:pPr>
    </w:p>
    <w:p>
      <w:pPr>
        <w:ind w:left="840" w:hanging="6"/>
        <w:spacing w:after="0" w:line="229" w:lineRule="auto"/>
        <w:tabs>
          <w:tab w:leader="none" w:pos="101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-635</wp:posOffset>
            </wp:positionV>
            <wp:extent cx="281432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8">
                      <a:extLst>
                        <a:ext uri="{28A0092B-C50C-407E-A947-70E740481C1C}"/>
                      </a:extLst>
                    </a:blip>
                    <a:srcRect/>
                    <a:stretch>
                      <a:fillRect/>
                    </a:stretch>
                  </pic:blipFill>
                  <pic:spPr bwMode="auto">
                    <a:xfrm>
                      <a:off x="0" y="0"/>
                      <a:ext cx="2814320" cy="8255"/>
                    </a:xfrm>
                    <a:prstGeom prst="rect">
                      <a:avLst/>
                    </a:prstGeom>
                    <a:noFill/>
                  </pic:spPr>
                </pic:pic>
              </a:graphicData>
            </a:graphic>
          </wp:anchor>
        </w:drawing>
      </w:r>
    </w:p>
    <w:p>
      <w:pPr>
        <w:ind w:left="4640"/>
        <w:spacing w:after="0" w:line="199" w:lineRule="auto"/>
        <w:rPr>
          <w:sz w:val="20"/>
          <w:szCs w:val="20"/>
          <w:color w:val="auto"/>
        </w:rPr>
      </w:pPr>
      <w:r>
        <w:rPr>
          <w:rFonts w:ascii="Arial" w:cs="Arial" w:eastAsia="Arial" w:hAnsi="Arial"/>
          <w:sz w:val="18"/>
          <w:szCs w:val="18"/>
          <w:color w:val="auto"/>
        </w:rPr>
        <w:t>Joseph Molluso</w:t>
      </w:r>
    </w:p>
    <w:p>
      <w:pPr>
        <w:ind w:left="4640"/>
        <w:spacing w:after="0"/>
        <w:rPr>
          <w:sz w:val="20"/>
          <w:szCs w:val="20"/>
          <w:color w:val="auto"/>
        </w:rPr>
      </w:pPr>
      <w:r>
        <w:rPr>
          <w:rFonts w:ascii="Arial" w:cs="Arial" w:eastAsia="Arial" w:hAnsi="Arial"/>
          <w:sz w:val="18"/>
          <w:szCs w:val="18"/>
          <w:color w:val="auto"/>
        </w:rPr>
        <w:t>Chief Financial Officer</w:t>
      </w:r>
    </w:p>
    <w:p>
      <w:pPr>
        <w:spacing w:after="0" w:line="1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Date: March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5754370"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9">
                      <a:extLst>
                        <a:ext uri="{28A0092B-C50C-407E-A947-70E740481C1C}"/>
                      </a:extLst>
                    </a:blip>
                    <a:srcRect/>
                    <a:stretch>
                      <a:fillRect/>
                    </a:stretch>
                  </pic:blipFill>
                  <pic:spPr bwMode="auto">
                    <a:xfrm>
                      <a:off x="0" y="0"/>
                      <a:ext cx="5754370" cy="25400"/>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E448DE9"/>
    <w:multiLevelType w:val="hybridMultilevel"/>
    <w:lvl w:ilvl="0">
      <w:lvlJc w:val="left"/>
      <w:lvlText w:val="☒"/>
      <w:numFmt w:val="bullet"/>
      <w:start w:val="1"/>
    </w:lvl>
  </w:abstractNum>
  <w:abstractNum w:abstractNumId="1">
    <w:nsid w:val="5A9CC3E5"/>
    <w:multiLevelType w:val="hybridMultilevel"/>
    <w:lvl w:ilvl="0">
      <w:lvlJc w:val="left"/>
      <w:lvlText w:val="☐"/>
      <w:numFmt w:val="bullet"/>
      <w:start w:val="1"/>
    </w:lvl>
  </w:abstractNum>
  <w:abstractNum w:abstractNumId="2">
    <w:nsid w:val="1AFE3625"/>
    <w:multiLevelType w:val="hybridMultilevel"/>
    <w:lvl w:ilvl="0">
      <w:lvlJc w:val="left"/>
      <w:lvlText w:val="·"/>
      <w:numFmt w:val="bullet"/>
      <w:start w:val="1"/>
    </w:lvl>
  </w:abstractNum>
  <w:abstractNum w:abstractNumId="3">
    <w:nsid w:val="3CA88ECF"/>
    <w:multiLevelType w:val="hybridMultilevel"/>
    <w:lvl w:ilvl="0">
      <w:lvlJc w:val="left"/>
      <w:lvlText w:val="·"/>
      <w:numFmt w:val="bullet"/>
      <w:start w:val="1"/>
    </w:lvl>
  </w:abstractNum>
  <w:abstractNum w:abstractNumId="4">
    <w:nsid w:val="6EBE4208"/>
    <w:multiLevelType w:val="hybridMultilevel"/>
    <w:lvl w:ilvl="0">
      <w:lvlJc w:val="left"/>
      <w:lvlText w:val="(%1)"/>
      <w:numFmt w:val="decimal"/>
      <w:start w:val="1"/>
    </w:lvl>
  </w:abstractNum>
  <w:abstractNum w:abstractNumId="5">
    <w:nsid w:val="C058DF5"/>
    <w:multiLevelType w:val="hybridMultilevel"/>
    <w:lvl w:ilvl="0">
      <w:lvlJc w:val="left"/>
      <w:lvlText w:val="·"/>
      <w:numFmt w:val="bullet"/>
      <w:start w:val="1"/>
    </w:lvl>
  </w:abstractNum>
  <w:abstractNum w:abstractNumId="6">
    <w:nsid w:val="CBE5BE9"/>
    <w:multiLevelType w:val="hybridMultilevel"/>
    <w:lvl w:ilvl="0">
      <w:lvlJc w:val="left"/>
      <w:lvlText w:val="·"/>
      <w:numFmt w:val="bullet"/>
      <w:start w:val="1"/>
    </w:lvl>
  </w:abstractNum>
  <w:abstractNum w:abstractNumId="7">
    <w:nsid w:val="3102BBE2"/>
    <w:multiLevelType w:val="hybridMultilevel"/>
    <w:lvl w:ilvl="0">
      <w:lvlJc w:val="left"/>
      <w:lvlText w:val="·"/>
      <w:numFmt w:val="bullet"/>
      <w:start w:val="1"/>
    </w:lvl>
    <w:lvl w:ilvl="1">
      <w:lvlJc w:val="left"/>
      <w:lvlText w:val="o"/>
      <w:numFmt w:val="bullet"/>
      <w:start w:val="1"/>
    </w:lvl>
  </w:abstractNum>
  <w:abstractNum w:abstractNumId="8">
    <w:nsid w:val="26A02C5E"/>
    <w:multiLevelType w:val="hybridMultilevel"/>
    <w:lvl w:ilvl="0">
      <w:lvlJc w:val="left"/>
      <w:lvlText w:val="·"/>
      <w:numFmt w:val="bullet"/>
      <w:start w:val="1"/>
    </w:lvl>
  </w:abstractNum>
  <w:abstractNum w:abstractNumId="9">
    <w:nsid w:val="541C8153"/>
    <w:multiLevelType w:val="hybridMultilevel"/>
    <w:lvl w:ilvl="0">
      <w:lvlJc w:val="left"/>
      <w:lvlText w:val="·"/>
      <w:numFmt w:val="bullet"/>
      <w:start w:val="1"/>
    </w:lvl>
  </w:abstractNum>
  <w:abstractNum w:abstractNumId="10">
    <w:nsid w:val="67906F60"/>
    <w:multiLevelType w:val="hybridMultilevel"/>
    <w:lvl w:ilvl="0">
      <w:lvlJc w:val="left"/>
      <w:lvlText w:val="(%1)"/>
      <w:numFmt w:val="lowerRoman"/>
      <w:start w:val="3"/>
    </w:lvl>
  </w:abstractNum>
  <w:abstractNum w:abstractNumId="11">
    <w:nsid w:val="10DB9DAA"/>
    <w:multiLevelType w:val="hybridMultilevel"/>
    <w:lvl w:ilvl="0">
      <w:lvlJc w:val="left"/>
      <w:lvlText w:val="·"/>
      <w:numFmt w:val="bullet"/>
      <w:start w:val="1"/>
    </w:lvl>
  </w:abstractNum>
  <w:abstractNum w:abstractNumId="12">
    <w:nsid w:val="697D2D2"/>
    <w:multiLevelType w:val="hybridMultilevel"/>
    <w:lvl w:ilvl="0">
      <w:lvlJc w:val="left"/>
      <w:lvlText w:val="·"/>
      <w:numFmt w:val="bullet"/>
      <w:start w:val="1"/>
    </w:lvl>
  </w:abstractNum>
  <w:abstractNum w:abstractNumId="13">
    <w:nsid w:val="6D68AB2"/>
    <w:multiLevelType w:val="hybridMultilevel"/>
    <w:lvl w:ilvl="0">
      <w:lvlJc w:val="left"/>
      <w:lvlText w:val="·"/>
      <w:numFmt w:val="bullet"/>
      <w:start w:val="1"/>
    </w:lvl>
  </w:abstractNum>
  <w:abstractNum w:abstractNumId="14">
    <w:nsid w:val="3A966CD0"/>
    <w:multiLevelType w:val="hybridMultilevel"/>
    <w:lvl w:ilvl="0">
      <w:lvlJc w:val="left"/>
      <w:lvlText w:val="·"/>
      <w:numFmt w:val="bullet"/>
      <w:start w:val="1"/>
    </w:lvl>
  </w:abstractNum>
  <w:abstractNum w:abstractNumId="15">
    <w:nsid w:val="63F37E85"/>
    <w:multiLevelType w:val="hybridMultilevel"/>
    <w:lvl w:ilvl="0">
      <w:lvlJc w:val="left"/>
      <w:lvlText w:val="·"/>
      <w:numFmt w:val="bullet"/>
      <w:start w:val="1"/>
    </w:lvl>
  </w:abstractNum>
  <w:abstractNum w:abstractNumId="16">
    <w:nsid w:val="5895F5FA"/>
    <w:multiLevelType w:val="hybridMultilevel"/>
    <w:lvl w:ilvl="0">
      <w:lvlJc w:val="left"/>
      <w:lvlText w:val="\emdash "/>
      <w:numFmt w:val="bullet"/>
      <w:start w:val="1"/>
    </w:lvl>
  </w:abstractNum>
  <w:abstractNum w:abstractNumId="17">
    <w:nsid w:val="38A5D054"/>
    <w:multiLevelType w:val="hybridMultilevel"/>
    <w:lvl w:ilvl="0">
      <w:lvlJc w:val="left"/>
      <w:lvlText w:val="·"/>
      <w:numFmt w:val="bullet"/>
      <w:start w:val="1"/>
    </w:lvl>
  </w:abstractNum>
  <w:abstractNum w:abstractNumId="18">
    <w:nsid w:val="F3F09D8"/>
    <w:multiLevelType w:val="hybridMultilevel"/>
    <w:lvl w:ilvl="0">
      <w:lvlJc w:val="left"/>
      <w:lvlText w:val="·"/>
      <w:numFmt w:val="bullet"/>
      <w:start w:val="1"/>
    </w:lvl>
  </w:abstractNum>
  <w:abstractNum w:abstractNumId="19">
    <w:nsid w:val="4B793735"/>
    <w:multiLevelType w:val="hybridMultilevel"/>
    <w:lvl w:ilvl="0">
      <w:lvlJc w:val="left"/>
      <w:lvlText w:val="·"/>
      <w:numFmt w:val="bullet"/>
      <w:start w:val="1"/>
    </w:lvl>
  </w:abstractNum>
  <w:abstractNum w:abstractNumId="20">
    <w:nsid w:val="4A10B4E8"/>
    <w:multiLevelType w:val="hybridMultilevel"/>
    <w:lvl w:ilvl="0">
      <w:lvlJc w:val="left"/>
      <w:lvlText w:val="(%1)"/>
      <w:numFmt w:val="decimal"/>
      <w:start w:val="1"/>
    </w:lvl>
  </w:abstractNum>
  <w:abstractNum w:abstractNumId="21">
    <w:nsid w:val="43D3BCD4"/>
    <w:multiLevelType w:val="hybridMultilevel"/>
    <w:lvl w:ilvl="0">
      <w:lvlJc w:val="left"/>
      <w:lvlText w:val="(%1)"/>
      <w:numFmt w:val="decimal"/>
      <w:start w:val="8"/>
    </w:lvl>
  </w:abstractNum>
  <w:abstractNum w:abstractNumId="22">
    <w:nsid w:val="4C2A7166"/>
    <w:multiLevelType w:val="hybridMultilevel"/>
    <w:lvl w:ilvl="0">
      <w:lvlJc w:val="left"/>
      <w:lvlText w:val="·"/>
      <w:numFmt w:val="bullet"/>
      <w:start w:val="1"/>
    </w:lvl>
  </w:abstractNum>
  <w:abstractNum w:abstractNumId="23">
    <w:nsid w:val="2E534A82"/>
    <w:multiLevelType w:val="hybridMultilevel"/>
    <w:lvl w:ilvl="0">
      <w:lvlJc w:val="left"/>
      <w:lvlText w:val="·"/>
      <w:numFmt w:val="bullet"/>
      <w:start w:val="1"/>
    </w:lvl>
  </w:abstractNum>
  <w:abstractNum w:abstractNumId="24">
    <w:nsid w:val="26F2D364"/>
    <w:multiLevelType w:val="hybridMultilevel"/>
    <w:lvl w:ilvl="0">
      <w:lvlJc w:val="left"/>
      <w:lvlText w:val="·"/>
      <w:numFmt w:val="bullet"/>
      <w:start w:val="1"/>
    </w:lvl>
  </w:abstractNum>
  <w:abstractNum w:abstractNumId="25">
    <w:nsid w:val="71C1AF98"/>
    <w:multiLevelType w:val="hybridMultilevel"/>
    <w:lvl w:ilvl="0">
      <w:lvlJc w:val="left"/>
      <w:lvlText w:val="·"/>
      <w:numFmt w:val="bullet"/>
      <w:start w:val="1"/>
    </w:lvl>
  </w:abstractNum>
  <w:abstractNum w:abstractNumId="26">
    <w:nsid w:val="3D00B9D9"/>
    <w:multiLevelType w:val="hybridMultilevel"/>
    <w:lvl w:ilvl="0">
      <w:lvlJc w:val="left"/>
      <w:lvlText w:val="·"/>
      <w:numFmt w:val="bullet"/>
      <w:start w:val="1"/>
    </w:lvl>
  </w:abstractNum>
  <w:abstractNum w:abstractNumId="27">
    <w:nsid w:val="15BCABA8"/>
    <w:multiLevelType w:val="hybridMultilevel"/>
    <w:lvl w:ilvl="0">
      <w:lvlJc w:val="left"/>
      <w:lvlText w:val="(%1)"/>
      <w:numFmt w:val="decimal"/>
      <w:start w:val="1"/>
    </w:lvl>
  </w:abstractNum>
  <w:abstractNum w:abstractNumId="28">
    <w:nsid w:val="4E0B9A87"/>
    <w:multiLevelType w:val="hybridMultilevel"/>
    <w:lvl w:ilvl="0">
      <w:lvlJc w:val="left"/>
      <w:lvlText w:val="(%1)"/>
      <w:numFmt w:val="decimal"/>
      <w:start w:val="1"/>
    </w:lvl>
  </w:abstractNum>
  <w:abstractNum w:abstractNumId="29">
    <w:nsid w:val="434BAE75"/>
    <w:multiLevelType w:val="hybridMultilevel"/>
    <w:lvl w:ilvl="0">
      <w:lvlJc w:val="left"/>
      <w:lvlText w:val="(%1)"/>
      <w:numFmt w:val="decimal"/>
      <w:start w:val="1"/>
    </w:lvl>
  </w:abstractNum>
  <w:abstractNum w:abstractNumId="30">
    <w:nsid w:val="4F38F265"/>
    <w:multiLevelType w:val="hybridMultilevel"/>
    <w:lvl w:ilvl="0">
      <w:lvlJc w:val="left"/>
      <w:lvlText w:val="·"/>
      <w:numFmt w:val="bullet"/>
      <w:start w:val="1"/>
    </w:lvl>
  </w:abstractNum>
  <w:abstractNum w:abstractNumId="31">
    <w:nsid w:val="4C502870"/>
    <w:multiLevelType w:val="hybridMultilevel"/>
    <w:lvl w:ilvl="0">
      <w:lvlJc w:val="left"/>
      <w:lvlText w:val="·"/>
      <w:numFmt w:val="bullet"/>
      <w:start w:val="1"/>
    </w:lvl>
  </w:abstractNum>
  <w:abstractNum w:abstractNumId="32">
    <w:nsid w:val="1DE8725A"/>
    <w:multiLevelType w:val="hybridMultilevel"/>
    <w:lvl w:ilvl="0">
      <w:lvlJc w:val="left"/>
      <w:lvlText w:val="(%1)"/>
      <w:numFmt w:val="lowerRoman"/>
      <w:start w:val="8"/>
    </w:lvl>
  </w:abstractNum>
  <w:abstractNum w:abstractNumId="33">
    <w:nsid w:val="6A37288A"/>
    <w:multiLevelType w:val="hybridMultilevel"/>
    <w:lvl w:ilvl="0">
      <w:lvlJc w:val="left"/>
      <w:lvlText w:val="$"/>
      <w:numFmt w:val="bullet"/>
      <w:start w:val="1"/>
    </w:lvl>
  </w:abstractNum>
  <w:abstractNum w:abstractNumId="34">
    <w:nsid w:val="8F8B73F"/>
    <w:multiLevelType w:val="hybridMultilevel"/>
    <w:lvl w:ilvl="0">
      <w:lvlJc w:val="left"/>
      <w:lvlText w:val="(%1)"/>
      <w:numFmt w:val="decimal"/>
      <w:start w:val="1"/>
    </w:lvl>
  </w:abstractNum>
  <w:abstractNum w:abstractNumId="35">
    <w:nsid w:val="CA6B462"/>
    <w:multiLevelType w:val="hybridMultilevel"/>
    <w:lvl w:ilvl="0">
      <w:lvlJc w:val="left"/>
      <w:lvlText w:val="%1."/>
      <w:numFmt w:val="decimal"/>
      <w:start w:val="2"/>
    </w:lvl>
  </w:abstractNum>
  <w:abstractNum w:abstractNumId="36">
    <w:nsid w:val="763CB680"/>
    <w:multiLevelType w:val="hybridMultilevel"/>
    <w:lvl w:ilvl="0">
      <w:lvlJc w:val="left"/>
      <w:lvlText w:val="(%1)"/>
      <w:numFmt w:val="decimal"/>
      <w:start w:val="1"/>
    </w:lvl>
  </w:abstractNum>
  <w:abstractNum w:abstractNumId="37">
    <w:nsid w:val="15B71329"/>
    <w:multiLevelType w:val="hybridMultilevel"/>
    <w:lvl w:ilvl="0">
      <w:lvlJc w:val="left"/>
      <w:lvlText w:val="(%1)"/>
      <w:numFmt w:val="lowerRoman"/>
      <w:start w:val="3"/>
    </w:lvl>
  </w:abstractNum>
  <w:abstractNum w:abstractNumId="38">
    <w:nsid w:val="3DA97044"/>
    <w:multiLevelType w:val="hybridMultilevel"/>
    <w:lvl w:ilvl="0">
      <w:lvlJc w:val="left"/>
      <w:lvlText w:val="(%1)"/>
      <w:numFmt w:val="decimal"/>
      <w:start w:val="2"/>
    </w:lvl>
  </w:abstractNum>
  <w:abstractNum w:abstractNumId="39">
    <w:nsid w:val="1CDCE2DE"/>
    <w:multiLevelType w:val="hybridMultilevel"/>
    <w:lvl w:ilvl="0">
      <w:lvlJc w:val="left"/>
      <w:lvlText w:val="(%1)"/>
      <w:numFmt w:val="decimal"/>
      <w:start w:val="3"/>
    </w:lvl>
  </w:abstractNum>
  <w:abstractNum w:abstractNumId="40">
    <w:nsid w:val="69D3947C"/>
    <w:multiLevelType w:val="hybridMultilevel"/>
    <w:lvl w:ilvl="0">
      <w:lvlJc w:val="left"/>
      <w:lvlText w:val="(%1)"/>
      <w:numFmt w:val="decimal"/>
      <w:start w:val="1"/>
    </w:lvl>
  </w:abstractNum>
  <w:abstractNum w:abstractNumId="41">
    <w:nsid w:val="2539DFA5"/>
    <w:multiLevelType w:val="hybridMultilevel"/>
    <w:lvl w:ilvl="0">
      <w:lvlJc w:val="left"/>
      <w:lvlText w:val="$"/>
      <w:numFmt w:val="bullet"/>
      <w:start w:val="1"/>
    </w:lvl>
  </w:abstractNum>
  <w:abstractNum w:abstractNumId="42">
    <w:nsid w:val="2DB88089"/>
    <w:multiLevelType w:val="hybridMultilevel"/>
    <w:lvl w:ilvl="0">
      <w:lvlJc w:val="left"/>
      <w:lvlText w:val="$"/>
      <w:numFmt w:val="bullet"/>
      <w:start w:val="1"/>
    </w:lvl>
  </w:abstractNum>
  <w:abstractNum w:abstractNumId="43">
    <w:nsid w:val="706B674E"/>
    <w:multiLevelType w:val="hybridMultilevel"/>
    <w:lvl w:ilvl="0">
      <w:lvlJc w:val="left"/>
      <w:lvlText w:val="(%1)"/>
      <w:numFmt w:val="decimal"/>
      <w:start w:val="1"/>
    </w:lvl>
  </w:abstractNum>
  <w:abstractNum w:abstractNumId="44">
    <w:nsid w:val="2C106A57"/>
    <w:multiLevelType w:val="hybridMultilevel"/>
    <w:lvl w:ilvl="0">
      <w:lvlJc w:val="left"/>
      <w:lvlText w:val="·"/>
      <w:numFmt w:val="bullet"/>
      <w:start w:val="1"/>
    </w:lvl>
  </w:abstractNum>
  <w:abstractNum w:abstractNumId="45">
    <w:nsid w:val="684EED59"/>
    <w:multiLevelType w:val="hybridMultilevel"/>
    <w:lvl w:ilvl="0">
      <w:lvlJc w:val="left"/>
      <w:lvlText w:val="%1."/>
      <w:numFmt w:val="decimal"/>
      <w:start w:val="1"/>
    </w:lvl>
  </w:abstractNum>
  <w:abstractNum w:abstractNumId="46">
    <w:nsid w:val="545EE5D3"/>
    <w:multiLevelType w:val="hybridMultilevel"/>
    <w:lvl w:ilvl="0">
      <w:lvlJc w:val="left"/>
      <w:lvlText w:val="%1."/>
      <w:numFmt w:val="decimal"/>
      <w:start w:val="1"/>
    </w:lvl>
    <w:lvl w:ilvl="1">
      <w:lvlJc w:val="left"/>
      <w:lvlText w:val="(%2)"/>
      <w:numFmt w:val="lowerLetter"/>
      <w:start w:val="1"/>
    </w:lvl>
  </w:abstractNum>
  <w:abstractNum w:abstractNumId="47">
    <w:nsid w:val="4A66051"/>
    <w:multiLevelType w:val="hybridMultilevel"/>
    <w:lvl w:ilvl="0">
      <w:lvlJc w:val="left"/>
      <w:lvlText w:val="(%1)"/>
      <w:numFmt w:val="lowerLetter"/>
      <w:start w:val="2"/>
    </w:lvl>
  </w:abstractNum>
  <w:abstractNum w:abstractNumId="48">
    <w:nsid w:val="20F4BDAD"/>
    <w:multiLevelType w:val="hybridMultilevel"/>
    <w:lvl w:ilvl="0">
      <w:lvlJc w:val="left"/>
      <w:lvlText w:val="%1."/>
      <w:numFmt w:val="decimal"/>
      <w:start w:val="3"/>
    </w:lvl>
  </w:abstractNum>
  <w:abstractNum w:abstractNumId="49">
    <w:nsid w:val="639DEFAC"/>
    <w:multiLevelType w:val="hybridMultilevel"/>
    <w:lvl w:ilvl="0">
      <w:lvlJc w:val="left"/>
      <w:lvlText w:val="%1."/>
      <w:numFmt w:val="decimal"/>
      <w:start w:val="6"/>
    </w:lvl>
    <w:lvl w:ilvl="1">
      <w:lvlJc w:val="left"/>
      <w:lvlText w:val="(%2)"/>
      <w:numFmt w:val="lowerLetter"/>
      <w:start w:val="1"/>
    </w:lvl>
  </w:abstractNum>
  <w:abstractNum w:abstractNumId="50">
    <w:nsid w:val="501F9786"/>
    <w:multiLevelType w:val="hybridMultilevel"/>
    <w:lvl w:ilvl="0">
      <w:lvlJc w:val="left"/>
      <w:lvlText w:val="(%1)"/>
      <w:numFmt w:val="lowerLetter"/>
      <w:start w:val="2"/>
    </w:lvl>
    <w:lvl w:ilvl="1">
      <w:lvlJc w:val="left"/>
      <w:lvlText w:val="(%2)"/>
      <w:numFmt w:val="lowerLetter"/>
      <w:start w:val="9"/>
    </w:lvl>
  </w:abstractNum>
  <w:abstractNum w:abstractNumId="51">
    <w:nsid w:val="6B057295"/>
    <w:multiLevelType w:val="hybridMultilevel"/>
    <w:lvl w:ilvl="0">
      <w:lvlJc w:val="left"/>
      <w:lvlText w:val="(%1)"/>
      <w:numFmt w:val="lowerLetter"/>
      <w:start w:val="10"/>
    </w:lvl>
    <w:lvl w:ilvl="1">
      <w:lvlJc w:val="left"/>
      <w:lvlText w:val="(%2)"/>
      <w:numFmt w:val="lowerRoman"/>
      <w:start w:val="1"/>
    </w:lvl>
  </w:abstractNum>
  <w:abstractNum w:abstractNumId="52">
    <w:nsid w:val="2771AC80"/>
    <w:multiLevelType w:val="hybridMultilevel"/>
    <w:lvl w:ilvl="0">
      <w:lvlJc w:val="left"/>
      <w:lvlText w:val="(%1)"/>
      <w:numFmt w:val="lowerLetter"/>
      <w:start w:val="15"/>
    </w:lvl>
  </w:abstractNum>
  <w:abstractNum w:abstractNumId="53">
    <w:nsid w:val="1C4A08EC"/>
    <w:multiLevelType w:val="hybridMultilevel"/>
    <w:lvl w:ilvl="0">
      <w:lvlJc w:val="left"/>
      <w:lvlText w:val="(%1)"/>
      <w:numFmt w:val="lowerLetter"/>
      <w:start w:val="1"/>
    </w:lvl>
  </w:abstractNum>
  <w:abstractNum w:abstractNumId="54">
    <w:nsid w:val="1958BD17"/>
    <w:multiLevelType w:val="hybridMultilevel"/>
    <w:lvl w:ilvl="0">
      <w:lvlJc w:val="left"/>
      <w:lvlText w:val="(%1)"/>
      <w:numFmt w:val="lowerLetter"/>
      <w:start w:val="3"/>
    </w:lvl>
  </w:abstractNum>
  <w:abstractNum w:abstractNumId="55">
    <w:nsid w:val="4E647FE4"/>
    <w:multiLevelType w:val="hybridMultilevel"/>
    <w:lvl w:ilvl="0">
      <w:lvlJc w:val="left"/>
      <w:lvlText w:val="(%1)"/>
      <w:numFmt w:val="lowerLetter"/>
      <w:start w:val="1"/>
    </w:lvl>
  </w:abstractNum>
  <w:abstractNum w:abstractNumId="56">
    <w:nsid w:val="E0BB885"/>
    <w:multiLevelType w:val="hybridMultilevel"/>
    <w:lvl w:ilvl="0">
      <w:lvlJc w:val="left"/>
      <w:lvlText w:val="(%1)"/>
      <w:numFmt w:val="lowerLetter"/>
      <w:start w:val="1"/>
    </w:lvl>
  </w:abstractNum>
  <w:abstractNum w:abstractNumId="57">
    <w:nsid w:val="565976F1"/>
    <w:multiLevelType w:val="hybridMultilevel"/>
    <w:lvl w:ilvl="0">
      <w:lvlJc w:val="left"/>
      <w:lvlText w:val="(%1)"/>
      <w:numFmt w:val="lowerLetter"/>
      <w:start w:val="3"/>
    </w:lvl>
  </w:abstractNum>
  <w:abstractNum w:abstractNumId="58">
    <w:nsid w:val="64212B8C"/>
    <w:multiLevelType w:val="hybridMultilevel"/>
    <w:lvl w:ilvl="0">
      <w:lvlJc w:val="left"/>
      <w:lvlText w:val="(%1)"/>
      <w:numFmt w:val="upperLetter"/>
      <w:start w:val="1"/>
    </w:lvl>
  </w:abstractNum>
  <w:abstractNum w:abstractNumId="59">
    <w:nsid w:val="5C17530C"/>
    <w:multiLevelType w:val="hybridMultilevel"/>
    <w:lvl w:ilvl="0">
      <w:lvlJc w:val="left"/>
      <w:lvlText w:val="☐"/>
      <w:numFmt w:val="bullet"/>
      <w:start w:val="1"/>
    </w:lvl>
  </w:abstractNum>
  <w:abstractNum w:abstractNumId="60">
    <w:nsid w:val="19A52566"/>
    <w:multiLevelType w:val="hybridMultilevel"/>
    <w:lvl w:ilvl="0">
      <w:lvlJc w:val="left"/>
      <w:lvlText w:val="☐"/>
      <w:numFmt w:val="bullet"/>
      <w:start w:val="1"/>
    </w:lvl>
  </w:abstractNum>
  <w:abstractNum w:abstractNumId="61">
    <w:nsid w:val="335A1DF1"/>
    <w:multiLevelType w:val="hybridMultilevel"/>
    <w:lvl w:ilvl="0">
      <w:lvlJc w:val="left"/>
      <w:lvlText w:val="(%1)"/>
      <w:numFmt w:val="lowerLetter"/>
      <w:start w:val="1"/>
    </w:lvl>
  </w:abstractNum>
  <w:abstractNum w:abstractNumId="62">
    <w:nsid w:val="28677B7C"/>
    <w:multiLevelType w:val="hybridMultilevel"/>
    <w:lvl w:ilvl="0">
      <w:lvlJc w:val="left"/>
      <w:lvlText w:val="(%1)"/>
      <w:numFmt w:val="lowerLetter"/>
      <w:start w:val="1"/>
    </w:lvl>
    <w:lvl w:ilvl="1">
      <w:lvlJc w:val="left"/>
      <w:lvlText w:val="(%2)"/>
      <w:numFmt w:val="lowerLetter"/>
      <w:start w:val="9"/>
    </w:lvl>
  </w:abstractNum>
  <w:abstractNum w:abstractNumId="63">
    <w:nsid w:val="378D97C0"/>
    <w:multiLevelType w:val="hybridMultilevel"/>
    <w:lvl w:ilvl="0">
      <w:lvlJc w:val="left"/>
      <w:lvlText w:val="(%1)"/>
      <w:numFmt w:val="lowerRoman"/>
      <w:start w:val="2"/>
    </w:lvl>
  </w:abstractNum>
  <w:abstractNum w:abstractNumId="64">
    <w:nsid w:val="1D91467C"/>
    <w:multiLevelType w:val="hybridMultilevel"/>
    <w:lvl w:ilvl="0">
      <w:lvlJc w:val="left"/>
      <w:lvlText w:val="(%1)"/>
      <w:numFmt w:val="lowerRoman"/>
      <w:start w:val="12"/>
    </w:lvl>
  </w:abstractNum>
  <w:abstractNum w:abstractNumId="65">
    <w:nsid w:val="316032BB"/>
    <w:multiLevelType w:val="hybridMultilevel"/>
    <w:lvl w:ilvl="0">
      <w:lvlJc w:val="left"/>
      <w:lvlText w:val="(%1)"/>
      <w:numFmt w:val="lowerLetter"/>
      <w:start w:val="2"/>
    </w:lvl>
    <w:lvl w:ilvl="1">
      <w:lvlJc w:val="left"/>
      <w:lvlText w:val="(%2)"/>
      <w:numFmt w:val="lowerRoman"/>
      <w:start w:val="1"/>
    </w:lvl>
  </w:abstractNum>
  <w:abstractNum w:abstractNumId="66">
    <w:nsid w:val="44344C22"/>
    <w:multiLevelType w:val="hybridMultilevel"/>
    <w:lvl w:ilvl="0">
      <w:lvlJc w:val="left"/>
      <w:lvlText w:val="(%1)"/>
      <w:numFmt w:val="lowerRoman"/>
      <w:start w:val="6"/>
    </w:lvl>
  </w:abstractNum>
  <w:abstractNum w:abstractNumId="67">
    <w:nsid w:val="13CDFCFC"/>
    <w:multiLevelType w:val="hybridMultilevel"/>
    <w:lvl w:ilvl="0">
      <w:lvlJc w:val="left"/>
      <w:lvlText w:val="(%1)"/>
      <w:numFmt w:val="upperLetter"/>
      <w:start w:val="9"/>
    </w:lvl>
  </w:abstractNum>
  <w:abstractNum w:abstractNumId="68">
    <w:nsid w:val="471745E4"/>
    <w:multiLevelType w:val="hybridMultilevel"/>
    <w:lvl w:ilvl="0">
      <w:lvlJc w:val="left"/>
      <w:lvlText w:val="(%1)"/>
      <w:numFmt w:val="upperLetter"/>
      <w:start w:val="35"/>
    </w:lvl>
  </w:abstractNum>
  <w:abstractNum w:abstractNumId="69">
    <w:nsid w:val="1DDBC66"/>
    <w:multiLevelType w:val="hybridMultilevel"/>
    <w:lvl w:ilvl="0">
      <w:lvlJc w:val="left"/>
      <w:lvlText w:val="(%1)"/>
      <w:numFmt w:val="upperLetter"/>
      <w:start w:val="61"/>
    </w:lvl>
  </w:abstractNum>
  <w:abstractNum w:abstractNumId="70">
    <w:nsid w:val="30AADFDA"/>
    <w:multiLevelType w:val="hybridMultilevel"/>
    <w:lvl w:ilvl="0">
      <w:lvlJc w:val="left"/>
      <w:lvlText w:val="(%1)"/>
      <w:numFmt w:val="lowerLetter"/>
      <w:start w:val="1"/>
    </w:lvl>
  </w:abstractNum>
  <w:abstractNum w:abstractNumId="71">
    <w:nsid w:val="30EADA61"/>
    <w:multiLevelType w:val="hybridMultilevel"/>
    <w:lvl w:ilvl="0">
      <w:lvlJc w:val="left"/>
      <w:lvlText w:val="(%1)"/>
      <w:numFmt w:val="lowerRoman"/>
      <w:start w:val="2"/>
    </w:lvl>
  </w:abstractNum>
  <w:abstractNum w:abstractNumId="72">
    <w:nsid w:val="27179C0B"/>
    <w:multiLevelType w:val="hybridMultilevel"/>
    <w:lvl w:ilvl="0">
      <w:lvlJc w:val="left"/>
      <w:lvlText w:val="(%1)"/>
      <w:numFmt w:val="lowerLetter"/>
      <w:start w:val="1"/>
    </w:lvl>
  </w:abstractNum>
  <w:abstractNum w:abstractNumId="73">
    <w:nsid w:val="5E636063"/>
    <w:multiLevelType w:val="hybridMultilevel"/>
    <w:lvl w:ilvl="0">
      <w:lvlJc w:val="left"/>
      <w:lvlText w:val="(%1)"/>
      <w:numFmt w:val="lowerLetter"/>
      <w:start w:val="1"/>
    </w:lvl>
    <w:lvl w:ilvl="1">
      <w:lvlJc w:val="left"/>
      <w:lvlText w:val="(%2)"/>
      <w:numFmt w:val="lowerLetter"/>
      <w:start w:val="9"/>
    </w:lvl>
  </w:abstractNum>
  <w:abstractNum w:abstractNumId="74">
    <w:nsid w:val="215641AF"/>
    <w:multiLevelType w:val="hybridMultilevel"/>
    <w:lvl w:ilvl="0">
      <w:lvlJc w:val="left"/>
      <w:lvlText w:val="%1"/>
      <w:numFmt w:val="lowerLetter"/>
      <w:start w:val="1"/>
    </w:lvl>
    <w:lvl w:ilvl="1">
      <w:lvlJc w:val="left"/>
      <w:lvlText w:val="(%2)"/>
      <w:numFmt w:val="lowerRoman"/>
      <w:start w:val="2"/>
    </w:lvl>
  </w:abstractNum>
  <w:abstractNum w:abstractNumId="75">
    <w:nsid w:val="53280662"/>
    <w:multiLevelType w:val="hybridMultilevel"/>
    <w:lvl w:ilvl="0">
      <w:lvlJc w:val="left"/>
      <w:lvlText w:val="(%1)"/>
      <w:numFmt w:val="lowerLetter"/>
      <w:start w:val="2"/>
    </w:lvl>
    <w:lvl w:ilvl="1">
      <w:lvlJc w:val="left"/>
      <w:lvlText w:val="(%2)"/>
      <w:numFmt w:val="lowerRoman"/>
      <w:start w:val="1"/>
    </w:lvl>
  </w:abstractNum>
  <w:abstractNum w:abstractNumId="76">
    <w:nsid w:val="46B24DBC"/>
    <w:multiLevelType w:val="hybridMultilevel"/>
    <w:lvl w:ilvl="0">
      <w:lvlJc w:val="left"/>
      <w:lvlText w:val="(%1)"/>
      <w:numFmt w:val="lowerLetter"/>
      <w:start w:val="25"/>
    </w:lvl>
    <w:lvl w:ilvl="1">
      <w:lvlJc w:val="left"/>
      <w:lvlText w:val="%2"/>
      <w:numFmt w:val="lowerRoman"/>
      <w:start w:val="1"/>
    </w:lvl>
  </w:abstractNum>
  <w:abstractNum w:abstractNumId="77">
    <w:nsid w:val="75B52783"/>
    <w:multiLevelType w:val="hybridMultilevel"/>
    <w:lvl w:ilvl="0">
      <w:lvlJc w:val="left"/>
      <w:lvlText w:val="(%1)"/>
      <w:numFmt w:val="lowerRoman"/>
      <w:start w:val="4"/>
    </w:lvl>
  </w:abstractNum>
  <w:abstractNum w:abstractNumId="78">
    <w:nsid w:val="57CE66B4"/>
    <w:multiLevelType w:val="hybridMultilevel"/>
    <w:lvl w:ilvl="0">
      <w:lvlJc w:val="left"/>
      <w:lvlText w:val="(%1)"/>
      <w:numFmt w:val="lowerRoman"/>
      <w:start w:val="10"/>
    </w:lvl>
  </w:abstractNum>
  <w:abstractNum w:abstractNumId="79">
    <w:nsid w:val="67A70B69"/>
    <w:multiLevelType w:val="hybridMultilevel"/>
    <w:lvl w:ilvl="0">
      <w:lvlJc w:val="left"/>
      <w:lvlText w:val="(%1)"/>
      <w:numFmt w:val="lowerLetter"/>
      <w:start w:val="4"/>
    </w:lvl>
  </w:abstractNum>
  <w:abstractNum w:abstractNumId="80">
    <w:nsid w:val="5953172F"/>
    <w:multiLevelType w:val="hybridMultilevel"/>
    <w:lvl w:ilvl="0">
      <w:lvlJc w:val="left"/>
      <w:lvlText w:val="(%1)"/>
      <w:numFmt w:val="lowerRoman"/>
      <w:start w:val="2"/>
    </w:lvl>
  </w:abstractNum>
  <w:abstractNum w:abstractNumId="81">
    <w:nsid w:val="27EDFE3A"/>
    <w:multiLevelType w:val="hybridMultilevel"/>
    <w:lvl w:ilvl="0">
      <w:lvlJc w:val="left"/>
      <w:lvlText w:val="(%1)"/>
      <w:numFmt w:val="lowerLetter"/>
      <w:start w:val="2"/>
    </w:lvl>
  </w:abstractNum>
  <w:abstractNum w:abstractNumId="82">
    <w:nsid w:val="52AC7DFF"/>
    <w:multiLevelType w:val="hybridMultilevel"/>
    <w:lvl w:ilvl="0">
      <w:lvlJc w:val="left"/>
      <w:lvlText w:val="(%1)"/>
      <w:numFmt w:val="lowerLetter"/>
      <w:start w:val="5"/>
    </w:lvl>
  </w:abstractNum>
  <w:abstractNum w:abstractNumId="83">
    <w:nsid w:val="C4C3AF"/>
    <w:multiLevelType w:val="hybridMultilevel"/>
    <w:lvl w:ilvl="0">
      <w:lvlJc w:val="left"/>
      <w:lvlText w:val="(%1)"/>
      <w:numFmt w:val="lowerLetter"/>
      <w:start w:val="2"/>
    </w:lvl>
  </w:abstractNum>
  <w:abstractNum w:abstractNumId="84">
    <w:nsid w:val="44380727"/>
    <w:multiLevelType w:val="hybridMultilevel"/>
    <w:lvl w:ilvl="0">
      <w:lvlJc w:val="left"/>
      <w:lvlText w:val="(%1)"/>
      <w:numFmt w:val="lowerLetter"/>
      <w:start w:val="1"/>
    </w:lvl>
  </w:abstractNum>
  <w:abstractNum w:abstractNumId="85">
    <w:nsid w:val="6C053B16"/>
    <w:multiLevelType w:val="hybridMultilevel"/>
    <w:lvl w:ilvl="0">
      <w:lvlJc w:val="left"/>
      <w:lvlText w:val="(%1)"/>
      <w:numFmt w:val="lowerLetter"/>
      <w:start w:val="7"/>
    </w:lvl>
  </w:abstractNum>
  <w:abstractNum w:abstractNumId="86">
    <w:nsid w:val="4F294393"/>
    <w:multiLevelType w:val="hybridMultilevel"/>
    <w:lvl w:ilvl="0">
      <w:lvlJc w:val="left"/>
      <w:lvlText w:val="%1"/>
      <w:numFmt w:val="lowerLetter"/>
      <w:start w:val="1"/>
    </w:lvl>
    <w:lvl w:ilvl="1">
      <w:lvlJc w:val="left"/>
      <w:lvlText w:val="(%2)"/>
      <w:numFmt w:val="lowerLetter"/>
      <w:start w:val="1"/>
    </w:lvl>
  </w:abstractNum>
  <w:abstractNum w:abstractNumId="87">
    <w:nsid w:val="5243BFAC"/>
    <w:multiLevelType w:val="hybridMultilevel"/>
    <w:lvl w:ilvl="0">
      <w:lvlJc w:val="left"/>
      <w:lvlText w:val="(%1)"/>
      <w:numFmt w:val="lowerLetter"/>
      <w:start w:val="35"/>
    </w:lvl>
    <w:lvl w:ilvl="1">
      <w:lvlJc w:val="left"/>
      <w:lvlText w:val="(%2)"/>
      <w:numFmt w:val="lowerLetter"/>
      <w:start w:val="4"/>
    </w:lvl>
  </w:abstractNum>
  <w:abstractNum w:abstractNumId="88">
    <w:nsid w:val="425EB207"/>
    <w:multiLevelType w:val="hybridMultilevel"/>
    <w:lvl w:ilvl="0">
      <w:lvlJc w:val="left"/>
      <w:lvlText w:val="(%1)"/>
      <w:numFmt w:val="lowerLetter"/>
      <w:start w:val="9"/>
    </w:lvl>
  </w:abstractNum>
  <w:abstractNum w:abstractNumId="89">
    <w:nsid w:val="334A6F1F"/>
    <w:multiLevelType w:val="hybridMultilevel"/>
    <w:lvl w:ilvl="0">
      <w:lvlJc w:val="left"/>
      <w:lvlText w:val="(%1)"/>
      <w:numFmt w:val="lowerRoman"/>
      <w:start w:val="1"/>
    </w:lvl>
  </w:abstractNum>
  <w:abstractNum w:abstractNumId="90">
    <w:nsid w:val="2E5B12B8"/>
    <w:multiLevelType w:val="hybridMultilevel"/>
    <w:lvl w:ilvl="0">
      <w:lvlJc w:val="left"/>
      <w:lvlText w:val="%1"/>
      <w:numFmt w:val="upperLetter"/>
      <w:start w:val="1"/>
    </w:lvl>
    <w:lvl w:ilvl="1">
      <w:lvlJc w:val="left"/>
      <w:lvlText w:val="(%2)"/>
      <w:numFmt w:val="lowerLetter"/>
      <w:start w:val="1"/>
    </w:lvl>
  </w:abstractNum>
  <w:abstractNum w:abstractNumId="91">
    <w:nsid w:val="5C03D76D"/>
    <w:multiLevelType w:val="hybridMultilevel"/>
    <w:lvl w:ilvl="0">
      <w:lvlJc w:val="left"/>
      <w:lvlText w:val="(%1)"/>
      <w:numFmt w:val="upperLetter"/>
      <w:start w:val="1"/>
    </w:lvl>
    <w:lvl w:ilvl="1">
      <w:lvlJc w:val="left"/>
      <w:lvlText w:val="(%2)"/>
      <w:numFmt w:val="lowerLetter"/>
      <w:start w:val="2"/>
    </w:lvl>
  </w:abstractNum>
  <w:abstractNum w:abstractNumId="92">
    <w:nsid w:val="66A48D11"/>
    <w:multiLevelType w:val="hybridMultilevel"/>
    <w:lvl w:ilvl="0">
      <w:lvlJc w:val="left"/>
      <w:lvlText w:val="(%1)"/>
      <w:numFmt w:val="lowerRoman"/>
      <w:start w:val="8"/>
    </w:lvl>
  </w:abstractNum>
  <w:abstractNum w:abstractNumId="93">
    <w:nsid w:val="56C28E34"/>
    <w:multiLevelType w:val="hybridMultilevel"/>
    <w:lvl w:ilvl="0">
      <w:lvlJc w:val="left"/>
      <w:lvlText w:val="(%1)"/>
      <w:numFmt w:val="lowerLetter"/>
      <w:start w:val="1"/>
    </w:lvl>
  </w:abstractNum>
  <w:abstractNum w:abstractNumId="94">
    <w:nsid w:val="13916F2D"/>
    <w:multiLevelType w:val="hybridMultilevel"/>
    <w:lvl w:ilvl="0">
      <w:lvlJc w:val="left"/>
      <w:lvlText w:val="(%1)"/>
      <w:numFmt w:val="lowerLetter"/>
      <w:start w:val="3"/>
    </w:lvl>
  </w:abstractNum>
  <w:abstractNum w:abstractNumId="95">
    <w:nsid w:val="435D38D"/>
    <w:multiLevelType w:val="hybridMultilevel"/>
    <w:lvl w:ilvl="0">
      <w:lvlJc w:val="left"/>
      <w:lvlText w:val="(%1)"/>
      <w:numFmt w:val="lowerLetter"/>
      <w:start w:val="2"/>
    </w:lvl>
  </w:abstractNum>
  <w:abstractNum w:abstractNumId="96">
    <w:nsid w:val="822C0EF"/>
    <w:multiLevelType w:val="hybridMultilevel"/>
    <w:lvl w:ilvl="0">
      <w:lvlJc w:val="left"/>
      <w:lvlText w:val="(%1)"/>
      <w:numFmt w:val="lowerRoman"/>
      <w:start w:val="1"/>
    </w:lvl>
  </w:abstractNum>
  <w:abstractNum w:abstractNumId="97">
    <w:nsid w:val="57C5BB4F"/>
    <w:multiLevelType w:val="hybridMultilevel"/>
    <w:lvl w:ilvl="0">
      <w:lvlJc w:val="left"/>
      <w:lvlText w:val="(%1)"/>
      <w:numFmt w:val="lowerLetter"/>
      <w:start w:val="2"/>
    </w:lvl>
  </w:abstractNum>
  <w:abstractNum w:abstractNumId="98">
    <w:nsid w:val="1803D089"/>
    <w:multiLevelType w:val="hybridMultilevel"/>
    <w:lvl w:ilvl="0">
      <w:lvlJc w:val="left"/>
      <w:lvlText w:val="(%1)"/>
      <w:numFmt w:val="lowerLetter"/>
      <w:start w:val="2"/>
    </w:lvl>
    <w:lvl w:ilvl="1">
      <w:lvlJc w:val="left"/>
      <w:lvlText w:val="(%2)"/>
      <w:numFmt w:val="lowerRoman"/>
      <w:start w:val="1"/>
    </w:lvl>
  </w:abstractNum>
  <w:abstractNum w:abstractNumId="99">
    <w:nsid w:val="4F3A06D4"/>
    <w:multiLevelType w:val="hybridMultilevel"/>
    <w:lvl w:ilvl="0">
      <w:lvlJc w:val="left"/>
      <w:lvlText w:val="(%1)"/>
      <w:numFmt w:val="lowerLetter"/>
      <w:start w:val="4"/>
    </w:lvl>
  </w:abstractNum>
  <w:abstractNum w:abstractNumId="100">
    <w:nsid w:val="59A377B6"/>
    <w:multiLevelType w:val="hybridMultilevel"/>
    <w:lvl w:ilvl="0">
      <w:lvlJc w:val="left"/>
      <w:lvlText w:val="(%1)"/>
      <w:numFmt w:val="lowerLetter"/>
      <w:start w:val="35"/>
    </w:lvl>
    <w:lvl w:ilvl="1">
      <w:lvlJc w:val="left"/>
      <w:lvlText w:val="(%2)"/>
      <w:numFmt w:val="lowerLetter"/>
      <w:start w:val="2"/>
    </w:lvl>
  </w:abstractNum>
  <w:abstractNum w:abstractNumId="101">
    <w:nsid w:val="48AEB063"/>
    <w:multiLevelType w:val="hybridMultilevel"/>
    <w:lvl w:ilvl="0">
      <w:lvlJc w:val="left"/>
      <w:lvlText w:val="(%1)"/>
      <w:numFmt w:val="lowerLetter"/>
      <w:start w:val="2"/>
    </w:lvl>
  </w:abstractNum>
  <w:abstractNum w:abstractNumId="102">
    <w:nsid w:val="24E135"/>
    <w:multiLevelType w:val="hybridMultilevel"/>
    <w:lvl w:ilvl="0">
      <w:lvlJc w:val="left"/>
      <w:lvlText w:val="(%1)"/>
      <w:numFmt w:val="lowerLetter"/>
      <w:start w:val="3"/>
    </w:lvl>
  </w:abstractNum>
  <w:abstractNum w:abstractNumId="103">
    <w:nsid w:val="BB13C1"/>
    <w:multiLevelType w:val="hybridMultilevel"/>
    <w:lvl w:ilvl="0">
      <w:lvlJc w:val="left"/>
      <w:lvlText w:val="%1"/>
      <w:numFmt w:val="lowerLetter"/>
      <w:start w:val="1"/>
    </w:lvl>
    <w:lvl w:ilvl="1">
      <w:lvlJc w:val="left"/>
      <w:lvlText w:val="(%2)"/>
      <w:numFmt w:val="lowerLetter"/>
      <w:start w:val="3"/>
    </w:lvl>
  </w:abstractNum>
  <w:abstractNum w:abstractNumId="104">
    <w:nsid w:val="271210C7"/>
    <w:multiLevelType w:val="hybridMultilevel"/>
    <w:lvl w:ilvl="0">
      <w:lvlJc w:val="left"/>
      <w:lvlText w:val="(%1)"/>
      <w:numFmt w:val="lowerLetter"/>
      <w:start w:val="35"/>
    </w:lvl>
    <w:lvl w:ilvl="1">
      <w:lvlJc w:val="left"/>
      <w:lvlText w:val="(%2)"/>
      <w:numFmt w:val="lowerLetter"/>
      <w:start w:val="4"/>
    </w:lvl>
  </w:abstractNum>
  <w:abstractNum w:abstractNumId="105">
    <w:nsid w:val="217B22E4"/>
    <w:multiLevelType w:val="hybridMultilevel"/>
    <w:lvl w:ilvl="0">
      <w:lvlJc w:val="left"/>
      <w:lvlText w:val="(%1)"/>
      <w:numFmt w:val="lowerRoman"/>
      <w:start w:val="2"/>
    </w:lvl>
  </w:abstractNum>
  <w:abstractNum w:abstractNumId="106">
    <w:nsid w:val="53E31A24"/>
    <w:multiLevelType w:val="hybridMultilevel"/>
    <w:lvl w:ilvl="0">
      <w:lvlJc w:val="left"/>
      <w:lvlText w:val="(%1)"/>
      <w:numFmt w:val="upperLetter"/>
      <w:start w:val="1"/>
    </w:lvl>
  </w:abstractNum>
  <w:abstractNum w:abstractNumId="107">
    <w:nsid w:val="6DC45E83"/>
    <w:multiLevelType w:val="hybridMultilevel"/>
    <w:lvl w:ilvl="0">
      <w:lvlJc w:val="left"/>
      <w:lvlText w:val="(%1)"/>
      <w:numFmt w:val="decimal"/>
      <w:start w:val="2"/>
    </w:lvl>
  </w:abstractNum>
  <w:abstractNum w:abstractNumId="108">
    <w:nsid w:val="17304A67"/>
    <w:multiLevelType w:val="hybridMultilevel"/>
    <w:lvl w:ilvl="0">
      <w:lvlJc w:val="left"/>
      <w:lvlText w:val="(%1)"/>
      <w:numFmt w:val="upperLetter"/>
      <w:start w:val="3"/>
    </w:lvl>
  </w:abstractNum>
  <w:abstractNum w:abstractNumId="109">
    <w:nsid w:val="2BB180D8"/>
    <w:multiLevelType w:val="hybridMultilevel"/>
    <w:lvl w:ilvl="0">
      <w:lvlJc w:val="left"/>
      <w:lvlText w:val="(%1)"/>
      <w:numFmt w:val="decimal"/>
      <w:start w:val="2"/>
    </w:lvl>
  </w:abstractNum>
  <w:abstractNum w:abstractNumId="110">
    <w:nsid w:val="556B69ED"/>
    <w:multiLevelType w:val="hybridMultilevel"/>
    <w:lvl w:ilvl="0">
      <w:lvlJc w:val="left"/>
      <w:lvlText w:val="(%1)"/>
      <w:numFmt w:val="upperLetter"/>
      <w:start w:val="4"/>
    </w:lvl>
  </w:abstractNum>
  <w:abstractNum w:abstractNumId="111">
    <w:nsid w:val="70836196"/>
    <w:multiLevelType w:val="hybridMultilevel"/>
    <w:lvl w:ilvl="0">
      <w:lvlJc w:val="left"/>
      <w:lvlText w:val="%1"/>
      <w:numFmt w:val="decimal"/>
      <w:start w:val="1"/>
    </w:lvl>
    <w:lvl w:ilvl="1">
      <w:lvlJc w:val="left"/>
      <w:lvlText w:val="(%2)"/>
      <w:numFmt w:val="decimal"/>
      <w:start w:val="2"/>
    </w:lvl>
  </w:abstractNum>
  <w:abstractNum w:abstractNumId="112">
    <w:nsid w:val="539F7F12"/>
    <w:multiLevelType w:val="hybridMultilevel"/>
    <w:lvl w:ilvl="0">
      <w:lvlJc w:val="left"/>
      <w:lvlText w:val="(%1)"/>
      <w:numFmt w:val="decimal"/>
      <w:start w:val="3"/>
    </w:lvl>
    <w:lvl w:ilvl="1">
      <w:lvlJc w:val="left"/>
      <w:lvlText w:val="%2"/>
      <w:numFmt w:val="decimal"/>
      <w:start w:val="1"/>
    </w:lvl>
  </w:abstractNum>
  <w:abstractNum w:abstractNumId="113">
    <w:nsid w:val="2817E7EC"/>
    <w:multiLevelType w:val="hybridMultilevel"/>
    <w:lvl w:ilvl="0">
      <w:lvlJc w:val="left"/>
      <w:lvlText w:val="(%1)"/>
      <w:numFmt w:val="upperLetter"/>
      <w:start w:val="5"/>
    </w:lvl>
  </w:abstractNum>
  <w:abstractNum w:abstractNumId="114">
    <w:nsid w:val="71482545"/>
    <w:multiLevelType w:val="hybridMultilevel"/>
    <w:lvl w:ilvl="0">
      <w:lvlJc w:val="left"/>
      <w:lvlText w:val="(%1)"/>
      <w:numFmt w:val="upperLetter"/>
      <w:start w:val="6"/>
    </w:lvl>
  </w:abstractNum>
  <w:abstractNum w:abstractNumId="115">
    <w:nsid w:val="17D78639"/>
    <w:multiLevelType w:val="hybridMultilevel"/>
    <w:lvl w:ilvl="0">
      <w:lvlJc w:val="left"/>
      <w:lvlText w:val="%1"/>
      <w:numFmt w:val="lowerLetter"/>
      <w:start w:val="1"/>
    </w:lvl>
    <w:lvl w:ilvl="1">
      <w:lvlJc w:val="left"/>
      <w:lvlText w:val="(%2)"/>
      <w:numFmt w:val="upperLetter"/>
      <w:start w:val="10"/>
    </w:lvl>
  </w:abstractNum>
  <w:abstractNum w:abstractNumId="116">
    <w:nsid w:val="141D2302"/>
    <w:multiLevelType w:val="hybridMultilevel"/>
    <w:lvl w:ilvl="0">
      <w:lvlJc w:val="left"/>
      <w:lvlText w:val="(%1)"/>
      <w:numFmt w:val="lowerLetter"/>
      <w:start w:val="2"/>
    </w:lvl>
    <w:lvl w:ilvl="1">
      <w:lvlJc w:val="left"/>
      <w:lvlText w:val="%2"/>
      <w:numFmt w:val="upperLetter"/>
      <w:start w:val="1"/>
    </w:lvl>
  </w:abstractNum>
  <w:abstractNum w:abstractNumId="117">
    <w:nsid w:val="407168D8"/>
    <w:multiLevelType w:val="hybridMultilevel"/>
    <w:lvl w:ilvl="0">
      <w:lvlJc w:val="left"/>
      <w:lvlText w:val="(%1)"/>
      <w:numFmt w:val="lowerLetter"/>
      <w:start w:val="4"/>
    </w:lvl>
  </w:abstractNum>
  <w:abstractNum w:abstractNumId="118">
    <w:nsid w:val="6A1B45E5"/>
    <w:multiLevelType w:val="hybridMultilevel"/>
    <w:lvl w:ilvl="0">
      <w:lvlJc w:val="left"/>
      <w:lvlText w:val="(%1)"/>
      <w:numFmt w:val="lowerLetter"/>
      <w:start w:val="6"/>
    </w:lvl>
  </w:abstractNum>
  <w:abstractNum w:abstractNumId="119">
    <w:nsid w:val="567BD50A"/>
    <w:multiLevelType w:val="hybridMultilevel"/>
    <w:lvl w:ilvl="0">
      <w:lvlJc w:val="left"/>
      <w:lvlText w:val="(%1)"/>
      <w:numFmt w:val="lowerLetter"/>
      <w:start w:val="7"/>
    </w:lvl>
  </w:abstractNum>
  <w:abstractNum w:abstractNumId="120">
    <w:nsid w:val="73BBD7F8"/>
    <w:multiLevelType w:val="hybridMultilevel"/>
    <w:lvl w:ilvl="0">
      <w:lvlJc w:val="left"/>
      <w:lvlText w:val="(%1)"/>
      <w:numFmt w:val="lowerLetter"/>
      <w:start w:val="2"/>
    </w:lvl>
  </w:abstractNum>
  <w:abstractNum w:abstractNumId="121">
    <w:nsid w:val="1876589D"/>
    <w:multiLevelType w:val="hybridMultilevel"/>
    <w:lvl w:ilvl="0">
      <w:lvlJc w:val="left"/>
      <w:lvlText w:val="(%1)"/>
      <w:numFmt w:val="lowerLetter"/>
      <w:start w:val="5"/>
    </w:lvl>
  </w:abstractNum>
  <w:abstractNum w:abstractNumId="122">
    <w:nsid w:val="327FAC77"/>
    <w:multiLevelType w:val="hybridMultilevel"/>
    <w:lvl w:ilvl="0">
      <w:lvlJc w:val="left"/>
      <w:lvlText w:val="(%1)"/>
      <w:numFmt w:val="lowerLetter"/>
      <w:start w:val="2"/>
    </w:lvl>
  </w:abstractNum>
  <w:abstractNum w:abstractNumId="123">
    <w:nsid w:val="5A606509"/>
    <w:multiLevelType w:val="hybridMultilevel"/>
    <w:lvl w:ilvl="0">
      <w:lvlJc w:val="left"/>
      <w:lvlText w:val="(%1)"/>
      <w:numFmt w:val="lowerLetter"/>
      <w:start w:val="5"/>
    </w:lvl>
  </w:abstractNum>
  <w:abstractNum w:abstractNumId="124">
    <w:nsid w:val="6F38E6D1"/>
    <w:multiLevelType w:val="hybridMultilevel"/>
    <w:lvl w:ilvl="0">
      <w:lvlJc w:val="left"/>
      <w:lvlText w:val="(%1)"/>
      <w:numFmt w:val="lowerRoman"/>
      <w:start w:val="1"/>
    </w:lvl>
  </w:abstractNum>
  <w:abstractNum w:abstractNumId="125">
    <w:nsid w:val="46111BA5"/>
    <w:multiLevelType w:val="hybridMultilevel"/>
    <w:lvl w:ilvl="0">
      <w:lvlJc w:val="left"/>
      <w:lvlText w:val="(%1)"/>
      <w:numFmt w:val="lowerLetter"/>
      <w:start w:val="2"/>
    </w:lvl>
  </w:abstractNum>
  <w:abstractNum w:abstractNumId="126">
    <w:nsid w:val="5E963896"/>
    <w:multiLevelType w:val="hybridMultilevel"/>
    <w:lvl w:ilvl="0">
      <w:lvlJc w:val="left"/>
      <w:lvlText w:val="(%1)"/>
      <w:numFmt w:val="lowerRoman"/>
      <w:start w:val="1"/>
    </w:lvl>
  </w:abstractNum>
  <w:abstractNum w:abstractNumId="127">
    <w:nsid w:val="775BA7C1"/>
    <w:multiLevelType w:val="hybridMultilevel"/>
    <w:lvl w:ilvl="0">
      <w:lvlJc w:val="left"/>
      <w:lvlText w:val="(%1)"/>
      <w:numFmt w:val="lowerLetter"/>
      <w:start w:val="2"/>
    </w:lvl>
  </w:abstractNum>
  <w:abstractNum w:abstractNumId="128">
    <w:nsid w:val="1DD6D6F4"/>
    <w:multiLevelType w:val="hybridMultilevel"/>
    <w:lvl w:ilvl="0">
      <w:lvlJc w:val="left"/>
      <w:lvlText w:val="%1"/>
      <w:numFmt w:val="lowerLetter"/>
      <w:start w:val="1"/>
    </w:lvl>
    <w:lvl w:ilvl="1">
      <w:lvlJc w:val="left"/>
      <w:lvlText w:val="(%2)"/>
      <w:numFmt w:val="lowerLetter"/>
      <w:start w:val="3"/>
    </w:lvl>
  </w:abstractNum>
  <w:abstractNum w:abstractNumId="129">
    <w:nsid w:val="769A091F"/>
    <w:multiLevelType w:val="hybridMultilevel"/>
    <w:lvl w:ilvl="0">
      <w:lvlJc w:val="left"/>
      <w:lvlText w:val="(%1)"/>
      <w:numFmt w:val="lowerLetter"/>
      <w:start w:val="2"/>
    </w:lvl>
    <w:lvl w:ilvl="1">
      <w:lvlJc w:val="left"/>
      <w:lvlText w:val="(%2)"/>
      <w:numFmt w:val="lowerLetter"/>
      <w:start w:val="4"/>
    </w:lvl>
  </w:abstractNum>
  <w:abstractNum w:abstractNumId="130">
    <w:nsid w:val="4695AE95"/>
    <w:multiLevelType w:val="hybridMultilevel"/>
    <w:lvl w:ilvl="0">
      <w:lvlJc w:val="left"/>
      <w:lvlText w:val="(%1)"/>
      <w:numFmt w:val="lowerRoman"/>
      <w:start w:val="1"/>
    </w:lvl>
  </w:abstractNum>
  <w:abstractNum w:abstractNumId="131">
    <w:nsid w:val="777A4EAA"/>
    <w:multiLevelType w:val="hybridMultilevel"/>
    <w:lvl w:ilvl="0">
      <w:lvlJc w:val="left"/>
      <w:lvlText w:val="(%1)"/>
      <w:numFmt w:val="lowerLetter"/>
      <w:start w:val="2"/>
    </w:lvl>
  </w:abstractNum>
  <w:abstractNum w:abstractNumId="132">
    <w:nsid w:val="3F48B982"/>
    <w:multiLevelType w:val="hybridMultilevel"/>
    <w:lvl w:ilvl="0">
      <w:lvlJc w:val="left"/>
      <w:lvlText w:val="(%1)"/>
      <w:numFmt w:val="lowerLetter"/>
      <w:start w:val="5"/>
    </w:lvl>
  </w:abstractNum>
  <w:abstractNum w:abstractNumId="133">
    <w:nsid w:val="46BA8FCA"/>
    <w:multiLevelType w:val="hybridMultilevel"/>
    <w:lvl w:ilvl="0">
      <w:lvlJc w:val="left"/>
      <w:lvlText w:val="(%1)"/>
      <w:numFmt w:val="lowerRoman"/>
      <w:start w:val="1"/>
    </w:lvl>
    <w:lvl w:ilvl="1">
      <w:lvlJc w:val="left"/>
      <w:lvlText w:val="(%2)"/>
      <w:numFmt w:val="upperLetter"/>
      <w:start w:val="1"/>
    </w:lvl>
  </w:abstractNum>
  <w:abstractNum w:abstractNumId="134">
    <w:nsid w:val="7835626C"/>
    <w:multiLevelType w:val="hybridMultilevel"/>
    <w:lvl w:ilvl="0">
      <w:lvlJc w:val="left"/>
      <w:lvlText w:val="(%1)"/>
      <w:numFmt w:val="upperLetter"/>
      <w:start w:val="4"/>
    </w:lvl>
  </w:abstractNum>
  <w:abstractNum w:abstractNumId="135">
    <w:nsid w:val="665ACA49"/>
    <w:multiLevelType w:val="hybridMultilevel"/>
    <w:lvl w:ilvl="0">
      <w:lvlJc w:val="left"/>
      <w:lvlText w:val="(%1)"/>
      <w:numFmt w:val="lowerLetter"/>
      <w:start w:val="6"/>
    </w:lvl>
  </w:abstractNum>
  <w:abstractNum w:abstractNumId="136">
    <w:nsid w:val="6835B2AE"/>
    <w:multiLevelType w:val="hybridMultilevel"/>
    <w:lvl w:ilvl="0">
      <w:lvlJc w:val="left"/>
      <w:lvlText w:val="(%1)"/>
      <w:numFmt w:val="lowerLetter"/>
      <w:start w:val="2"/>
    </w:lvl>
  </w:abstractNum>
  <w:abstractNum w:abstractNumId="137">
    <w:nsid w:val="4C187C90"/>
    <w:multiLevelType w:val="hybridMultilevel"/>
    <w:lvl w:ilvl="0">
      <w:lvlJc w:val="left"/>
      <w:lvlText w:val="(%1)"/>
      <w:numFmt w:val="lowerLetter"/>
      <w:start w:val="4"/>
    </w:lvl>
  </w:abstractNum>
  <w:abstractNum w:abstractNumId="138">
    <w:nsid w:val="541F28CD"/>
    <w:multiLevelType w:val="hybridMultilevel"/>
    <w:lvl w:ilvl="0">
      <w:lvlJc w:val="left"/>
      <w:lvlText w:val="(%1)"/>
      <w:numFmt w:val="lowerLetter"/>
      <w:start w:val="2"/>
    </w:lvl>
  </w:abstractNum>
  <w:abstractNum w:abstractNumId="139">
    <w:nsid w:val="7F65FD16"/>
    <w:multiLevelType w:val="hybridMultilevel"/>
    <w:lvl w:ilvl="0">
      <w:lvlJc w:val="left"/>
      <w:lvlText w:val="(%1)"/>
      <w:numFmt w:val="upperLetter"/>
      <w:start w:val="1"/>
    </w:lvl>
  </w:abstractNum>
  <w:abstractNum w:abstractNumId="140">
    <w:nsid w:val="77C9FD68"/>
    <w:multiLevelType w:val="hybridMultilevel"/>
    <w:lvl w:ilvl="0">
      <w:lvlJc w:val="left"/>
      <w:lvlText w:val="(%1)"/>
      <w:numFmt w:val="lowerLetter"/>
      <w:start w:val="2"/>
    </w:lvl>
  </w:abstractNum>
  <w:abstractNum w:abstractNumId="141">
    <w:nsid w:val="298A92BA"/>
    <w:multiLevelType w:val="hybridMultilevel"/>
    <w:lvl w:ilvl="0">
      <w:lvlJc w:val="left"/>
      <w:lvlText w:val="(%1)"/>
      <w:numFmt w:val="upperLetter"/>
      <w:start w:val="4"/>
    </w:lvl>
    <w:lvl w:ilvl="1">
      <w:lvlJc w:val="left"/>
      <w:lvlText w:val="(%2)"/>
      <w:numFmt w:val="upperLetter"/>
    </w:lvl>
    <w:lvl w:ilvl="2">
      <w:lvlJc w:val="left"/>
      <w:lvlText w:val="(%3)"/>
      <w:numFmt w:val="lowerRoman"/>
      <w:start w:val="2"/>
    </w:lvl>
  </w:abstractNum>
  <w:abstractNum w:abstractNumId="142">
    <w:nsid w:val="6FE95EAC"/>
    <w:multiLevelType w:val="hybridMultilevel"/>
    <w:lvl w:ilvl="0">
      <w:lvlJc w:val="left"/>
      <w:lvlText w:val="(%1)"/>
      <w:numFmt w:val="lowerRoman"/>
      <w:start w:val="3"/>
    </w:lvl>
  </w:abstractNum>
  <w:abstractNum w:abstractNumId="143">
    <w:nsid w:val="4B697C7A"/>
    <w:multiLevelType w:val="hybridMultilevel"/>
    <w:lvl w:ilvl="0">
      <w:lvlJc w:val="left"/>
      <w:lvlText w:val="(%1)"/>
      <w:numFmt w:val="lowerRoman"/>
      <w:start w:val="22"/>
    </w:lvl>
  </w:abstractNum>
  <w:abstractNum w:abstractNumId="144">
    <w:nsid w:val="51A27AA6"/>
    <w:multiLevelType w:val="hybridMultilevel"/>
    <w:lvl w:ilvl="0">
      <w:lvlJc w:val="left"/>
      <w:lvlText w:val="(%1)"/>
      <w:numFmt w:val="lowerLetter"/>
      <w:start w:val="2"/>
    </w:lvl>
    <w:lvl w:ilvl="1">
      <w:lvlJc w:val="left"/>
      <w:lvlText w:val="(%2)"/>
      <w:numFmt w:val="lowerLetter"/>
      <w:start w:val="35"/>
    </w:lvl>
  </w:abstractNum>
  <w:abstractNum w:abstractNumId="145">
    <w:nsid w:val="613183F2"/>
    <w:multiLevelType w:val="hybridMultilevel"/>
    <w:lvl w:ilvl="0">
      <w:lvlJc w:val="left"/>
      <w:lvlText w:val="%1"/>
      <w:numFmt w:val="lowerLetter"/>
      <w:start w:val="1"/>
    </w:lvl>
    <w:lvl w:ilvl="1">
      <w:lvlJc w:val="left"/>
      <w:lvlText w:val="(%2)"/>
      <w:numFmt w:val="lowerLetter"/>
      <w:start w:val="61"/>
    </w:lvl>
  </w:abstractNum>
  <w:abstractNum w:abstractNumId="146">
    <w:nsid w:val="634102B4"/>
    <w:multiLevelType w:val="hybridMultilevel"/>
    <w:lvl w:ilvl="0">
      <w:lvlJc w:val="left"/>
      <w:lvlText w:val="(%1)"/>
      <w:numFmt w:val="lowerLetter"/>
      <w:start w:val="3"/>
    </w:lvl>
    <w:lvl w:ilvl="1">
      <w:lvlJc w:val="left"/>
      <w:lvlText w:val="%2"/>
      <w:numFmt w:val="lowerLetter"/>
      <w:start w:val="1"/>
    </w:lvl>
  </w:abstractNum>
  <w:abstractNum w:abstractNumId="147">
    <w:nsid w:val="65BF9DA8"/>
    <w:multiLevelType w:val="hybridMultilevel"/>
    <w:lvl w:ilvl="0">
      <w:lvlJc w:val="left"/>
      <w:lvlText w:val="(%1)"/>
      <w:numFmt w:val="lowerLetter"/>
      <w:start w:val="4"/>
    </w:lvl>
  </w:abstractNum>
  <w:abstractNum w:abstractNumId="148">
    <w:nsid w:val="21A2ECCA"/>
    <w:multiLevelType w:val="hybridMultilevel"/>
    <w:lvl w:ilvl="0">
      <w:lvlJc w:val="left"/>
      <w:lvlText w:val="(%1)"/>
      <w:numFmt w:val="lowerLetter"/>
      <w:start w:val="2"/>
    </w:lvl>
  </w:abstractNum>
  <w:abstractNum w:abstractNumId="149">
    <w:nsid w:val="4D5C4899"/>
    <w:multiLevelType w:val="hybridMultilevel"/>
    <w:lvl w:ilvl="0">
      <w:lvlJc w:val="left"/>
      <w:lvlText w:val="(%1)"/>
      <w:numFmt w:val="lowerLetter"/>
      <w:start w:val="1"/>
    </w:lvl>
  </w:abstractNum>
  <w:abstractNum w:abstractNumId="150">
    <w:nsid w:val="3C3B72B2"/>
    <w:multiLevelType w:val="hybridMultilevel"/>
    <w:lvl w:ilvl="0">
      <w:lvlJc w:val="left"/>
      <w:lvlText w:val="(%1)"/>
      <w:numFmt w:val="lowerLetter"/>
      <w:start w:val="4"/>
    </w:lvl>
    <w:lvl w:ilvl="1">
      <w:lvlJc w:val="left"/>
      <w:lvlText w:val="(%2)"/>
      <w:numFmt w:val="lowerRoman"/>
      <w:start w:val="1"/>
    </w:lvl>
  </w:abstractNum>
  <w:abstractNum w:abstractNumId="151">
    <w:nsid w:val="155EC4C2"/>
    <w:multiLevelType w:val="hybridMultilevel"/>
    <w:lvl w:ilvl="0">
      <w:lvlJc w:val="left"/>
      <w:lvlText w:val="%1"/>
      <w:numFmt w:val="lowerLetter"/>
      <w:start w:val="1"/>
    </w:lvl>
    <w:lvl w:ilvl="1">
      <w:lvlJc w:val="left"/>
      <w:lvlText w:val="(%2)"/>
      <w:numFmt w:val="lowerRoman"/>
      <w:start w:val="3"/>
    </w:lvl>
  </w:abstractNum>
  <w:abstractNum w:abstractNumId="152">
    <w:nsid w:val="65D2A137"/>
    <w:multiLevelType w:val="hybridMultilevel"/>
    <w:lvl w:ilvl="0">
      <w:lvlJc w:val="left"/>
      <w:lvlText w:val="(%1)"/>
      <w:numFmt w:val="lowerLetter"/>
      <w:start w:val="5"/>
    </w:lvl>
    <w:lvl w:ilvl="1">
      <w:lvlJc w:val="left"/>
      <w:lvlText w:val="%2"/>
      <w:numFmt w:val="lowerRoman"/>
      <w:start w:val="1"/>
    </w:lvl>
  </w:abstractNum>
  <w:abstractNum w:abstractNumId="153">
    <w:nsid w:val="6EBB1F2A"/>
    <w:multiLevelType w:val="hybridMultilevel"/>
    <w:lvl w:ilvl="0">
      <w:lvlJc w:val="left"/>
      <w:lvlText w:val="(%1)"/>
      <w:numFmt w:val="lowerLetter"/>
      <w:start w:val="1"/>
    </w:lvl>
  </w:abstractNum>
  <w:abstractNum w:abstractNumId="154">
    <w:nsid w:val="6FBF29CB"/>
    <w:multiLevelType w:val="hybridMultilevel"/>
    <w:lvl w:ilvl="0">
      <w:lvlJc w:val="left"/>
      <w:lvlText w:val="%1"/>
      <w:numFmt w:val="lowerLetter"/>
      <w:start w:val="1"/>
    </w:lvl>
    <w:lvl w:ilvl="1">
      <w:lvlJc w:val="left"/>
      <w:lvlText w:val="(%2)"/>
      <w:numFmt w:val="lowerRoman"/>
      <w:start w:val="2"/>
    </w:lvl>
  </w:abstractNum>
  <w:abstractNum w:abstractNumId="155">
    <w:nsid w:val="550B8808"/>
    <w:multiLevelType w:val="hybridMultilevel"/>
    <w:lvl w:ilvl="0">
      <w:lvlJc w:val="left"/>
      <w:lvlText w:val="(%1)"/>
      <w:numFmt w:val="lowerLetter"/>
      <w:start w:val="2"/>
    </w:lvl>
    <w:lvl w:ilvl="1">
      <w:lvlJc w:val="left"/>
      <w:lvlText w:val="%2"/>
      <w:numFmt w:val="lowerRoman"/>
      <w:start w:val="1"/>
    </w:lvl>
  </w:abstractNum>
  <w:abstractNum w:abstractNumId="156">
    <w:nsid w:val="34CC3ACF"/>
    <w:multiLevelType w:val="hybridMultilevel"/>
    <w:lvl w:ilvl="0">
      <w:lvlJc w:val="left"/>
      <w:lvlText w:val="(%1)"/>
      <w:numFmt w:val="lowerLetter"/>
      <w:start w:val="3"/>
    </w:lvl>
    <w:lvl w:ilvl="1">
      <w:lvlJc w:val="left"/>
      <w:lvlText w:val="(%2)"/>
      <w:numFmt w:val="lowerLetter"/>
      <w:start w:val="35"/>
    </w:lvl>
  </w:abstractNum>
  <w:abstractNum w:abstractNumId="157">
    <w:nsid w:val="4E556261"/>
    <w:multiLevelType w:val="hybridMultilevel"/>
    <w:lvl w:ilvl="0">
      <w:lvlJc w:val="left"/>
      <w:lvlText w:val="%1"/>
      <w:numFmt w:val="lowerLetter"/>
      <w:start w:val="1"/>
    </w:lvl>
    <w:lvl w:ilvl="1">
      <w:lvlJc w:val="left"/>
      <w:lvlText w:val="(%2)"/>
      <w:numFmt w:val="lowerLetter"/>
      <w:start w:val="61"/>
    </w:lvl>
  </w:abstractNum>
  <w:abstractNum w:abstractNumId="158">
    <w:nsid w:val="4C672FC9"/>
    <w:multiLevelType w:val="hybridMultilevel"/>
    <w:lvl w:ilvl="0">
      <w:lvlJc w:val="left"/>
      <w:lvlText w:val="(%1)"/>
      <w:numFmt w:val="lowerLetter"/>
      <w:start w:val="4"/>
    </w:lvl>
    <w:lvl w:ilvl="1">
      <w:lvlJc w:val="left"/>
      <w:lvlText w:val="%2"/>
      <w:numFmt w:val="lowerLetter"/>
      <w:start w:val="1"/>
    </w:lvl>
  </w:abstractNum>
  <w:abstractNum w:abstractNumId="159">
    <w:nsid w:val="52A311C3"/>
    <w:multiLevelType w:val="hybridMultilevel"/>
    <w:lvl w:ilvl="0">
      <w:lvlJc w:val="left"/>
      <w:lvlText w:val="(%1)"/>
      <w:numFmt w:val="lowerLetter"/>
      <w:start w:val="6"/>
    </w:lvl>
    <w:lvl w:ilvl="1">
      <w:lvlJc w:val="left"/>
      <w:lvlText w:val="(%2)"/>
      <w:numFmt w:val="lowerLetter"/>
      <w:start w:val="35"/>
    </w:lvl>
  </w:abstractNum>
  <w:abstractNum w:abstractNumId="160">
    <w:nsid w:val="44EF6B80"/>
    <w:multiLevelType w:val="hybridMultilevel"/>
    <w:lvl w:ilvl="0">
      <w:lvlJc w:val="left"/>
      <w:lvlText w:val="(%1)"/>
      <w:numFmt w:val="lowerLetter"/>
      <w:start w:val="9"/>
    </w:lvl>
  </w:abstractNum>
  <w:abstractNum w:abstractNumId="161">
    <w:nsid w:val="12FCDE5E"/>
    <w:multiLevelType w:val="hybridMultilevel"/>
    <w:lvl w:ilvl="0">
      <w:lvlJc w:val="left"/>
      <w:lvlText w:val="(%1)"/>
      <w:numFmt w:val="upperLetter"/>
      <w:start w:val="1"/>
    </w:lvl>
  </w:abstractNum>
  <w:abstractNum w:abstractNumId="162">
    <w:nsid w:val="4A1D606E"/>
    <w:multiLevelType w:val="hybridMultilevel"/>
    <w:lvl w:ilvl="0">
      <w:lvlJc w:val="left"/>
      <w:lvlText w:val="(%1)"/>
      <w:numFmt w:val="lowerLetter"/>
      <w:start w:val="2"/>
    </w:lvl>
    <w:lvl w:ilvl="1">
      <w:lvlJc w:val="left"/>
      <w:lvlText w:val="(%2)"/>
      <w:numFmt w:val="lowerLetter"/>
      <w:start w:val="3"/>
    </w:lvl>
  </w:abstractNum>
  <w:abstractNum w:abstractNumId="163">
    <w:nsid w:val="4382503"/>
    <w:multiLevelType w:val="hybridMultilevel"/>
    <w:lvl w:ilvl="0">
      <w:lvlJc w:val="left"/>
      <w:lvlText w:val="(%1)"/>
      <w:numFmt w:val="lowerLetter"/>
      <w:start w:val="2"/>
    </w:lvl>
  </w:abstractNum>
  <w:abstractNum w:abstractNumId="164">
    <w:nsid w:val="59B76E28"/>
    <w:multiLevelType w:val="hybridMultilevel"/>
    <w:lvl w:ilvl="0">
      <w:lvlJc w:val="left"/>
      <w:lvlText w:val="(%1)"/>
      <w:numFmt w:val="lowerLetter"/>
      <w:start w:val="2"/>
    </w:lvl>
  </w:abstractNum>
  <w:abstractNum w:abstractNumId="165">
    <w:nsid w:val="4252C2DA"/>
    <w:multiLevelType w:val="hybridMultilevel"/>
    <w:lvl w:ilvl="0">
      <w:lvlJc w:val="left"/>
      <w:lvlText w:val="(%1)"/>
      <w:numFmt w:val="lowerLetter"/>
      <w:start w:val="2"/>
    </w:lvl>
  </w:abstractNum>
  <w:abstractNum w:abstractNumId="166">
    <w:nsid w:val="6A92EF4C"/>
    <w:multiLevelType w:val="hybridMultilevel"/>
    <w:lvl w:ilvl="0">
      <w:lvlJc w:val="left"/>
      <w:lvlText w:val="(%1)"/>
      <w:numFmt w:val="lowerLetter"/>
      <w:start w:val="1"/>
    </w:lvl>
  </w:abstractNum>
  <w:abstractNum w:abstractNumId="167">
    <w:nsid w:val="41ED20D7"/>
    <w:multiLevelType w:val="hybridMultilevel"/>
    <w:lvl w:ilvl="0">
      <w:lvlJc w:val="left"/>
      <w:lvlText w:val="(%1)"/>
      <w:numFmt w:val="lowerLetter"/>
      <w:start w:val="2"/>
    </w:lvl>
  </w:abstractNum>
  <w:abstractNum w:abstractNumId="168">
    <w:nsid w:val="E6B3F6A"/>
    <w:multiLevelType w:val="hybridMultilevel"/>
    <w:lvl w:ilvl="0">
      <w:lvlJc w:val="left"/>
      <w:lvlText w:val="(%1)"/>
      <w:numFmt w:val="lowerLetter"/>
      <w:start w:val="2"/>
    </w:lvl>
  </w:abstractNum>
  <w:abstractNum w:abstractNumId="169">
    <w:nsid w:val="3EB21819"/>
    <w:multiLevelType w:val="hybridMultilevel"/>
    <w:lvl w:ilvl="0">
      <w:lvlJc w:val="left"/>
      <w:lvlText w:val="(%1)"/>
      <w:numFmt w:val="lowerLetter"/>
      <w:start w:val="1"/>
    </w:lvl>
  </w:abstractNum>
  <w:abstractNum w:abstractNumId="170">
    <w:nsid w:val="41531DED"/>
    <w:multiLevelType w:val="hybridMultilevel"/>
    <w:lvl w:ilvl="0">
      <w:lvlJc w:val="left"/>
      <w:lvlText w:val="(%1)"/>
      <w:numFmt w:val="lowerLetter"/>
      <w:start w:val="1"/>
    </w:lvl>
  </w:abstractNum>
  <w:abstractNum w:abstractNumId="171">
    <w:nsid w:val="6353CD2"/>
    <w:multiLevelType w:val="hybridMultilevel"/>
    <w:lvl w:ilvl="0">
      <w:lvlJc w:val="left"/>
      <w:lvlText w:val="(%1)"/>
      <w:numFmt w:val="lowerLetter"/>
      <w:start w:val="7"/>
    </w:lvl>
  </w:abstractNum>
  <w:abstractNum w:abstractNumId="172">
    <w:nsid w:val="683CAAD3"/>
    <w:multiLevelType w:val="hybridMultilevel"/>
    <w:lvl w:ilvl="0">
      <w:lvlJc w:val="left"/>
      <w:lvlText w:val="(%1)"/>
      <w:numFmt w:val="lowerLetter"/>
      <w:start w:val="1"/>
    </w:lvl>
  </w:abstractNum>
  <w:abstractNum w:abstractNumId="173">
    <w:nsid w:val="313C7C99"/>
    <w:multiLevelType w:val="hybridMultilevel"/>
    <w:lvl w:ilvl="0">
      <w:lvlJc w:val="left"/>
      <w:lvlText w:val="(%1)"/>
      <w:numFmt w:val="lowerLetter"/>
      <w:start w:val="1"/>
    </w:lvl>
  </w:abstractNum>
  <w:abstractNum w:abstractNumId="174">
    <w:nsid w:val="519EB94C"/>
    <w:multiLevelType w:val="hybridMultilevel"/>
    <w:lvl w:ilvl="0">
      <w:lvlJc w:val="left"/>
      <w:lvlText w:val="(%1)"/>
      <w:numFmt w:val="lowerLetter"/>
      <w:start w:val="4"/>
    </w:lvl>
  </w:abstractNum>
  <w:abstractNum w:abstractNumId="175">
    <w:nsid w:val="39DF2579"/>
    <w:multiLevelType w:val="hybridMultilevel"/>
    <w:lvl w:ilvl="0">
      <w:lvlJc w:val="left"/>
      <w:lvlText w:val="%1"/>
      <w:numFmt w:val="lowerLetter"/>
      <w:start w:val="1"/>
    </w:lvl>
    <w:lvl w:ilvl="1">
      <w:lvlJc w:val="left"/>
      <w:lvlText w:val="(%2)"/>
      <w:numFmt w:val="lowerLetter"/>
      <w:start w:val="11"/>
    </w:lvl>
  </w:abstractNum>
  <w:abstractNum w:abstractNumId="176">
    <w:nsid w:val="126E008B"/>
    <w:multiLevelType w:val="hybridMultilevel"/>
    <w:lvl w:ilvl="0">
      <w:lvlJc w:val="left"/>
      <w:lvlText w:val="(%1)"/>
      <w:numFmt w:val="lowerLetter"/>
      <w:start w:val="61"/>
    </w:lvl>
    <w:lvl w:ilvl="1">
      <w:lvlJc w:val="left"/>
      <w:lvlText w:val="%2"/>
      <w:numFmt w:val="lowerLetter"/>
      <w:start w:val="1"/>
    </w:lvl>
  </w:abstractNum>
  <w:abstractNum w:abstractNumId="177">
    <w:nsid w:val="34DFBC00"/>
    <w:multiLevelType w:val="hybridMultilevel"/>
    <w:lvl w:ilvl="0">
      <w:lvlJc w:val="left"/>
      <w:lvlText w:val="(%1)"/>
      <w:numFmt w:val="lowerLetter"/>
      <w:start w:val="14"/>
    </w:lvl>
  </w:abstractNum>
  <w:abstractNum w:abstractNumId="178">
    <w:nsid w:val="1F9EC322"/>
    <w:multiLevelType w:val="hybridMultilevel"/>
    <w:lvl w:ilvl="0">
      <w:lvlJc w:val="left"/>
      <w:lvlText w:val="(%1)"/>
      <w:numFmt w:val="lowerLetter"/>
      <w:start w:val="1"/>
    </w:lvl>
  </w:abstractNum>
  <w:abstractNum w:abstractNumId="179">
    <w:nsid w:val="3410ED56"/>
    <w:multiLevelType w:val="hybridMultilevel"/>
    <w:lvl w:ilvl="0">
      <w:lvlJc w:val="left"/>
      <w:lvlText w:val="%1"/>
      <w:numFmt w:val="lowerLetter"/>
      <w:start w:val="1"/>
    </w:lvl>
    <w:lvl w:ilvl="1">
      <w:lvlJc w:val="left"/>
      <w:lvlText w:val="(%2)"/>
      <w:numFmt w:val="lowerLetter"/>
      <w:start w:val="3"/>
    </w:lvl>
  </w:abstractNum>
  <w:abstractNum w:abstractNumId="180">
    <w:nsid w:val="23C049A"/>
    <w:multiLevelType w:val="hybridMultilevel"/>
    <w:lvl w:ilvl="0">
      <w:lvlJc w:val="left"/>
      <w:lvlText w:val="(%1)"/>
      <w:numFmt w:val="lowerLetter"/>
      <w:start w:val="2"/>
    </w:lvl>
    <w:lvl w:ilvl="1">
      <w:lvlJc w:val="left"/>
      <w:lvlText w:val="(%2)"/>
      <w:numFmt w:val="lowerLetter"/>
      <w:start w:val="4"/>
    </w:lvl>
  </w:abstractNum>
  <w:abstractNum w:abstractNumId="181">
    <w:nsid w:val="5BDA35D4"/>
    <w:multiLevelType w:val="hybridMultilevel"/>
    <w:lvl w:ilvl="0">
      <w:lvlJc w:val="left"/>
      <w:lvlText w:val="(%1)"/>
      <w:numFmt w:val="lowerLetter"/>
      <w:start w:val="7"/>
    </w:lvl>
  </w:abstractNum>
  <w:abstractNum w:abstractNumId="182">
    <w:nsid w:val="496FB218"/>
    <w:multiLevelType w:val="hybridMultilevel"/>
    <w:lvl w:ilvl="0">
      <w:lvlJc w:val="left"/>
      <w:lvlText w:val="(%1)"/>
      <w:numFmt w:val="lowerLetter"/>
      <w:start w:val="1"/>
    </w:lvl>
  </w:abstractNum>
  <w:abstractNum w:abstractNumId="183">
    <w:nsid w:val="680EA5D1"/>
    <w:multiLevelType w:val="hybridMultilevel"/>
    <w:lvl w:ilvl="0">
      <w:lvlJc w:val="left"/>
      <w:lvlText w:val="(%1)"/>
      <w:numFmt w:val="lowerLetter"/>
      <w:start w:val="61"/>
    </w:lvl>
    <w:lvl w:ilvl="1">
      <w:lvlJc w:val="left"/>
      <w:lvlText w:val="(%2)"/>
      <w:numFmt w:val="lowerLetter"/>
      <w:start w:val="2"/>
    </w:lvl>
  </w:abstractNum>
  <w:abstractNum w:abstractNumId="184">
    <w:nsid w:val="4A9554FE"/>
    <w:multiLevelType w:val="hybridMultilevel"/>
    <w:lvl w:ilvl="0">
      <w:lvlJc w:val="left"/>
      <w:lvlText w:val="(%1)"/>
      <w:numFmt w:val="lowerLetter"/>
      <w:start w:val="2"/>
    </w:lvl>
  </w:abstractNum>
  <w:abstractNum w:abstractNumId="185">
    <w:nsid w:val="392EDBE4"/>
    <w:multiLevelType w:val="hybridMultilevel"/>
    <w:lvl w:ilvl="0">
      <w:lvlJc w:val="left"/>
      <w:lvlText w:val="(%1)"/>
      <w:numFmt w:val="lowerLetter"/>
      <w:start w:val="2"/>
    </w:lvl>
  </w:abstractNum>
  <w:abstractNum w:abstractNumId="186">
    <w:nsid w:val="3D1A2DD9"/>
    <w:multiLevelType w:val="hybridMultilevel"/>
    <w:lvl w:ilvl="0">
      <w:lvlJc w:val="left"/>
      <w:lvlText w:val="(%1)"/>
      <w:numFmt w:val="lowerLetter"/>
      <w:start w:val="24"/>
    </w:lvl>
    <w:lvl w:ilvl="1">
      <w:lvlJc w:val="left"/>
      <w:lvlText w:val="(%2)"/>
      <w:numFmt w:val="lowerLetter"/>
      <w:start w:val="2"/>
    </w:lvl>
  </w:abstractNum>
  <w:abstractNum w:abstractNumId="187">
    <w:nsid w:val="7F618FCD"/>
    <w:multiLevelType w:val="hybridMultilevel"/>
    <w:lvl w:ilvl="0">
      <w:lvlJc w:val="left"/>
      <w:lvlText w:val="(%1)"/>
      <w:numFmt w:val="lowerLetter"/>
      <w:start w:val="2"/>
    </w:lvl>
  </w:abstractNum>
  <w:abstractNum w:abstractNumId="188">
    <w:nsid w:val="7843E45"/>
    <w:multiLevelType w:val="hybridMultilevel"/>
    <w:lvl w:ilvl="0">
      <w:lvlJc w:val="left"/>
      <w:lvlText w:val="(%1)"/>
      <w:numFmt w:val="lowerRoman"/>
      <w:start w:val="1"/>
    </w:lvl>
  </w:abstractNum>
  <w:abstractNum w:abstractNumId="189">
    <w:nsid w:val="9815DA3"/>
    <w:multiLevelType w:val="hybridMultilevel"/>
    <w:lvl w:ilvl="0">
      <w:lvlJc w:val="left"/>
      <w:lvlText w:val="%1"/>
      <w:numFmt w:val="upperLetter"/>
      <w:start w:val="1"/>
    </w:lvl>
    <w:lvl w:ilvl="1">
      <w:lvlJc w:val="left"/>
      <w:lvlText w:val="(%2)"/>
      <w:numFmt w:val="lowerRoman"/>
      <w:start w:val="3"/>
    </w:lvl>
  </w:abstractNum>
  <w:abstractNum w:abstractNumId="190">
    <w:nsid w:val="5204A191"/>
    <w:multiLevelType w:val="hybridMultilevel"/>
    <w:lvl w:ilvl="0">
      <w:lvlJc w:val="left"/>
      <w:lvlText w:val="(%1)"/>
      <w:numFmt w:val="upperLetter"/>
      <w:start w:val="5"/>
    </w:lvl>
    <w:lvl w:ilvl="1">
      <w:lvlJc w:val="left"/>
      <w:lvlText w:val="(%2)"/>
      <w:numFmt w:val="lowerRoman"/>
      <w:start w:val="4"/>
    </w:lvl>
  </w:abstractNum>
  <w:abstractNum w:abstractNumId="191">
    <w:nsid w:val="4C73A9C6"/>
    <w:multiLevelType w:val="hybridMultilevel"/>
    <w:lvl w:ilvl="0">
      <w:lvlJc w:val="left"/>
      <w:lvlText w:val="(%1)"/>
      <w:numFmt w:val="lowerRoman"/>
      <w:start w:val="6"/>
    </w:lvl>
  </w:abstractNum>
  <w:abstractNum w:abstractNumId="192">
    <w:nsid w:val="1C7E3C01"/>
    <w:multiLevelType w:val="hybridMultilevel"/>
    <w:lvl w:ilvl="0">
      <w:lvlJc w:val="left"/>
      <w:lvlText w:val="(%1)"/>
      <w:numFmt w:val="upperLetter"/>
      <w:start w:val="4"/>
    </w:lvl>
    <w:lvl w:ilvl="1">
      <w:lvlJc w:val="left"/>
      <w:lvlText w:val="(%2)"/>
      <w:numFmt w:val="lowerRoman"/>
      <w:start w:val="9"/>
    </w:lvl>
  </w:abstractNum>
  <w:abstractNum w:abstractNumId="193">
    <w:nsid w:val="1C2201FF"/>
    <w:multiLevelType w:val="hybridMultilevel"/>
    <w:lvl w:ilvl="0">
      <w:lvlJc w:val="left"/>
      <w:lvlText w:val="(%1)"/>
      <w:numFmt w:val="lowerRoman"/>
      <w:start w:val="15"/>
    </w:lvl>
  </w:abstractNum>
  <w:abstractNum w:abstractNumId="194">
    <w:nsid w:val="50ABCEC9"/>
    <w:multiLevelType w:val="hybridMultilevel"/>
    <w:lvl w:ilvl="0">
      <w:lvlJc w:val="left"/>
      <w:lvlText w:val="%1"/>
      <w:numFmt w:val="lowerLetter"/>
      <w:start w:val="1"/>
    </w:lvl>
    <w:lvl w:ilvl="1">
      <w:lvlJc w:val="left"/>
      <w:lvlText w:val="(%2)"/>
      <w:numFmt w:val="lowerRoman"/>
      <w:start w:val="23"/>
    </w:lvl>
  </w:abstractNum>
  <w:abstractNum w:abstractNumId="195">
    <w:nsid w:val="7635AA2A"/>
    <w:multiLevelType w:val="hybridMultilevel"/>
    <w:lvl w:ilvl="0">
      <w:lvlJc w:val="left"/>
      <w:lvlText w:val="(%1)"/>
      <w:numFmt w:val="lowerLetter"/>
      <w:start w:val="2"/>
    </w:lvl>
    <w:lvl w:ilvl="1">
      <w:lvlJc w:val="left"/>
      <w:lvlText w:val="%2"/>
      <w:numFmt w:val="lowerRoman"/>
      <w:start w:val="1"/>
    </w:lvl>
  </w:abstractNum>
  <w:abstractNum w:abstractNumId="196">
    <w:nsid w:val="5E74C4D9"/>
    <w:multiLevelType w:val="hybridMultilevel"/>
    <w:lvl w:ilvl="0">
      <w:lvlJc w:val="left"/>
      <w:lvlText w:val="(%1)"/>
      <w:numFmt w:val="lowerRoman"/>
      <w:start w:val="1"/>
    </w:lvl>
  </w:abstractNum>
  <w:abstractNum w:abstractNumId="197">
    <w:nsid w:val="3B3EBE15"/>
    <w:multiLevelType w:val="hybridMultilevel"/>
    <w:lvl w:ilvl="0">
      <w:lvlJc w:val="left"/>
      <w:lvlText w:val="%1"/>
      <w:numFmt w:val="lowerLetter"/>
      <w:start w:val="1"/>
    </w:lvl>
    <w:lvl w:ilvl="1">
      <w:lvlJc w:val="left"/>
      <w:lvlText w:val="(%2)"/>
      <w:numFmt w:val="lowerRoman"/>
      <w:start w:val="9"/>
    </w:lvl>
  </w:abstractNum>
  <w:abstractNum w:abstractNumId="198">
    <w:nsid w:val="3822CB01"/>
    <w:multiLevelType w:val="hybridMultilevel"/>
    <w:lvl w:ilvl="0">
      <w:lvlJc w:val="left"/>
      <w:lvlText w:val="(%1)"/>
      <w:numFmt w:val="lowerLetter"/>
      <w:start w:val="5"/>
    </w:lvl>
    <w:lvl w:ilvl="1">
      <w:lvlJc w:val="left"/>
      <w:lvlText w:val="(%2)"/>
      <w:numFmt w:val="lowerRoman"/>
      <w:start w:val="15"/>
    </w:lvl>
  </w:abstractNum>
  <w:abstractNum w:abstractNumId="199">
    <w:nsid w:val="6CE00443"/>
    <w:multiLevelType w:val="hybridMultilevel"/>
    <w:lvl w:ilvl="0">
      <w:lvlJc w:val="left"/>
      <w:lvlText w:val="(%1)"/>
      <w:numFmt w:val="lowerRoman"/>
      <w:start w:val="16"/>
    </w:lvl>
  </w:abstractNum>
  <w:abstractNum w:abstractNumId="200">
    <w:nsid w:val="79F0D62F"/>
    <w:multiLevelType w:val="hybridMultilevel"/>
    <w:lvl w:ilvl="0">
      <w:lvlJc w:val="left"/>
      <w:lvlText w:val="(%1)"/>
      <w:numFmt w:val="lowerRoman"/>
      <w:start w:val="22"/>
    </w:lvl>
  </w:abstractNum>
  <w:abstractNum w:abstractNumId="201">
    <w:nsid w:val="7975E8EE"/>
    <w:multiLevelType w:val="hybridMultilevel"/>
    <w:lvl w:ilvl="0">
      <w:lvlJc w:val="left"/>
      <w:lvlText w:val="(%1)"/>
      <w:numFmt w:val="lowerRoman"/>
      <w:start w:val="1"/>
    </w:lvl>
  </w:abstractNum>
  <w:abstractNum w:abstractNumId="202">
    <w:nsid w:val="73154115"/>
    <w:multiLevelType w:val="hybridMultilevel"/>
    <w:lvl w:ilvl="0">
      <w:lvlJc w:val="left"/>
      <w:lvlText w:val="(%1)"/>
      <w:numFmt w:val="lowerLetter"/>
      <w:start w:val="26"/>
    </w:lvl>
    <w:lvl w:ilvl="1">
      <w:lvlJc w:val="left"/>
      <w:lvlText w:val="(%2)"/>
      <w:numFmt w:val="lowerLetter"/>
      <w:start w:val="22"/>
    </w:lvl>
  </w:abstractNum>
  <w:abstractNum w:abstractNumId="203">
    <w:nsid w:val="622D8102"/>
    <w:multiLevelType w:val="hybridMultilevel"/>
    <w:lvl w:ilvl="0">
      <w:lvlJc w:val="left"/>
      <w:lvlText w:val="%1"/>
      <w:numFmt w:val="lowerLetter"/>
      <w:start w:val="1"/>
    </w:lvl>
    <w:lvl w:ilvl="1">
      <w:lvlJc w:val="left"/>
      <w:lvlText w:val="(%2)"/>
      <w:numFmt w:val="lowerRoman"/>
      <w:start w:val="6"/>
    </w:lvl>
  </w:abstractNum>
  <w:abstractNum w:abstractNumId="204">
    <w:nsid w:val="2AB26587"/>
    <w:multiLevelType w:val="hybridMultilevel"/>
    <w:lvl w:ilvl="0">
      <w:lvlJc w:val="left"/>
      <w:lvlText w:val="(%1)"/>
      <w:numFmt w:val="lowerLetter"/>
      <w:start w:val="2"/>
    </w:lvl>
    <w:lvl w:ilvl="1">
      <w:lvlJc w:val="left"/>
      <w:lvlText w:val="%2"/>
      <w:numFmt w:val="lowerRoman"/>
      <w:start w:val="1"/>
    </w:lvl>
  </w:abstractNum>
  <w:abstractNum w:abstractNumId="205">
    <w:nsid w:val="44B3FA61"/>
    <w:multiLevelType w:val="hybridMultilevel"/>
    <w:lvl w:ilvl="0">
      <w:lvlJc w:val="left"/>
      <w:lvlText w:val="(%1)"/>
      <w:numFmt w:val="lowerLetter"/>
      <w:start w:val="5"/>
    </w:lvl>
  </w:abstractNum>
  <w:abstractNum w:abstractNumId="206">
    <w:nsid w:val="1C0CA67C"/>
    <w:multiLevelType w:val="hybridMultilevel"/>
    <w:lvl w:ilvl="0">
      <w:lvlJc w:val="left"/>
      <w:lvlText w:val="%1"/>
      <w:numFmt w:val="upperLetter"/>
      <w:start w:val="1"/>
    </w:lvl>
    <w:lvl w:ilvl="1">
      <w:lvlJc w:val="left"/>
      <w:lvlText w:val="(%2)"/>
      <w:numFmt w:val="lowerLetter"/>
      <w:start w:val="1"/>
    </w:lvl>
  </w:abstractNum>
  <w:abstractNum w:abstractNumId="207">
    <w:nsid w:val="3D206613"/>
    <w:multiLevelType w:val="hybridMultilevel"/>
    <w:lvl w:ilvl="0">
      <w:lvlJc w:val="left"/>
      <w:lvlText w:val="(%1)"/>
      <w:numFmt w:val="upperLetter"/>
      <w:start w:val="1"/>
    </w:lvl>
    <w:lvl w:ilvl="1">
      <w:lvlJc w:val="left"/>
      <w:lvlText w:val="%2"/>
      <w:numFmt w:val="lowerLetter"/>
      <w:start w:val="1"/>
    </w:lvl>
  </w:abstractNum>
  <w:abstractNum w:abstractNumId="208">
    <w:nsid w:val="7993B662"/>
    <w:multiLevelType w:val="hybridMultilevel"/>
    <w:lvl w:ilvl="0">
      <w:lvlJc w:val="left"/>
      <w:lvlText w:val="(%1)"/>
      <w:numFmt w:val="lowerLetter"/>
      <w:start w:val="4"/>
    </w:lvl>
  </w:abstractNum>
  <w:abstractNum w:abstractNumId="209">
    <w:nsid w:val="3BAB699E"/>
    <w:multiLevelType w:val="hybridMultilevel"/>
    <w:lvl w:ilvl="0">
      <w:lvlJc w:val="left"/>
      <w:lvlText w:val="(%1)"/>
      <w:numFmt w:val="lowerLetter"/>
      <w:start w:val="12"/>
    </w:lvl>
  </w:abstractNum>
  <w:abstractNum w:abstractNumId="210">
    <w:nsid w:val="71315369"/>
    <w:multiLevelType w:val="hybridMultilevel"/>
    <w:lvl w:ilvl="0">
      <w:lvlJc w:val="left"/>
      <w:lvlText w:val="(%1)"/>
      <w:numFmt w:val="lowerLetter"/>
      <w:start w:val="20"/>
    </w:lvl>
  </w:abstractNum>
  <w:abstractNum w:abstractNumId="211">
    <w:nsid w:val="7BCFBAFC"/>
    <w:multiLevelType w:val="hybridMultilevel"/>
    <w:lvl w:ilvl="0">
      <w:lvlJc w:val="left"/>
      <w:lvlText w:val="(%1)"/>
      <w:numFmt w:val="lowerLetter"/>
      <w:start w:val="1"/>
    </w:lvl>
  </w:abstractNum>
  <w:abstractNum w:abstractNumId="212">
    <w:nsid w:val="17859F72"/>
    <w:multiLevelType w:val="hybridMultilevel"/>
    <w:lvl w:ilvl="0">
      <w:lvlJc w:val="left"/>
      <w:lvlText w:val="(%1)"/>
      <w:numFmt w:val="lowerLetter"/>
      <w:start w:val="6"/>
    </w:lvl>
  </w:abstractNum>
  <w:abstractNum w:abstractNumId="213">
    <w:nsid w:val="3AA10581"/>
    <w:multiLevelType w:val="hybridMultilevel"/>
    <w:lvl w:ilvl="0">
      <w:lvlJc w:val="left"/>
      <w:lvlText w:val="(%1)"/>
      <w:numFmt w:val="lowerLetter"/>
      <w:start w:val="12"/>
    </w:lvl>
  </w:abstractNum>
  <w:abstractNum w:abstractNumId="214">
    <w:nsid w:val="63DE60CD"/>
    <w:multiLevelType w:val="hybridMultilevel"/>
    <w:lvl w:ilvl="0">
      <w:lvlJc w:val="left"/>
      <w:lvlText w:val="(%1)"/>
      <w:numFmt w:val="lowerRoman"/>
      <w:start w:val="1"/>
    </w:lvl>
  </w:abstractNum>
  <w:abstractNum w:abstractNumId="215">
    <w:nsid w:val="621AF471"/>
    <w:multiLevelType w:val="hybridMultilevel"/>
    <w:lvl w:ilvl="0">
      <w:lvlJc w:val="left"/>
      <w:lvlText w:val="(%1)"/>
      <w:numFmt w:val="lowerRoman"/>
      <w:start w:val="6"/>
    </w:lvl>
    <w:lvl w:ilvl="1">
      <w:lvlJc w:val="left"/>
      <w:lvlText w:val="(%2)"/>
      <w:numFmt w:val="upperLetter"/>
      <w:start w:val="1"/>
    </w:lvl>
  </w:abstractNum>
  <w:abstractNum w:abstractNumId="216">
    <w:nsid w:val="73CFE16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17">
    <w:nsid w:val="20F88EA6"/>
    <w:multiLevelType w:val="hybridMultilevel"/>
    <w:lvl w:ilvl="0">
      <w:lvlJc w:val="left"/>
      <w:lvlText w:val="(%1)"/>
      <w:numFmt w:val="upperLetter"/>
      <w:start w:val="1"/>
    </w:lvl>
    <w:lvl w:ilvl="1">
      <w:lvlJc w:val="left"/>
      <w:lvlText w:val="(%2)"/>
      <w:numFmt w:val="lowerRoman"/>
      <w:start w:val="7"/>
    </w:lvl>
    <w:lvl w:ilvl="2">
      <w:lvlJc w:val="left"/>
      <w:lvlText w:val="(%3)"/>
      <w:numFmt w:val="upperLetter"/>
      <w:start w:val="5"/>
    </w:lvl>
  </w:abstractNum>
  <w:abstractNum w:abstractNumId="218">
    <w:nsid w:val="617C843E"/>
    <w:multiLevelType w:val="hybridMultilevel"/>
    <w:lvl w:ilvl="0">
      <w:lvlJc w:val="left"/>
      <w:lvlText w:val="(%1)"/>
      <w:numFmt w:val="lowerLetter"/>
      <w:start w:val="26"/>
    </w:lvl>
    <w:lvl w:ilvl="1">
      <w:lvlJc w:val="left"/>
      <w:lvlText w:val="(%2)"/>
      <w:numFmt w:val="lowerRoman"/>
      <w:start w:val="9"/>
    </w:lvl>
  </w:abstractNum>
  <w:abstractNum w:abstractNumId="219">
    <w:nsid w:val="7B541FAB"/>
    <w:multiLevelType w:val="hybridMultilevel"/>
    <w:lvl w:ilvl="0">
      <w:lvlJc w:val="left"/>
      <w:lvlText w:val="(%1)"/>
      <w:numFmt w:val="lowerLetter"/>
      <w:start w:val="2"/>
    </w:lvl>
  </w:abstractNum>
  <w:abstractNum w:abstractNumId="220">
    <w:nsid w:val="2A79EC49"/>
    <w:multiLevelType w:val="hybridMultilevel"/>
    <w:lvl w:ilvl="0">
      <w:lvlJc w:val="left"/>
      <w:lvlText w:val="(%1)"/>
      <w:numFmt w:val="lowerRoman"/>
      <w:start w:val="1"/>
    </w:lvl>
  </w:abstractNum>
  <w:abstractNum w:abstractNumId="221">
    <w:nsid w:val="338125CF"/>
    <w:multiLevelType w:val="hybridMultilevel"/>
    <w:lvl w:ilvl="0">
      <w:lvlJc w:val="left"/>
      <w:lvlText w:val="(%1)"/>
      <w:numFmt w:val="lowerLetter"/>
      <w:start w:val="5"/>
    </w:lvl>
  </w:abstractNum>
  <w:abstractNum w:abstractNumId="222">
    <w:nsid w:val="47C7C971"/>
    <w:multiLevelType w:val="hybridMultilevel"/>
    <w:lvl w:ilvl="0">
      <w:lvlJc w:val="left"/>
      <w:lvlText w:val="(%1)"/>
      <w:numFmt w:val="lowerLetter"/>
      <w:start w:val="2"/>
    </w:lvl>
  </w:abstractNum>
  <w:abstractNum w:abstractNumId="223">
    <w:nsid w:val="46F8284B"/>
    <w:multiLevelType w:val="hybridMultilevel"/>
    <w:lvl w:ilvl="0">
      <w:lvlJc w:val="left"/>
      <w:lvlText w:val="(%1)"/>
      <w:numFmt w:val="lowerLetter"/>
      <w:start w:val="1"/>
    </w:lvl>
  </w:abstractNum>
  <w:abstractNum w:abstractNumId="224">
    <w:nsid w:val="4FA327CE"/>
    <w:multiLevelType w:val="hybridMultilevel"/>
    <w:lvl w:ilvl="0">
      <w:lvlJc w:val="left"/>
      <w:lvlText w:val="%1"/>
      <w:numFmt w:val="lowerLetter"/>
      <w:start w:val="1"/>
    </w:lvl>
    <w:lvl w:ilvl="1">
      <w:lvlJc w:val="left"/>
      <w:lvlText w:val="(%2)"/>
      <w:numFmt w:val="lowerLetter"/>
      <w:start w:val="6"/>
    </w:lvl>
  </w:abstractNum>
  <w:abstractNum w:abstractNumId="225">
    <w:nsid w:val="1873983A"/>
    <w:multiLevelType w:val="hybridMultilevel"/>
    <w:lvl w:ilvl="0">
      <w:lvlJc w:val="left"/>
      <w:lvlText w:val="(%1)"/>
      <w:numFmt w:val="lowerLetter"/>
      <w:start w:val="7"/>
    </w:lvl>
    <w:lvl w:ilvl="1">
      <w:lvlJc w:val="left"/>
      <w:lvlText w:val="(%2)"/>
      <w:numFmt w:val="lowerLetter"/>
      <w:start w:val="8"/>
    </w:lvl>
  </w:abstractNum>
  <w:abstractNum w:abstractNumId="226">
    <w:nsid w:val="3D2DD275"/>
    <w:multiLevelType w:val="hybridMultilevel"/>
    <w:lvl w:ilvl="0">
      <w:lvlJc w:val="left"/>
      <w:lvlText w:val="%1"/>
      <w:numFmt w:val="upperLetter"/>
      <w:start w:val="1"/>
    </w:lvl>
    <w:lvl w:ilvl="1">
      <w:lvlJc w:val="left"/>
      <w:lvlText w:val="(%2)"/>
      <w:numFmt w:val="lowerLetter"/>
      <w:start w:val="11"/>
    </w:lvl>
  </w:abstractNum>
  <w:abstractNum w:abstractNumId="227">
    <w:nsid w:val="2E17ECA7"/>
    <w:multiLevelType w:val="hybridMultilevel"/>
    <w:lvl w:ilvl="0">
      <w:lvlJc w:val="left"/>
      <w:lvlText w:val="(%1)"/>
      <w:numFmt w:val="upperLetter"/>
      <w:start w:val="2"/>
    </w:lvl>
    <w:lvl w:ilvl="1">
      <w:lvlJc w:val="left"/>
      <w:lvlText w:val="(%2)"/>
      <w:numFmt w:val="lowerLetter"/>
      <w:start w:val="13"/>
    </w:lvl>
  </w:abstractNum>
  <w:abstractNum w:abstractNumId="228">
    <w:nsid w:val="53B2564F"/>
    <w:multiLevelType w:val="hybridMultilevel"/>
    <w:lvl w:ilvl="0">
      <w:lvlJc w:val="left"/>
      <w:lvlText w:val="(%1)"/>
      <w:numFmt w:val="lowerRoman"/>
      <w:start w:val="1"/>
    </w:lvl>
  </w:abstractNum>
  <w:abstractNum w:abstractNumId="229">
    <w:nsid w:val="75509D76"/>
    <w:multiLevelType w:val="hybridMultilevel"/>
    <w:lvl w:ilvl="0">
      <w:lvlJc w:val="left"/>
      <w:lvlText w:val="(%1)"/>
      <w:numFmt w:val="lowerRoman"/>
      <w:start w:val="1"/>
    </w:lvl>
  </w:abstractNum>
  <w:abstractNum w:abstractNumId="230">
    <w:nsid w:val="1AF7F0EA"/>
    <w:multiLevelType w:val="hybridMultilevel"/>
    <w:lvl w:ilvl="0">
      <w:lvlJc w:val="left"/>
      <w:lvlText w:val="(%1)"/>
      <w:numFmt w:val="lowerRoman"/>
      <w:start w:val="2"/>
    </w:lvl>
  </w:abstractNum>
  <w:abstractNum w:abstractNumId="231">
    <w:nsid w:val="4DA32C7E"/>
    <w:multiLevelType w:val="hybridMultilevel"/>
    <w:lvl w:ilvl="0">
      <w:lvlJc w:val="left"/>
      <w:lvlText w:val="(%1)"/>
      <w:numFmt w:val="lowerLetter"/>
      <w:start w:val="2"/>
    </w:lvl>
  </w:abstractNum>
  <w:abstractNum w:abstractNumId="232">
    <w:nsid w:val="6EC68664"/>
    <w:multiLevelType w:val="hybridMultilevel"/>
    <w:lvl w:ilvl="0">
      <w:lvlJc w:val="left"/>
      <w:lvlText w:val="(%1)"/>
      <w:numFmt w:val="lowerRoman"/>
      <w:start w:val="1"/>
    </w:lvl>
  </w:abstractNum>
  <w:abstractNum w:abstractNumId="233">
    <w:nsid w:val="E0D31FF"/>
    <w:multiLevelType w:val="hybridMultilevel"/>
    <w:lvl w:ilvl="0">
      <w:lvlJc w:val="left"/>
      <w:lvlText w:val="(%1)"/>
      <w:numFmt w:val="lowerLetter"/>
      <w:start w:val="1"/>
    </w:lvl>
  </w:abstractNum>
  <w:abstractNum w:abstractNumId="234">
    <w:nsid w:val="2FD0AD81"/>
    <w:multiLevelType w:val="hybridMultilevel"/>
    <w:lvl w:ilvl="0">
      <w:lvlJc w:val="left"/>
      <w:lvlText w:val="(%1)"/>
      <w:numFmt w:val="lowerLetter"/>
      <w:start w:val="2"/>
    </w:lvl>
  </w:abstractNum>
  <w:abstractNum w:abstractNumId="235">
    <w:nsid w:val="1978EBEB"/>
    <w:multiLevelType w:val="hybridMultilevel"/>
    <w:lvl w:ilvl="0">
      <w:lvlJc w:val="left"/>
      <w:lvlText w:val="(%1)"/>
      <w:numFmt w:val="lowerRoman"/>
      <w:start w:val="1"/>
    </w:lvl>
  </w:abstractNum>
  <w:abstractNum w:abstractNumId="236">
    <w:nsid w:val="52C12C61"/>
    <w:multiLevelType w:val="hybridMultilevel"/>
    <w:lvl w:ilvl="0">
      <w:lvlJc w:val="left"/>
      <w:lvlText w:val="(%1)"/>
      <w:numFmt w:val="lowerLetter"/>
      <w:start w:val="2"/>
    </w:lvl>
  </w:abstractNum>
  <w:abstractNum w:abstractNumId="237">
    <w:nsid w:val="4BDD53FD"/>
    <w:multiLevelType w:val="hybridMultilevel"/>
    <w:lvl w:ilvl="0">
      <w:lvlJc w:val="left"/>
      <w:lvlText w:val="(%1)"/>
      <w:numFmt w:val="lowerLetter"/>
      <w:start w:val="3"/>
    </w:lvl>
  </w:abstractNum>
  <w:abstractNum w:abstractNumId="238">
    <w:nsid w:val="569951FE"/>
    <w:multiLevelType w:val="hybridMultilevel"/>
    <w:lvl w:ilvl="0">
      <w:lvlJc w:val="left"/>
      <w:lvlText w:val="(%1)"/>
      <w:numFmt w:val="lowerLetter"/>
      <w:start w:val="6"/>
    </w:lvl>
  </w:abstractNum>
  <w:abstractNum w:abstractNumId="239">
    <w:nsid w:val="4C54E2C3"/>
    <w:multiLevelType w:val="hybridMultilevel"/>
    <w:lvl w:ilvl="0">
      <w:lvlJc w:val="left"/>
      <w:lvlText w:val="(%1)"/>
      <w:numFmt w:val="lowerLetter"/>
      <w:start w:val="2"/>
    </w:lvl>
  </w:abstractNum>
  <w:abstractNum w:abstractNumId="240">
    <w:nsid w:val="788BD9B"/>
    <w:multiLevelType w:val="hybridMultilevel"/>
    <w:lvl w:ilvl="0">
      <w:lvlJc w:val="left"/>
      <w:lvlText w:val="(%1)"/>
      <w:numFmt w:val="lowerLetter"/>
      <w:start w:val="3"/>
    </w:lvl>
  </w:abstractNum>
  <w:abstractNum w:abstractNumId="241">
    <w:nsid w:val="47CAA567"/>
    <w:multiLevelType w:val="hybridMultilevel"/>
    <w:lvl w:ilvl="0">
      <w:lvlJc w:val="left"/>
      <w:lvlText w:val="(%1)"/>
      <w:numFmt w:val="lowerLetter"/>
      <w:start w:val="4"/>
    </w:lvl>
  </w:abstractNum>
  <w:abstractNum w:abstractNumId="242">
    <w:nsid w:val="48249DBF"/>
    <w:multiLevelType w:val="hybridMultilevel"/>
    <w:lvl w:ilvl="0">
      <w:lvlJc w:val="left"/>
      <w:lvlText w:val="(%1)"/>
      <w:numFmt w:val="lowerRoman"/>
      <w:start w:val="2"/>
    </w:lvl>
  </w:abstractNum>
  <w:abstractNum w:abstractNumId="243">
    <w:nsid w:val="1F0E5D0D"/>
    <w:multiLevelType w:val="hybridMultilevel"/>
    <w:lvl w:ilvl="0">
      <w:lvlJc w:val="left"/>
      <w:lvlText w:val="(%1)"/>
      <w:numFmt w:val="lowerLetter"/>
      <w:start w:val="2"/>
    </w:lvl>
  </w:abstractNum>
  <w:abstractNum w:abstractNumId="244">
    <w:nsid w:val="26BAAE9"/>
    <w:multiLevelType w:val="hybridMultilevel"/>
    <w:lvl w:ilvl="0">
      <w:lvlJc w:val="left"/>
      <w:lvlText w:val="(%1)"/>
      <w:numFmt w:val="lowerLetter"/>
      <w:start w:val="4"/>
    </w:lvl>
  </w:abstractNum>
  <w:abstractNum w:abstractNumId="245">
    <w:nsid w:val="2C02FE8C"/>
    <w:multiLevelType w:val="hybridMultilevel"/>
    <w:lvl w:ilvl="0">
      <w:lvlJc w:val="left"/>
      <w:lvlText w:val="(%1)"/>
      <w:numFmt w:val="lowerLetter"/>
      <w:start w:val="2"/>
    </w:lvl>
  </w:abstractNum>
  <w:abstractNum w:abstractNumId="246">
    <w:nsid w:val="129517E"/>
    <w:multiLevelType w:val="hybridMultilevel"/>
    <w:lvl w:ilvl="0">
      <w:lvlJc w:val="left"/>
      <w:lvlText w:val="(%1)"/>
      <w:numFmt w:val="lowerRoman"/>
      <w:start w:val="2"/>
    </w:lvl>
  </w:abstractNum>
  <w:abstractNum w:abstractNumId="247">
    <w:nsid w:val="763B8C4E"/>
    <w:multiLevelType w:val="hybridMultilevel"/>
    <w:lvl w:ilvl="0">
      <w:lvlJc w:val="left"/>
      <w:lvlText w:val="(%1)"/>
      <w:numFmt w:val="lowerRoman"/>
      <w:start w:val="3"/>
    </w:lvl>
  </w:abstractNum>
  <w:abstractNum w:abstractNumId="248">
    <w:nsid w:val="4CFB8D32"/>
    <w:multiLevelType w:val="hybridMultilevel"/>
    <w:lvl w:ilvl="0">
      <w:lvlJc w:val="left"/>
      <w:lvlText w:val="%1"/>
      <w:numFmt w:val="lowerLetter"/>
      <w:start w:val="1"/>
    </w:lvl>
    <w:lvl w:ilvl="1">
      <w:lvlJc w:val="left"/>
      <w:lvlText w:val="(%2)"/>
      <w:numFmt w:val="lowerLetter"/>
      <w:start w:val="22"/>
    </w:lvl>
  </w:abstractNum>
  <w:abstractNum w:abstractNumId="249">
    <w:nsid w:val="62A5D5BD"/>
    <w:multiLevelType w:val="hybridMultilevel"/>
    <w:lvl w:ilvl="0">
      <w:lvlJc w:val="left"/>
      <w:lvlText w:val="(%1)"/>
      <w:numFmt w:val="lowerLetter"/>
      <w:start w:val="2"/>
    </w:lvl>
    <w:lvl w:ilvl="1">
      <w:lvlJc w:val="left"/>
      <w:lvlText w:val="%2"/>
      <w:numFmt w:val="lowerLetter"/>
      <w:start w:val="1"/>
    </w:lvl>
  </w:abstractNum>
  <w:abstractNum w:abstractNumId="250">
    <w:nsid w:val="718FABF9"/>
    <w:multiLevelType w:val="hybridMultilevel"/>
    <w:lvl w:ilvl="0">
      <w:lvlJc w:val="left"/>
      <w:lvlText w:val="%1"/>
      <w:numFmt w:val="lowerLetter"/>
      <w:start w:val="1"/>
    </w:lvl>
    <w:lvl w:ilvl="1">
      <w:lvlJc w:val="left"/>
      <w:lvlText w:val="(%2)"/>
      <w:numFmt w:val="lowerRoman"/>
      <w:start w:val="6"/>
    </w:lvl>
  </w:abstractNum>
  <w:abstractNum w:abstractNumId="251">
    <w:nsid w:val="7775797C"/>
    <w:multiLevelType w:val="hybridMultilevel"/>
    <w:lvl w:ilvl="0">
      <w:lvlJc w:val="left"/>
      <w:lvlText w:val="(%1)"/>
      <w:numFmt w:val="lowerLetter"/>
      <w:start w:val="3"/>
    </w:lvl>
    <w:lvl w:ilvl="1">
      <w:lvlJc w:val="left"/>
      <w:lvlText w:val="%2"/>
      <w:numFmt w:val="lowerRoman"/>
      <w:start w:val="1"/>
    </w:lvl>
  </w:abstractNum>
  <w:abstractNum w:abstractNumId="252">
    <w:nsid w:val="1626FB8C"/>
    <w:multiLevelType w:val="hybridMultilevel"/>
    <w:lvl w:ilvl="0">
      <w:lvlJc w:val="left"/>
      <w:lvlText w:val="%1"/>
      <w:numFmt w:val="lowerLetter"/>
      <w:start w:val="1"/>
    </w:lvl>
    <w:lvl w:ilvl="1">
      <w:lvlJc w:val="left"/>
      <w:lvlText w:val="(%2)"/>
      <w:numFmt w:val="lowerRoman"/>
      <w:start w:val="2"/>
    </w:lvl>
  </w:abstractNum>
  <w:abstractNum w:abstractNumId="253">
    <w:nsid w:val="3957756A"/>
    <w:multiLevelType w:val="hybridMultilevel"/>
    <w:lvl w:ilvl="0">
      <w:lvlJc w:val="left"/>
      <w:lvlText w:val="(%1)"/>
      <w:numFmt w:val="lowerLetter"/>
      <w:start w:val="4"/>
    </w:lvl>
    <w:lvl w:ilvl="1">
      <w:lvlJc w:val="left"/>
      <w:lvlText w:val="%2"/>
      <w:numFmt w:val="lowerRoman"/>
      <w:start w:val="1"/>
    </w:lvl>
  </w:abstractNum>
  <w:abstractNum w:abstractNumId="254">
    <w:nsid w:val="3E6DA1C7"/>
    <w:multiLevelType w:val="hybridMultilevel"/>
    <w:lvl w:ilvl="0">
      <w:lvlJc w:val="left"/>
      <w:lvlText w:val="(%1)"/>
      <w:numFmt w:val="lowerLetter"/>
      <w:start w:val="6"/>
    </w:lvl>
  </w:abstractNum>
  <w:abstractNum w:abstractNumId="255">
    <w:nsid w:val="65CA235B"/>
    <w:multiLevelType w:val="hybridMultilevel"/>
    <w:lvl w:ilvl="0">
      <w:lvlJc w:val="left"/>
      <w:lvlText w:val="(%1)"/>
      <w:numFmt w:val="lowerLetter"/>
      <w:start w:val="2"/>
    </w:lvl>
  </w:abstractNum>
  <w:abstractNum w:abstractNumId="256">
    <w:nsid w:val="51CB0DA4"/>
    <w:multiLevelType w:val="hybridMultilevel"/>
    <w:lvl w:ilvl="0">
      <w:lvlJc w:val="left"/>
      <w:lvlText w:val="(%1)"/>
      <w:numFmt w:val="upperLetter"/>
      <w:start w:val="2"/>
    </w:lvl>
  </w:abstractNum>
  <w:abstractNum w:abstractNumId="257">
    <w:nsid w:val="7B9B743C"/>
    <w:multiLevelType w:val="hybridMultilevel"/>
    <w:lvl w:ilvl="0">
      <w:lvlJc w:val="left"/>
      <w:lvlText w:val="(%1)"/>
      <w:numFmt w:val="upperLetter"/>
      <w:start w:val="2"/>
    </w:lvl>
  </w:abstractNum>
  <w:abstractNum w:abstractNumId="258">
    <w:nsid w:val="13E21002"/>
    <w:multiLevelType w:val="hybridMultilevel"/>
    <w:lvl w:ilvl="0">
      <w:lvlJc w:val="left"/>
      <w:lvlText w:val="(%1)"/>
      <w:numFmt w:val="lowerLetter"/>
      <w:start w:val="2"/>
    </w:lvl>
  </w:abstractNum>
  <w:abstractNum w:abstractNumId="259">
    <w:nsid w:val="257D63F4"/>
    <w:multiLevelType w:val="hybridMultilevel"/>
    <w:lvl w:ilvl="0">
      <w:lvlJc w:val="left"/>
      <w:lvlText w:val="(%1)"/>
      <w:numFmt w:val="decimal"/>
      <w:start w:val="2"/>
    </w:lvl>
    <w:lvl w:ilvl="1">
      <w:lvlJc w:val="left"/>
      <w:lvlText w:val="(%2)"/>
      <w:numFmt w:val="lowerLetter"/>
      <w:start w:val="2"/>
    </w:lvl>
  </w:abstractNum>
  <w:abstractNum w:abstractNumId="260">
    <w:nsid w:val="70EC11B2"/>
    <w:multiLevelType w:val="hybridMultilevel"/>
    <w:lvl w:ilvl="0">
      <w:lvlJc w:val="left"/>
      <w:lvlText w:val="(%1)"/>
      <w:numFmt w:val="lowerLetter"/>
      <w:start w:val="3"/>
    </w:lvl>
  </w:abstractNum>
  <w:abstractNum w:abstractNumId="261">
    <w:nsid w:val="2EDA00ED"/>
    <w:multiLevelType w:val="hybridMultilevel"/>
    <w:lvl w:ilvl="0">
      <w:lvlJc w:val="left"/>
      <w:lvlText w:val="(%1)"/>
      <w:numFmt w:val="lowerLetter"/>
      <w:start w:val="1"/>
    </w:lvl>
  </w:abstractNum>
  <w:abstractNum w:abstractNumId="262">
    <w:nsid w:val="73209072"/>
    <w:multiLevelType w:val="hybridMultilevel"/>
    <w:lvl w:ilvl="0">
      <w:lvlJc w:val="left"/>
      <w:lvlText w:val="(%1)"/>
      <w:numFmt w:val="lowerRoman"/>
      <w:start w:val="1"/>
    </w:lvl>
  </w:abstractNum>
  <w:abstractNum w:abstractNumId="263">
    <w:nsid w:val="5FB29816"/>
    <w:multiLevelType w:val="hybridMultilevel"/>
    <w:lvl w:ilvl="0">
      <w:lvlJc w:val="left"/>
      <w:lvlText w:val="(%1)"/>
      <w:numFmt w:val="lowerRoman"/>
      <w:start w:val="1"/>
    </w:lvl>
  </w:abstractNum>
  <w:abstractNum w:abstractNumId="264">
    <w:nsid w:val="3CE732EC"/>
    <w:multiLevelType w:val="hybridMultilevel"/>
    <w:lvl w:ilvl="0">
      <w:lvlJc w:val="left"/>
      <w:lvlText w:val="(%1)"/>
      <w:numFmt w:val="lowerRoman"/>
      <w:start w:val="3"/>
    </w:lvl>
  </w:abstractNum>
  <w:abstractNum w:abstractNumId="265">
    <w:nsid w:val="22F13DF3"/>
    <w:multiLevelType w:val="hybridMultilevel"/>
    <w:lvl w:ilvl="0">
      <w:lvlJc w:val="left"/>
      <w:lvlText w:val="(%1)"/>
      <w:numFmt w:val="lowerLetter"/>
      <w:start w:val="2"/>
    </w:lvl>
    <w:lvl w:ilvl="1">
      <w:lvlJc w:val="left"/>
      <w:lvlText w:val="(%2)"/>
      <w:numFmt w:val="lowerRoman"/>
      <w:start w:val="1"/>
    </w:lvl>
  </w:abstractNum>
  <w:abstractNum w:abstractNumId="266">
    <w:nsid w:val="792B8401"/>
    <w:multiLevelType w:val="hybridMultilevel"/>
    <w:lvl w:ilvl="0">
      <w:lvlJc w:val="left"/>
      <w:lvlText w:val="(%1)"/>
      <w:numFmt w:val="lowerLetter"/>
      <w:start w:val="3"/>
    </w:lvl>
  </w:abstractNum>
  <w:abstractNum w:abstractNumId="267">
    <w:nsid w:val="FA85F4D"/>
    <w:multiLevelType w:val="hybridMultilevel"/>
    <w:lvl w:ilvl="0">
      <w:lvlJc w:val="left"/>
      <w:lvlText w:val="%1."/>
      <w:numFmt w:val="decimal"/>
      <w:start w:val="1"/>
    </w:lvl>
  </w:abstractNum>
  <w:abstractNum w:abstractNumId="268">
    <w:nsid w:val="6ECE91F0"/>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abstractNum>
  <w:abstractNum w:abstractNumId="269">
    <w:nsid w:val="4FC4D600"/>
    <w:multiLevelType w:val="hybridMultilevel"/>
    <w:lvl w:ilvl="0">
      <w:lvlJc w:val="left"/>
      <w:lvlText w:val="%1."/>
      <w:numFmt w:val="decimal"/>
      <w:start w:val="1"/>
    </w:lvl>
  </w:abstractNum>
  <w:abstractNum w:abstractNumId="270">
    <w:nsid w:val="5BFD4210"/>
    <w:multiLevelType w:val="hybridMultilevel"/>
    <w:lvl w:ilvl="0">
      <w:lvlJc w:val="left"/>
      <w:lvlText w:val="(%1)"/>
      <w:numFmt w:val="lowerLetter"/>
      <w:start w:val="2"/>
    </w:lvl>
  </w:abstractNum>
  <w:abstractNum w:abstractNumId="271">
    <w:nsid w:val="76574F8B"/>
    <w:multiLevelType w:val="hybridMultilevel"/>
    <w:lvl w:ilvl="0">
      <w:lvlJc w:val="left"/>
      <w:lvlText w:val="%1."/>
      <w:numFmt w:val="decimal"/>
      <w:start w:val="2"/>
    </w:lvl>
  </w:abstractNum>
  <w:abstractNum w:abstractNumId="272">
    <w:nsid w:val="178F7B67"/>
    <w:multiLevelType w:val="hybridMultilevel"/>
    <w:lvl w:ilvl="0">
      <w:lvlJc w:val="left"/>
      <w:lvlText w:val="(%1)"/>
      <w:numFmt w:val="lowerLetter"/>
      <w:start w:val="1"/>
    </w:lvl>
  </w:abstractNum>
  <w:abstractNum w:abstractNumId="273">
    <w:nsid w:val="2421DFCF"/>
    <w:multiLevelType w:val="hybridMultilevel"/>
    <w:lvl w:ilvl="0">
      <w:lvlJc w:val="left"/>
      <w:lvlText w:val="(%1)"/>
      <w:numFmt w:val="lowerLetter"/>
      <w:start w:val="6"/>
    </w:lvl>
  </w:abstractNum>
  <w:abstractNum w:abstractNumId="274">
    <w:nsid w:val="1565AC99"/>
    <w:multiLevelType w:val="hybridMultilevel"/>
    <w:lvl w:ilvl="0">
      <w:lvlJc w:val="left"/>
      <w:lvlText w:val="%1."/>
      <w:numFmt w:val="decimal"/>
      <w:start w:val="3"/>
    </w:lvl>
  </w:abstractNum>
  <w:abstractNum w:abstractNumId="275">
    <w:nsid w:val="19FB2650"/>
    <w:multiLevelType w:val="hybridMultilevel"/>
    <w:lvl w:ilvl="0">
      <w:lvlJc w:val="left"/>
      <w:lvlText w:val="(%1)"/>
      <w:numFmt w:val="lowerLetter"/>
      <w:start w:val="2"/>
    </w:lvl>
  </w:abstractNum>
  <w:abstractNum w:abstractNumId="276">
    <w:nsid w:val="5024DE5B"/>
    <w:multiLevelType w:val="hybridMultilevel"/>
    <w:lvl w:ilvl="0">
      <w:lvlJc w:val="left"/>
      <w:lvlText w:val="%1."/>
      <w:numFmt w:val="decimal"/>
      <w:start w:val="4"/>
    </w:lvl>
  </w:abstractNum>
  <w:abstractNum w:abstractNumId="277">
    <w:nsid w:val="168EFE17"/>
    <w:multiLevelType w:val="hybridMultilevel"/>
    <w:lvl w:ilvl="0">
      <w:lvlJc w:val="left"/>
      <w:lvlText w:val="(%1)"/>
      <w:numFmt w:val="lowerLetter"/>
      <w:start w:val="2"/>
    </w:lvl>
  </w:abstractNum>
  <w:abstractNum w:abstractNumId="278">
    <w:nsid w:val="1036B29F"/>
    <w:multiLevelType w:val="hybridMultilevel"/>
    <w:lvl w:ilvl="0">
      <w:lvlJc w:val="left"/>
      <w:lvlText w:val="(%1)"/>
      <w:numFmt w:val="lowerLetter"/>
      <w:start w:val="3"/>
    </w:lvl>
    <w:lvl w:ilvl="1">
      <w:lvlJc w:val="left"/>
      <w:lvlText w:val="(%2)"/>
      <w:numFmt w:val="lowerLetter"/>
      <w:start w:val="9"/>
    </w:lvl>
  </w:abstractNum>
  <w:abstractNum w:abstractNumId="279">
    <w:nsid w:val="1D206B8E"/>
    <w:multiLevelType w:val="hybridMultilevel"/>
    <w:lvl w:ilvl="0">
      <w:lvlJc w:val="left"/>
      <w:lvlText w:val="%1"/>
      <w:numFmt w:val="lowerLetter"/>
      <w:start w:val="1"/>
    </w:lvl>
    <w:lvl w:ilvl="1">
      <w:lvlJc w:val="left"/>
      <w:lvlText w:val="(%2)"/>
      <w:numFmt w:val="lowerRoman"/>
      <w:start w:val="2"/>
    </w:lvl>
  </w:abstractNum>
  <w:abstractNum w:abstractNumId="280">
    <w:nsid w:val="7934D3D4"/>
    <w:multiLevelType w:val="hybridMultilevel"/>
    <w:lvl w:ilvl="0">
      <w:lvlJc w:val="left"/>
      <w:lvlText w:val="(%1)"/>
      <w:numFmt w:val="lowerLetter"/>
      <w:start w:val="4"/>
    </w:lvl>
    <w:lvl w:ilvl="1">
      <w:lvlJc w:val="left"/>
      <w:lvlText w:val="%2"/>
      <w:numFmt w:val="lowerRoman"/>
      <w:start w:val="1"/>
    </w:lvl>
  </w:abstractNum>
  <w:abstractNum w:abstractNumId="281">
    <w:nsid w:val="1C65E98"/>
    <w:multiLevelType w:val="hybridMultilevel"/>
    <w:lvl w:ilvl="0">
      <w:lvlJc w:val="left"/>
      <w:lvlText w:val="(%1)"/>
      <w:numFmt w:val="lowerLetter"/>
      <w:start w:val="5"/>
    </w:lvl>
  </w:abstractNum>
  <w:abstractNum w:abstractNumId="282">
    <w:nsid w:val="1495E50A"/>
    <w:multiLevelType w:val="hybridMultilevel"/>
    <w:lvl w:ilvl="0">
      <w:lvlJc w:val="left"/>
      <w:lvlText w:val="%1"/>
      <w:numFmt w:val="decimal"/>
      <w:start w:val="1"/>
    </w:lvl>
    <w:lvl w:ilvl="1">
      <w:lvlJc w:val="left"/>
      <w:lvlText w:val="%2."/>
      <w:numFmt w:val="decimal"/>
      <w:start w:val="5"/>
    </w:lvl>
  </w:abstractNum>
  <w:abstractNum w:abstractNumId="283">
    <w:nsid w:val="F5BCF61"/>
    <w:multiLevelType w:val="hybridMultilevel"/>
    <w:lvl w:ilvl="0">
      <w:lvlJc w:val="left"/>
      <w:lvlText w:val="(%1)"/>
      <w:numFmt w:val="decimal"/>
      <w:start w:val="60"/>
    </w:lvl>
    <w:lvl w:ilvl="1">
      <w:lvlJc w:val="left"/>
      <w:lvlText w:val="%2"/>
      <w:numFmt w:val="decimal"/>
      <w:start w:val="1"/>
    </w:lvl>
  </w:abstractNum>
  <w:abstractNum w:abstractNumId="284">
    <w:nsid w:val="3B1DD403"/>
    <w:multiLevelType w:val="hybridMultilevel"/>
    <w:lvl w:ilvl="0">
      <w:lvlJc w:val="left"/>
      <w:lvlText w:val="%1"/>
      <w:numFmt w:val="lowerLetter"/>
      <w:start w:val="1"/>
    </w:lvl>
    <w:lvl w:ilvl="1">
      <w:lvlJc w:val="left"/>
      <w:lvlText w:val="(%2)"/>
      <w:numFmt w:val="lowerLetter"/>
      <w:start w:val="2"/>
    </w:lvl>
  </w:abstractNum>
  <w:abstractNum w:abstractNumId="285">
    <w:nsid w:val="530386D1"/>
    <w:multiLevelType w:val="hybridMultilevel"/>
    <w:lvl w:ilvl="0">
      <w:lvlJc w:val="left"/>
      <w:lvlText w:val="(%1)"/>
      <w:numFmt w:val="lowerLetter"/>
      <w:start w:val="9"/>
    </w:lvl>
    <w:lvl w:ilvl="1">
      <w:lvlJc w:val="left"/>
      <w:lvlText w:val="%2"/>
      <w:numFmt w:val="lowerLetter"/>
      <w:start w:val="1"/>
    </w:lvl>
  </w:abstractNum>
  <w:abstractNum w:abstractNumId="286">
    <w:nsid w:val="7525F2BC"/>
    <w:multiLevelType w:val="hybridMultilevel"/>
    <w:lvl w:ilvl="0">
      <w:lvlJc w:val="left"/>
      <w:lvlText w:val="%1"/>
      <w:numFmt w:val="decimal"/>
      <w:start w:val="1"/>
    </w:lvl>
    <w:lvl w:ilvl="1">
      <w:lvlJc w:val="left"/>
      <w:lvlText w:val="(%2)"/>
      <w:numFmt w:val="lowerLetter"/>
      <w:start w:val="3"/>
    </w:lvl>
  </w:abstractNum>
  <w:abstractNum w:abstractNumId="287">
    <w:nsid w:val="CE8E1A7"/>
    <w:multiLevelType w:val="hybridMultilevel"/>
    <w:lvl w:ilvl="0">
      <w:lvlJc w:val="left"/>
      <w:lvlText w:val="(%1)"/>
      <w:numFmt w:val="decimal"/>
      <w:start w:val="24"/>
    </w:lvl>
    <w:lvl w:ilvl="1">
      <w:lvlJc w:val="left"/>
      <w:lvlText w:val="%2"/>
      <w:numFmt w:val="lowerLetter"/>
      <w:start w:val="1"/>
    </w:lvl>
  </w:abstractNum>
  <w:abstractNum w:abstractNumId="288">
    <w:nsid w:val="4E9EFB0D"/>
    <w:multiLevelType w:val="hybridMultilevel"/>
    <w:lvl w:ilvl="0">
      <w:lvlJc w:val="left"/>
      <w:lvlText w:val="(%1)"/>
      <w:numFmt w:val="lowerLetter"/>
      <w:start w:val="5"/>
    </w:lvl>
  </w:abstractNum>
  <w:abstractNum w:abstractNumId="289">
    <w:nsid w:val="90802BE"/>
    <w:multiLevelType w:val="hybridMultilevel"/>
    <w:lvl w:ilvl="0">
      <w:lvlJc w:val="left"/>
      <w:lvlText w:val="%1."/>
      <w:numFmt w:val="decimal"/>
      <w:start w:val="6"/>
    </w:lvl>
  </w:abstractNum>
  <w:abstractNum w:abstractNumId="290">
    <w:nsid w:val="3266459B"/>
    <w:multiLevelType w:val="hybridMultilevel"/>
    <w:lvl w:ilvl="0">
      <w:lvlJc w:val="left"/>
      <w:lvlText w:val="(%1)"/>
      <w:numFmt w:val="lowerLetter"/>
      <w:start w:val="1"/>
    </w:lvl>
  </w:abstractNum>
  <w:abstractNum w:abstractNumId="291">
    <w:nsid w:val="3F8B0CBF"/>
    <w:multiLevelType w:val="hybridMultilevel"/>
    <w:lvl w:ilvl="0">
      <w:lvlJc w:val="left"/>
      <w:lvlText w:val="%1."/>
      <w:numFmt w:val="decimal"/>
      <w:start w:val="7"/>
    </w:lvl>
  </w:abstractNum>
  <w:abstractNum w:abstractNumId="292">
    <w:nsid w:val="37E203AB"/>
    <w:multiLevelType w:val="hybridMultilevel"/>
    <w:lvl w:ilvl="0">
      <w:lvlJc w:val="left"/>
      <w:lvlText w:val="%1."/>
      <w:numFmt w:val="decimal"/>
      <w:start w:val="8"/>
    </w:lvl>
  </w:abstractNum>
  <w:abstractNum w:abstractNumId="293">
    <w:nsid w:val="2586D60E"/>
    <w:multiLevelType w:val="hybridMultilevel"/>
    <w:lvl w:ilvl="0">
      <w:lvlJc w:val="left"/>
      <w:lvlText w:val="(%1)"/>
      <w:numFmt w:val="lowerLetter"/>
      <w:start w:val="2"/>
    </w:lvl>
  </w:abstractNum>
  <w:abstractNum w:abstractNumId="294">
    <w:nsid w:val="1F3DA4D5"/>
    <w:multiLevelType w:val="hybridMultilevel"/>
    <w:lvl w:ilvl="0">
      <w:lvlJc w:val="left"/>
      <w:lvlText w:val="(%1)"/>
      <w:numFmt w:val="lowerLetter"/>
      <w:start w:val="3"/>
    </w:lvl>
  </w:abstractNum>
  <w:abstractNum w:abstractNumId="295">
    <w:nsid w:val="74C93698"/>
    <w:multiLevelType w:val="hybridMultilevel"/>
    <w:lvl w:ilvl="0">
      <w:lvlJc w:val="left"/>
      <w:lvlText w:val="%1"/>
      <w:numFmt w:val="lowerLetter"/>
      <w:start w:val="1"/>
    </w:lvl>
    <w:lvl w:ilvl="1">
      <w:lvlJc w:val="left"/>
      <w:lvlText w:val="%2."/>
      <w:numFmt w:val="decimal"/>
      <w:start w:val="10"/>
    </w:lvl>
  </w:abstractNum>
  <w:abstractNum w:abstractNumId="296">
    <w:nsid w:val="48781401"/>
    <w:multiLevelType w:val="hybridMultilevel"/>
    <w:lvl w:ilvl="0">
      <w:lvlJc w:val="left"/>
      <w:lvlText w:val="(%1)"/>
      <w:numFmt w:val="lowerLetter"/>
      <w:start w:val="2"/>
    </w:lvl>
    <w:lvl w:ilvl="1">
      <w:lvlJc w:val="left"/>
      <w:lvlText w:val="%2."/>
      <w:numFmt w:val="decimal"/>
      <w:start w:val="12"/>
    </w:lvl>
  </w:abstractNum>
  <w:abstractNum w:abstractNumId="297">
    <w:nsid w:val="186928D6"/>
    <w:multiLevelType w:val="hybridMultilevel"/>
    <w:lvl w:ilvl="0">
      <w:lvlJc w:val="left"/>
      <w:lvlText w:val="%1."/>
      <w:numFmt w:val="decimal"/>
      <w:start w:val="13"/>
    </w:lvl>
  </w:abstractNum>
  <w:abstractNum w:abstractNumId="298">
    <w:nsid w:val="47195E5"/>
    <w:multiLevelType w:val="hybridMultilevel"/>
    <w:lvl w:ilvl="0">
      <w:lvlJc w:val="left"/>
      <w:lvlText w:val="(%1)"/>
      <w:numFmt w:val="lowerLetter"/>
      <w:start w:val="2"/>
    </w:lvl>
  </w:abstractNum>
  <w:abstractNum w:abstractNumId="299">
    <w:nsid w:val="3746A5F2"/>
    <w:multiLevelType w:val="hybridMultilevel"/>
    <w:lvl w:ilvl="0">
      <w:lvlJc w:val="left"/>
      <w:lvlText w:val="%1."/>
      <w:numFmt w:val="decimal"/>
      <w:start w:val="15"/>
    </w:lvl>
  </w:abstractNum>
  <w:abstractNum w:abstractNumId="300">
    <w:nsid w:val="682DFED6"/>
    <w:multiLevelType w:val="hybridMultilevel"/>
    <w:lvl w:ilvl="0">
      <w:lvlJc w:val="left"/>
      <w:lvlText w:val="(%1)"/>
      <w:numFmt w:val="lowerLetter"/>
      <w:start w:val="2"/>
    </w:lvl>
  </w:abstractNum>
  <w:abstractNum w:abstractNumId="301">
    <w:nsid w:val="606ED7F6"/>
    <w:multiLevelType w:val="hybridMultilevel"/>
    <w:lvl w:ilvl="0">
      <w:lvlJc w:val="left"/>
      <w:lvlText w:val="%1"/>
      <w:numFmt w:val="lowerLetter"/>
      <w:start w:val="1"/>
    </w:lvl>
    <w:lvl w:ilvl="1">
      <w:lvlJc w:val="left"/>
      <w:lvlText w:val="%2."/>
      <w:numFmt w:val="decimal"/>
      <w:start w:val="17"/>
    </w:lvl>
  </w:abstractNum>
  <w:abstractNum w:abstractNumId="302">
    <w:nsid w:val="2D9DF57D"/>
    <w:multiLevelType w:val="hybridMultilevel"/>
    <w:lvl w:ilvl="0">
      <w:lvlJc w:val="left"/>
      <w:lvlText w:val="(%1)"/>
      <w:numFmt w:val="lowerLetter"/>
      <w:start w:val="2"/>
    </w:lvl>
    <w:lvl w:ilvl="1">
      <w:lvlJc w:val="left"/>
      <w:lvlText w:val="%2"/>
      <w:numFmt w:val="decimal"/>
      <w:start w:val="1"/>
    </w:lvl>
  </w:abstractNum>
  <w:abstractNum w:abstractNumId="303">
    <w:nsid w:val="7FBD7A3E"/>
    <w:multiLevelType w:val="hybridMultilevel"/>
    <w:lvl w:ilvl="0">
      <w:lvlJc w:val="left"/>
      <w:lvlText w:val="%1."/>
      <w:numFmt w:val="decimal"/>
      <w:start w:val="18"/>
    </w:lvl>
  </w:abstractNum>
  <w:abstractNum w:abstractNumId="304">
    <w:nsid w:val="490B7C5"/>
    <w:multiLevelType w:val="hybridMultilevel"/>
    <w:lvl w:ilvl="0">
      <w:lvlJc w:val="left"/>
      <w:lvlText w:val="%1."/>
      <w:numFmt w:val="decimal"/>
      <w:start w:val="21"/>
    </w:lvl>
  </w:abstractNum>
  <w:abstractNum w:abstractNumId="305">
    <w:nsid w:val="4303A216"/>
    <w:multiLevelType w:val="hybridMultilevel"/>
    <w:lvl w:ilvl="0">
      <w:lvlJc w:val="left"/>
      <w:lvlText w:val="(%1)"/>
      <w:numFmt w:val="lowerLetter"/>
      <w:start w:val="2"/>
    </w:lvl>
  </w:abstractNum>
  <w:abstractNum w:abstractNumId="306">
    <w:nsid w:val="19B8A08E"/>
    <w:multiLevelType w:val="hybridMultilevel"/>
    <w:lvl w:ilvl="0">
      <w:lvlJc w:val="left"/>
      <w:lvlText w:val="(%1)"/>
      <w:numFmt w:val="lowerLetter"/>
      <w:start w:val="4"/>
    </w:lvl>
  </w:abstractNum>
  <w:abstractNum w:abstractNumId="307">
    <w:nsid w:val="54B59621"/>
    <w:multiLevelType w:val="hybridMultilevel"/>
    <w:lvl w:ilvl="0">
      <w:lvlJc w:val="left"/>
      <w:lvlText w:val="%1."/>
      <w:numFmt w:val="decimal"/>
      <w:start w:val="1"/>
    </w:lvl>
    <w:lvl w:ilvl="1">
      <w:lvlJc w:val="left"/>
      <w:lvlText w:val="(%2)"/>
      <w:numFmt w:val="lowerLetter"/>
      <w:start w:val="1"/>
    </w:lvl>
  </w:abstractNum>
  <w:abstractNum w:abstractNumId="308">
    <w:nsid w:val="5992A02E"/>
    <w:multiLevelType w:val="hybridMultilevel"/>
    <w:lvl w:ilvl="0">
      <w:lvlJc w:val="left"/>
      <w:lvlText w:val="(%1)"/>
      <w:numFmt w:val="lowerLetter"/>
      <w:start w:val="5"/>
    </w:lvl>
  </w:abstractNum>
  <w:abstractNum w:abstractNumId="309">
    <w:nsid w:val="29EF532D"/>
    <w:multiLevelType w:val="hybridMultilevel"/>
    <w:lvl w:ilvl="0">
      <w:lvlJc w:val="left"/>
      <w:lvlText w:val="(%1)"/>
      <w:numFmt w:val="lowerRoman"/>
      <w:start w:val="1"/>
    </w:lvl>
  </w:abstractNum>
  <w:abstractNum w:abstractNumId="310">
    <w:nsid w:val="71D601AF"/>
    <w:multiLevelType w:val="hybridMultilevel"/>
    <w:lvl w:ilvl="0">
      <w:lvlJc w:val="left"/>
      <w:lvlText w:val="(%1)"/>
      <w:numFmt w:val="lowerLetter"/>
      <w:start w:val="7"/>
    </w:lvl>
  </w:abstractNum>
  <w:abstractNum w:abstractNumId="311">
    <w:nsid w:val="52C77402"/>
    <w:multiLevelType w:val="hybridMultilevel"/>
    <w:lvl w:ilvl="0">
      <w:lvlJc w:val="left"/>
      <w:lvlText w:val="(%1)"/>
      <w:numFmt w:val="lowerRoman"/>
      <w:start w:val="2"/>
    </w:lvl>
  </w:abstractNum>
  <w:abstractNum w:abstractNumId="312">
    <w:nsid w:val="2BB5B1C6"/>
    <w:multiLevelType w:val="hybridMultilevel"/>
    <w:lvl w:ilvl="0">
      <w:lvlJc w:val="left"/>
      <w:lvlText w:val="%1."/>
      <w:numFmt w:val="decimal"/>
      <w:start w:val="2"/>
    </w:lvl>
  </w:abstractNum>
  <w:abstractNum w:abstractNumId="313">
    <w:nsid w:val="66BE6B9"/>
    <w:multiLevelType w:val="hybridMultilevel"/>
    <w:lvl w:ilvl="0">
      <w:lvlJc w:val="left"/>
      <w:lvlText w:val="%1."/>
      <w:numFmt w:val="decimal"/>
      <w:start w:val="3"/>
    </w:lvl>
  </w:abstractNum>
  <w:abstractNum w:abstractNumId="314">
    <w:nsid w:val="62234363"/>
    <w:multiLevelType w:val="hybridMultilevel"/>
    <w:lvl w:ilvl="0">
      <w:lvlJc w:val="left"/>
      <w:lvlText w:val="(%1)"/>
      <w:numFmt w:val="lowerLetter"/>
      <w:start w:val="1"/>
    </w:lvl>
  </w:abstractNum>
  <w:abstractNum w:abstractNumId="315">
    <w:nsid w:val="66D385C9"/>
    <w:multiLevelType w:val="hybridMultilevel"/>
    <w:lvl w:ilvl="0">
      <w:lvlJc w:val="left"/>
      <w:lvlText w:val="(%1)"/>
      <w:numFmt w:val="lowerLetter"/>
      <w:start w:val="2"/>
    </w:lvl>
  </w:abstractNum>
  <w:abstractNum w:abstractNumId="316">
    <w:nsid w:val="596F6D8A"/>
    <w:multiLevelType w:val="hybridMultilevel"/>
    <w:lvl w:ilvl="0">
      <w:lvlJc w:val="left"/>
      <w:lvlText w:val="%1."/>
      <w:numFmt w:val="decimal"/>
      <w:start w:val="4"/>
    </w:lvl>
  </w:abstractNum>
  <w:abstractNum w:abstractNumId="317">
    <w:nsid w:val="5749361F"/>
    <w:multiLevelType w:val="hybridMultilevel"/>
    <w:lvl w:ilvl="0">
      <w:lvlJc w:val="left"/>
      <w:lvlText w:val="%1."/>
      <w:numFmt w:val="decimal"/>
      <w:start w:val="5"/>
    </w:lvl>
  </w:abstractNum>
  <w:abstractNum w:abstractNumId="318">
    <w:nsid w:val="73BC6770"/>
    <w:multiLevelType w:val="hybridMultilevel"/>
    <w:lvl w:ilvl="0">
      <w:lvlJc w:val="left"/>
      <w:lvlText w:val="%1."/>
      <w:numFmt w:val="decimal"/>
      <w:start w:val="6"/>
    </w:lvl>
  </w:abstractNum>
  <w:abstractNum w:abstractNumId="319">
    <w:nsid w:val="280E6897"/>
    <w:multiLevelType w:val="hybridMultilevel"/>
    <w:lvl w:ilvl="0">
      <w:lvlJc w:val="left"/>
      <w:lvlText w:val="%1."/>
      <w:numFmt w:val="decimal"/>
      <w:start w:val="1"/>
    </w:lvl>
    <w:lvl w:ilvl="1">
      <w:lvlJc w:val="left"/>
      <w:lvlText w:val="(%2)"/>
      <w:numFmt w:val="lowerLetter"/>
      <w:start w:val="1"/>
    </w:lvl>
  </w:abstractNum>
  <w:abstractNum w:abstractNumId="320">
    <w:nsid w:val="605138DE"/>
    <w:multiLevelType w:val="hybridMultilevel"/>
    <w:lvl w:ilvl="0">
      <w:lvlJc w:val="left"/>
      <w:lvlText w:val="%1."/>
      <w:numFmt w:val="decimal"/>
      <w:start w:val="2"/>
    </w:lvl>
  </w:abstractNum>
  <w:abstractNum w:abstractNumId="321">
    <w:nsid w:val="2622AD0C"/>
    <w:multiLevelType w:val="hybridMultilevel"/>
    <w:lvl w:ilvl="0">
      <w:lvlJc w:val="left"/>
      <w:lvlText w:val="%1."/>
      <w:numFmt w:val="decimal"/>
      <w:start w:val="3"/>
    </w:lvl>
  </w:abstractNum>
  <w:abstractNum w:abstractNumId="322">
    <w:nsid w:val="67997556"/>
    <w:multiLevelType w:val="hybridMultilevel"/>
    <w:lvl w:ilvl="0">
      <w:lvlJc w:val="left"/>
      <w:lvlText w:val="%1."/>
      <w:numFmt w:val="decimal"/>
      <w:start w:val="4"/>
    </w:lvl>
  </w:abstractNum>
  <w:abstractNum w:abstractNumId="323">
    <w:nsid w:val="18333C89"/>
    <w:multiLevelType w:val="hybridMultilevel"/>
    <w:lvl w:ilvl="0">
      <w:lvlJc w:val="left"/>
      <w:lvlText w:val="%1."/>
      <w:numFmt w:val="decimal"/>
      <w:start w:val="5"/>
    </w:lvl>
  </w:abstractNum>
  <w:abstractNum w:abstractNumId="324">
    <w:nsid w:val="4BA9831A"/>
    <w:multiLevelType w:val="hybridMultilevel"/>
    <w:lvl w:ilvl="0">
      <w:lvlJc w:val="left"/>
      <w:lvlText w:val="%1."/>
      <w:numFmt w:val="upperLetter"/>
      <w:start w:val="1"/>
    </w:lvl>
  </w:abstractNum>
  <w:abstractNum w:abstractNumId="325">
    <w:nsid w:val="6D71A2B"/>
    <w:multiLevelType w:val="hybridMultilevel"/>
    <w:lvl w:ilvl="0">
      <w:lvlJc w:val="left"/>
      <w:lvlText w:val="%1."/>
      <w:numFmt w:val="decimal"/>
      <w:start w:val="1"/>
    </w:lvl>
  </w:abstractNum>
  <w:abstractNum w:abstractNumId="326">
    <w:nsid w:val="CFC7321"/>
    <w:multiLevelType w:val="hybridMultilevel"/>
    <w:lvl w:ilvl="0">
      <w:lvlJc w:val="left"/>
      <w:lvlText w:val="%1."/>
      <w:numFmt w:val="decimal"/>
      <w:start w:val="2"/>
    </w:lvl>
  </w:abstractNum>
  <w:abstractNum w:abstractNumId="327">
    <w:nsid w:val="1421971B"/>
    <w:multiLevelType w:val="hybridMultilevel"/>
    <w:lvl w:ilvl="0">
      <w:lvlJc w:val="left"/>
      <w:lvlText w:val="%1."/>
      <w:numFmt w:val="decimal"/>
      <w:start w:val="3"/>
    </w:lvl>
  </w:abstractNum>
  <w:abstractNum w:abstractNumId="328">
    <w:nsid w:val="1F404301"/>
    <w:multiLevelType w:val="hybridMultilevel"/>
    <w:lvl w:ilvl="0">
      <w:lvlJc w:val="left"/>
      <w:lvlText w:val="(%1)"/>
      <w:numFmt w:val="lowerLetter"/>
      <w:start w:val="1"/>
    </w:lvl>
  </w:abstractNum>
  <w:abstractNum w:abstractNumId="329">
    <w:nsid w:val="116E0907"/>
    <w:multiLevelType w:val="hybridMultilevel"/>
    <w:lvl w:ilvl="0">
      <w:lvlJc w:val="left"/>
      <w:lvlText w:val="%1"/>
      <w:numFmt w:val="lowerLetter"/>
      <w:start w:val="1"/>
    </w:lvl>
    <w:lvl w:ilvl="1">
      <w:lvlJc w:val="left"/>
      <w:lvlText w:val="%2."/>
      <w:numFmt w:val="decimal"/>
      <w:start w:val="4"/>
    </w:lvl>
  </w:abstractNum>
  <w:abstractNum w:abstractNumId="330">
    <w:nsid w:val="4B683D0D"/>
    <w:multiLevelType w:val="hybridMultilevel"/>
    <w:lvl w:ilvl="0">
      <w:lvlJc w:val="left"/>
      <w:lvlText w:val="(%1)"/>
      <w:numFmt w:val="lowerLetter"/>
      <w:start w:val="1"/>
    </w:lvl>
    <w:lvl w:ilvl="1">
      <w:lvlJc w:val="left"/>
      <w:lvlText w:val="%2"/>
      <w:numFmt w:val="decimal"/>
      <w:start w:val="1"/>
    </w:lvl>
  </w:abstractNum>
  <w:abstractNum w:abstractNumId="331">
    <w:nsid w:val="76E41D8"/>
    <w:multiLevelType w:val="hybridMultilevel"/>
    <w:lvl w:ilvl="0">
      <w:lvlJc w:val="left"/>
      <w:lvlText w:val="%1."/>
      <w:numFmt w:val="decimal"/>
      <w:start w:val="5"/>
    </w:lvl>
  </w:abstractNum>
  <w:abstractNum w:abstractNumId="332">
    <w:nsid w:val="71DCE0FD"/>
    <w:multiLevelType w:val="hybridMultilevel"/>
    <w:lvl w:ilvl="0">
      <w:lvlJc w:val="left"/>
      <w:lvlText w:val="(%1)"/>
      <w:numFmt w:val="lowerLetter"/>
      <w:start w:val="1"/>
    </w:lvl>
  </w:abstractNum>
  <w:abstractNum w:abstractNumId="333">
    <w:nsid w:val="7906328B"/>
    <w:multiLevelType w:val="hybridMultilevel"/>
    <w:lvl w:ilvl="0">
      <w:lvlJc w:val="left"/>
      <w:lvlText w:val="(%1)"/>
      <w:numFmt w:val="lowerLetter"/>
      <w:start w:val="6"/>
    </w:lvl>
  </w:abstractNum>
  <w:abstractNum w:abstractNumId="334">
    <w:nsid w:val="72BBC16"/>
    <w:multiLevelType w:val="hybridMultilevel"/>
    <w:lvl w:ilvl="0">
      <w:lvlJc w:val="left"/>
      <w:lvlText w:val="%1."/>
      <w:numFmt w:val="decimal"/>
      <w:start w:val="6"/>
    </w:lvl>
  </w:abstractNum>
  <w:abstractNum w:abstractNumId="335">
    <w:nsid w:val="766D98C2"/>
    <w:multiLevelType w:val="hybridMultilevel"/>
    <w:lvl w:ilvl="0">
      <w:lvlJc w:val="left"/>
      <w:lvlText w:val="(%1)"/>
      <w:numFmt w:val="lowerLetter"/>
      <w:start w:val="1"/>
    </w:lvl>
  </w:abstractNum>
  <w:abstractNum w:abstractNumId="336">
    <w:nsid w:val="3C09D4A1"/>
    <w:multiLevelType w:val="hybridMultilevel"/>
    <w:lvl w:ilvl="0">
      <w:lvlJc w:val="left"/>
      <w:lvlText w:val="%1."/>
      <w:numFmt w:val="decimal"/>
      <w:start w:val="7"/>
    </w:lvl>
  </w:abstractNum>
  <w:abstractNum w:abstractNumId="337">
    <w:nsid w:val="20E45CA4"/>
    <w:multiLevelType w:val="hybridMultilevel"/>
    <w:lvl w:ilvl="0">
      <w:lvlJc w:val="left"/>
      <w:lvlText w:val="(%1)"/>
      <w:numFmt w:val="lowerLetter"/>
      <w:start w:val="1"/>
    </w:lvl>
  </w:abstractNum>
  <w:abstractNum w:abstractNumId="338">
    <w:nsid w:val="4B232EE3"/>
    <w:multiLevelType w:val="hybridMultilevel"/>
    <w:lvl w:ilvl="0">
      <w:lvlJc w:val="left"/>
      <w:lvlText w:val="(%1)"/>
      <w:numFmt w:val="lowerLetter"/>
      <w:start w:val="2"/>
    </w:lvl>
  </w:abstractNum>
  <w:abstractNum w:abstractNumId="339">
    <w:nsid w:val="159C74CF"/>
    <w:multiLevelType w:val="hybridMultilevel"/>
    <w:lvl w:ilvl="0">
      <w:lvlJc w:val="left"/>
      <w:lvlText w:val="%1."/>
      <w:numFmt w:val="decimal"/>
      <w:start w:val="8"/>
    </w:lvl>
  </w:abstractNum>
  <w:abstractNum w:abstractNumId="340">
    <w:nsid w:val="4AD3AFD2"/>
    <w:multiLevelType w:val="hybridMultilevel"/>
    <w:lvl w:ilvl="0">
      <w:lvlJc w:val="left"/>
      <w:lvlText w:val="%1."/>
      <w:numFmt w:val="decimal"/>
      <w:start w:val="9"/>
    </w:lvl>
  </w:abstractNum>
  <w:abstractNum w:abstractNumId="341">
    <w:nsid w:val="3CF93092"/>
    <w:multiLevelType w:val="hybridMultilevel"/>
    <w:lvl w:ilvl="0">
      <w:lvlJc w:val="left"/>
      <w:lvlText w:val="%1."/>
      <w:numFmt w:val="decimal"/>
      <w:start w:val="10"/>
    </w:lvl>
  </w:abstractNum>
  <w:abstractNum w:abstractNumId="342">
    <w:nsid w:val="6863E8D2"/>
    <w:multiLevelType w:val="hybridMultilevel"/>
    <w:lvl w:ilvl="0">
      <w:lvlJc w:val="left"/>
      <w:lvlText w:val="%1."/>
      <w:numFmt w:val="decimal"/>
      <w:start w:val="11"/>
    </w:lvl>
  </w:abstractNum>
  <w:abstractNum w:abstractNumId="343">
    <w:nsid w:val="76896198"/>
    <w:multiLevelType w:val="hybridMultilevel"/>
    <w:lvl w:ilvl="0">
      <w:lvlJc w:val="left"/>
      <w:lvlText w:val="(%1)"/>
      <w:numFmt w:val="lowerLetter"/>
      <w:start w:val="1"/>
    </w:lvl>
  </w:abstractNum>
  <w:abstractNum w:abstractNumId="344">
    <w:nsid w:val="4365174B"/>
    <w:multiLevelType w:val="hybridMultilevel"/>
    <w:lvl w:ilvl="0">
      <w:lvlJc w:val="left"/>
      <w:lvlText w:val="%1."/>
      <w:numFmt w:val="decimal"/>
      <w:start w:val="12"/>
    </w:lvl>
  </w:abstractNum>
  <w:abstractNum w:abstractNumId="345">
    <w:nsid w:val="4A872C35"/>
    <w:multiLevelType w:val="hybridMultilevel"/>
    <w:lvl w:ilvl="0">
      <w:lvlJc w:val="left"/>
      <w:lvlText w:val="%1."/>
      <w:numFmt w:val="decimal"/>
      <w:start w:val="13"/>
    </w:lvl>
  </w:abstractNum>
  <w:abstractNum w:abstractNumId="346">
    <w:nsid w:val="5D5CE761"/>
    <w:multiLevelType w:val="hybridMultilevel"/>
    <w:lvl w:ilvl="0">
      <w:lvlJc w:val="left"/>
      <w:lvlText w:val="(%1)"/>
      <w:numFmt w:val="lowerLetter"/>
      <w:start w:val="1"/>
    </w:lvl>
  </w:abstractNum>
  <w:abstractNum w:abstractNumId="347">
    <w:nsid w:val="1CD484D5"/>
    <w:multiLevelType w:val="hybridMultilevel"/>
    <w:lvl w:ilvl="0">
      <w:lvlJc w:val="left"/>
      <w:lvlText w:val="%1."/>
      <w:numFmt w:val="decimal"/>
      <w:start w:val="14"/>
    </w:lvl>
  </w:abstractNum>
  <w:abstractNum w:abstractNumId="348">
    <w:nsid w:val="21D06255"/>
    <w:multiLevelType w:val="hybridMultilevel"/>
    <w:lvl w:ilvl="0">
      <w:lvlJc w:val="left"/>
      <w:lvlText w:val="%1."/>
      <w:numFmt w:val="decimal"/>
      <w:start w:val="15"/>
    </w:lvl>
  </w:abstractNum>
  <w:abstractNum w:abstractNumId="349">
    <w:nsid w:val="51194ED1"/>
    <w:multiLevelType w:val="hybridMultilevel"/>
    <w:lvl w:ilvl="0">
      <w:lvlJc w:val="left"/>
      <w:lvlText w:val="(%1)"/>
      <w:numFmt w:val="lowerLetter"/>
      <w:start w:val="1"/>
    </w:lvl>
  </w:abstractNum>
  <w:abstractNum w:abstractNumId="350">
    <w:nsid w:val="44E2ED6C"/>
    <w:multiLevelType w:val="hybridMultilevel"/>
    <w:lvl w:ilvl="0">
      <w:lvlJc w:val="left"/>
      <w:lvlText w:val="(%1)"/>
      <w:numFmt w:val="lowerLetter"/>
      <w:start w:val="6"/>
    </w:lvl>
  </w:abstractNum>
  <w:abstractNum w:abstractNumId="351">
    <w:nsid w:val="2219B33"/>
    <w:multiLevelType w:val="hybridMultilevel"/>
    <w:lvl w:ilvl="0">
      <w:lvlJc w:val="left"/>
      <w:lvlText w:val="%1."/>
      <w:numFmt w:val="decimal"/>
      <w:start w:val="16"/>
    </w:lvl>
  </w:abstractNum>
  <w:abstractNum w:abstractNumId="352">
    <w:nsid w:val="773BFBDD"/>
    <w:multiLevelType w:val="hybridMultilevel"/>
    <w:lvl w:ilvl="0">
      <w:lvlJc w:val="left"/>
      <w:lvlText w:val="%1."/>
      <w:numFmt w:val="decimal"/>
      <w:start w:val="17"/>
    </w:lvl>
  </w:abstractNum>
  <w:abstractNum w:abstractNumId="353">
    <w:nsid w:val="2C7C62C2"/>
    <w:multiLevelType w:val="hybridMultilevel"/>
    <w:lvl w:ilvl="0">
      <w:lvlJc w:val="left"/>
      <w:lvlText w:val="(%1)"/>
      <w:numFmt w:val="lowerLetter"/>
      <w:start w:val="1"/>
    </w:lvl>
  </w:abstractNum>
  <w:abstractNum w:abstractNumId="354">
    <w:nsid w:val="1A54D7BC"/>
    <w:multiLevelType w:val="hybridMultilevel"/>
    <w:lvl w:ilvl="0">
      <w:lvlJc w:val="left"/>
      <w:lvlText w:val="(%1)"/>
      <w:numFmt w:val="lowerLetter"/>
      <w:start w:val="4"/>
    </w:lvl>
  </w:abstractNum>
  <w:abstractNum w:abstractNumId="355">
    <w:nsid w:val="42E57EF7"/>
    <w:multiLevelType w:val="hybridMultilevel"/>
    <w:lvl w:ilvl="0">
      <w:lvlJc w:val="left"/>
      <w:lvlText w:val="%1."/>
      <w:numFmt w:val="decimal"/>
      <w:start w:val="18"/>
    </w:lvl>
  </w:abstractNum>
  <w:abstractNum w:abstractNumId="356">
    <w:nsid w:val="33537CED"/>
    <w:multiLevelType w:val="hybridMultilevel"/>
    <w:lvl w:ilvl="0">
      <w:lvlJc w:val="left"/>
      <w:lvlText w:val="(%1)"/>
      <w:numFmt w:val="lowerLetter"/>
      <w:start w:val="1"/>
    </w:lvl>
  </w:abstractNum>
  <w:abstractNum w:abstractNumId="357">
    <w:nsid w:val="27514ADE"/>
    <w:multiLevelType w:val="hybridMultilevel"/>
    <w:lvl w:ilvl="0">
      <w:lvlJc w:val="left"/>
      <w:lvlText w:val="(%1)"/>
      <w:numFmt w:val="lowerLetter"/>
      <w:start w:val="3"/>
    </w:lvl>
  </w:abstractNum>
  <w:abstractNum w:abstractNumId="358">
    <w:nsid w:val="57071613"/>
    <w:multiLevelType w:val="hybridMultilevel"/>
    <w:lvl w:ilvl="0">
      <w:lvlJc w:val="left"/>
      <w:lvlText w:val="%1."/>
      <w:numFmt w:val="decimal"/>
      <w:start w:val="19"/>
    </w:lvl>
  </w:abstractNum>
  <w:abstractNum w:abstractNumId="359">
    <w:nsid w:val="5293BFEF"/>
    <w:multiLevelType w:val="hybridMultilevel"/>
    <w:lvl w:ilvl="0">
      <w:lvlJc w:val="left"/>
      <w:lvlText w:val="%1."/>
      <w:numFmt w:val="decimal"/>
      <w:start w:val="20"/>
    </w:lvl>
  </w:abstractNum>
  <w:abstractNum w:abstractNumId="360">
    <w:nsid w:val="38BF53E5"/>
    <w:multiLevelType w:val="hybridMultilevel"/>
    <w:lvl w:ilvl="0">
      <w:lvlJc w:val="left"/>
      <w:lvlText w:val="(%1)"/>
      <w:numFmt w:val="lowerLetter"/>
      <w:start w:val="1"/>
    </w:lvl>
  </w:abstractNum>
  <w:abstractNum w:abstractNumId="361">
    <w:nsid w:val="226F5320"/>
    <w:multiLevelType w:val="hybridMultilevel"/>
    <w:lvl w:ilvl="0">
      <w:lvlJc w:val="left"/>
      <w:lvlText w:val="%1."/>
      <w:numFmt w:val="decimal"/>
      <w:start w:val="1"/>
    </w:lvl>
    <w:lvl w:ilvl="1">
      <w:lvlJc w:val="left"/>
      <w:lvlText w:val="(%2)"/>
      <w:numFmt w:val="lowerLetter"/>
      <w:start w:val="1"/>
    </w:lvl>
  </w:abstractNum>
  <w:abstractNum w:abstractNumId="362">
    <w:nsid w:val="5A0201C7"/>
    <w:multiLevelType w:val="hybridMultilevel"/>
    <w:lvl w:ilvl="0">
      <w:lvlJc w:val="left"/>
      <w:lvlText w:val="%1"/>
      <w:numFmt w:val="decimal"/>
      <w:start w:val="1"/>
    </w:lvl>
    <w:lvl w:ilvl="1">
      <w:lvlJc w:val="left"/>
      <w:lvlText w:val="(%2)"/>
      <w:numFmt w:val="lowerLetter"/>
      <w:start w:val="3"/>
    </w:lvl>
  </w:abstractNum>
  <w:abstractNum w:abstractNumId="363">
    <w:nsid w:val="2A9C34E2"/>
    <w:multiLevelType w:val="hybridMultilevel"/>
    <w:lvl w:ilvl="0">
      <w:lvlJc w:val="left"/>
      <w:lvlText w:val="%1."/>
      <w:numFmt w:val="decimal"/>
      <w:start w:val="3"/>
    </w:lvl>
    <w:lvl w:ilvl="1">
      <w:lvlJc w:val="left"/>
      <w:lvlText w:val="%2"/>
      <w:numFmt w:val="lowerLetter"/>
      <w:start w:val="1"/>
    </w:lvl>
  </w:abstractNum>
  <w:abstractNum w:abstractNumId="364">
    <w:nsid w:val="1B7585AB"/>
    <w:multiLevelType w:val="hybridMultilevel"/>
    <w:lvl w:ilvl="0">
      <w:lvlJc w:val="left"/>
      <w:lvlText w:val="%1."/>
      <w:numFmt w:val="decimal"/>
      <w:start w:val="4"/>
    </w:lvl>
    <w:lvl w:ilvl="1">
      <w:lvlJc w:val="left"/>
      <w:lvlText w:val="(%2)"/>
      <w:numFmt w:val="lowerLetter"/>
      <w:start w:val="1"/>
    </w:lvl>
  </w:abstractNum>
  <w:abstractNum w:abstractNumId="365">
    <w:nsid w:val="612DBDDD"/>
    <w:multiLevelType w:val="hybridMultilevel"/>
    <w:lvl w:ilvl="0">
      <w:lvlJc w:val="left"/>
      <w:lvlText w:val="%1."/>
      <w:numFmt w:val="decimal"/>
      <w:start w:val="7"/>
    </w:lvl>
    <w:lvl w:ilvl="1">
      <w:lvlJc w:val="left"/>
      <w:lvlText w:val="(%2)"/>
      <w:numFmt w:val="lowerLetter"/>
      <w:start w:val="1"/>
    </w:lvl>
  </w:abstractNum>
  <w:abstractNum w:abstractNumId="366">
    <w:nsid w:val="2109CDA4"/>
    <w:multiLevelType w:val="hybridMultilevel"/>
    <w:lvl w:ilvl="0">
      <w:lvlJc w:val="left"/>
      <w:lvlText w:val="(%1)"/>
      <w:numFmt w:val="lowerLetter"/>
      <w:start w:val="3"/>
    </w:lvl>
  </w:abstractNum>
  <w:abstractNum w:abstractNumId="367">
    <w:nsid w:val="577F5A4D"/>
    <w:multiLevelType w:val="hybridMultilevel"/>
    <w:lvl w:ilvl="0">
      <w:lvlJc w:val="left"/>
      <w:lvlText w:val="%1"/>
      <w:numFmt w:val="upperLetter"/>
      <w:start w:val="1"/>
    </w:lvl>
    <w:lvl w:ilvl="1">
      <w:lvlJc w:val="left"/>
      <w:lvlText w:val="(%2)"/>
      <w:numFmt w:val="lowerLetter"/>
      <w:start w:val="11"/>
    </w:lvl>
    <w:lvl w:ilvl="2">
      <w:lvlJc w:val="left"/>
      <w:lvlText w:val="(%3)"/>
      <w:numFmt w:val="lowerRoman"/>
      <w:start w:val="1"/>
    </w:lvl>
  </w:abstractNum>
  <w:abstractNum w:abstractNumId="368">
    <w:nsid w:val="2121A81"/>
    <w:multiLevelType w:val="hybridMultilevel"/>
    <w:lvl w:ilvl="0">
      <w:lvlJc w:val="left"/>
      <w:lvlText w:val="(%1)"/>
      <w:numFmt w:val="upperLetter"/>
      <w:start w:val="2"/>
    </w:lvl>
    <w:lvl w:ilvl="1">
      <w:lvlJc w:val="left"/>
      <w:lvlText w:val="(%2)"/>
      <w:numFmt w:val="lowerLetter"/>
      <w:start w:val="13"/>
    </w:lvl>
    <w:lvl w:ilvl="2">
      <w:lvlJc w:val="left"/>
      <w:lvlText w:val="%3"/>
      <w:numFmt w:val="lowerRoman"/>
      <w:start w:val="1"/>
    </w:lvl>
  </w:abstractNum>
  <w:abstractNum w:abstractNumId="369">
    <w:nsid w:val="6C2CFC88"/>
    <w:multiLevelType w:val="hybridMultilevel"/>
    <w:lvl w:ilvl="0">
      <w:lvlJc w:val="left"/>
      <w:lvlText w:val="(%1)"/>
      <w:numFmt w:val="lowerLetter"/>
      <w:start w:val="16"/>
    </w:lvl>
  </w:abstractNum>
  <w:abstractNum w:abstractNumId="370">
    <w:nsid w:val="6D1BCF1C"/>
    <w:multiLevelType w:val="hybridMultilevel"/>
    <w:lvl w:ilvl="0">
      <w:lvlJc w:val="left"/>
      <w:lvlText w:val="%1."/>
      <w:numFmt w:val="decimal"/>
      <w:start w:val="1"/>
    </w:lvl>
    <w:lvl w:ilvl="1">
      <w:lvlJc w:val="left"/>
      <w:lvlText w:val="(%2)"/>
      <w:numFmt w:val="lowerLetter"/>
      <w:start w:val="1"/>
    </w:lvl>
  </w:abstractNum>
  <w:abstractNum w:abstractNumId="371">
    <w:nsid w:val="4CE5CA53"/>
    <w:multiLevelType w:val="hybridMultilevel"/>
    <w:lvl w:ilvl="0">
      <w:lvlJc w:val="left"/>
      <w:lvlText w:val="%1"/>
      <w:numFmt w:val="decimal"/>
      <w:start w:val="1"/>
    </w:lvl>
    <w:lvl w:ilvl="1">
      <w:lvlJc w:val="left"/>
      <w:lvlText w:val="(%2)"/>
      <w:numFmt w:val="lowerLetter"/>
      <w:start w:val="3"/>
    </w:lvl>
  </w:abstractNum>
  <w:abstractNum w:abstractNumId="372">
    <w:nsid w:val="29262D1A"/>
    <w:multiLevelType w:val="hybridMultilevel"/>
    <w:lvl w:ilvl="0">
      <w:lvlJc w:val="left"/>
      <w:lvlText w:val="%1."/>
      <w:numFmt w:val="decimal"/>
      <w:start w:val="3"/>
    </w:lvl>
    <w:lvl w:ilvl="1">
      <w:lvlJc w:val="left"/>
      <w:lvlText w:val="%2"/>
      <w:numFmt w:val="lowerLetter"/>
      <w:start w:val="1"/>
    </w:lvl>
  </w:abstractNum>
  <w:abstractNum w:abstractNumId="373">
    <w:nsid w:val="557FB7EE"/>
    <w:multiLevelType w:val="hybridMultilevel"/>
    <w:lvl w:ilvl="0">
      <w:lvlJc w:val="left"/>
      <w:lvlText w:val="%1."/>
      <w:numFmt w:val="decimal"/>
      <w:start w:val="4"/>
    </w:lvl>
    <w:lvl w:ilvl="1">
      <w:lvlJc w:val="left"/>
      <w:lvlText w:val="(%2)"/>
      <w:numFmt w:val="lowerLetter"/>
      <w:start w:val="1"/>
    </w:lvl>
  </w:abstractNum>
  <w:abstractNum w:abstractNumId="374">
    <w:nsid w:val="436F2BEB"/>
    <w:multiLevelType w:val="hybridMultilevel"/>
    <w:lvl w:ilvl="0">
      <w:lvlJc w:val="left"/>
      <w:lvlText w:val="%1."/>
      <w:numFmt w:val="decimal"/>
      <w:start w:val="7"/>
    </w:lvl>
    <w:lvl w:ilvl="1">
      <w:lvlJc w:val="left"/>
      <w:lvlText w:val="(%2)"/>
      <w:numFmt w:val="lowerLetter"/>
      <w:start w:val="1"/>
    </w:lvl>
  </w:abstractNum>
  <w:abstractNum w:abstractNumId="375">
    <w:nsid w:val="6C8B4466"/>
    <w:multiLevelType w:val="hybridMultilevel"/>
    <w:lvl w:ilvl="0">
      <w:lvlJc w:val="left"/>
      <w:lvlText w:val="(%1)"/>
      <w:numFmt w:val="lowerLetter"/>
      <w:start w:val="3"/>
    </w:lvl>
  </w:abstractNum>
  <w:abstractNum w:abstractNumId="376">
    <w:nsid w:val="2006E424"/>
    <w:multiLevelType w:val="hybridMultilevel"/>
    <w:lvl w:ilvl="0">
      <w:lvlJc w:val="left"/>
      <w:lvlText w:val="(%1)"/>
      <w:numFmt w:val="lowerLetter"/>
      <w:start w:val="11"/>
    </w:lvl>
    <w:lvl w:ilvl="1">
      <w:lvlJc w:val="left"/>
      <w:lvlText w:val="(%2)"/>
      <w:numFmt w:val="lowerRoman"/>
      <w:start w:val="1"/>
    </w:lvl>
  </w:abstractNum>
  <w:abstractNum w:abstractNumId="377">
    <w:nsid w:val="20CC134C"/>
    <w:multiLevelType w:val="hybridMultilevel"/>
    <w:lvl w:ilvl="0">
      <w:lvlJc w:val="left"/>
      <w:lvlText w:val="(%1)"/>
      <w:numFmt w:val="lowerLetter"/>
      <w:start w:val="16"/>
    </w:lvl>
  </w:abstractNum>
  <w:abstractNum w:abstractNumId="378">
    <w:nsid w:val="95FC93B"/>
    <w:multiLevelType w:val="hybridMultilevel"/>
    <w:lvl w:ilvl="0">
      <w:lvlJc w:val="left"/>
      <w:lvlText w:val="%1."/>
      <w:numFmt w:val="decimal"/>
      <w:start w:val="1"/>
    </w:lvl>
    <w:lvl w:ilvl="1">
      <w:lvlJc w:val="left"/>
      <w:lvlText w:val="(%2)"/>
      <w:numFmt w:val="lowerLetter"/>
      <w:start w:val="1"/>
    </w:lvl>
  </w:abstractNum>
  <w:abstractNum w:abstractNumId="379">
    <w:nsid w:val="41D74679"/>
    <w:multiLevelType w:val="hybridMultilevel"/>
    <w:lvl w:ilvl="0">
      <w:lvlJc w:val="left"/>
      <w:lvlText w:val="%1."/>
      <w:numFmt w:val="decimal"/>
      <w:start w:val="1"/>
    </w:lvl>
    <w:lvl w:ilvl="1">
      <w:lvlJc w:val="left"/>
      <w:lvlText w:val="(%2)"/>
      <w:numFmt w:val="lowerLetter"/>
      <w:start w:val="1"/>
    </w:lvl>
  </w:abstractNum>
  <w:abstractNum w:abstractNumId="380">
    <w:nsid w:val="71E5621E"/>
    <w:multiLevelType w:val="hybridMultilevel"/>
    <w:lvl w:ilvl="0">
      <w:lvlJc w:val="left"/>
      <w:lvlText w:val="%1."/>
      <w:numFmt w:val="decimal"/>
      <w:start w:val="1"/>
    </w:lvl>
  </w:abstractNum>
  <w:abstractNum w:abstractNumId="381">
    <w:nsid w:val="4E42B6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75"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pn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378" Type="http://schemas.openxmlformats.org/officeDocument/2006/relationships/image" Target="media/image339.png"/><Relationship Id="rId379" Type="http://schemas.openxmlformats.org/officeDocument/2006/relationships/image" Target="media/image340.png"/><Relationship Id="rId380" Type="http://schemas.openxmlformats.org/officeDocument/2006/relationships/image" Target="media/image341.png"/><Relationship Id="rId381" Type="http://schemas.openxmlformats.org/officeDocument/2006/relationships/image" Target="media/image342.png"/><Relationship Id="rId382" Type="http://schemas.openxmlformats.org/officeDocument/2006/relationships/image" Target="media/image343.png"/><Relationship Id="rId383" Type="http://schemas.openxmlformats.org/officeDocument/2006/relationships/image" Target="media/image344.png"/><Relationship Id="rId384" Type="http://schemas.openxmlformats.org/officeDocument/2006/relationships/image" Target="media/image345.png"/><Relationship Id="rId385" Type="http://schemas.openxmlformats.org/officeDocument/2006/relationships/image" Target="media/image346.png"/><Relationship Id="rId386" Type="http://schemas.openxmlformats.org/officeDocument/2006/relationships/image" Target="media/image347.png"/><Relationship Id="rId387" Type="http://schemas.openxmlformats.org/officeDocument/2006/relationships/image" Target="media/image348.png"/><Relationship Id="rId388" Type="http://schemas.openxmlformats.org/officeDocument/2006/relationships/image" Target="media/image349.png"/><Relationship Id="rId389" Type="http://schemas.openxmlformats.org/officeDocument/2006/relationships/image" Target="media/image350.png"/><Relationship Id="rId390" Type="http://schemas.openxmlformats.org/officeDocument/2006/relationships/image" Target="media/image351.png"/><Relationship Id="rId391" Type="http://schemas.openxmlformats.org/officeDocument/2006/relationships/image" Target="media/image352.png"/><Relationship Id="rId392" Type="http://schemas.openxmlformats.org/officeDocument/2006/relationships/image" Target="media/image353.png"/><Relationship Id="rId393" Type="http://schemas.openxmlformats.org/officeDocument/2006/relationships/image" Target="media/image354.png"/><Relationship Id="rId394" Type="http://schemas.openxmlformats.org/officeDocument/2006/relationships/image" Target="media/image355.png"/><Relationship Id="rId395" Type="http://schemas.openxmlformats.org/officeDocument/2006/relationships/image" Target="media/image356.png"/><Relationship Id="rId396" Type="http://schemas.openxmlformats.org/officeDocument/2006/relationships/image" Target="media/image357.png"/><Relationship Id="rId397" Type="http://schemas.openxmlformats.org/officeDocument/2006/relationships/image" Target="media/image358.png"/><Relationship Id="rId398" Type="http://schemas.openxmlformats.org/officeDocument/2006/relationships/image" Target="media/image359.png"/><Relationship Id="rId399" Type="http://schemas.openxmlformats.org/officeDocument/2006/relationships/image" Target="media/image360.png"/><Relationship Id="rId400" Type="http://schemas.openxmlformats.org/officeDocument/2006/relationships/image" Target="media/image361.png"/><Relationship Id="rId401" Type="http://schemas.openxmlformats.org/officeDocument/2006/relationships/image" Target="media/image362.png"/><Relationship Id="rId402" Type="http://schemas.openxmlformats.org/officeDocument/2006/relationships/image" Target="media/image363.png"/><Relationship Id="rId403" Type="http://schemas.openxmlformats.org/officeDocument/2006/relationships/image" Target="media/image364.png"/><Relationship Id="rId404" Type="http://schemas.openxmlformats.org/officeDocument/2006/relationships/image" Target="media/image365.png"/><Relationship Id="rId405" Type="http://schemas.openxmlformats.org/officeDocument/2006/relationships/image" Target="media/image366.png"/><Relationship Id="rId406" Type="http://schemas.openxmlformats.org/officeDocument/2006/relationships/image" Target="media/image367.png"/><Relationship Id="rId407" Type="http://schemas.openxmlformats.org/officeDocument/2006/relationships/image" Target="media/image368.png"/><Relationship Id="rId408" Type="http://schemas.openxmlformats.org/officeDocument/2006/relationships/image" Target="media/image369.png"/><Relationship Id="rId409" Type="http://schemas.openxmlformats.org/officeDocument/2006/relationships/image" Target="media/image370.png"/><Relationship Id="rId410" Type="http://schemas.openxmlformats.org/officeDocument/2006/relationships/image" Target="media/image371.png"/><Relationship Id="rId411" Type="http://schemas.openxmlformats.org/officeDocument/2006/relationships/image" Target="media/image372.png"/><Relationship Id="rId412" Type="http://schemas.openxmlformats.org/officeDocument/2006/relationships/image" Target="media/image373.png"/><Relationship Id="rId413" Type="http://schemas.openxmlformats.org/officeDocument/2006/relationships/image" Target="media/image374.png"/><Relationship Id="rId414" Type="http://schemas.openxmlformats.org/officeDocument/2006/relationships/image" Target="media/image375.png"/><Relationship Id="rId415" Type="http://schemas.openxmlformats.org/officeDocument/2006/relationships/image" Target="media/image376.png"/><Relationship Id="rId416" Type="http://schemas.openxmlformats.org/officeDocument/2006/relationships/image" Target="media/image377.png"/><Relationship Id="rId417" Type="http://schemas.openxmlformats.org/officeDocument/2006/relationships/image" Target="media/image378.png"/><Relationship Id="rId418" Type="http://schemas.openxmlformats.org/officeDocument/2006/relationships/image" Target="media/image379.png"/><Relationship Id="rId419" Type="http://schemas.openxmlformats.org/officeDocument/2006/relationships/image" Target="media/image380.png"/><Relationship Id="rId420" Type="http://schemas.openxmlformats.org/officeDocument/2006/relationships/image" Target="media/image381.png"/><Relationship Id="rId421"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25" Type="http://schemas.openxmlformats.org/officeDocument/2006/relationships/image" Target="media/image386.png"/><Relationship Id="rId426" Type="http://schemas.openxmlformats.org/officeDocument/2006/relationships/image" Target="media/image387.png"/><Relationship Id="rId427" Type="http://schemas.openxmlformats.org/officeDocument/2006/relationships/image" Target="media/image388.png"/><Relationship Id="rId428" Type="http://schemas.openxmlformats.org/officeDocument/2006/relationships/image" Target="media/image389.png"/><Relationship Id="rId429" Type="http://schemas.openxmlformats.org/officeDocument/2006/relationships/image" Target="media/image390.png"/><Relationship Id="rId430" Type="http://schemas.openxmlformats.org/officeDocument/2006/relationships/image" Target="media/image391.png"/><Relationship Id="rId431" Type="http://schemas.openxmlformats.org/officeDocument/2006/relationships/image" Target="media/image392.png"/><Relationship Id="rId432" Type="http://schemas.openxmlformats.org/officeDocument/2006/relationships/image" Target="media/image393.png"/><Relationship Id="rId433" Type="http://schemas.openxmlformats.org/officeDocument/2006/relationships/image" Target="media/image394.png"/><Relationship Id="rId434" Type="http://schemas.openxmlformats.org/officeDocument/2006/relationships/image" Target="media/image395.png"/><Relationship Id="rId435" Type="http://schemas.openxmlformats.org/officeDocument/2006/relationships/image" Target="media/image396.png"/><Relationship Id="rId436" Type="http://schemas.openxmlformats.org/officeDocument/2006/relationships/image" Target="media/image397.png"/><Relationship Id="rId437" Type="http://schemas.openxmlformats.org/officeDocument/2006/relationships/image" Target="media/image398.png"/><Relationship Id="rId438"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2" Type="http://schemas.openxmlformats.org/officeDocument/2006/relationships/image" Target="media/image403.png"/><Relationship Id="rId443" Type="http://schemas.openxmlformats.org/officeDocument/2006/relationships/image" Target="media/image404.png"/><Relationship Id="rId444" Type="http://schemas.openxmlformats.org/officeDocument/2006/relationships/image" Target="media/image405.png"/><Relationship Id="rId445" Type="http://schemas.openxmlformats.org/officeDocument/2006/relationships/image" Target="media/image406.png"/><Relationship Id="rId446" Type="http://schemas.openxmlformats.org/officeDocument/2006/relationships/image" Target="media/image407.png"/><Relationship Id="rId447" Type="http://schemas.openxmlformats.org/officeDocument/2006/relationships/image" Target="media/image408.png"/><Relationship Id="rId448" Type="http://schemas.openxmlformats.org/officeDocument/2006/relationships/image" Target="media/image409.png"/><Relationship Id="rId449" Type="http://schemas.openxmlformats.org/officeDocument/2006/relationships/image" Target="media/image410.png"/><Relationship Id="rId450" Type="http://schemas.openxmlformats.org/officeDocument/2006/relationships/image" Target="media/image411.png"/><Relationship Id="rId451" Type="http://schemas.openxmlformats.org/officeDocument/2006/relationships/image" Target="media/image412.png"/><Relationship Id="rId452" Type="http://schemas.openxmlformats.org/officeDocument/2006/relationships/image" Target="media/image413.png"/><Relationship Id="rId453" Type="http://schemas.openxmlformats.org/officeDocument/2006/relationships/image" Target="media/image414.png"/><Relationship Id="rId454" Type="http://schemas.openxmlformats.org/officeDocument/2006/relationships/image" Target="media/image415.png"/><Relationship Id="rId455" Type="http://schemas.openxmlformats.org/officeDocument/2006/relationships/image" Target="media/image416.png"/><Relationship Id="rId456" Type="http://schemas.openxmlformats.org/officeDocument/2006/relationships/image" Target="media/image417.png"/><Relationship Id="rId457" Type="http://schemas.openxmlformats.org/officeDocument/2006/relationships/image" Target="media/image418.png"/><Relationship Id="rId458" Type="http://schemas.openxmlformats.org/officeDocument/2006/relationships/image" Target="media/image419.png"/><Relationship Id="rId459" Type="http://schemas.openxmlformats.org/officeDocument/2006/relationships/image" Target="media/image420.png"/><Relationship Id="rId460" Type="http://schemas.openxmlformats.org/officeDocument/2006/relationships/image" Target="media/image421.png"/><Relationship Id="rId461" Type="http://schemas.openxmlformats.org/officeDocument/2006/relationships/image" Target="media/image422.png"/><Relationship Id="rId462" Type="http://schemas.openxmlformats.org/officeDocument/2006/relationships/image" Target="media/image423.png"/><Relationship Id="rId463" Type="http://schemas.openxmlformats.org/officeDocument/2006/relationships/image" Target="media/image424.png"/><Relationship Id="rId464" Type="http://schemas.openxmlformats.org/officeDocument/2006/relationships/image" Target="media/image425.png"/><Relationship Id="rId465" Type="http://schemas.openxmlformats.org/officeDocument/2006/relationships/image" Target="media/image426.png"/><Relationship Id="rId466" Type="http://schemas.openxmlformats.org/officeDocument/2006/relationships/image" Target="media/image427.png"/><Relationship Id="rId467" Type="http://schemas.openxmlformats.org/officeDocument/2006/relationships/image" Target="media/image428.png"/><Relationship Id="rId468" Type="http://schemas.openxmlformats.org/officeDocument/2006/relationships/image" Target="media/image429.png"/><Relationship Id="rId469" Type="http://schemas.openxmlformats.org/officeDocument/2006/relationships/image" Target="media/image430.png"/><Relationship Id="rId470" Type="http://schemas.openxmlformats.org/officeDocument/2006/relationships/image" Target="media/image431.png"/><Relationship Id="rId471" Type="http://schemas.openxmlformats.org/officeDocument/2006/relationships/image" Target="media/image432.png"/><Relationship Id="rId472" Type="http://schemas.openxmlformats.org/officeDocument/2006/relationships/image" Target="media/image433.png"/><Relationship Id="rId473" Type="http://schemas.openxmlformats.org/officeDocument/2006/relationships/image" Target="media/image434.png"/><Relationship Id="rId474" Type="http://schemas.openxmlformats.org/officeDocument/2006/relationships/image" Target="media/image435.png"/><Relationship Id="rId475" Type="http://schemas.openxmlformats.org/officeDocument/2006/relationships/image" Target="media/image436.png"/><Relationship Id="rId476" Type="http://schemas.openxmlformats.org/officeDocument/2006/relationships/image" Target="media/image437.png"/><Relationship Id="rId477" Type="http://schemas.openxmlformats.org/officeDocument/2006/relationships/image" Target="media/image438.png"/><Relationship Id="rId478" Type="http://schemas.openxmlformats.org/officeDocument/2006/relationships/image" Target="media/image439.png"/><Relationship Id="rId479" Type="http://schemas.openxmlformats.org/officeDocument/2006/relationships/image" Target="media/image440.png"/><Relationship Id="rId480" Type="http://schemas.openxmlformats.org/officeDocument/2006/relationships/image" Target="media/image441.png"/><Relationship Id="rId481" Type="http://schemas.openxmlformats.org/officeDocument/2006/relationships/image" Target="media/image442.png"/><Relationship Id="rId482" Type="http://schemas.openxmlformats.org/officeDocument/2006/relationships/image" Target="media/image443.png"/><Relationship Id="rId483" Type="http://schemas.openxmlformats.org/officeDocument/2006/relationships/image" Target="media/image444.png"/><Relationship Id="rId484" Type="http://schemas.openxmlformats.org/officeDocument/2006/relationships/image" Target="media/image445.png"/><Relationship Id="rId485" Type="http://schemas.openxmlformats.org/officeDocument/2006/relationships/image" Target="media/image446.png"/><Relationship Id="rId486" Type="http://schemas.openxmlformats.org/officeDocument/2006/relationships/image" Target="media/image447.png"/><Relationship Id="rId487"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0" Type="http://schemas.openxmlformats.org/officeDocument/2006/relationships/image" Target="media/image451.png"/><Relationship Id="rId491" Type="http://schemas.openxmlformats.org/officeDocument/2006/relationships/image" Target="media/image452.png"/><Relationship Id="rId492" Type="http://schemas.openxmlformats.org/officeDocument/2006/relationships/image" Target="media/image453.png"/><Relationship Id="rId493" Type="http://schemas.openxmlformats.org/officeDocument/2006/relationships/image" Target="media/image454.png"/><Relationship Id="rId494" Type="http://schemas.openxmlformats.org/officeDocument/2006/relationships/image" Target="media/image455.png"/><Relationship Id="rId495" Type="http://schemas.openxmlformats.org/officeDocument/2006/relationships/image" Target="media/image456.png"/><Relationship Id="rId496" Type="http://schemas.openxmlformats.org/officeDocument/2006/relationships/image" Target="media/image457.png"/><Relationship Id="rId497" Type="http://schemas.openxmlformats.org/officeDocument/2006/relationships/image" Target="media/image458.png"/><Relationship Id="rId498" Type="http://schemas.openxmlformats.org/officeDocument/2006/relationships/image" Target="media/image459.png"/><Relationship Id="rId499" Type="http://schemas.openxmlformats.org/officeDocument/2006/relationships/image" Target="media/image460.png"/><Relationship Id="rId500" Type="http://schemas.openxmlformats.org/officeDocument/2006/relationships/image" Target="media/image461.png"/><Relationship Id="rId501" Type="http://schemas.openxmlformats.org/officeDocument/2006/relationships/image" Target="media/image462.png"/><Relationship Id="rId502" Type="http://schemas.openxmlformats.org/officeDocument/2006/relationships/image" Target="media/image463.png"/><Relationship Id="rId503" Type="http://schemas.openxmlformats.org/officeDocument/2006/relationships/image" Target="media/image464.png"/><Relationship Id="rId504" Type="http://schemas.openxmlformats.org/officeDocument/2006/relationships/image" Target="media/image465.png"/><Relationship Id="rId505" Type="http://schemas.openxmlformats.org/officeDocument/2006/relationships/image" Target="media/image466.png"/><Relationship Id="rId506"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png"/><Relationship Id="rId512" Type="http://schemas.openxmlformats.org/officeDocument/2006/relationships/image" Target="media/image473.png"/><Relationship Id="rId513" Type="http://schemas.openxmlformats.org/officeDocument/2006/relationships/image" Target="media/image474.png"/><Relationship Id="rId514" Type="http://schemas.openxmlformats.org/officeDocument/2006/relationships/image" Target="media/image475.png"/><Relationship Id="rId515" Type="http://schemas.openxmlformats.org/officeDocument/2006/relationships/image" Target="media/image476.png"/><Relationship Id="rId516" Type="http://schemas.openxmlformats.org/officeDocument/2006/relationships/image" Target="media/image477.png"/><Relationship Id="rId517" Type="http://schemas.openxmlformats.org/officeDocument/2006/relationships/image" Target="media/image478.png"/><Relationship Id="rId518" Type="http://schemas.openxmlformats.org/officeDocument/2006/relationships/image" Target="media/image479.png"/><Relationship Id="rId519" Type="http://schemas.openxmlformats.org/officeDocument/2006/relationships/image" Target="media/image480.png"/><Relationship Id="rId520" Type="http://schemas.openxmlformats.org/officeDocument/2006/relationships/image" Target="media/image481.png"/><Relationship Id="rId521" Type="http://schemas.openxmlformats.org/officeDocument/2006/relationships/image" Target="media/image482.png"/><Relationship Id="rId522" Type="http://schemas.openxmlformats.org/officeDocument/2006/relationships/image" Target="media/image483.png"/><Relationship Id="rId523" Type="http://schemas.openxmlformats.org/officeDocument/2006/relationships/image" Target="media/image484.png"/><Relationship Id="rId524" Type="http://schemas.openxmlformats.org/officeDocument/2006/relationships/image" Target="media/image485.png"/><Relationship Id="rId525" Type="http://schemas.openxmlformats.org/officeDocument/2006/relationships/image" Target="media/image486.png"/><Relationship Id="rId526" Type="http://schemas.openxmlformats.org/officeDocument/2006/relationships/image" Target="media/image487.png"/><Relationship Id="rId527" Type="http://schemas.openxmlformats.org/officeDocument/2006/relationships/image" Target="media/image488.png"/><Relationship Id="rId528" Type="http://schemas.openxmlformats.org/officeDocument/2006/relationships/image" Target="media/image489.png"/><Relationship Id="rId529" Type="http://schemas.openxmlformats.org/officeDocument/2006/relationships/image" Target="media/image490.png"/><Relationship Id="rId530" Type="http://schemas.openxmlformats.org/officeDocument/2006/relationships/image" Target="media/image491.png"/><Relationship Id="rId531" Type="http://schemas.openxmlformats.org/officeDocument/2006/relationships/image" Target="media/image492.png"/><Relationship Id="rId532" Type="http://schemas.openxmlformats.org/officeDocument/2006/relationships/image" Target="media/image493.png"/><Relationship Id="rId533" Type="http://schemas.openxmlformats.org/officeDocument/2006/relationships/image" Target="media/image494.png"/><Relationship Id="rId534" Type="http://schemas.openxmlformats.org/officeDocument/2006/relationships/image" Target="media/image495.png"/><Relationship Id="rId535" Type="http://schemas.openxmlformats.org/officeDocument/2006/relationships/image" Target="media/image496.png"/><Relationship Id="rId536" Type="http://schemas.openxmlformats.org/officeDocument/2006/relationships/image" Target="media/image497.png"/><Relationship Id="rId537" Type="http://schemas.openxmlformats.org/officeDocument/2006/relationships/image" Target="media/image498.png"/><Relationship Id="rId538" Type="http://schemas.openxmlformats.org/officeDocument/2006/relationships/image" Target="media/image499.png"/><Relationship Id="rId539" Type="http://schemas.openxmlformats.org/officeDocument/2006/relationships/image" Target="media/image500.png"/><Relationship Id="rId540" Type="http://schemas.openxmlformats.org/officeDocument/2006/relationships/image" Target="media/image501.png"/><Relationship Id="rId541" Type="http://schemas.openxmlformats.org/officeDocument/2006/relationships/image" Target="media/image502.png"/><Relationship Id="rId542" Type="http://schemas.openxmlformats.org/officeDocument/2006/relationships/image" Target="media/image503.png"/><Relationship Id="rId543" Type="http://schemas.openxmlformats.org/officeDocument/2006/relationships/image" Target="media/image504.png"/><Relationship Id="rId544" Type="http://schemas.openxmlformats.org/officeDocument/2006/relationships/image" Target="media/image505.png"/><Relationship Id="rId545" Type="http://schemas.openxmlformats.org/officeDocument/2006/relationships/image" Target="media/image506.png"/><Relationship Id="rId546" Type="http://schemas.openxmlformats.org/officeDocument/2006/relationships/image" Target="media/image507.png"/><Relationship Id="rId547" Type="http://schemas.openxmlformats.org/officeDocument/2006/relationships/image" Target="media/image508.png"/><Relationship Id="rId548" Type="http://schemas.openxmlformats.org/officeDocument/2006/relationships/image" Target="media/image509.png"/><Relationship Id="rId549" Type="http://schemas.openxmlformats.org/officeDocument/2006/relationships/image" Target="media/image510.png"/><Relationship Id="rId550" Type="http://schemas.openxmlformats.org/officeDocument/2006/relationships/image" Target="media/image511.png"/><Relationship Id="rId551" Type="http://schemas.openxmlformats.org/officeDocument/2006/relationships/image" Target="media/image512.png"/><Relationship Id="rId552" Type="http://schemas.openxmlformats.org/officeDocument/2006/relationships/image" Target="media/image513.png"/><Relationship Id="rId553" Type="http://schemas.openxmlformats.org/officeDocument/2006/relationships/image" Target="media/image514.png"/><Relationship Id="rId554" Type="http://schemas.openxmlformats.org/officeDocument/2006/relationships/image" Target="media/image515.png"/><Relationship Id="rId555" Type="http://schemas.openxmlformats.org/officeDocument/2006/relationships/image" Target="media/image516.png"/><Relationship Id="rId556" Type="http://schemas.openxmlformats.org/officeDocument/2006/relationships/image" Target="media/image517.png"/><Relationship Id="rId557" Type="http://schemas.openxmlformats.org/officeDocument/2006/relationships/image" Target="media/image518.png"/><Relationship Id="rId558" Type="http://schemas.openxmlformats.org/officeDocument/2006/relationships/image" Target="media/image519.png"/><Relationship Id="rId559" Type="http://schemas.openxmlformats.org/officeDocument/2006/relationships/image" Target="media/image520.png"/><Relationship Id="rId560" Type="http://schemas.openxmlformats.org/officeDocument/2006/relationships/image" Target="media/image521.png"/><Relationship Id="rId561" Type="http://schemas.openxmlformats.org/officeDocument/2006/relationships/image" Target="media/image522.png"/><Relationship Id="rId562" Type="http://schemas.openxmlformats.org/officeDocument/2006/relationships/image" Target="media/image523.png"/><Relationship Id="rId563" Type="http://schemas.openxmlformats.org/officeDocument/2006/relationships/image" Target="media/image524.png"/><Relationship Id="rId564" Type="http://schemas.openxmlformats.org/officeDocument/2006/relationships/image" Target="media/image525.png"/><Relationship Id="rId565" Type="http://schemas.openxmlformats.org/officeDocument/2006/relationships/image" Target="media/image526.png"/><Relationship Id="rId566" Type="http://schemas.openxmlformats.org/officeDocument/2006/relationships/image" Target="media/image527.png"/><Relationship Id="rId567" Type="http://schemas.openxmlformats.org/officeDocument/2006/relationships/image" Target="media/image528.png"/><Relationship Id="rId568" Type="http://schemas.openxmlformats.org/officeDocument/2006/relationships/image" Target="media/image529.png"/><Relationship Id="rId569" Type="http://schemas.openxmlformats.org/officeDocument/2006/relationships/image" Target="media/image530.png"/><Relationship Id="rId570" Type="http://schemas.openxmlformats.org/officeDocument/2006/relationships/image" Target="media/image531.png"/><Relationship Id="rId571" Type="http://schemas.openxmlformats.org/officeDocument/2006/relationships/image" Target="media/image532.png"/><Relationship Id="rId572" Type="http://schemas.openxmlformats.org/officeDocument/2006/relationships/image" Target="media/image533.png"/><Relationship Id="rId573" Type="http://schemas.openxmlformats.org/officeDocument/2006/relationships/image" Target="media/image534.png"/><Relationship Id="rId574" Type="http://schemas.openxmlformats.org/officeDocument/2006/relationships/image" Target="media/image535.png"/><Relationship Id="rId575" Type="http://schemas.openxmlformats.org/officeDocument/2006/relationships/image" Target="media/image536.png"/><Relationship Id="rId576" Type="http://schemas.openxmlformats.org/officeDocument/2006/relationships/image" Target="media/image537.png"/><Relationship Id="rId577" Type="http://schemas.openxmlformats.org/officeDocument/2006/relationships/image" Target="media/image538.png"/><Relationship Id="rId578" Type="http://schemas.openxmlformats.org/officeDocument/2006/relationships/image" Target="media/image539.png"/><Relationship Id="rId579" Type="http://schemas.openxmlformats.org/officeDocument/2006/relationships/image" Target="media/image540.png"/><Relationship Id="rId166" Type="http://schemas.openxmlformats.org/officeDocument/2006/relationships/hyperlink" Target="http://www.sec.gov/Archives/edgar/data/1592386/000110465915042100/a15-8228_1ex2d1.htm" TargetMode="External"/><Relationship Id="rId167" Type="http://schemas.openxmlformats.org/officeDocument/2006/relationships/hyperlink" Target="http://www.sec.gov/Archives/edgar/data/1592386/000110465915042100/a15-8228_1ex2d2.htm" TargetMode="External"/><Relationship Id="rId168" Type="http://schemas.openxmlformats.org/officeDocument/2006/relationships/hyperlink" Target="http://www.sec.gov/Archives/edgar/data/1592386/000110465915042100/a15-8228_1ex2d3.htm" TargetMode="External"/><Relationship Id="rId169" Type="http://schemas.openxmlformats.org/officeDocument/2006/relationships/hyperlink" Target="http://www.sec.gov/Archives/edgar/data/1592386/000110465917024963/a17-11616_3ex2d1.htm" TargetMode="External"/><Relationship Id="rId170" Type="http://schemas.openxmlformats.org/officeDocument/2006/relationships/hyperlink" Target="http://www.sec.gov/Archives/edgar/data/1592386/000155837017004144/virt-20170331ex22abdb0e6.htm" TargetMode="External"/><Relationship Id="rId171" Type="http://schemas.openxmlformats.org/officeDocument/2006/relationships/hyperlink" Target="http://www.sec.gov/Archives/edgar/data/1592386/000110465915042100/a15-8228_1ex3d1.htm" TargetMode="External"/><Relationship Id="rId172" Type="http://schemas.openxmlformats.org/officeDocument/2006/relationships/hyperlink" Target="http://www.sec.gov/Archives/edgar/data/1592386/000110465915042100/a15-8228_1ex3d2.htm" TargetMode="External"/><Relationship Id="rId173" Type="http://schemas.openxmlformats.org/officeDocument/2006/relationships/hyperlink" Target="http://www.sec.gov/Archives/edgar/data/1592386/000155837017006443/virt-20170630ex4186e5eda.htm" TargetMode="External"/><Relationship Id="rId174" Type="http://schemas.openxmlformats.org/officeDocument/2006/relationships/hyperlink" Target="http://www.sec.gov/Archives/edgar/data/1592386/000155837017006443/virt-20170630ex42a3eb5e0.htm" TargetMode="External"/><Relationship Id="rId176" Type="http://schemas.openxmlformats.org/officeDocument/2006/relationships/hyperlink" Target="http://www.sec.gov/Archives/edgar/data/1592386/000104746915001003/a2219372zex-10_2.htm" TargetMode="External"/><Relationship Id="rId177" Type="http://schemas.openxmlformats.org/officeDocument/2006/relationships/hyperlink" Target="http://www.sec.gov/Archives/edgar/data/1592386/000104746914003044/a2219101zex-10_23.htm" TargetMode="External"/><Relationship Id="rId178" Type="http://schemas.openxmlformats.org/officeDocument/2006/relationships/hyperlink" Target="http://www.sec.gov/Archives/edgar/data/1592386/000110465915042100/a15-8228_1ex10d14.htm" TargetMode="External"/><Relationship Id="rId179" Type="http://schemas.openxmlformats.org/officeDocument/2006/relationships/hyperlink" Target="http://www.sec.gov/Archives/edgar/data/1592386/000155837017006443/virt-20170630ex10125075a.htm" TargetMode="External"/><Relationship Id="rId180" Type="http://schemas.openxmlformats.org/officeDocument/2006/relationships/hyperlink" Target="http://www.sec.gov/Archives/edgar/data/1592386/000155837017006443/virt-20170630ex101310f71.htm" TargetMode="External"/><Relationship Id="rId181" Type="http://schemas.openxmlformats.org/officeDocument/2006/relationships/hyperlink" Target="http://www.sec.gov/Archives/edgar/data/1592386/000155837017006443/virt-20170630ex105dbb055.htm" TargetMode="External"/><Relationship Id="rId182" Type="http://schemas.openxmlformats.org/officeDocument/2006/relationships/hyperlink" Target="http://www.sec.gov/Archives/edgar/data/1592386/000155837017006443/virt-20170630ex1092451e0.htm" TargetMode="External"/><Relationship Id="rId183" Type="http://schemas.openxmlformats.org/officeDocument/2006/relationships/hyperlink" Target="http://www.sec.gov/Archives/edgar/data/1592386/000110465915042100/a15-8228_1ex10d2.htm" TargetMode="External"/><Relationship Id="rId184" Type="http://schemas.openxmlformats.org/officeDocument/2006/relationships/hyperlink" Target="http://www.sec.gov/Archives/edgar/data/1592386/000110465915042100/a15-8228_1ex10d3.htm" TargetMode="External"/><Relationship Id="rId185" Type="http://schemas.openxmlformats.org/officeDocument/2006/relationships/hyperlink" Target="http://www.sec.gov/Archives/edgar/data/1592386/000110465915042100/a15-8228_1ex10d5.htm" TargetMode="External"/><Relationship Id="rId186" Type="http://schemas.openxmlformats.org/officeDocument/2006/relationships/hyperlink" Target="http://www.sec.gov/Archives/edgar/data/1592386/000110465915042100/a15-8228_1ex10d6.htm" TargetMode="External"/><Relationship Id="rId187" Type="http://schemas.openxmlformats.org/officeDocument/2006/relationships/hyperlink" Target="http://www.sec.gov/Archives/edgar/data/1592386/000110465915042100/a15-8228_1ex10d7.htm" TargetMode="External"/><Relationship Id="rId188" Type="http://schemas.openxmlformats.org/officeDocument/2006/relationships/hyperlink" Target="http://www.sec.gov/Archives/edgar/data/1592386/000110465915042100/a15-8228_1ex10d8.htm" TargetMode="External"/><Relationship Id="rId189" Type="http://schemas.openxmlformats.org/officeDocument/2006/relationships/hyperlink" Target="http://www.sec.gov/Archives/edgar/data/1592386/000110465915042100/a15-8228_1ex10d9.htm" TargetMode="External"/><Relationship Id="rId190" Type="http://schemas.openxmlformats.org/officeDocument/2006/relationships/hyperlink" Target="http://www.sec.gov/Archives/edgar/data/1592386/000110465915042100/a15-8228_1ex10d10.htm" TargetMode="External"/><Relationship Id="rId191" Type="http://schemas.openxmlformats.org/officeDocument/2006/relationships/hyperlink" Target="http://www.sec.gov/Archives/edgar/data/1592386/000110465915042100/a15-8228_1ex10d11.htm" TargetMode="External"/><Relationship Id="rId192" Type="http://schemas.openxmlformats.org/officeDocument/2006/relationships/hyperlink" Target="http://www.sec.gov/Archives/edgar/data/1592386/000110465915042100/a15-8228_1ex10d12.htm" TargetMode="External"/><Relationship Id="rId193" Type="http://schemas.openxmlformats.org/officeDocument/2006/relationships/hyperlink" Target="http://www.sec.gov/Archives/edgar/data/1592386/000110465915042100/a15-8228_1ex10d13.htm" TargetMode="External"/><Relationship Id="rId194" Type="http://schemas.openxmlformats.org/officeDocument/2006/relationships/hyperlink" Target="http://www.sec.gov/Archives/edgar/data/1592386/000110465917024963/a17-11616_3ex10d1.htm" TargetMode="External"/><Relationship Id="rId195" Type="http://schemas.openxmlformats.org/officeDocument/2006/relationships/hyperlink" Target="http://www.sec.gov/Archives/edgar/data/1592386/000155837017004144/virt-20170331ex10240ef25.htm" TargetMode="External"/><Relationship Id="rId196" Type="http://schemas.openxmlformats.org/officeDocument/2006/relationships/hyperlink" Target="http://www.sec.gov/Archives/edgar/data/1592386/000155837017004144/virt-20170331ex103b78259.htm" TargetMode="External"/><Relationship Id="rId197" Type="http://schemas.openxmlformats.org/officeDocument/2006/relationships/hyperlink" Target="http://www.sec.gov/Archives/edgar/data/1592386/000110465917037232/a17-14679_1ex10d1.htm" TargetMode="External"/><Relationship Id="rId198" Type="http://schemas.openxmlformats.org/officeDocument/2006/relationships/hyperlink" Target="http://www.sec.gov/Archives/edgar/data/1592386/000155837017006443/virt-20170630ex1083a3a1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2019-12-28T23:41:13Z</dcterms:created>
  <dcterms:modified xsi:type="dcterms:W3CDTF">2019-12-28T23:41:13Z</dcterms:modified>
</cp:coreProperties>
</file>