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8"/>
        </w:rPr>
        <w:t>FORM 10-Q</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 One)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20"/>
        </w:rPr>
        <w:t>QUARTERLY REPORT PURSUANT TO SECTION 13 OR 15 (d) OF THE SECURITIES EXCHANGE ACT OF 1934</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20"/>
        </w:rPr>
        <w:t>TRANSITION REPORT PURSUANT TO SECTION 13 OR 15 (d) OF THE SECURITIES EXCHANGE ACT OF 1934</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001-37352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Virtu Financial, Inc. </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(Exact name of registrant as specified in its charter)</w:t>
      </w:r>
    </w:p>
    <w:tbl>
      <w:tblPr>
        <w:tblW w:w="6959" w:type="dxa"/>
        <w:jc w:val="center"/>
        <w:tblInd w:w="0" w:type="dxa"/>
        <w:tblLayout w:type="fixed"/>
        <w:tblCellMar>
          <w:top w:w="28" w:type="dxa"/>
          <w:left w:w="28" w:type="dxa"/>
          <w:bottom w:w="28" w:type="dxa"/>
          <w:right w:w="28" w:type="dxa"/>
        </w:tblCellMar>
      </w:tblPr>
      <w:tblGrid>
        <w:gridCol w:w="1549"/>
        <w:gridCol w:w="1360"/>
        <w:gridCol w:w="1380"/>
        <w:gridCol w:w="780"/>
        <w:gridCol w:w="780"/>
        <w:gridCol w:w="1110"/>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32-0420206</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tbl>
      <w:tblPr>
        <w:tblW w:w="3778" w:type="dxa"/>
        <w:jc w:val="center"/>
        <w:tblInd w:w="0" w:type="dxa"/>
        <w:tblLayout w:type="fixed"/>
        <w:tblCellMar>
          <w:top w:w="28" w:type="dxa"/>
          <w:left w:w="28" w:type="dxa"/>
          <w:bottom w:w="28" w:type="dxa"/>
          <w:right w:w="28" w:type="dxa"/>
        </w:tblCellMar>
      </w:tblPr>
      <w:tblGrid>
        <w:gridCol w:w="550"/>
        <w:gridCol w:w="483"/>
        <w:gridCol w:w="483"/>
        <w:gridCol w:w="444"/>
        <w:gridCol w:w="444"/>
        <w:gridCol w:w="459"/>
        <w:gridCol w:w="268"/>
        <w:gridCol w:w="268"/>
        <w:gridCol w:w="379"/>
      </w:tblGrid>
      <w:tr>
        <w:trPr/>
        <w:tc>
          <w:tcPr>
            <w:tcW w:w="55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10019</w:t>
            </w:r>
          </w:p>
        </w:tc>
      </w:tr>
      <w:tr>
        <w:trPr/>
        <w:tc>
          <w:tcPr>
            <w:tcW w:w="2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1633 Broadway</w:t>
            </w:r>
          </w:p>
        </w:tc>
        <w:tc>
          <w:tcPr>
            <w:tcW w:w="9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 xml:space="preserve">New York, </w:t>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New York</w:t>
            </w:r>
          </w:p>
        </w:tc>
        <w:tc>
          <w:tcPr>
            <w:tcW w:w="9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60"/>
        <w:jc w:val="center"/>
        <w:rPr>
          <w:rFonts w:ascii="Times New Roman;serif" w:hAnsi="Times New Roman;serif"/>
          <w:b/>
          <w:color w:val="000000"/>
          <w:sz w:val="18"/>
        </w:rPr>
      </w:pPr>
      <w:r>
        <w:rPr>
          <w:rFonts w:ascii="Times New Roman;serif" w:hAnsi="Times New Roman;serif"/>
          <w:b/>
          <w:color w:val="000000"/>
          <w:sz w:val="18"/>
        </w:rPr>
        <w:t xml:space="preserve">(212) 418-0100 </w:t>
      </w:r>
    </w:p>
    <w:p>
      <w:pPr>
        <w:pStyle w:val="TextBody"/>
        <w:bidi w:val="0"/>
        <w:spacing w:lineRule="auto" w:line="264" w:before="0" w:after="60"/>
        <w:jc w:val="center"/>
        <w:rPr/>
      </w:pPr>
      <w:r>
        <w:rPr>
          <w:rFonts w:ascii="Times New Roman;serif" w:hAnsi="Times New Roman;serif"/>
          <w:b w:val="false"/>
          <w:color w:val="000000"/>
          <w:sz w:val="18"/>
        </w:rPr>
        <w:t>(Registrant’s telephone number, including area code)</w:t>
      </w:r>
      <w:r>
        <w:rPr>
          <w:color w:val="000000"/>
        </w:rPr>
        <w:t> </w:t>
      </w:r>
    </w:p>
    <w:p>
      <w:pPr>
        <w:pStyle w:val="TextBody"/>
        <w:bidi w:val="0"/>
        <w:spacing w:lineRule="auto" w:line="264" w:before="0" w:after="0"/>
        <w:ind w:left="0" w:right="0" w:firstLine="36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9306" w:type="dxa"/>
        <w:jc w:val="center"/>
        <w:tblInd w:w="0" w:type="dxa"/>
        <w:tblLayout w:type="fixed"/>
        <w:tblCellMar>
          <w:top w:w="28" w:type="dxa"/>
          <w:left w:w="28" w:type="dxa"/>
          <w:bottom w:w="28" w:type="dxa"/>
          <w:right w:w="28" w:type="dxa"/>
        </w:tblCellMar>
      </w:tblPr>
      <w:tblGrid>
        <w:gridCol w:w="1415"/>
        <w:gridCol w:w="1241"/>
        <w:gridCol w:w="1258"/>
        <w:gridCol w:w="109"/>
        <w:gridCol w:w="109"/>
        <w:gridCol w:w="109"/>
        <w:gridCol w:w="474"/>
        <w:gridCol w:w="474"/>
        <w:gridCol w:w="476"/>
        <w:gridCol w:w="109"/>
        <w:gridCol w:w="109"/>
        <w:gridCol w:w="109"/>
        <w:gridCol w:w="970"/>
        <w:gridCol w:w="970"/>
        <w:gridCol w:w="1374"/>
      </w:tblGrid>
      <w:tr>
        <w:trPr/>
        <w:tc>
          <w:tcPr>
            <w:tcW w:w="1415"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9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VIRT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80"/>
        <w:ind w:left="0" w:right="0" w:firstLine="360"/>
        <w:jc w:val="left"/>
        <w:rPr/>
      </w:pPr>
      <w:r>
        <w:rPr>
          <w:rFonts w:ascii="Times New Roman;serif" w:hAnsi="Times New Roman;serif"/>
          <w:b w:val="false"/>
          <w:color w:val="000000"/>
          <w:sz w:val="18"/>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80"/>
        <w:ind w:left="0" w:right="0" w:firstLine="36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0" w:after="8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891"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414"/>
        <w:gridCol w:w="414"/>
        <w:gridCol w:w="416"/>
        <w:gridCol w:w="109"/>
        <w:gridCol w:w="109"/>
        <w:gridCol w:w="109"/>
        <w:gridCol w:w="519"/>
        <w:gridCol w:w="519"/>
        <w:gridCol w:w="521"/>
        <w:gridCol w:w="109"/>
        <w:gridCol w:w="109"/>
        <w:gridCol w:w="109"/>
        <w:gridCol w:w="689"/>
        <w:gridCol w:w="689"/>
        <w:gridCol w:w="69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4" w:before="0" w:after="80"/>
              <w:jc w:val="left"/>
              <w:rPr>
                <w:color w:val="000000"/>
              </w:rPr>
            </w:pPr>
            <w:r>
              <w:rPr>
                <w:color w:val="000000"/>
              </w:rPr>
              <w:t>☒</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64" w:before="0" w:after="80"/>
        <w:ind w:left="0" w:right="0" w:firstLine="36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color w:val="000000"/>
        </w:rPr>
        <w:t>☐</w:t>
      </w:r>
    </w:p>
    <w:p>
      <w:pPr>
        <w:pStyle w:val="TextBody"/>
        <w:bidi w:val="0"/>
        <w:spacing w:lineRule="auto" w:line="264" w:before="0" w:after="80"/>
        <w:ind w:left="0" w:right="0" w:firstLine="36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w:t>
      </w:r>
      <w:r>
        <w:rPr>
          <w:rFonts w:ascii="Times New Roman;serif" w:hAnsi="Times New Roman;serif"/>
          <w:b w:val="false"/>
          <w:color w:val="000000"/>
          <w:sz w:val="18"/>
        </w:rPr>
        <w:t xml:space="preserve">No </w:t>
      </w:r>
      <w:r>
        <w:rPr>
          <w:color w:val="000000"/>
        </w:rPr>
        <w:t>☒</w:t>
      </w:r>
    </w:p>
    <w:tbl>
      <w:tblPr>
        <w:tblW w:w="7195" w:type="dxa"/>
        <w:jc w:val="center"/>
        <w:tblInd w:w="0" w:type="dxa"/>
        <w:tblLayout w:type="fixed"/>
        <w:tblCellMar>
          <w:top w:w="28" w:type="dxa"/>
          <w:left w:w="28" w:type="dxa"/>
          <w:bottom w:w="28" w:type="dxa"/>
          <w:right w:w="28" w:type="dxa"/>
        </w:tblCellMar>
      </w:tblPr>
      <w:tblGrid>
        <w:gridCol w:w="1417"/>
        <w:gridCol w:w="1245"/>
        <w:gridCol w:w="1252"/>
        <w:gridCol w:w="109"/>
        <w:gridCol w:w="109"/>
        <w:gridCol w:w="109"/>
        <w:gridCol w:w="863"/>
        <w:gridCol w:w="863"/>
        <w:gridCol w:w="1228"/>
      </w:tblGrid>
      <w:tr>
        <w:trPr/>
        <w:tc>
          <w:tcPr>
            <w:tcW w:w="1417"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Class of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outstanding as of July 24, 2026</w:t>
            </w:r>
          </w:p>
        </w:tc>
      </w:tr>
      <w:tr>
        <w:trPr/>
        <w:tc>
          <w:tcPr>
            <w:tcW w:w="39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88,300,678</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C common stock, par value $0.00001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6,807,809</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D common stock, par value $0.00001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60,091,740</w:t>
            </w:r>
          </w:p>
        </w:tc>
      </w:tr>
    </w:tbl>
    <w:p>
      <w:pPr>
        <w:pStyle w:val="TextBody"/>
        <w:bidi w:val="0"/>
        <w:spacing w:lineRule="auto" w:line="288" w:before="0" w:after="0"/>
        <w:ind w:left="0" w:right="0" w:firstLine="54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a9dc20d9f05d4a6c920ba9a262ef2109_13">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 ENDED June 30, 2026 </w:t>
      </w:r>
    </w:p>
    <w:tbl>
      <w:tblPr>
        <w:tblW w:w="9493" w:type="dxa"/>
        <w:jc w:val="center"/>
        <w:tblInd w:w="0" w:type="dxa"/>
        <w:tblLayout w:type="fixed"/>
        <w:tblCellMar>
          <w:top w:w="28" w:type="dxa"/>
          <w:left w:w="28" w:type="dxa"/>
          <w:bottom w:w="28" w:type="dxa"/>
          <w:right w:w="28" w:type="dxa"/>
        </w:tblCellMar>
      </w:tblPr>
      <w:tblGrid>
        <w:gridCol w:w="337"/>
        <w:gridCol w:w="295"/>
        <w:gridCol w:w="298"/>
        <w:gridCol w:w="109"/>
        <w:gridCol w:w="109"/>
        <w:gridCol w:w="109"/>
        <w:gridCol w:w="2453"/>
        <w:gridCol w:w="2453"/>
        <w:gridCol w:w="2459"/>
        <w:gridCol w:w="255"/>
        <w:gridCol w:w="255"/>
        <w:gridCol w:w="361"/>
      </w:tblGrid>
      <w:tr>
        <w:trPr/>
        <w:tc>
          <w:tcPr>
            <w:tcW w:w="3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br/>
              <w:t>NUMBER</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PART I -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268">
              <w:r>
                <w:rPr>
                  <w:rStyle w:val="InternetLink"/>
                  <w:rFonts w:ascii="Times New Roman;serif" w:hAnsi="Times New Roman;serif"/>
                  <w:b w:val="false"/>
                  <w:color w:val="0000FF"/>
                  <w:sz w:val="20"/>
                  <w:u w:val="single"/>
                </w:rPr>
                <w:t>FINANCIAL INFORMATION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40">
              <w:r>
                <w:rPr>
                  <w:rStyle w:val="InternetLink"/>
                  <w:rFonts w:ascii="Times New Roman;serif" w:hAnsi="Times New Roman;serif"/>
                  <w:b w:val="false"/>
                  <w:color w:val="0000FF"/>
                  <w:sz w:val="20"/>
                  <w:u w:val="single"/>
                </w:rPr>
                <w:t>Item 1.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40">
              <w:r>
                <w:rPr>
                  <w:rStyle w:val="InternetLink"/>
                  <w:rFonts w:ascii="Times New Roman;serif" w:hAnsi="Times New Roman;serif"/>
                  <w:b w:val="false"/>
                  <w:color w:val="0000FF"/>
                  <w:sz w:val="20"/>
                  <w:u w:val="single"/>
                </w:rPr>
                <w:t>Financial Statements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46">
              <w:r>
                <w:rPr>
                  <w:rStyle w:val="InternetLink"/>
                  <w:rFonts w:ascii="Times New Roman;serif" w:hAnsi="Times New Roman;serif"/>
                  <w:b w:val="false"/>
                  <w:color w:val="0000FF"/>
                  <w:sz w:val="20"/>
                  <w:u w:val="single"/>
                </w:rPr>
                <w:t>Condensed Consolidated Statements of Financial Condition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dc20d9f05d4a6c920ba9a262ef2109_46">
              <w:r>
                <w:rPr>
                  <w:rStyle w:val="InternetLink"/>
                  <w:rFonts w:ascii="Times New Roman;serif" w:hAnsi="Times New Roman;serif"/>
                  <w:b w:val="false"/>
                  <w:strike w:val="false"/>
                  <w:dstrike w:val="false"/>
                  <w:color w:val="0000FF"/>
                  <w:sz w:val="20"/>
                  <w:u w:val="none"/>
                  <w:effect w:val="none"/>
                </w:rPr>
                <w:t>3</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49">
              <w:r>
                <w:rPr>
                  <w:rStyle w:val="InternetLink"/>
                  <w:rFonts w:ascii="Times New Roman;serif" w:hAnsi="Times New Roman;serif"/>
                  <w:b w:val="false"/>
                  <w:color w:val="0000FF"/>
                  <w:sz w:val="20"/>
                  <w:u w:val="single"/>
                </w:rPr>
                <w:t>Condensed Consolidated Statements of Comprehensive Income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dc20d9f05d4a6c920ba9a262ef2109_49">
              <w:r>
                <w:rPr>
                  <w:rStyle w:val="InternetLink"/>
                  <w:rFonts w:ascii="Times New Roman;serif" w:hAnsi="Times New Roman;serif"/>
                  <w:b w:val="false"/>
                  <w:strike w:val="false"/>
                  <w:dstrike w:val="false"/>
                  <w:color w:val="0000FF"/>
                  <w:sz w:val="20"/>
                  <w:u w:val="none"/>
                  <w:effect w:val="none"/>
                </w:rPr>
                <w:t>5</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52">
              <w:r>
                <w:rPr>
                  <w:rStyle w:val="InternetLink"/>
                  <w:rFonts w:ascii="Times New Roman;serif" w:hAnsi="Times New Roman;serif"/>
                  <w:b w:val="false"/>
                  <w:color w:val="0000FF"/>
                  <w:sz w:val="20"/>
                  <w:u w:val="single"/>
                </w:rPr>
                <w:t>Condensed Consolidated Statements of Changes in Equity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dc20d9f05d4a6c920ba9a262ef2109_52">
              <w:r>
                <w:rPr>
                  <w:rStyle w:val="InternetLink"/>
                  <w:rFonts w:ascii="Times New Roman;serif" w:hAnsi="Times New Roman;serif"/>
                  <w:b w:val="false"/>
                  <w:strike w:val="false"/>
                  <w:dstrike w:val="false"/>
                  <w:color w:val="0000FF"/>
                  <w:sz w:val="20"/>
                  <w:u w:val="none"/>
                  <w:effect w:val="none"/>
                </w:rPr>
                <w:t>6</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55">
              <w:r>
                <w:rPr>
                  <w:rStyle w:val="InternetLink"/>
                  <w:rFonts w:ascii="Times New Roman;serif" w:hAnsi="Times New Roman;serif"/>
                  <w:b w:val="false"/>
                  <w:color w:val="0000FF"/>
                  <w:sz w:val="20"/>
                  <w:u w:val="single"/>
                </w:rPr>
                <w:t>Condensed Consolidated Statements of Cash Flows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dc20d9f05d4a6c920ba9a262ef2109_55">
              <w:r>
                <w:rPr>
                  <w:rStyle w:val="InternetLink"/>
                  <w:rFonts w:ascii="Times New Roman;serif" w:hAnsi="Times New Roman;serif"/>
                  <w:b w:val="false"/>
                  <w:strike w:val="false"/>
                  <w:dstrike w:val="false"/>
                  <w:color w:val="0000FF"/>
                  <w:sz w:val="20"/>
                  <w:u w:val="none"/>
                  <w:effect w:val="none"/>
                </w:rPr>
                <w:t>8</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58">
              <w:r>
                <w:rPr>
                  <w:rStyle w:val="InternetLink"/>
                  <w:rFonts w:ascii="Times New Roman;serif" w:hAnsi="Times New Roman;serif"/>
                  <w:b w:val="false"/>
                  <w:color w:val="0000FF"/>
                  <w:sz w:val="20"/>
                  <w:u w:val="single"/>
                </w:rPr>
                <w:t>Notes to Condensed Consolidated Financial Statements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dc20d9f05d4a6c920ba9a262ef2109_58">
              <w:r>
                <w:rPr>
                  <w:rStyle w:val="InternetLink"/>
                  <w:rFonts w:ascii="Times New Roman;serif" w:hAnsi="Times New Roman;serif"/>
                  <w:b w:val="false"/>
                  <w:strike w:val="false"/>
                  <w:dstrike w:val="false"/>
                  <w:color w:val="0000FF"/>
                  <w:sz w:val="20"/>
                  <w:u w:val="none"/>
                  <w:effect w:val="none"/>
                </w:rPr>
                <w:t>10</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187">
              <w:r>
                <w:rPr>
                  <w:rStyle w:val="InternetLink"/>
                  <w:rFonts w:ascii="Times New Roman;serif" w:hAnsi="Times New Roman;serif"/>
                  <w:b w:val="false"/>
                  <w:color w:val="0000FF"/>
                  <w:sz w:val="20"/>
                  <w:u w:val="single"/>
                </w:rPr>
                <w:t>Item 2.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18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dc20d9f05d4a6c920ba9a262ef2109_187">
              <w:r>
                <w:rPr>
                  <w:rStyle w:val="InternetLink"/>
                  <w:rFonts w:ascii="Times New Roman;serif" w:hAnsi="Times New Roman;serif"/>
                  <w:b w:val="false"/>
                  <w:strike w:val="false"/>
                  <w:dstrike w:val="false"/>
                  <w:color w:val="0000FF"/>
                  <w:sz w:val="20"/>
                  <w:u w:val="none"/>
                  <w:effect w:val="none"/>
                </w:rPr>
                <w:t>49</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238">
              <w:r>
                <w:rPr>
                  <w:rStyle w:val="InternetLink"/>
                  <w:rFonts w:ascii="Times New Roman;serif" w:hAnsi="Times New Roman;serif"/>
                  <w:b w:val="false"/>
                  <w:color w:val="0000FF"/>
                  <w:sz w:val="20"/>
                  <w:u w:val="single"/>
                </w:rPr>
                <w:t>Item 3.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238">
              <w:r>
                <w:rPr>
                  <w:rStyle w:val="InternetLink"/>
                  <w:rFonts w:ascii="Times New Roman;serif" w:hAnsi="Times New Roman;serif"/>
                  <w:b w:val="false"/>
                  <w:color w:val="0000FF"/>
                  <w:sz w:val="20"/>
                  <w:u w:val="single"/>
                </w:rPr>
                <w:t>Quantitative and Qualitative Disclosures About Market Risk</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dc20d9f05d4a6c920ba9a262ef2109_238">
              <w:r>
                <w:rPr>
                  <w:rStyle w:val="InternetLink"/>
                  <w:rFonts w:ascii="Times New Roman;serif" w:hAnsi="Times New Roman;serif"/>
                  <w:b w:val="false"/>
                  <w:strike w:val="false"/>
                  <w:dstrike w:val="false"/>
                  <w:color w:val="0000FF"/>
                  <w:sz w:val="20"/>
                  <w:u w:val="none"/>
                  <w:effect w:val="none"/>
                </w:rPr>
                <w:t>80</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253">
              <w:r>
                <w:rPr>
                  <w:rStyle w:val="InternetLink"/>
                  <w:rFonts w:ascii="Times New Roman;serif" w:hAnsi="Times New Roman;serif"/>
                  <w:b w:val="false"/>
                  <w:color w:val="0000FF"/>
                  <w:sz w:val="20"/>
                  <w:u w:val="single"/>
                </w:rPr>
                <w:t>Item 4.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253">
              <w:r>
                <w:rPr>
                  <w:rStyle w:val="InternetLink"/>
                  <w:rFonts w:ascii="Times New Roman;serif" w:hAnsi="Times New Roman;serif"/>
                  <w:b w:val="false"/>
                  <w:color w:val="0000FF"/>
                  <w:sz w:val="20"/>
                  <w:u w:val="single"/>
                </w:rPr>
                <w:t>Controls and Procedures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dc20d9f05d4a6c920ba9a262ef2109_253">
              <w:r>
                <w:rPr>
                  <w:rStyle w:val="InternetLink"/>
                  <w:rFonts w:ascii="Times New Roman;serif" w:hAnsi="Times New Roman;serif"/>
                  <w:b w:val="false"/>
                  <w:strike w:val="false"/>
                  <w:dstrike w:val="false"/>
                  <w:color w:val="0000FF"/>
                  <w:sz w:val="20"/>
                  <w:u w:val="none"/>
                  <w:effect w:val="none"/>
                </w:rPr>
                <w:t>82</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16">
              <w:r>
                <w:rPr>
                  <w:rStyle w:val="InternetLink"/>
                  <w:rFonts w:ascii="Times New Roman;serif" w:hAnsi="Times New Roman;serif"/>
                  <w:b w:val="false"/>
                  <w:color w:val="0000FF"/>
                  <w:sz w:val="20"/>
                  <w:u w:val="single"/>
                </w:rPr>
                <w:t>PART II -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16">
              <w:r>
                <w:rPr>
                  <w:rStyle w:val="InternetLink"/>
                  <w:rFonts w:ascii="Times New Roman;serif" w:hAnsi="Times New Roman;serif"/>
                  <w:b w:val="false"/>
                  <w:color w:val="0000FF"/>
                  <w:sz w:val="20"/>
                  <w:u w:val="single"/>
                </w:rPr>
                <w:t>OTHER INFORMATION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271">
              <w:r>
                <w:rPr>
                  <w:rStyle w:val="InternetLink"/>
                  <w:rFonts w:ascii="Times New Roman;serif" w:hAnsi="Times New Roman;serif"/>
                  <w:b w:val="false"/>
                  <w:color w:val="0000FF"/>
                  <w:sz w:val="20"/>
                  <w:u w:val="single"/>
                </w:rPr>
                <w:t>Item 1.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271">
              <w:r>
                <w:rPr>
                  <w:rStyle w:val="InternetLink"/>
                  <w:rFonts w:ascii="Times New Roman;serif" w:hAnsi="Times New Roman;serif"/>
                  <w:b w:val="false"/>
                  <w:color w:val="0000FF"/>
                  <w:sz w:val="20"/>
                  <w:u w:val="single"/>
                </w:rPr>
                <w:t>Legal Proceedings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dc20d9f05d4a6c920ba9a262ef2109_271">
              <w:r>
                <w:rPr>
                  <w:rStyle w:val="InternetLink"/>
                  <w:rFonts w:ascii="Times New Roman;serif" w:hAnsi="Times New Roman;serif"/>
                  <w:b w:val="false"/>
                  <w:strike w:val="false"/>
                  <w:dstrike w:val="false"/>
                  <w:color w:val="0000FF"/>
                  <w:sz w:val="20"/>
                  <w:u w:val="none"/>
                  <w:effect w:val="none"/>
                </w:rPr>
                <w:t>83</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274">
              <w:r>
                <w:rPr>
                  <w:rStyle w:val="InternetLink"/>
                  <w:rFonts w:ascii="Times New Roman;serif" w:hAnsi="Times New Roman;serif"/>
                  <w:b w:val="false"/>
                  <w:color w:val="0000FF"/>
                  <w:sz w:val="20"/>
                  <w:u w:val="single"/>
                </w:rPr>
                <w:t>Item 1A.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274">
              <w:r>
                <w:rPr>
                  <w:rStyle w:val="InternetLink"/>
                  <w:rFonts w:ascii="Times New Roman;serif" w:hAnsi="Times New Roman;serif"/>
                  <w:b w:val="false"/>
                  <w:color w:val="0000FF"/>
                  <w:sz w:val="20"/>
                  <w:u w:val="single"/>
                </w:rPr>
                <w:t>Risk Factors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dc20d9f05d4a6c920ba9a262ef2109_274">
              <w:r>
                <w:rPr>
                  <w:rStyle w:val="InternetLink"/>
                  <w:rFonts w:ascii="Times New Roman;serif" w:hAnsi="Times New Roman;serif"/>
                  <w:b w:val="false"/>
                  <w:strike w:val="false"/>
                  <w:dstrike w:val="false"/>
                  <w:color w:val="0000FF"/>
                  <w:sz w:val="20"/>
                  <w:u w:val="none"/>
                  <w:effect w:val="none"/>
                </w:rPr>
                <w:t>83</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277">
              <w:r>
                <w:rPr>
                  <w:rStyle w:val="InternetLink"/>
                  <w:rFonts w:ascii="Times New Roman;serif" w:hAnsi="Times New Roman;serif"/>
                  <w:b w:val="false"/>
                  <w:color w:val="0000FF"/>
                  <w:sz w:val="20"/>
                  <w:u w:val="single"/>
                </w:rPr>
                <w:t>Item 2.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277">
              <w:r>
                <w:rPr>
                  <w:rStyle w:val="InternetLink"/>
                  <w:rFonts w:ascii="Times New Roman;serif" w:hAnsi="Times New Roman;serif"/>
                  <w:b w:val="false"/>
                  <w:color w:val="0000FF"/>
                  <w:sz w:val="20"/>
                  <w:u w:val="single"/>
                </w:rPr>
                <w:t>Unregistered Sales of Equity Securities and Use of Proceeds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dc20d9f05d4a6c920ba9a262ef2109_277">
              <w:r>
                <w:rPr>
                  <w:rStyle w:val="InternetLink"/>
                  <w:rFonts w:ascii="Times New Roman;serif" w:hAnsi="Times New Roman;serif"/>
                  <w:b w:val="false"/>
                  <w:strike w:val="false"/>
                  <w:dstrike w:val="false"/>
                  <w:color w:val="0000FF"/>
                  <w:sz w:val="20"/>
                  <w:u w:val="none"/>
                  <w:effect w:val="none"/>
                </w:rPr>
                <w:t>83</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280">
              <w:r>
                <w:rPr>
                  <w:rStyle w:val="InternetLink"/>
                  <w:rFonts w:ascii="Times New Roman;serif" w:hAnsi="Times New Roman;serif"/>
                  <w:b w:val="false"/>
                  <w:color w:val="0000FF"/>
                  <w:sz w:val="20"/>
                  <w:u w:val="single"/>
                </w:rPr>
                <w:t>Item 3.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280">
              <w:r>
                <w:rPr>
                  <w:rStyle w:val="InternetLink"/>
                  <w:rFonts w:ascii="Times New Roman;serif" w:hAnsi="Times New Roman;serif"/>
                  <w:b w:val="false"/>
                  <w:color w:val="0000FF"/>
                  <w:sz w:val="20"/>
                  <w:u w:val="single"/>
                </w:rPr>
                <w:t>Defaults Upon Senior Securities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dc20d9f05d4a6c920ba9a262ef2109_280">
              <w:r>
                <w:rPr>
                  <w:rStyle w:val="InternetLink"/>
                  <w:rFonts w:ascii="Times New Roman;serif" w:hAnsi="Times New Roman;serif"/>
                  <w:b w:val="false"/>
                  <w:strike w:val="false"/>
                  <w:dstrike w:val="false"/>
                  <w:color w:val="0000FF"/>
                  <w:sz w:val="20"/>
                  <w:u w:val="none"/>
                  <w:effect w:val="none"/>
                </w:rPr>
                <w:t>84</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283">
              <w:r>
                <w:rPr>
                  <w:rStyle w:val="InternetLink"/>
                  <w:rFonts w:ascii="Times New Roman;serif" w:hAnsi="Times New Roman;serif"/>
                  <w:b w:val="false"/>
                  <w:color w:val="0000FF"/>
                  <w:sz w:val="20"/>
                  <w:u w:val="single"/>
                </w:rPr>
                <w:t>Item 4.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283">
              <w:r>
                <w:rPr>
                  <w:rStyle w:val="InternetLink"/>
                  <w:rFonts w:ascii="Times New Roman;serif" w:hAnsi="Times New Roman;serif"/>
                  <w:b w:val="false"/>
                  <w:color w:val="0000FF"/>
                  <w:sz w:val="20"/>
                  <w:u w:val="single"/>
                </w:rPr>
                <w:t>Mine Safety Disclosures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dc20d9f05d4a6c920ba9a262ef2109_283">
              <w:r>
                <w:rPr>
                  <w:rStyle w:val="InternetLink"/>
                  <w:rFonts w:ascii="Times New Roman;serif" w:hAnsi="Times New Roman;serif"/>
                  <w:b w:val="false"/>
                  <w:strike w:val="false"/>
                  <w:dstrike w:val="false"/>
                  <w:color w:val="0000FF"/>
                  <w:sz w:val="20"/>
                  <w:u w:val="none"/>
                  <w:effect w:val="none"/>
                </w:rPr>
                <w:t>84</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286">
              <w:r>
                <w:rPr>
                  <w:rStyle w:val="InternetLink"/>
                  <w:rFonts w:ascii="Times New Roman;serif" w:hAnsi="Times New Roman;serif"/>
                  <w:b w:val="false"/>
                  <w:color w:val="0000FF"/>
                  <w:sz w:val="20"/>
                  <w:u w:val="single"/>
                </w:rPr>
                <w:t>Item 5.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286">
              <w:r>
                <w:rPr>
                  <w:rStyle w:val="InternetLink"/>
                  <w:rFonts w:ascii="Times New Roman;serif" w:hAnsi="Times New Roman;serif"/>
                  <w:b w:val="false"/>
                  <w:color w:val="0000FF"/>
                  <w:sz w:val="20"/>
                  <w:u w:val="single"/>
                </w:rPr>
                <w:t>Other Information</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dc20d9f05d4a6c920ba9a262ef2109_286">
              <w:r>
                <w:rPr>
                  <w:rStyle w:val="InternetLink"/>
                  <w:rFonts w:ascii="Times New Roman;serif" w:hAnsi="Times New Roman;serif"/>
                  <w:b w:val="false"/>
                  <w:strike w:val="false"/>
                  <w:dstrike w:val="false"/>
                  <w:color w:val="0000FF"/>
                  <w:sz w:val="20"/>
                  <w:u w:val="none"/>
                  <w:effect w:val="none"/>
                </w:rPr>
                <w:t>84</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328">
              <w:r>
                <w:rPr>
                  <w:rStyle w:val="InternetLink"/>
                  <w:rFonts w:ascii="Times New Roman;serif" w:hAnsi="Times New Roman;serif"/>
                  <w:b w:val="false"/>
                  <w:color w:val="0000FF"/>
                  <w:sz w:val="20"/>
                  <w:u w:val="single"/>
                </w:rPr>
                <w:t>Item 6.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328">
              <w:r>
                <w:rPr>
                  <w:rStyle w:val="InternetLink"/>
                  <w:rFonts w:ascii="Times New Roman;serif" w:hAnsi="Times New Roman;serif"/>
                  <w:b w:val="false"/>
                  <w:color w:val="0000FF"/>
                  <w:sz w:val="20"/>
                  <w:u w:val="single"/>
                </w:rPr>
                <w:t>Exhibits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dc20d9f05d4a6c920ba9a262ef2109_328">
              <w:r>
                <w:rPr>
                  <w:rStyle w:val="InternetLink"/>
                  <w:rFonts w:ascii="Times New Roman;serif" w:hAnsi="Times New Roman;serif"/>
                  <w:b w:val="false"/>
                  <w:strike w:val="false"/>
                  <w:dstrike w:val="false"/>
                  <w:color w:val="0000FF"/>
                  <w:sz w:val="20"/>
                  <w:u w:val="none"/>
                  <w:effect w:val="none"/>
                </w:rPr>
                <w:t>85</w:t>
              </w:r>
            </w:hyperlink>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334">
              <w:r>
                <w:rPr>
                  <w:rStyle w:val="InternetLink"/>
                  <w:rFonts w:ascii="Times New Roman;serif" w:hAnsi="Times New Roman;serif"/>
                  <w:b w:val="false"/>
                  <w:color w:val="0000FF"/>
                  <w:sz w:val="20"/>
                  <w:u w:val="single"/>
                </w:rPr>
                <w:t>SIGNATURES</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dc20d9f05d4a6c920ba9a262ef2109_334">
              <w:r>
                <w:rPr>
                  <w:rStyle w:val="InternetLink"/>
                  <w:rFonts w:ascii="Times New Roman;serif" w:hAnsi="Times New Roman;serif"/>
                  <w:b w:val="false"/>
                  <w:strike w:val="false"/>
                  <w:dstrike w:val="false"/>
                  <w:color w:val="0000FF"/>
                  <w:sz w:val="20"/>
                  <w:u w:val="none"/>
                  <w:effect w:val="none"/>
                </w:rPr>
                <w:t>86</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a9dc20d9f05d4a6c920ba9a262ef210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Index to Condensed Consolidated Financial Statements</w:t>
      </w:r>
    </w:p>
    <w:p>
      <w:pPr>
        <w:pStyle w:val="TextBody"/>
        <w:bidi w:val="0"/>
        <w:spacing w:lineRule="auto" w:line="288" w:before="0" w:after="0"/>
        <w:ind w:left="0" w:right="0" w:firstLine="360"/>
        <w:jc w:val="left"/>
        <w:rPr>
          <w:color w:val="000000"/>
        </w:rPr>
      </w:pPr>
      <w:r>
        <w:rPr>
          <w:color w:val="000000"/>
        </w:rPr>
        <w:t> </w:t>
      </w:r>
    </w:p>
    <w:tbl>
      <w:tblPr>
        <w:tblW w:w="7171" w:type="dxa"/>
        <w:jc w:val="center"/>
        <w:tblInd w:w="0" w:type="dxa"/>
        <w:tblLayout w:type="fixed"/>
        <w:tblCellMar>
          <w:top w:w="28" w:type="dxa"/>
          <w:left w:w="28" w:type="dxa"/>
          <w:bottom w:w="28" w:type="dxa"/>
          <w:right w:w="28" w:type="dxa"/>
        </w:tblCellMar>
      </w:tblPr>
      <w:tblGrid>
        <w:gridCol w:w="2280"/>
        <w:gridCol w:w="2005"/>
        <w:gridCol w:w="2015"/>
        <w:gridCol w:w="255"/>
        <w:gridCol w:w="255"/>
        <w:gridCol w:w="361"/>
      </w:tblGrid>
      <w:tr>
        <w:trPr/>
        <w:tc>
          <w:tcPr>
            <w:tcW w:w="2280"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br/>
              <w:t>NUMBER</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46">
              <w:r>
                <w:rPr>
                  <w:rStyle w:val="InternetLink"/>
                  <w:rFonts w:ascii="Times New Roman;serif" w:hAnsi="Times New Roman;serif"/>
                  <w:b w:val="false"/>
                  <w:color w:val="0000FF"/>
                  <w:sz w:val="20"/>
                  <w:u w:val="single"/>
                </w:rPr>
                <w:t>Condensed Consolidated Statements of Financial Condition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dc20d9f05d4a6c920ba9a262ef2109_46">
              <w:r>
                <w:rPr>
                  <w:rStyle w:val="InternetLink"/>
                  <w:rFonts w:ascii="Times New Roman;serif" w:hAnsi="Times New Roman;serif"/>
                  <w:b w:val="false"/>
                  <w:color w:val="0000FF"/>
                  <w:sz w:val="20"/>
                  <w:u w:val="single"/>
                </w:rPr>
                <w:t>3</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49">
              <w:r>
                <w:rPr>
                  <w:rStyle w:val="InternetLink"/>
                  <w:rFonts w:ascii="Times New Roman;serif" w:hAnsi="Times New Roman;serif"/>
                  <w:b w:val="false"/>
                  <w:color w:val="0000FF"/>
                  <w:sz w:val="20"/>
                  <w:u w:val="single"/>
                </w:rPr>
                <w:t>Condensed Consolidated Statements of Comprehensive Income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dc20d9f05d4a6c920ba9a262ef2109_49">
              <w:r>
                <w:rPr>
                  <w:rStyle w:val="InternetLink"/>
                  <w:rFonts w:ascii="Times New Roman;serif" w:hAnsi="Times New Roman;serif"/>
                  <w:b w:val="false"/>
                  <w:color w:val="0000FF"/>
                  <w:sz w:val="20"/>
                  <w:u w:val="single"/>
                </w:rPr>
                <w:t>5</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52">
              <w:r>
                <w:rPr>
                  <w:rStyle w:val="InternetLink"/>
                  <w:rFonts w:ascii="Times New Roman;serif" w:hAnsi="Times New Roman;serif"/>
                  <w:b w:val="false"/>
                  <w:color w:val="0000FF"/>
                  <w:sz w:val="20"/>
                  <w:u w:val="single"/>
                </w:rPr>
                <w:t>Condensed Consolidated Statements of Changes in Equity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dc20d9f05d4a6c920ba9a262ef2109_52">
              <w:r>
                <w:rPr>
                  <w:rStyle w:val="InternetLink"/>
                  <w:rFonts w:ascii="Times New Roman;serif" w:hAnsi="Times New Roman;serif"/>
                  <w:b w:val="false"/>
                  <w:color w:val="0000FF"/>
                  <w:sz w:val="20"/>
                  <w:u w:val="single"/>
                </w:rPr>
                <w:t>6</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55">
              <w:r>
                <w:rPr>
                  <w:rStyle w:val="InternetLink"/>
                  <w:rFonts w:ascii="Times New Roman;serif" w:hAnsi="Times New Roman;serif"/>
                  <w:b w:val="false"/>
                  <w:color w:val="0000FF"/>
                  <w:sz w:val="20"/>
                  <w:u w:val="single"/>
                </w:rPr>
                <w:t>Condensed Consolidated Statements of Cash Flows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dc20d9f05d4a6c920ba9a262ef2109_55">
              <w:r>
                <w:rPr>
                  <w:rStyle w:val="InternetLink"/>
                  <w:rFonts w:ascii="Times New Roman;serif" w:hAnsi="Times New Roman;serif"/>
                  <w:b w:val="false"/>
                  <w:color w:val="0000FF"/>
                  <w:sz w:val="20"/>
                  <w:u w:val="single"/>
                </w:rPr>
                <w:t>8</w:t>
              </w:r>
            </w:hyperlink>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dc20d9f05d4a6c920ba9a262ef2109_58">
              <w:r>
                <w:rPr>
                  <w:rStyle w:val="InternetLink"/>
                  <w:rFonts w:ascii="Times New Roman;serif" w:hAnsi="Times New Roman;serif"/>
                  <w:b w:val="false"/>
                  <w:color w:val="0000FF"/>
                  <w:sz w:val="20"/>
                  <w:u w:val="single"/>
                </w:rPr>
                <w:t>Notes to Condensed Consolidated Financial Statements (Unaudited)</w:t>
              </w:r>
            </w:hyperlink>
          </w:p>
        </w:tc>
        <w:tc>
          <w:tcPr>
            <w:tcW w:w="8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dc20d9f05d4a6c920ba9a262ef2109_58">
              <w:r>
                <w:rPr>
                  <w:rStyle w:val="InternetLink"/>
                  <w:rFonts w:ascii="Times New Roman;serif" w:hAnsi="Times New Roman;serif"/>
                  <w:b w:val="false"/>
                  <w:color w:val="0000FF"/>
                  <w:sz w:val="20"/>
                  <w:u w:val="single"/>
                </w:rPr>
                <w:t>10</w:t>
              </w:r>
            </w:hyperlink>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r>
        <w:trPr/>
        <w:tc>
          <w:tcPr>
            <w:tcW w:w="6300"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9dc20d9f05d4a6c920ba9a262ef210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Financial Condition (Unaudited)</w:t>
      </w:r>
    </w:p>
    <w:tbl>
      <w:tblPr>
        <w:tblW w:w="10205" w:type="dxa"/>
        <w:jc w:val="center"/>
        <w:tblInd w:w="0" w:type="dxa"/>
        <w:tblLayout w:type="fixed"/>
        <w:tblCellMar>
          <w:top w:w="28" w:type="dxa"/>
          <w:left w:w="28" w:type="dxa"/>
          <w:bottom w:w="28" w:type="dxa"/>
          <w:right w:w="28" w:type="dxa"/>
        </w:tblCellMar>
      </w:tblPr>
      <w:tblGrid>
        <w:gridCol w:w="2526"/>
        <w:gridCol w:w="2222"/>
        <w:gridCol w:w="2225"/>
        <w:gridCol w:w="109"/>
        <w:gridCol w:w="109"/>
        <w:gridCol w:w="109"/>
        <w:gridCol w:w="196"/>
        <w:gridCol w:w="961"/>
        <w:gridCol w:w="109"/>
        <w:gridCol w:w="109"/>
        <w:gridCol w:w="109"/>
        <w:gridCol w:w="109"/>
        <w:gridCol w:w="196"/>
        <w:gridCol w:w="961"/>
        <w:gridCol w:w="155"/>
      </w:tblGrid>
      <w:tr>
        <w:trPr/>
        <w:tc>
          <w:tcPr>
            <w:tcW w:w="2526"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69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1,061,697 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Cash restricted or segregated under regulations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3,774,108 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3,191,138 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purchased under agreements to resell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988,929 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from broker-dealers and clearing organizations ($234,379 and $328,934 at fair value,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3,207,464 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1,896,405 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instruments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11,373,226 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7,343,032 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instruments owned and pledged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3,513,023 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3,208,525 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from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equipment and capitalized software (net of accumulated depreciation of $469,918 and $437,002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213,707 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1,148,926 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Intangibles (net of accumulated amortization of $499,158 and $475,592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 ($284,745 and $242,121, at fair value,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528,341 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27,477,122 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20,150,736 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4,089,659 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3,477,831 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1,405,639 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Payables to broker-dealers and clearing organizations ($278,098 and $181,272, at fair value,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998,276 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to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Trading liabilities,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instruments sold, not yet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13,569,647 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9,105,263 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receivable agreement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652,352 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261,169 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2,039,463 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25,152,112 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18,177,333 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Virtu Financial Inc.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$0.00001), Authorized — 1,000,000,000 and 1,000,000,000 shares, Issued — 144,181,332 and 140,877,669 shares, Outstanding — 88,223,594 and 84,919,931 shares at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(par value $0.00001), Authorized — 175,000,000 and 175,000,000 shares, Issued and Outstanding — 0 and 0 shares at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C common stock (par value $0.00001), Authorized — 90,000,000 and 90,000,000 shares, Issued and Outstanding — 6,807,809 and 7,970,185 shares at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D common stock (par value $0.00001), Authorized — 175,000,000 and 175,000,000 shares, Issued and Outstanding — 60,091,740 and 60,091,740 shares at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55,957,738 and 55,957,738 shares at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(1,475,666)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1,541,684 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1,519,270 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Virtu Financial Inc.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1,867,760 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1,582,279 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9dc20d9f05d4a6c920ba9a262ef210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Financial Condition (Unaudited)</w:t>
      </w:r>
    </w:p>
    <w:tbl>
      <w:tblPr>
        <w:tblW w:w="5901" w:type="dxa"/>
        <w:jc w:val="center"/>
        <w:tblInd w:w="0" w:type="dxa"/>
        <w:tblLayout w:type="fixed"/>
        <w:tblCellMar>
          <w:top w:w="28" w:type="dxa"/>
          <w:left w:w="28" w:type="dxa"/>
          <w:bottom w:w="28" w:type="dxa"/>
          <w:right w:w="28" w:type="dxa"/>
        </w:tblCellMar>
      </w:tblPr>
      <w:tblGrid>
        <w:gridCol w:w="967"/>
        <w:gridCol w:w="851"/>
        <w:gridCol w:w="852"/>
        <w:gridCol w:w="109"/>
        <w:gridCol w:w="109"/>
        <w:gridCol w:w="109"/>
        <w:gridCol w:w="196"/>
        <w:gridCol w:w="961"/>
        <w:gridCol w:w="109"/>
        <w:gridCol w:w="109"/>
        <w:gridCol w:w="109"/>
        <w:gridCol w:w="109"/>
        <w:gridCol w:w="196"/>
        <w:gridCol w:w="961"/>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2,325,010 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1,973,403 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27,477,122 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20,150,736 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9dc20d9f05d4a6c920ba9a262ef210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(Unaudited)</w:t>
      </w:r>
    </w:p>
    <w:tbl>
      <w:tblPr>
        <w:tblW w:w="10205" w:type="dxa"/>
        <w:jc w:val="center"/>
        <w:tblInd w:w="0" w:type="dxa"/>
        <w:tblLayout w:type="fixed"/>
        <w:tblCellMar>
          <w:top w:w="28" w:type="dxa"/>
          <w:left w:w="28" w:type="dxa"/>
          <w:bottom w:w="28" w:type="dxa"/>
          <w:right w:w="28" w:type="dxa"/>
        </w:tblCellMar>
      </w:tblPr>
      <w:tblGrid>
        <w:gridCol w:w="1503"/>
        <w:gridCol w:w="1317"/>
        <w:gridCol w:w="1320"/>
        <w:gridCol w:w="109"/>
        <w:gridCol w:w="109"/>
        <w:gridCol w:w="109"/>
        <w:gridCol w:w="202"/>
        <w:gridCol w:w="759"/>
        <w:gridCol w:w="109"/>
        <w:gridCol w:w="109"/>
        <w:gridCol w:w="109"/>
        <w:gridCol w:w="109"/>
        <w:gridCol w:w="202"/>
        <w:gridCol w:w="759"/>
        <w:gridCol w:w="109"/>
        <w:gridCol w:w="109"/>
        <w:gridCol w:w="109"/>
        <w:gridCol w:w="109"/>
        <w:gridCol w:w="196"/>
        <w:gridCol w:w="871"/>
        <w:gridCol w:w="109"/>
        <w:gridCol w:w="109"/>
        <w:gridCol w:w="109"/>
        <w:gridCol w:w="109"/>
        <w:gridCol w:w="196"/>
        <w:gridCol w:w="871"/>
        <w:gridCol w:w="109"/>
        <w:gridCol w:w="109"/>
        <w:gridCol w:w="156"/>
      </w:tblGrid>
      <w:tr>
        <w:trPr/>
        <w:tc>
          <w:tcPr>
            <w:tcW w:w="150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1,189,953 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999,573 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2,285,280 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1,837,442 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Communication and data processing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and payroll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Operations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purchased intangibles and acquired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Termination of office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issue cost related to debt refinancing, prepayment and commitment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advisory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interest expense on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847,396 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652,553 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1,533,151 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1,266,686 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342,557 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752,129 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570,756 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284,929 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482,611 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available for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87,603,606 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85,490,121 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86,852,837 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85,585,040 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87,603,606 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85,530,426 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86,852,837 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85,794,619 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exchange translation adjustment,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cash flow hedges gain (loss),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306,613 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626,625 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498,878 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150,038 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158,974 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330,383 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260,164 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ind w:left="0" w:right="0" w:firstLine="405"/>
        <w:jc w:val="left"/>
        <w:rPr/>
      </w:pPr>
      <w:hyperlink w:anchor="ia9dc20d9f05d4a6c920ba9a262ef210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05"/>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ind w:left="0" w:right="0" w:firstLine="405"/>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(Unaudited)</w:t>
      </w:r>
    </w:p>
    <w:p>
      <w:pPr>
        <w:pStyle w:val="TextBody"/>
        <w:bidi w:val="0"/>
        <w:spacing w:lineRule="auto" w:line="288" w:before="0" w:after="0"/>
        <w:ind w:left="0" w:right="0" w:firstLine="405"/>
        <w:jc w:val="center"/>
        <w:rPr>
          <w:rFonts w:ascii="Times New Roman;serif" w:hAnsi="Times New Roman;serif"/>
          <w:b/>
          <w:color w:val="000000"/>
          <w:sz w:val="20"/>
        </w:rPr>
      </w:pPr>
      <w:r>
        <w:rPr>
          <w:rFonts w:ascii="Times New Roman;serif" w:hAnsi="Times New Roman;serif"/>
          <w:b/>
          <w:color w:val="000000"/>
          <w:sz w:val="20"/>
        </w:rPr>
        <w:t>Three and Six Months Ended June 30, 2026 and 2025</w:t>
      </w:r>
    </w:p>
    <w:tbl>
      <w:tblPr>
        <w:tblW w:w="17347" w:type="dxa"/>
        <w:jc w:val="center"/>
        <w:tblInd w:w="0" w:type="dxa"/>
        <w:tblLayout w:type="fixed"/>
        <w:tblCellMar>
          <w:top w:w="28" w:type="dxa"/>
          <w:left w:w="28" w:type="dxa"/>
          <w:bottom w:w="28" w:type="dxa"/>
          <w:right w:w="28" w:type="dxa"/>
        </w:tblCellMar>
      </w:tblPr>
      <w:tblGrid>
        <w:gridCol w:w="473"/>
        <w:gridCol w:w="416"/>
        <w:gridCol w:w="417"/>
        <w:gridCol w:w="109"/>
        <w:gridCol w:w="109"/>
        <w:gridCol w:w="109"/>
        <w:gridCol w:w="368"/>
        <w:gridCol w:w="368"/>
        <w:gridCol w:w="151"/>
        <w:gridCol w:w="109"/>
        <w:gridCol w:w="109"/>
        <w:gridCol w:w="109"/>
        <w:gridCol w:w="201"/>
        <w:gridCol w:w="237"/>
        <w:gridCol w:w="133"/>
        <w:gridCol w:w="109"/>
        <w:gridCol w:w="109"/>
        <w:gridCol w:w="109"/>
        <w:gridCol w:w="315"/>
        <w:gridCol w:w="316"/>
        <w:gridCol w:w="151"/>
        <w:gridCol w:w="109"/>
        <w:gridCol w:w="109"/>
        <w:gridCol w:w="109"/>
        <w:gridCol w:w="166"/>
        <w:gridCol w:w="406"/>
        <w:gridCol w:w="109"/>
        <w:gridCol w:w="109"/>
        <w:gridCol w:w="109"/>
        <w:gridCol w:w="109"/>
        <w:gridCol w:w="338"/>
        <w:gridCol w:w="338"/>
        <w:gridCol w:w="151"/>
        <w:gridCol w:w="109"/>
        <w:gridCol w:w="109"/>
        <w:gridCol w:w="109"/>
        <w:gridCol w:w="201"/>
        <w:gridCol w:w="237"/>
        <w:gridCol w:w="133"/>
        <w:gridCol w:w="109"/>
        <w:gridCol w:w="109"/>
        <w:gridCol w:w="109"/>
        <w:gridCol w:w="345"/>
        <w:gridCol w:w="346"/>
        <w:gridCol w:w="151"/>
        <w:gridCol w:w="109"/>
        <w:gridCol w:w="109"/>
        <w:gridCol w:w="109"/>
        <w:gridCol w:w="166"/>
        <w:gridCol w:w="631"/>
        <w:gridCol w:w="109"/>
        <w:gridCol w:w="109"/>
        <w:gridCol w:w="109"/>
        <w:gridCol w:w="109"/>
        <w:gridCol w:w="166"/>
        <w:gridCol w:w="616"/>
        <w:gridCol w:w="109"/>
        <w:gridCol w:w="109"/>
        <w:gridCol w:w="109"/>
        <w:gridCol w:w="109"/>
        <w:gridCol w:w="166"/>
        <w:gridCol w:w="616"/>
        <w:gridCol w:w="109"/>
        <w:gridCol w:w="327"/>
        <w:gridCol w:w="218"/>
        <w:gridCol w:w="554"/>
        <w:gridCol w:w="144"/>
        <w:gridCol w:w="327"/>
        <w:gridCol w:w="166"/>
        <w:gridCol w:w="616"/>
        <w:gridCol w:w="109"/>
        <w:gridCol w:w="327"/>
        <w:gridCol w:w="180"/>
        <w:gridCol w:w="571"/>
        <w:gridCol w:w="120"/>
        <w:gridCol w:w="327"/>
        <w:gridCol w:w="166"/>
        <w:gridCol w:w="616"/>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C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D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Virtu Financial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Equity</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(in thousands, except share and interest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140,877,669 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7,970,185 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60,091,740 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(55,957,738)</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(1,475,666)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1,541,684 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1,519,270 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(3,011)</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1,582,279 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391,124 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1,973,403 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3,514,983 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50,237 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50,237 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50,237 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Treasury stock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(1,412,745)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(55,792)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182,309 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182,309 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164,287 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346,596 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Foreign exchange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(1,964)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(1,456)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Dividends ($0.24 per share of Class A common stock and participating Restricted Stock Units and Restricted Stock Awards) and distributions from Virtu Financial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(92,396)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(114,490)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142,979,907 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7,970,185 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60,091,740 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(55,957,738)</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(1,475,666)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1,591,921 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1,623,693 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(4,975)</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1,734,975 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461,559 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2,196,534 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70,889 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Treasury stock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(31,840)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150,899 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150,899 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134,030 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284,929 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Foreign exchange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(861)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(619)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Dividends ($0.24 per share of Class A and Class B common stock and participating Restricted Stock Units and Restricted Stock Awards) and distributions from Virtu Financial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(137,720)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(160,029)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common stock in connection with employee exchanges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1,162,376 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Repurchase of Virtu Financial Units and corresponding number of Class C common stock in connection with employee exchanges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(1,162,376)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tax receivable agreements in connection with employee exchange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144,181,332 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6,807,809 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60,091,740 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(55,957,738)</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(1,475,666)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1,598,599 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1,750,661 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(5,836)</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1,867,760 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457,250 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2,325,010 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9dc20d9f05d4a6c920ba9a262ef210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405"/>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ind w:left="0" w:right="0" w:firstLine="405"/>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(Unaudited)</w:t>
      </w:r>
    </w:p>
    <w:p>
      <w:pPr>
        <w:pStyle w:val="TextBody"/>
        <w:bidi w:val="0"/>
        <w:spacing w:lineRule="auto" w:line="288" w:before="0" w:after="0"/>
        <w:ind w:left="0" w:right="0" w:firstLine="405"/>
        <w:jc w:val="center"/>
        <w:rPr>
          <w:rFonts w:ascii="Times New Roman;serif" w:hAnsi="Times New Roman;serif"/>
          <w:b/>
          <w:color w:val="000000"/>
          <w:sz w:val="20"/>
        </w:rPr>
      </w:pPr>
      <w:r>
        <w:rPr>
          <w:rFonts w:ascii="Times New Roman;serif" w:hAnsi="Times New Roman;serif"/>
          <w:b/>
          <w:color w:val="000000"/>
          <w:sz w:val="20"/>
        </w:rPr>
        <w:t>Three and Six Months Ended June 30, 2026 and 2025</w:t>
      </w:r>
    </w:p>
    <w:tbl>
      <w:tblPr>
        <w:tblW w:w="17332" w:type="dxa"/>
        <w:jc w:val="center"/>
        <w:tblInd w:w="0" w:type="dxa"/>
        <w:tblLayout w:type="fixed"/>
        <w:tblCellMar>
          <w:top w:w="28" w:type="dxa"/>
          <w:left w:w="28" w:type="dxa"/>
          <w:bottom w:w="28" w:type="dxa"/>
          <w:right w:w="28" w:type="dxa"/>
        </w:tblCellMar>
      </w:tblPr>
      <w:tblGrid>
        <w:gridCol w:w="473"/>
        <w:gridCol w:w="416"/>
        <w:gridCol w:w="417"/>
        <w:gridCol w:w="109"/>
        <w:gridCol w:w="109"/>
        <w:gridCol w:w="109"/>
        <w:gridCol w:w="368"/>
        <w:gridCol w:w="368"/>
        <w:gridCol w:w="151"/>
        <w:gridCol w:w="109"/>
        <w:gridCol w:w="109"/>
        <w:gridCol w:w="109"/>
        <w:gridCol w:w="201"/>
        <w:gridCol w:w="237"/>
        <w:gridCol w:w="133"/>
        <w:gridCol w:w="109"/>
        <w:gridCol w:w="109"/>
        <w:gridCol w:w="109"/>
        <w:gridCol w:w="308"/>
        <w:gridCol w:w="308"/>
        <w:gridCol w:w="151"/>
        <w:gridCol w:w="109"/>
        <w:gridCol w:w="109"/>
        <w:gridCol w:w="109"/>
        <w:gridCol w:w="166"/>
        <w:gridCol w:w="406"/>
        <w:gridCol w:w="109"/>
        <w:gridCol w:w="109"/>
        <w:gridCol w:w="109"/>
        <w:gridCol w:w="109"/>
        <w:gridCol w:w="338"/>
        <w:gridCol w:w="338"/>
        <w:gridCol w:w="151"/>
        <w:gridCol w:w="109"/>
        <w:gridCol w:w="109"/>
        <w:gridCol w:w="109"/>
        <w:gridCol w:w="201"/>
        <w:gridCol w:w="237"/>
        <w:gridCol w:w="133"/>
        <w:gridCol w:w="109"/>
        <w:gridCol w:w="109"/>
        <w:gridCol w:w="109"/>
        <w:gridCol w:w="345"/>
        <w:gridCol w:w="346"/>
        <w:gridCol w:w="151"/>
        <w:gridCol w:w="109"/>
        <w:gridCol w:w="109"/>
        <w:gridCol w:w="109"/>
        <w:gridCol w:w="166"/>
        <w:gridCol w:w="631"/>
        <w:gridCol w:w="109"/>
        <w:gridCol w:w="109"/>
        <w:gridCol w:w="109"/>
        <w:gridCol w:w="109"/>
        <w:gridCol w:w="166"/>
        <w:gridCol w:w="616"/>
        <w:gridCol w:w="109"/>
        <w:gridCol w:w="109"/>
        <w:gridCol w:w="109"/>
        <w:gridCol w:w="109"/>
        <w:gridCol w:w="166"/>
        <w:gridCol w:w="616"/>
        <w:gridCol w:w="109"/>
        <w:gridCol w:w="327"/>
        <w:gridCol w:w="218"/>
        <w:gridCol w:w="554"/>
        <w:gridCol w:w="144"/>
        <w:gridCol w:w="327"/>
        <w:gridCol w:w="166"/>
        <w:gridCol w:w="616"/>
        <w:gridCol w:w="109"/>
        <w:gridCol w:w="327"/>
        <w:gridCol w:w="180"/>
        <w:gridCol w:w="571"/>
        <w:gridCol w:w="120"/>
        <w:gridCol w:w="327"/>
        <w:gridCol w:w="166"/>
        <w:gridCol w:w="616"/>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C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D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Virtu Financial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Equity</w:t>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(in thousands, except share and interest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137,479,751 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8,561,970 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60,091,740 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(52,503,426)</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(1,339,913)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1,432,240 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1,168,908 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(7,063)</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1,254,174 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233,203 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1,487,377 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Cumulative-effect adjustment due to the adoption of ASU 2023-08,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2,650,096 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42,028 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Repurchase of Class C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(16,265)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Treasury stock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(1,018,757)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(1,321,211)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(47,982)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(40,779)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(88,761)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(88,761)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120,000 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99,681 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99,681 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89,954 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189,635 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Foreign exchange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change in unrealized cash flow hedges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(1,211)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(899)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Dividends ($0.24 per share of Class A common stock and participating Restricted Stock Units and Restricted Stock Awards) and distributions from Virtu Financial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(72,524)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(94,688)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Issuance of common stock in connection with employee exchanges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350,858 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Repurchase of Virtu Financial Units and corresponding number of Class C common stock in connection with employee exchanges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(350,858)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139,581,948 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8,194,847 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60,091,740 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(53,824,637)</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(1,387,895)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1,475,903 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1,227,446 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(5,554)</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1,309,902 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251,754 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1,561,656 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Deconsolidation of RFQ-hub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(35,608)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(35,608)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62,556 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15,074 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Treasury stock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(24,464)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(1,658,514)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(66,821)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(67,817)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(67,817)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Stock 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693,750 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141,789 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292,976 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Foreign exchange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7,160 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5,379 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Net change in unrealized cash flow hedges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Dividends ($0.24 per share of Class A and Class B common stock and participating Restricted Stock Units and Restricted Stock Awards) and distributions from Virtu Financial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(137,809)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(159,758)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140,313,790 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8,194,847 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60,091,740 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(55,483,151)</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(1,454,716)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1,504,158 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1,355,688 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2,233 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1,407,365 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225,976 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1,633,341 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9dc20d9f05d4a6c920ba9a262ef2109_10">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tbl>
      <w:tblPr>
        <w:tblW w:w="9537" w:type="dxa"/>
        <w:jc w:val="center"/>
        <w:tblInd w:w="0" w:type="dxa"/>
        <w:tblLayout w:type="fixed"/>
        <w:tblCellMar>
          <w:top w:w="28" w:type="dxa"/>
          <w:left w:w="28" w:type="dxa"/>
          <w:bottom w:w="28" w:type="dxa"/>
          <w:right w:w="28" w:type="dxa"/>
        </w:tblCellMar>
      </w:tblPr>
      <w:tblGrid>
        <w:gridCol w:w="2309"/>
        <w:gridCol w:w="2035"/>
        <w:gridCol w:w="2046"/>
        <w:gridCol w:w="109"/>
        <w:gridCol w:w="109"/>
        <w:gridCol w:w="109"/>
        <w:gridCol w:w="196"/>
        <w:gridCol w:w="871"/>
        <w:gridCol w:w="109"/>
        <w:gridCol w:w="109"/>
        <w:gridCol w:w="109"/>
        <w:gridCol w:w="109"/>
        <w:gridCol w:w="198"/>
        <w:gridCol w:w="747"/>
        <w:gridCol w:w="109"/>
        <w:gridCol w:w="109"/>
        <w:gridCol w:w="154"/>
      </w:tblGrid>
      <w:tr>
        <w:trPr/>
        <w:tc>
          <w:tcPr>
            <w:tcW w:w="2309"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3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issue cost related to debt refinancing and prepayment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 and deferred financing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Termination of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RFQ-hub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purchased under agreements to resell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(1,311,059)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(4,334,692)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(3,126,121)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1,214,487 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4,464,384 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of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RFQ-hub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to stockholders and distributions from Virtu Financial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(274,519)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Class C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options 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tax receivable agreement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(207,811)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or segregated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or segregated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1,133,013 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789,807 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9dc20d9f05d4a6c920ba9a262ef2109_13">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tbl>
      <w:tblPr>
        <w:tblW w:w="9658" w:type="dxa"/>
        <w:jc w:val="center"/>
        <w:tblInd w:w="0" w:type="dxa"/>
        <w:tblLayout w:type="fixed"/>
        <w:tblCellMar>
          <w:top w:w="28" w:type="dxa"/>
          <w:left w:w="28" w:type="dxa"/>
          <w:bottom w:w="28" w:type="dxa"/>
          <w:right w:w="28" w:type="dxa"/>
        </w:tblCellMar>
      </w:tblPr>
      <w:tblGrid>
        <w:gridCol w:w="2405"/>
        <w:gridCol w:w="2113"/>
        <w:gridCol w:w="2141"/>
        <w:gridCol w:w="109"/>
        <w:gridCol w:w="109"/>
        <w:gridCol w:w="109"/>
        <w:gridCol w:w="196"/>
        <w:gridCol w:w="736"/>
        <w:gridCol w:w="109"/>
        <w:gridCol w:w="109"/>
        <w:gridCol w:w="109"/>
        <w:gridCol w:w="109"/>
        <w:gridCol w:w="196"/>
        <w:gridCol w:w="736"/>
        <w:gridCol w:w="109"/>
        <w:gridCol w:w="109"/>
        <w:gridCol w:w="154"/>
      </w:tblGrid>
      <w:tr>
        <w:trPr/>
        <w:tc>
          <w:tcPr>
            <w:tcW w:w="2405"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6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Supplementary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Non-cash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and accrued incentive compensation to developers relating to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Non-cash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Tax receivable agreement described in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Class C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88" w:before="0" w:after="0"/>
        <w:ind w:left="0" w:right="0" w:firstLine="54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Virtu Financial,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shares and per share amounts,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 Organization and Basis of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June 30, 2026, VFI owned approximately 58.1% of the membership interests of Virtu Financial. VFI is the sole managing member of Virtu Financial and operates and controls all of the businesses and affairs of Virtu Financial and its subsidiaries (the “Group”).</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a leading financial firm that leverages cutting edge technology to deliver liquidity to the global markets and innovative, transparent trading solutions to its clients. The Company provides deep liquidity in over 50,000 financial instruments, on over 150 venues worldwide to help create more efficient markets. Leveraging its global market structure expertise and scaled, multi-asset infrastructure, the Company provides its clients with a robust product suite including offerings in execution, liquidity sourcing, analytics and broker-neutral, multi-dealer platforms in workflow technology. The Company’s product offerings allow its clients to trade on hundreds of venues in over 50 countries and across multiple asset classes, including global equities, Exchange-Traded Funds (“ETFs”), options, foreign exchange, futures, fixed income, cryptocurrencies, and other commodities. The Company’s integrated, multi-asset analytics platform provides a range of pre- and post-trade services, data products and compliance tools that its clients rely upon to invest, trade and manage risk across global markets.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completed two significant acquisitions that have expanded and complemented Virtu Financial's original electronic trading and market making business. On July 20, 2017, the Company completed the all-cash acquisition of KCG Holdings, Inc. (“KCG”) (the “Acquisition of KCG”). On March 1, 2019 (the “ITG Closing Date”), the Company completed the acquisition of Investment Technology Group, Inc. and its subsidiaries (“ITG”) in an all-cash transaction (the “ITG Acquisition”).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Virtu Financial’s principal United States (“U.S.”) subsidiary is Virtu Americas LLC (“VAL”), which is a U.S. broker-dealer. Other principal U.S. subsidiaries include Virtu Financial Global Markets LLC, a U.S. trading entity focused on futures and currencies; Virtu ITG Analytics LLC, a provider of pre- and post-trade analysis, fair value, and trade optimization services; and Virtu ITG Platforms LLC, a provider of workflow technology solutions and network connectivity services. Principal foreign subsidiaries include Virtu Financial Ireland Limited (“VFIL”) and Virtu Europe Trading Limited (“VETL”), each formed in Ireland; Virtu ITG UK Limited (“VIUK”), formed in the United Kingdom; Virtu Canada Corp (f/k/a Virtu ITG Canada Corp.),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two operating segments: (i) Market Making and (ii) Execution Services; and one non-operating segment: Corporate. See Note 22 “Geographic Information and Business Segments” for a further discussion of the Company’s segments.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19, 2024, the Company entered into a Unit Purchase Agreement with MarketAxess Holdings Inc. (“MarketAxess”) to sell a 49% interest in the multi-asset request-for-quote communication platform joint venture (“JV”), RFQ-hub Holdings LLC (“RFQ-hub Holdings,” or collectively with its wholly owned or controlled subsidiaries, “RFQ-hub”). The sale was completed on May 9, 2025. Upon the closing of the sale, the Company retains a minority interest of approximately 2% in RFQ-hub. The Company ceased to control, and deconsolidated, RFQ-hub at such time. See Note 3 “Sale of RFQ-hub” for further details.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of Consolidation and Form of Presentation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Condensed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the results for the periods presented. Certain information and footnote disclosures normally included in financial statements prepared in accordance with U.S. GAAP have been condensed or omitted in accordance with SEC rules and regulations. The Condensed Consolidated Financial Statements of the Company include its equity interests in Virtu Financial and its subsidiaries. As sole managing member of Virtu Financial, the Company exerts control over the Group’s operations. The Company consolidates Virtu Financial and its subsidiaries’ financial statements and records the interests in Virtu Financial that the Company does not own as noncontrolling interests. All intercompany accounts and transactions have been eliminated in consolidation.</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detailed discussion of the Company's significant accounting policies, see Note 2 “Summary of Significant Accounting Policies” in our consolidated financial statements included in Part II, Item 8 of our Annual Report on Form 10-K for the year ended December 31,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Accounting Pronouncements Not Yet Adopted as of June 30,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Income Statement—Reporting Comprehensive Income—Expense Disaggregation Disclosures</w:t>
      </w:r>
      <w:r>
        <w:rPr>
          <w:color w:val="000000"/>
        </w:rPr>
        <w:t xml:space="preserve"> </w:t>
      </w:r>
      <w:r>
        <w:rPr>
          <w:rFonts w:ascii="Times New Roman;serif" w:hAnsi="Times New Roman;serif"/>
          <w:b w:val="false"/>
          <w:color w:val="000000"/>
          <w:sz w:val="20"/>
        </w:rPr>
        <w:t xml:space="preserve">- In November 2024 and January 2025, the FASB issued ASU 2024-03 and ASU 2025-01, </w:t>
      </w:r>
      <w:r>
        <w:rPr>
          <w:rFonts w:ascii="Times New Roman;serif" w:hAnsi="Times New Roman;serif"/>
          <w:b w:val="false"/>
          <w:i/>
          <w:color w:val="000000"/>
          <w:sz w:val="20"/>
        </w:rPr>
        <w:t>Income Statement—Reporting Comprehensive Income—Expense Disaggregation Disclosures (Subtopic 220-40).</w:t>
      </w:r>
      <w:r>
        <w:rPr>
          <w:color w:val="000000"/>
        </w:rPr>
        <w:t xml:space="preserve"> </w:t>
      </w:r>
      <w:r>
        <w:rPr>
          <w:rFonts w:ascii="Times New Roman;serif" w:hAnsi="Times New Roman;serif"/>
          <w:b w:val="false"/>
          <w:color w:val="000000"/>
          <w:sz w:val="20"/>
        </w:rPr>
        <w:t>These ASUs require disclosure of disaggregated information of Income Statement expense captions that include certain costs, such as employee compensation, depreciation, and intangible asset amortization. They also require disclosure of the total amounts of selling expenses, along with an entity's definition of selling expenses. The amendments are effective for annual reporting periods beginning after December 15, 2026 and interim periods within annual reporting periods beginning after December 15, 2027. The Company is currently evaluating the impact of these ASUs, but does not expect them to have a material impact on its Condensed Consolidated Financial Statements and related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Business Combinations and Consolidation</w:t>
      </w:r>
      <w:r>
        <w:rPr>
          <w:color w:val="000000"/>
        </w:rPr>
        <w:t xml:space="preserve"> </w:t>
      </w:r>
      <w:r>
        <w:rPr>
          <w:rFonts w:ascii="Times New Roman;serif" w:hAnsi="Times New Roman;serif"/>
          <w:b w:val="false"/>
          <w:color w:val="000000"/>
          <w:sz w:val="20"/>
        </w:rPr>
        <w:t xml:space="preserve">- In May 2025, the FASB issued ASU 2025-03, </w:t>
      </w:r>
      <w:r>
        <w:rPr>
          <w:rFonts w:ascii="Times New Roman;serif" w:hAnsi="Times New Roman;serif"/>
          <w:b w:val="false"/>
          <w:i/>
          <w:color w:val="000000"/>
          <w:sz w:val="20"/>
        </w:rPr>
        <w:t>Business Combinations (Topic 805) and Consolidation (Topic 810)</w:t>
      </w:r>
      <w:r>
        <w:rPr>
          <w:rFonts w:ascii="Times New Roman;serif" w:hAnsi="Times New Roman;serif"/>
          <w:b w:val="false"/>
          <w:color w:val="000000"/>
          <w:sz w:val="20"/>
        </w:rPr>
        <w:t>. This ASU clarifies the requirement for identifying the accounting acquirer in a business combination involving a Variable Interest Entity (“VIE”). This ASU is effective for annual reporting periods beginning after December 15, 2026, and interim periods within those annual reporting periods. The Company is currently evaluating the impact of this ASU but does not expect it to have a material impact on its Condensed Consolidated Financial Statements and related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Intangibles—Goodwill and Other—Internal-Use Software </w:t>
      </w:r>
      <w:r>
        <w:rPr>
          <w:rFonts w:ascii="Times New Roman;serif" w:hAnsi="Times New Roman;serif"/>
          <w:b w:val="false"/>
          <w:color w:val="000000"/>
          <w:sz w:val="20"/>
        </w:rPr>
        <w:t xml:space="preserve">- In September 2025, the FASB issued ASU 2025-06, </w:t>
      </w:r>
      <w:r>
        <w:rPr>
          <w:rFonts w:ascii="Times New Roman;serif" w:hAnsi="Times New Roman;serif"/>
          <w:b w:val="false"/>
          <w:i/>
          <w:color w:val="000000"/>
          <w:sz w:val="20"/>
        </w:rPr>
        <w:t>Intangibles—Goodwill and Other—Internal-Use Software (Subtopic 350-40)</w:t>
      </w:r>
      <w:r>
        <w:rPr>
          <w:rFonts w:ascii="Times New Roman;serif" w:hAnsi="Times New Roman;serif"/>
          <w:b w:val="false"/>
          <w:color w:val="000000"/>
          <w:sz w:val="20"/>
        </w:rPr>
        <w:t>. This ASU updates the capitalization criteria for internal-use software cost by removing references to software development project stages. This ASU is effective for annual reporting periods beginning after December 15, 2027, and interim periods within those annual reporting periods. The Company is currently evaluating the impact of this ASU but does not expect it to have a material impact on its Condensed Consolidated Financial Statements and related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Derivatives and Hedging </w:t>
      </w:r>
      <w:r>
        <w:rPr>
          <w:rFonts w:ascii="Times New Roman;serif" w:hAnsi="Times New Roman;serif"/>
          <w:b w:val="false"/>
          <w:color w:val="000000"/>
          <w:sz w:val="20"/>
        </w:rPr>
        <w:t xml:space="preserve">- In November 2025, the FASB issued ASU 2025-09, </w:t>
      </w:r>
      <w:r>
        <w:rPr>
          <w:rFonts w:ascii="Times New Roman;serif" w:hAnsi="Times New Roman;serif"/>
          <w:b w:val="false"/>
          <w:i/>
          <w:color w:val="000000"/>
          <w:sz w:val="20"/>
        </w:rPr>
        <w:t>Derivatives and Hedging (Topic 815)</w:t>
      </w:r>
      <w:r>
        <w:rPr>
          <w:rFonts w:ascii="Times New Roman;serif" w:hAnsi="Times New Roman;serif"/>
          <w:b w:val="false"/>
          <w:color w:val="000000"/>
          <w:sz w:val="20"/>
        </w:rPr>
        <w:t>. This ASU incorporates targeted improvements to the hedge accounting guidance intended to better align financial reporting with the economics of an entity’s risk management activities. This ASU is effective for annual reporting periods beginning after December 15, 2026, and interim periods within those annual reporting periods. The Company is currently evaluating the impact of this ASU but does not expect it to have a material impact on the Company’s Condensed Consolidated Financial Statements and related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Interim Reporting</w:t>
      </w:r>
      <w:r>
        <w:rPr>
          <w:color w:val="000000"/>
        </w:rPr>
        <w:t xml:space="preserve"> </w:t>
      </w:r>
      <w:r>
        <w:rPr>
          <w:rFonts w:ascii="Times New Roman;serif" w:hAnsi="Times New Roman;serif"/>
          <w:b w:val="false"/>
          <w:color w:val="000000"/>
          <w:sz w:val="20"/>
        </w:rPr>
        <w:t xml:space="preserve">- In December 2025, the FASB issued ASU 2025-11, </w:t>
      </w:r>
      <w:r>
        <w:rPr>
          <w:rFonts w:ascii="Times New Roman;serif" w:hAnsi="Times New Roman;serif"/>
          <w:b w:val="false"/>
          <w:i/>
          <w:color w:val="000000"/>
          <w:sz w:val="20"/>
        </w:rPr>
        <w:t>Interim Reporting (Topic 270)</w:t>
      </w:r>
      <w:r>
        <w:rPr>
          <w:rFonts w:ascii="Times New Roman;serif" w:hAnsi="Times New Roman;serif"/>
          <w:b w:val="false"/>
          <w:color w:val="000000"/>
          <w:sz w:val="20"/>
        </w:rPr>
        <w:t>. This ASU provides clarity and enhances the navigability of existing interim disclosures required by U.S. GAAP. This ASU is effective for interim reporting periods beginning after December 15, 2027. The Company is currently evaluating the impact of this ASU but does not expect it to have a material impact on the Company’s Condensed Consolidated Financial Statements and related disclosures.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Codification Improvements </w:t>
      </w:r>
      <w:r>
        <w:rPr>
          <w:rFonts w:ascii="Times New Roman;serif" w:hAnsi="Times New Roman;serif"/>
          <w:b w:val="false"/>
          <w:color w:val="000000"/>
          <w:sz w:val="20"/>
        </w:rPr>
        <w:t xml:space="preserve">- In December 2025, the FASB issued ASU 2025-12, </w:t>
      </w:r>
      <w:r>
        <w:rPr>
          <w:rFonts w:ascii="Times New Roman;serif" w:hAnsi="Times New Roman;serif"/>
          <w:b w:val="false"/>
          <w:i/>
          <w:color w:val="000000"/>
          <w:sz w:val="20"/>
        </w:rPr>
        <w:t>Codification Improvements (Evergreen)</w:t>
      </w:r>
      <w:r>
        <w:rPr>
          <w:rFonts w:ascii="Times New Roman;serif" w:hAnsi="Times New Roman;serif"/>
          <w:b w:val="false"/>
          <w:color w:val="000000"/>
          <w:sz w:val="20"/>
        </w:rPr>
        <w:t>. This ASU improves the ASC for a broad range of Topics through technical corrections, clarifications, and other minor enhancements. This ASU is effective for annual reporting periods beginning after December 15, 2026, and interim periods within those annual reporting periods. The Company is currently evaluating the impact of this ASU but does not expect it to have a material impact on the Company’s Condensed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3. Sale of RFQ-hub</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RFQ</w:t>
        <w:noBreakHyphen/>
        <w:t>hub is a multi</w:t>
        <w:noBreakHyphen/>
        <w:t>asset platform for global listed and over</w:t>
        <w:noBreakHyphen/>
        <w:t>the</w:t>
        <w:noBreakHyphen/>
        <w:t>counter (“OTC”) financial instruments. It connects buy</w:t>
        <w:noBreakHyphen/>
        <w:t>side trading desks and portfolio managers with a large network of sell</w:t>
        <w:noBreakHyphen/>
        <w:t>side market makers in Europe, North America and the APAC region, allowing these trading desks to place requests</w:t>
        <w:noBreakHyphen/>
        <w:t>for</w:t>
        <w:noBreakHyphen/>
        <w:t>quotes (“RFQ”) in negotiated equities, futures, options, swaps, convertible bonds, structured products and commodities. In May 2022, the Company formed a consortium of strategic partners and investors to own and support the growth of the RFQ-hub business. Through a series of related transactions at that time in 2022, we sold a substantial minority interest in the business to multiple strategic partners and maintained a majority ownership interest.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19, 2024, the Company entered into a Unit Purchase Agreement with MarketAxess Holdings Inc. (“MarketAxess”) pursuant to which the Company has agreed to sell a 49% interest in the multi-asset request-for-quote communication platform JV, RFQ-hub Holdings LLC (“RFQ-hub Holdings,” or collectively with its wholly owned or controlled subsidiaries, “RFQ-hub”, which includes RFQ-hub Americas LLC, or “RAL”).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9, 2025, the Company completed the sale of a 49% interest in RFQ-hub to MarketAxess for total gross proceeds of $37.9 million in cash. Upon the closing of the sale, the Company retains a minority interest of approximately 2% in RFQ-hub. The Company deconsolidated RFQ-hub and recognized a gain on sale of $67.0 million, which was recorded in Other, net on the Condensed Consolidated Statements of Comprehensive Income.</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summary of the gain on sale and deconsolidation of RFQ-hub is as follows:</w:t>
      </w:r>
    </w:p>
    <w:tbl>
      <w:tblPr>
        <w:tblW w:w="5854" w:type="dxa"/>
        <w:jc w:val="center"/>
        <w:tblInd w:w="0" w:type="dxa"/>
        <w:tblLayout w:type="fixed"/>
        <w:tblCellMar>
          <w:top w:w="28" w:type="dxa"/>
          <w:left w:w="28" w:type="dxa"/>
          <w:bottom w:w="28" w:type="dxa"/>
          <w:right w:w="28" w:type="dxa"/>
        </w:tblCellMar>
      </w:tblPr>
      <w:tblGrid>
        <w:gridCol w:w="1537"/>
        <w:gridCol w:w="1352"/>
        <w:gridCol w:w="1355"/>
        <w:gridCol w:w="109"/>
        <w:gridCol w:w="109"/>
        <w:gridCol w:w="109"/>
        <w:gridCol w:w="210"/>
        <w:gridCol w:w="693"/>
        <w:gridCol w:w="117"/>
        <w:gridCol w:w="109"/>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May 9,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sale proceeds received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37,932 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noncontrolling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Carrying value of noncontrolling interest deconsolidated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Carrying value of RFQ-hub’s 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equipment and capitalized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Total carrying value of RFQ-hub’s net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RFQ-hub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66,988 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4. Earnings per Share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below table contains a reconciliation of Net income before income taxes and noncontrolling interest to Net income available for common stockholders:</w:t>
      </w:r>
    </w:p>
    <w:tbl>
      <w:tblPr>
        <w:tblW w:w="9739" w:type="dxa"/>
        <w:jc w:val="center"/>
        <w:tblInd w:w="0" w:type="dxa"/>
        <w:tblLayout w:type="fixed"/>
        <w:tblCellMar>
          <w:top w:w="28" w:type="dxa"/>
          <w:left w:w="28" w:type="dxa"/>
          <w:bottom w:w="28" w:type="dxa"/>
          <w:right w:w="28" w:type="dxa"/>
        </w:tblCellMar>
      </w:tblPr>
      <w:tblGrid>
        <w:gridCol w:w="1448"/>
        <w:gridCol w:w="1271"/>
        <w:gridCol w:w="1285"/>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342,557 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347,020 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752,129 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570,756 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284,929 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482,611 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for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333,208 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250,868 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calculation of basic and diluted earnings per share is presented below:</w:t>
      </w:r>
    </w:p>
    <w:tbl>
      <w:tblPr>
        <w:tblW w:w="10205" w:type="dxa"/>
        <w:jc w:val="center"/>
        <w:tblInd w:w="0" w:type="dxa"/>
        <w:tblLayout w:type="fixed"/>
        <w:tblCellMar>
          <w:top w:w="28" w:type="dxa"/>
          <w:left w:w="28" w:type="dxa"/>
          <w:bottom w:w="28" w:type="dxa"/>
          <w:right w:w="28" w:type="dxa"/>
        </w:tblCellMar>
      </w:tblPr>
      <w:tblGrid>
        <w:gridCol w:w="1577"/>
        <w:gridCol w:w="1387"/>
        <w:gridCol w:w="1388"/>
        <w:gridCol w:w="109"/>
        <w:gridCol w:w="109"/>
        <w:gridCol w:w="109"/>
        <w:gridCol w:w="202"/>
        <w:gridCol w:w="759"/>
        <w:gridCol w:w="109"/>
        <w:gridCol w:w="109"/>
        <w:gridCol w:w="109"/>
        <w:gridCol w:w="109"/>
        <w:gridCol w:w="202"/>
        <w:gridCol w:w="759"/>
        <w:gridCol w:w="109"/>
        <w:gridCol w:w="109"/>
        <w:gridCol w:w="109"/>
        <w:gridCol w:w="109"/>
        <w:gridCol w:w="202"/>
        <w:gridCol w:w="759"/>
        <w:gridCol w:w="109"/>
        <w:gridCol w:w="109"/>
        <w:gridCol w:w="109"/>
        <w:gridCol w:w="109"/>
        <w:gridCol w:w="202"/>
        <w:gridCol w:w="759"/>
        <w:gridCol w:w="109"/>
        <w:gridCol w:w="109"/>
        <w:gridCol w:w="156"/>
      </w:tblGrid>
      <w:tr>
        <w:trPr/>
        <w:tc>
          <w:tcPr>
            <w:tcW w:w="157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for share or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for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Dividends and undistributed earnings allocated to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for common stockholders, net of dividends and undistributed earnings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141,065 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314,841 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234,377 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87,603,606 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85,490,121 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86,852,837 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85,585,040 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77"/>
        <w:gridCol w:w="1387"/>
        <w:gridCol w:w="1388"/>
        <w:gridCol w:w="109"/>
        <w:gridCol w:w="109"/>
        <w:gridCol w:w="109"/>
        <w:gridCol w:w="202"/>
        <w:gridCol w:w="759"/>
        <w:gridCol w:w="109"/>
        <w:gridCol w:w="109"/>
        <w:gridCol w:w="109"/>
        <w:gridCol w:w="109"/>
        <w:gridCol w:w="202"/>
        <w:gridCol w:w="759"/>
        <w:gridCol w:w="109"/>
        <w:gridCol w:w="109"/>
        <w:gridCol w:w="109"/>
        <w:gridCol w:w="109"/>
        <w:gridCol w:w="202"/>
        <w:gridCol w:w="759"/>
        <w:gridCol w:w="109"/>
        <w:gridCol w:w="109"/>
        <w:gridCol w:w="109"/>
        <w:gridCol w:w="109"/>
        <w:gridCol w:w="202"/>
        <w:gridCol w:w="759"/>
        <w:gridCol w:w="109"/>
        <w:gridCol w:w="109"/>
        <w:gridCol w:w="156"/>
      </w:tblGrid>
      <w:tr>
        <w:trPr/>
        <w:tc>
          <w:tcPr>
            <w:tcW w:w="157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for share or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for common stockholders, net of dividends and undistributed earnings allocated to participating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shares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87,603,606 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85,490,121 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86,852,837 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85,585,040 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Issuable pursuant to Second Amended and Restated 2015 Management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87,603,606 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85,530,426 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86,852,837 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85,794,619 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456" w:type="dxa"/>
            <w:gridSpan w:val="20"/>
            <w:tcBorders/>
          </w:tcPr>
          <w:p>
            <w:pPr>
              <w:pStyle w:val="TableContents"/>
              <w:bidi w:val="0"/>
              <w:spacing w:before="0" w:after="283"/>
              <w:jc w:val="left"/>
              <w:rPr>
                <w:sz w:val="4"/>
                <w:szCs w:val="4"/>
              </w:rPr>
            </w:pPr>
            <w:r>
              <w:rPr>
                <w:sz w:val="4"/>
                <w:szCs w:val="4"/>
              </w:rPr>
            </w:r>
          </w:p>
        </w:tc>
      </w:tr>
      <w:tr>
        <w:trPr/>
        <w:tc>
          <w:tcPr>
            <w:tcW w:w="4352" w:type="dxa"/>
            <w:gridSpan w:val="3"/>
            <w:tcBorders/>
            <w:vAlign w:val="center"/>
          </w:tcPr>
          <w:p>
            <w:pPr>
              <w:pStyle w:val="TableContents"/>
              <w:bidi w:val="0"/>
              <w:spacing w:before="0" w:after="283"/>
              <w:jc w:val="left"/>
              <w:rPr>
                <w:sz w:val="4"/>
                <w:szCs w:val="4"/>
              </w:rPr>
            </w:pPr>
            <w:r>
              <w:rPr>
                <w:sz w:val="4"/>
                <w:szCs w:val="4"/>
              </w:rPr>
            </w:r>
          </w:p>
        </w:tc>
        <w:tc>
          <w:tcPr>
            <w:tcW w:w="5853" w:type="dxa"/>
            <w:gridSpan w:val="26"/>
            <w:tcBorders/>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5. Tax Receivable Agreements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detailed discussion of the Company’s tax receivable agreements, see Note 5 “Tax Receivable Agreements” in our consolidated financial statements included in Part II, Item 8 of our Annual Report on Form 10-K for the year ended December 31,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purposes of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made payments totaling $155.8 million from February 2017 through June 2026 with respect to its TRA obligation. Tax receivable payments are expected to range from approximately $0.7 million to $23.2 million per year over the next 15 years.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Company’s remaining deferred tax assets that relate to the matters described above were approximately $83.4 million and $91.4 million, respectively, and the Company’s liabilities over the next 15 years pursuant to the tax receivable agreements were approximately $173.1 million and $181.9 million for June 30, 2026 and December 31, 2025, respectively. The amounts recorded as of June 30, 2026 and December 31, 2025 are based on best estimates available at the respective dates and may be subject to change after the filing of the Company’s U.S. federal and state income tax returns for the years in which tax savings were realized.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6. Goodwill and Intangible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two operating segments: (i) Market Making; and (ii) Execution Services; and one non-operating segment: Corporate. As of June 30, 2026 and December 31, 2025, the Company’s total amount of goodwill recorded was $1,148.9 million. No goodwill impairment was recognized during the three and six months ended June 30, 2026 and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details of goodwill by segment as of June 30, 2026 and December 31, 2025:</w:t>
      </w:r>
    </w:p>
    <w:tbl>
      <w:tblPr>
        <w:tblW w:w="7944" w:type="dxa"/>
        <w:jc w:val="center"/>
        <w:tblInd w:w="0" w:type="dxa"/>
        <w:tblLayout w:type="fixed"/>
        <w:tblCellMar>
          <w:top w:w="28" w:type="dxa"/>
          <w:left w:w="28" w:type="dxa"/>
          <w:bottom w:w="28" w:type="dxa"/>
          <w:right w:w="28" w:type="dxa"/>
        </w:tblCellMar>
      </w:tblPr>
      <w:tblGrid>
        <w:gridCol w:w="667"/>
        <w:gridCol w:w="587"/>
        <w:gridCol w:w="591"/>
        <w:gridCol w:w="109"/>
        <w:gridCol w:w="109"/>
        <w:gridCol w:w="109"/>
        <w:gridCol w:w="234"/>
        <w:gridCol w:w="880"/>
        <w:gridCol w:w="130"/>
        <w:gridCol w:w="109"/>
        <w:gridCol w:w="109"/>
        <w:gridCol w:w="109"/>
        <w:gridCol w:w="274"/>
        <w:gridCol w:w="1029"/>
        <w:gridCol w:w="152"/>
        <w:gridCol w:w="109"/>
        <w:gridCol w:w="109"/>
        <w:gridCol w:w="109"/>
        <w:gridCol w:w="240"/>
        <w:gridCol w:w="497"/>
        <w:gridCol w:w="134"/>
        <w:gridCol w:w="109"/>
        <w:gridCol w:w="109"/>
        <w:gridCol w:w="109"/>
        <w:gridCol w:w="196"/>
        <w:gridCol w:w="871"/>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period-end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755,292 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393,634 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1,148,926 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Company’s total amount of intangible assets recorded was $131.4 million and $154.9 million, respectively. Acquired intangible assets consisted of the following as of June 30, 2026 and December 31, 2025:</w:t>
      </w:r>
    </w:p>
    <w:tbl>
      <w:tblPr>
        <w:tblW w:w="10162" w:type="dxa"/>
        <w:jc w:val="center"/>
        <w:tblInd w:w="0" w:type="dxa"/>
        <w:tblLayout w:type="fixed"/>
        <w:tblCellMar>
          <w:top w:w="28" w:type="dxa"/>
          <w:left w:w="28" w:type="dxa"/>
          <w:bottom w:w="28" w:type="dxa"/>
          <w:right w:w="28" w:type="dxa"/>
        </w:tblCellMar>
      </w:tblPr>
      <w:tblGrid>
        <w:gridCol w:w="736"/>
        <w:gridCol w:w="650"/>
        <w:gridCol w:w="653"/>
        <w:gridCol w:w="109"/>
        <w:gridCol w:w="109"/>
        <w:gridCol w:w="109"/>
        <w:gridCol w:w="361"/>
        <w:gridCol w:w="1358"/>
        <w:gridCol w:w="201"/>
        <w:gridCol w:w="109"/>
        <w:gridCol w:w="109"/>
        <w:gridCol w:w="109"/>
        <w:gridCol w:w="387"/>
        <w:gridCol w:w="1509"/>
        <w:gridCol w:w="219"/>
        <w:gridCol w:w="109"/>
        <w:gridCol w:w="109"/>
        <w:gridCol w:w="109"/>
        <w:gridCol w:w="330"/>
        <w:gridCol w:w="1241"/>
        <w:gridCol w:w="183"/>
        <w:gridCol w:w="109"/>
        <w:gridCol w:w="109"/>
        <w:gridCol w:w="109"/>
        <w:gridCol w:w="109"/>
        <w:gridCol w:w="109"/>
        <w:gridCol w:w="109"/>
        <w:gridCol w:w="109"/>
        <w:gridCol w:w="109"/>
        <w:gridCol w:w="109"/>
        <w:gridCol w:w="109"/>
        <w:gridCol w:w="109"/>
        <w:gridCol w:w="154"/>
      </w:tblGrid>
      <w:tr>
        <w:trPr/>
        <w:tc>
          <w:tcPr>
            <w:tcW w:w="73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6"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Useful Lives</w:t>
              <w:br/>
              <w:t>(Years) </w:t>
            </w:r>
          </w:p>
        </w:tc>
      </w:tr>
      <w:tr>
        <w:trPr/>
        <w:tc>
          <w:tcPr>
            <w:tcW w:w="20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479,130 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(351,959)</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127,171 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w:t>
            </w:r>
          </w:p>
        </w:tc>
        <w:tc>
          <w:tcPr>
            <w:tcW w:w="3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(136,000)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Favorable occupancy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memberships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Indefinite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ETF issuer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ETF buyer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630,523 </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(499,158)</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131,365 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028" w:type="dxa"/>
        <w:jc w:val="center"/>
        <w:tblInd w:w="0" w:type="dxa"/>
        <w:tblLayout w:type="fixed"/>
        <w:tblCellMar>
          <w:top w:w="28" w:type="dxa"/>
          <w:left w:w="28" w:type="dxa"/>
          <w:bottom w:w="28" w:type="dxa"/>
          <w:right w:w="28" w:type="dxa"/>
        </w:tblCellMar>
      </w:tblPr>
      <w:tblGrid>
        <w:gridCol w:w="736"/>
        <w:gridCol w:w="650"/>
        <w:gridCol w:w="653"/>
        <w:gridCol w:w="109"/>
        <w:gridCol w:w="109"/>
        <w:gridCol w:w="109"/>
        <w:gridCol w:w="353"/>
        <w:gridCol w:w="1326"/>
        <w:gridCol w:w="196"/>
        <w:gridCol w:w="109"/>
        <w:gridCol w:w="109"/>
        <w:gridCol w:w="109"/>
        <w:gridCol w:w="363"/>
        <w:gridCol w:w="1505"/>
        <w:gridCol w:w="202"/>
        <w:gridCol w:w="109"/>
        <w:gridCol w:w="109"/>
        <w:gridCol w:w="109"/>
        <w:gridCol w:w="322"/>
        <w:gridCol w:w="1209"/>
        <w:gridCol w:w="179"/>
        <w:gridCol w:w="109"/>
        <w:gridCol w:w="109"/>
        <w:gridCol w:w="109"/>
        <w:gridCol w:w="109"/>
        <w:gridCol w:w="109"/>
        <w:gridCol w:w="109"/>
        <w:gridCol w:w="109"/>
        <w:gridCol w:w="109"/>
        <w:gridCol w:w="109"/>
        <w:gridCol w:w="109"/>
        <w:gridCol w:w="109"/>
        <w:gridCol w:w="154"/>
      </w:tblGrid>
      <w:tr>
        <w:trPr/>
        <w:tc>
          <w:tcPr>
            <w:tcW w:w="73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Useful Lives</w:t>
              <w:br/>
              <w:t>(Years)</w:t>
            </w:r>
          </w:p>
        </w:tc>
      </w:tr>
      <w:tr>
        <w:trPr/>
        <w:tc>
          <w:tcPr>
            <w:tcW w:w="20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479,130 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(328,411)</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150,719 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w:t>
            </w:r>
          </w:p>
        </w:tc>
        <w:tc>
          <w:tcPr>
            <w:tcW w:w="3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(136,000)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Favorable occupancy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memberships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Indefinite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ETF issuer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ETF buyer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630,523 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(475,592)</w:t>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154,931 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vAlign w:val="center"/>
          </w:tcPr>
          <w:p>
            <w:pPr>
              <w:pStyle w:val="TableContents"/>
              <w:bidi w:val="0"/>
              <w:spacing w:before="0" w:after="283"/>
              <w:jc w:val="left"/>
              <w:rPr>
                <w:sz w:val="4"/>
                <w:szCs w:val="4"/>
              </w:rPr>
            </w:pPr>
            <w:r>
              <w:rPr>
                <w:sz w:val="4"/>
                <w:szCs w:val="4"/>
              </w:rPr>
            </w:r>
          </w:p>
        </w:tc>
        <w:tc>
          <w:tcPr>
            <w:tcW w:w="7989" w:type="dxa"/>
            <w:gridSpan w:val="30"/>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relating to finite-lived intangible assets was approximately $11.8 million and $11.8 million for the three months ended June 30, 2026 and 2025, respectively, and $23.6 million and $23.6 million for the six months ended June 30, 2026 and 2025, respectively. This is included in Amortization of purchased intangibles and acquired capitalized software in the accompanying Condensed Consolidated Statements of Comprehensive Income.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expects to record amortization expense as follows over the next five subsequent years:</w:t>
      </w:r>
    </w:p>
    <w:tbl>
      <w:tblPr>
        <w:tblW w:w="2792" w:type="dxa"/>
        <w:jc w:val="center"/>
        <w:tblInd w:w="0" w:type="dxa"/>
        <w:tblLayout w:type="fixed"/>
        <w:tblCellMar>
          <w:top w:w="28" w:type="dxa"/>
          <w:left w:w="28" w:type="dxa"/>
          <w:bottom w:w="28" w:type="dxa"/>
          <w:right w:w="28" w:type="dxa"/>
        </w:tblCellMar>
      </w:tblPr>
      <w:tblGrid>
        <w:gridCol w:w="531"/>
        <w:gridCol w:w="468"/>
        <w:gridCol w:w="470"/>
        <w:gridCol w:w="109"/>
        <w:gridCol w:w="109"/>
        <w:gridCol w:w="109"/>
        <w:gridCol w:w="196"/>
        <w:gridCol w:w="646"/>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7. Receivables from/Payables to Broker-Dealers and Clearing Organizations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receivables from and payables to brokers-dealers and clearing organizations at June 30, 2026 and December 31, 2025:</w:t>
      </w:r>
    </w:p>
    <w:tbl>
      <w:tblPr>
        <w:tblW w:w="7978" w:type="dxa"/>
        <w:jc w:val="center"/>
        <w:tblInd w:w="0" w:type="dxa"/>
        <w:tblLayout w:type="fixed"/>
        <w:tblCellMar>
          <w:top w:w="28" w:type="dxa"/>
          <w:left w:w="28" w:type="dxa"/>
          <w:bottom w:w="28" w:type="dxa"/>
          <w:right w:w="28" w:type="dxa"/>
        </w:tblCellMar>
      </w:tblPr>
      <w:tblGrid>
        <w:gridCol w:w="1665"/>
        <w:gridCol w:w="1466"/>
        <w:gridCol w:w="1473"/>
        <w:gridCol w:w="109"/>
        <w:gridCol w:w="109"/>
        <w:gridCol w:w="109"/>
        <w:gridCol w:w="196"/>
        <w:gridCol w:w="871"/>
        <w:gridCol w:w="109"/>
        <w:gridCol w:w="109"/>
        <w:gridCol w:w="109"/>
        <w:gridCol w:w="109"/>
        <w:gridCol w:w="248"/>
        <w:gridCol w:w="1102"/>
        <w:gridCol w:w="194"/>
      </w:tblGrid>
      <w:tr>
        <w:trPr/>
        <w:tc>
          <w:tcPr>
            <w:tcW w:w="1665"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6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Due from prime brokers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902,859 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 with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253,010 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equity with futures commission merchants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455,105 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Unsettled trades with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28,354 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failed to deliver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220,326 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and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36,751 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3,207,464 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1,896,405 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Due to prime brokers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612,679 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equity with futures commission merchants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Unsettled trades with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238,872 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failed to receive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145,548 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and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1,036,371 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998,276 </w:t>
            </w:r>
          </w:p>
        </w:tc>
        <w:tc>
          <w:tcPr>
            <w:tcW w:w="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6"/>
        </w:rPr>
        <w:t>(1)   The Company presents its balances, including outstanding principal balances on all broker credit facilities, on a net-by-counterparty basis within receivables from and payables to broker-dealers and clearing organizations when the criteria for offsetting are met</w:t>
      </w:r>
      <w:r>
        <w:rPr>
          <w:rFonts w:ascii="Times New Roman;serif" w:hAnsi="Times New Roman;serif"/>
          <w:b w:val="false"/>
          <w:color w:val="000000"/>
          <w:sz w:val="20"/>
        </w:rPr>
        <w:t>.</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Included as a deduction from “Due from prime brokers” and “Net equity with futures commission merchants” is the outstanding principal balance on all of the Company’s prime brokerage credit facilities (described in Note 9 “Borrowings”) of approximately $261.3 million and $203.8 million as of June 30, 2026 and December 31, 2025,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8. Collateralized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permitted to sell or repledge securities received as collateral and use these securities to secure repurchase agreements, enter into securities lending transactions or deliver these securities to counterparties or clearing organizations to cover short positions. At June 30, 2026 and December 31, 2025, substantially all of the securities received as collateral have been repledged.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the collateralized transactions at June 30, 2026 and December 31, 2025 are summarized as follows:</w:t>
      </w:r>
    </w:p>
    <w:tbl>
      <w:tblPr>
        <w:tblW w:w="6764" w:type="dxa"/>
        <w:jc w:val="center"/>
        <w:tblInd w:w="0" w:type="dxa"/>
        <w:tblLayout w:type="fixed"/>
        <w:tblCellMar>
          <w:top w:w="28" w:type="dxa"/>
          <w:left w:w="28" w:type="dxa"/>
          <w:bottom w:w="28" w:type="dxa"/>
          <w:right w:w="28" w:type="dxa"/>
        </w:tblCellMar>
      </w:tblPr>
      <w:tblGrid>
        <w:gridCol w:w="1225"/>
        <w:gridCol w:w="1079"/>
        <w:gridCol w:w="1086"/>
        <w:gridCol w:w="109"/>
        <w:gridCol w:w="109"/>
        <w:gridCol w:w="109"/>
        <w:gridCol w:w="196"/>
        <w:gridCol w:w="871"/>
        <w:gridCol w:w="109"/>
        <w:gridCol w:w="109"/>
        <w:gridCol w:w="109"/>
        <w:gridCol w:w="109"/>
        <w:gridCol w:w="248"/>
        <w:gridCol w:w="1102"/>
        <w:gridCol w:w="194"/>
      </w:tblGrid>
      <w:tr>
        <w:trPr/>
        <w:tc>
          <w:tcPr>
            <w:tcW w:w="122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Securities received as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3,714,317 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3,083,612 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1,855,760 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988,274 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5,570,077 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4,071,886 </w:t>
            </w:r>
          </w:p>
        </w:tc>
        <w:tc>
          <w:tcPr>
            <w:tcW w:w="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pledges qualified securities with clearing organizations to satisfy daily margin and clearing fund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instruments owned and pledged, where the counterparty has the right to repledge, at June 30, 2026 and December 31, 2025 consisted of the following:</w:t>
      </w:r>
    </w:p>
    <w:p>
      <w:pPr>
        <w:pStyle w:val="TextBody"/>
        <w:bidi w:val="0"/>
        <w:spacing w:before="0" w:after="0"/>
        <w:ind w:left="0" w:right="0" w:firstLine="720"/>
        <w:jc w:val="left"/>
        <w:rPr/>
      </w:pPr>
      <w:r>
        <w:rPr/>
      </w:r>
    </w:p>
    <w:tbl>
      <w:tblPr>
        <w:tblW w:w="5069" w:type="dxa"/>
        <w:jc w:val="center"/>
        <w:tblInd w:w="0" w:type="dxa"/>
        <w:tblLayout w:type="fixed"/>
        <w:tblCellMar>
          <w:top w:w="28" w:type="dxa"/>
          <w:left w:w="28" w:type="dxa"/>
          <w:bottom w:w="28" w:type="dxa"/>
          <w:right w:w="28" w:type="dxa"/>
        </w:tblCellMar>
      </w:tblPr>
      <w:tblGrid>
        <w:gridCol w:w="612"/>
        <w:gridCol w:w="540"/>
        <w:gridCol w:w="543"/>
        <w:gridCol w:w="109"/>
        <w:gridCol w:w="109"/>
        <w:gridCol w:w="109"/>
        <w:gridCol w:w="196"/>
        <w:gridCol w:w="871"/>
        <w:gridCol w:w="109"/>
        <w:gridCol w:w="109"/>
        <w:gridCol w:w="109"/>
        <w:gridCol w:w="109"/>
        <w:gridCol w:w="248"/>
        <w:gridCol w:w="1102"/>
        <w:gridCol w:w="194"/>
      </w:tblGrid>
      <w:tr>
        <w:trPr/>
        <w:tc>
          <w:tcPr>
            <w:tcW w:w="61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3,497,920 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3,200,345 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3,513,023 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3,208,525 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9. Borrowings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Short-term Borrowings,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Company’s short-term borrowing balances outstanding, net of related debt issuance costs, with each described in further detail below.</w:t>
      </w:r>
    </w:p>
    <w:tbl>
      <w:tblPr>
        <w:tblW w:w="9259" w:type="dxa"/>
        <w:jc w:val="center"/>
        <w:tblInd w:w="0" w:type="dxa"/>
        <w:tblLayout w:type="fixed"/>
        <w:tblCellMar>
          <w:top w:w="28" w:type="dxa"/>
          <w:left w:w="28" w:type="dxa"/>
          <w:bottom w:w="28" w:type="dxa"/>
          <w:right w:w="28" w:type="dxa"/>
        </w:tblCellMar>
      </w:tblPr>
      <w:tblGrid>
        <w:gridCol w:w="770"/>
        <w:gridCol w:w="679"/>
        <w:gridCol w:w="681"/>
        <w:gridCol w:w="109"/>
        <w:gridCol w:w="109"/>
        <w:gridCol w:w="109"/>
        <w:gridCol w:w="344"/>
        <w:gridCol w:w="1294"/>
        <w:gridCol w:w="191"/>
        <w:gridCol w:w="109"/>
        <w:gridCol w:w="109"/>
        <w:gridCol w:w="109"/>
        <w:gridCol w:w="452"/>
        <w:gridCol w:w="1456"/>
        <w:gridCol w:w="251"/>
        <w:gridCol w:w="109"/>
        <w:gridCol w:w="109"/>
        <w:gridCol w:w="109"/>
        <w:gridCol w:w="390"/>
        <w:gridCol w:w="1464"/>
        <w:gridCol w:w="306"/>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 Borrowings, net</w:t>
            </w:r>
          </w:p>
        </w:tc>
      </w:tr>
      <w:tr>
        <w:trPr/>
        <w:tc>
          <w:tcPr>
            <w:tcW w:w="21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325,000 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323,582 </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bank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30,359 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30,359 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355,359 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353,941 </w:t>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59" w:type="dxa"/>
        <w:jc w:val="center"/>
        <w:tblInd w:w="0" w:type="dxa"/>
        <w:tblLayout w:type="fixed"/>
        <w:tblCellMar>
          <w:top w:w="28" w:type="dxa"/>
          <w:left w:w="28" w:type="dxa"/>
          <w:bottom w:w="28" w:type="dxa"/>
          <w:right w:w="28" w:type="dxa"/>
        </w:tblCellMar>
      </w:tblPr>
      <w:tblGrid>
        <w:gridCol w:w="770"/>
        <w:gridCol w:w="679"/>
        <w:gridCol w:w="681"/>
        <w:gridCol w:w="109"/>
        <w:gridCol w:w="109"/>
        <w:gridCol w:w="109"/>
        <w:gridCol w:w="376"/>
        <w:gridCol w:w="1243"/>
        <w:gridCol w:w="211"/>
        <w:gridCol w:w="109"/>
        <w:gridCol w:w="109"/>
        <w:gridCol w:w="109"/>
        <w:gridCol w:w="595"/>
        <w:gridCol w:w="1231"/>
        <w:gridCol w:w="333"/>
        <w:gridCol w:w="109"/>
        <w:gridCol w:w="109"/>
        <w:gridCol w:w="109"/>
        <w:gridCol w:w="423"/>
        <w:gridCol w:w="1399"/>
        <w:gridCol w:w="337"/>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 Borrowings, net</w:t>
            </w:r>
          </w:p>
        </w:tc>
      </w:tr>
      <w:tr>
        <w:trPr/>
        <w:tc>
          <w:tcPr>
            <w:tcW w:w="21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bank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2,382 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9" w:type="dxa"/>
            <w:gridSpan w:val="3"/>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12,382 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12,382 </w:t>
            </w:r>
          </w:p>
        </w:tc>
        <w:tc>
          <w:tcPr>
            <w:tcW w:w="3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Broker-Dealer Credit Facilities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a party to two secured credit facilities with a financial institution to finance overnight securities positions purchased as part of its ordinary course U.S. broker-dealer market making activities. One of the facilities (the “Uncommitted Facility”) is provided on an uncommitted basis with an aggregate borrowing limit of $400 million, and is collateralized by VAL’s trading and deposit account maintained at the financial institution. The second credit facility (the “Committed Facility”) with the same financial institution has a borrowing limit of $650 million. The Committed Facility consists of two borrowing bases: Borrowing Base A Loan is to be used to finance the purchase and settlement of securities; Borrowing Base B Loan is to be used to fund margin deposit with the National Securities Clearing Corporation. Borrowing Base A Loans are available up to $650 million and bear interest at the adjusted Secured Overnight Financing Rate (“SOFR”) or base rate plus 1.25% per annum. Borrowing Base B Loans are subject to a sublimit of $300 million, which was amended to $350 million in February 2025, and bear interest at the adjusted SOFR or base rate plus 2.50% per annum. A commitment fee of 0.50% per annum on the average daily unused portion of this facility is payable quarterly in arrears.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Virtu Financial Singapore Pte. Ltd. was a party to a revolving credit facility with a financial institution (the “Overdraft Facility”) to provide a source of short-term financing. The facility had an aggregate borrowing limit of $10 million, and bore interest at the adjusted SOFR or base rate plus 3.5% per annum. The Overdraft Facility expired during the three months ended June 30, 2026.</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Company’s broker-dealer credit facilities’ carrying values, net of unamortized debt issuance costs, where applicable. These balances are included within Short-term borrowings on the Condensed Consolidated Statements of Financial Condition.</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576"/>
        <w:gridCol w:w="507"/>
        <w:gridCol w:w="511"/>
        <w:gridCol w:w="114"/>
        <w:gridCol w:w="114"/>
        <w:gridCol w:w="114"/>
        <w:gridCol w:w="275"/>
        <w:gridCol w:w="275"/>
        <w:gridCol w:w="276"/>
        <w:gridCol w:w="114"/>
        <w:gridCol w:w="114"/>
        <w:gridCol w:w="114"/>
        <w:gridCol w:w="228"/>
        <w:gridCol w:w="1014"/>
        <w:gridCol w:w="126"/>
        <w:gridCol w:w="114"/>
        <w:gridCol w:w="114"/>
        <w:gridCol w:w="114"/>
        <w:gridCol w:w="256"/>
        <w:gridCol w:w="963"/>
        <w:gridCol w:w="142"/>
        <w:gridCol w:w="114"/>
        <w:gridCol w:w="114"/>
        <w:gridCol w:w="114"/>
        <w:gridCol w:w="292"/>
        <w:gridCol w:w="899"/>
        <w:gridCol w:w="162"/>
        <w:gridCol w:w="114"/>
        <w:gridCol w:w="114"/>
        <w:gridCol w:w="114"/>
        <w:gridCol w:w="280"/>
        <w:gridCol w:w="1053"/>
        <w:gridCol w:w="155"/>
        <w:gridCol w:w="109"/>
        <w:gridCol w:w="109"/>
        <w:gridCol w:w="109"/>
        <w:gridCol w:w="178"/>
      </w:tblGrid>
      <w:tr>
        <w:trPr/>
        <w:tc>
          <w:tcPr>
            <w:tcW w:w="57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Financing Available</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Outstanding</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Debt Issuance Cost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Borrowings,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5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Broker-dealer credit facilities: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Uncommitted facility</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Committed facility (1)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198,582 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5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5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5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1,050,000 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325,000 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323,582 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594"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5733" w:type="dxa"/>
            <w:gridSpan w:val="22"/>
            <w:tcBorders/>
          </w:tcPr>
          <w:p>
            <w:pPr>
              <w:pStyle w:val="TableContents"/>
              <w:bidi w:val="0"/>
              <w:spacing w:before="0" w:after="283"/>
              <w:jc w:val="left"/>
              <w:rPr>
                <w:sz w:val="4"/>
                <w:szCs w:val="4"/>
              </w:rPr>
            </w:pPr>
            <w:r>
              <w:rPr>
                <w:sz w:val="4"/>
                <w:szCs w:val="4"/>
              </w:rPr>
            </w:r>
          </w:p>
        </w:tc>
      </w:tr>
      <w:tr>
        <w:trPr/>
        <w:tc>
          <w:tcPr>
            <w:tcW w:w="9700"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(1) Interest rate for Borrowing Base A Loan and Borrowing Base B Loan under the Committed Facility was 5.01% and 6.26%, respectively. Within the Committed facility, there was 100.0 million balance outstanding under Borrowing Base B Loan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08"/>
        <w:gridCol w:w="536"/>
        <w:gridCol w:w="540"/>
        <w:gridCol w:w="123"/>
        <w:gridCol w:w="123"/>
        <w:gridCol w:w="123"/>
        <w:gridCol w:w="292"/>
        <w:gridCol w:w="292"/>
        <w:gridCol w:w="293"/>
        <w:gridCol w:w="123"/>
        <w:gridCol w:w="123"/>
        <w:gridCol w:w="123"/>
        <w:gridCol w:w="243"/>
        <w:gridCol w:w="1081"/>
        <w:gridCol w:w="135"/>
        <w:gridCol w:w="123"/>
        <w:gridCol w:w="123"/>
        <w:gridCol w:w="123"/>
        <w:gridCol w:w="291"/>
        <w:gridCol w:w="961"/>
        <w:gridCol w:w="163"/>
        <w:gridCol w:w="123"/>
        <w:gridCol w:w="123"/>
        <w:gridCol w:w="123"/>
        <w:gridCol w:w="365"/>
        <w:gridCol w:w="755"/>
        <w:gridCol w:w="204"/>
        <w:gridCol w:w="123"/>
        <w:gridCol w:w="123"/>
        <w:gridCol w:w="123"/>
        <w:gridCol w:w="312"/>
        <w:gridCol w:w="1032"/>
        <w:gridCol w:w="257"/>
      </w:tblGrid>
      <w:tr>
        <w:trPr/>
        <w:tc>
          <w:tcPr>
            <w:tcW w:w="60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1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At December 31, 2025</w:t>
            </w:r>
          </w:p>
        </w:tc>
      </w:tr>
      <w:tr>
        <w:trPr/>
        <w:tc>
          <w:tcPr>
            <w:tcW w:w="1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Financing Available</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 Outstanding</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Debt Issuance Cost</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Borrowings, net</w:t>
            </w:r>
          </w:p>
        </w:tc>
      </w:tr>
      <w:tr>
        <w:trPr/>
        <w:tc>
          <w:tcPr>
            <w:tcW w:w="16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Broker-dealer credit facilities:</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Uncommitted facility</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4.81%</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Committed facility (1)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5.09%</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Overdraft facility</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7.37%</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1,060,000 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4" w:type="dxa"/>
            <w:gridSpan w:val="3"/>
            <w:tcBorders/>
            <w:vAlign w:val="center"/>
          </w:tcPr>
          <w:p>
            <w:pPr>
              <w:pStyle w:val="TableContents"/>
              <w:bidi w:val="0"/>
              <w:spacing w:before="0" w:after="283"/>
              <w:jc w:val="left"/>
              <w:rPr>
                <w:sz w:val="4"/>
                <w:szCs w:val="4"/>
              </w:rPr>
            </w:pPr>
            <w:r>
              <w:rPr>
                <w:sz w:val="4"/>
                <w:szCs w:val="4"/>
              </w:rPr>
            </w:r>
          </w:p>
        </w:tc>
        <w:tc>
          <w:tcPr>
            <w:tcW w:w="8521" w:type="dxa"/>
            <w:gridSpan w:val="30"/>
            <w:tcBorders/>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(1) $2.5 million of deferred debt issuance costs are included within Other assets on the Consolidated Statements of Financial Condition. Interest rate for Borrowing Base A Loan and Borrowing Base B Loan under the Committed Facility was 5.09% and 6.58%, respectively. There was no balance outstanding under Borrowing Base B Loan as of December 31, 2025.</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interest expense for the broker-dealer facilities. Interest expense is included within Interest and dividends expense in the accompanying Condensed Consolidated Statements of Comprehensive Income.</w:t>
      </w:r>
    </w:p>
    <w:p>
      <w:pPr>
        <w:pStyle w:val="TextBody"/>
        <w:bidi w:val="0"/>
        <w:spacing w:before="0" w:after="0"/>
        <w:ind w:left="0" w:right="0" w:firstLine="720"/>
        <w:jc w:val="left"/>
        <w:rPr/>
      </w:pPr>
      <w:r>
        <w:rPr/>
      </w:r>
    </w:p>
    <w:tbl>
      <w:tblPr>
        <w:tblW w:w="7555" w:type="dxa"/>
        <w:jc w:val="center"/>
        <w:tblInd w:w="0" w:type="dxa"/>
        <w:tblLayout w:type="fixed"/>
        <w:tblCellMar>
          <w:top w:w="28" w:type="dxa"/>
          <w:left w:w="28" w:type="dxa"/>
          <w:bottom w:w="28" w:type="dxa"/>
          <w:right w:w="28" w:type="dxa"/>
        </w:tblCellMar>
      </w:tblPr>
      <w:tblGrid>
        <w:gridCol w:w="834"/>
        <w:gridCol w:w="735"/>
        <w:gridCol w:w="741"/>
        <w:gridCol w:w="109"/>
        <w:gridCol w:w="109"/>
        <w:gridCol w:w="109"/>
        <w:gridCol w:w="216"/>
        <w:gridCol w:w="614"/>
        <w:gridCol w:w="120"/>
        <w:gridCol w:w="120"/>
        <w:gridCol w:w="120"/>
        <w:gridCol w:w="120"/>
        <w:gridCol w:w="216"/>
        <w:gridCol w:w="614"/>
        <w:gridCol w:w="120"/>
        <w:gridCol w:w="109"/>
        <w:gridCol w:w="109"/>
        <w:gridCol w:w="109"/>
        <w:gridCol w:w="198"/>
        <w:gridCol w:w="561"/>
        <w:gridCol w:w="110"/>
        <w:gridCol w:w="110"/>
        <w:gridCol w:w="110"/>
        <w:gridCol w:w="110"/>
        <w:gridCol w:w="198"/>
        <w:gridCol w:w="561"/>
        <w:gridCol w:w="110"/>
        <w:gridCol w:w="109"/>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Broker-dealer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Uncommitted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Committed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Overdraft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2,331 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2,235 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4,523 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4,374 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Short-Term Bank Loans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Company’s international securities clearance and settlement activities are funded with operating cash or with short-term bank loans in the form of overdraft facilities. At June 30, 2026 and December 31, 2025, there were </w:t>
      </w:r>
      <w:r>
        <w:rPr>
          <w:rFonts w:ascii="Times New Roman;serif" w:hAnsi="Times New Roman;serif"/>
          <w:b w:val="false"/>
          <w:color w:val="000000"/>
          <w:sz w:val="20"/>
          <w:shd w:fill="FFFFFF" w:val="clear"/>
        </w:rPr>
        <w:t>$30.4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 xml:space="preserve">$2.4 million, respectively, of short-term bank loans </w:t>
      </w:r>
      <w:r>
        <w:rPr>
          <w:rFonts w:ascii="Times New Roman;serif" w:hAnsi="Times New Roman;serif"/>
          <w:b w:val="false"/>
          <w:color w:val="000000"/>
          <w:sz w:val="20"/>
        </w:rPr>
        <w:t>associated with international settlement activities outstanding under these facilities, at a weighted average interest rate of approximately 2.8% and 1.3%, respectively. Outstanding short-term bank loan balances are included within Short-term borrowings on the Condensed Consolidated Statements of Financial Condition.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In November 2024, Virtu Financial Singapore Pte. Ltd. entered into an agreement with a financial institution for a short-term bank loan with a total capacity of </w:t>
      </w:r>
      <w:r>
        <w:rPr>
          <w:rFonts w:ascii="Times New Roman;serif" w:hAnsi="Times New Roman;serif"/>
          <w:b w:val="false"/>
          <w:color w:val="000000"/>
          <w:sz w:val="20"/>
          <w:shd w:fill="FFFFFF" w:val="clear"/>
        </w:rPr>
        <w:t xml:space="preserve">$50.0 million. </w:t>
      </w:r>
      <w:r>
        <w:rPr>
          <w:rFonts w:ascii="Times New Roman;serif" w:hAnsi="Times New Roman;serif"/>
          <w:b w:val="false"/>
          <w:color w:val="000000"/>
          <w:sz w:val="20"/>
        </w:rPr>
        <w:t>At June 30, 2026 and December 31, 2025, there was no balance outstanding under this short-term bank loan.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Prime Brokerage Credit Facilities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pStyle w:val="TextBody"/>
        <w:bidi w:val="0"/>
        <w:spacing w:before="0" w:after="0"/>
        <w:ind w:left="0" w:right="0" w:firstLine="720"/>
        <w:jc w:val="left"/>
        <w:rPr/>
      </w:pPr>
      <w:r>
        <w:rPr/>
      </w:r>
    </w:p>
    <w:tbl>
      <w:tblPr>
        <w:tblW w:w="7187" w:type="dxa"/>
        <w:jc w:val="center"/>
        <w:tblInd w:w="0" w:type="dxa"/>
        <w:tblLayout w:type="fixed"/>
        <w:tblCellMar>
          <w:top w:w="28" w:type="dxa"/>
          <w:left w:w="28" w:type="dxa"/>
          <w:bottom w:w="28" w:type="dxa"/>
          <w:right w:w="28" w:type="dxa"/>
        </w:tblCellMar>
      </w:tblPr>
      <w:tblGrid>
        <w:gridCol w:w="949"/>
        <w:gridCol w:w="836"/>
        <w:gridCol w:w="840"/>
        <w:gridCol w:w="109"/>
        <w:gridCol w:w="109"/>
        <w:gridCol w:w="109"/>
        <w:gridCol w:w="484"/>
        <w:gridCol w:w="484"/>
        <w:gridCol w:w="486"/>
        <w:gridCol w:w="109"/>
        <w:gridCol w:w="109"/>
        <w:gridCol w:w="109"/>
        <w:gridCol w:w="196"/>
        <w:gridCol w:w="736"/>
        <w:gridCol w:w="109"/>
        <w:gridCol w:w="109"/>
        <w:gridCol w:w="109"/>
        <w:gridCol w:w="109"/>
        <w:gridCol w:w="196"/>
        <w:gridCol w:w="73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At June 30, 2026</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Financing</w:t>
              <w:br/>
              <w:t>Available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w:t>
              <w:br/>
              <w:t>Outstanding</w:t>
            </w:r>
          </w:p>
        </w:tc>
      </w:tr>
      <w:tr>
        <w:trPr/>
        <w:tc>
          <w:tcPr>
            <w:tcW w:w="26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Prime Brokerage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Prime brokerage credit facilities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261,259 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643,444 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261,259 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87" w:type="dxa"/>
        <w:jc w:val="center"/>
        <w:tblInd w:w="0" w:type="dxa"/>
        <w:tblLayout w:type="fixed"/>
        <w:tblCellMar>
          <w:top w:w="28" w:type="dxa"/>
          <w:left w:w="28" w:type="dxa"/>
          <w:bottom w:w="28" w:type="dxa"/>
          <w:right w:w="28" w:type="dxa"/>
        </w:tblCellMar>
      </w:tblPr>
      <w:tblGrid>
        <w:gridCol w:w="949"/>
        <w:gridCol w:w="836"/>
        <w:gridCol w:w="840"/>
        <w:gridCol w:w="109"/>
        <w:gridCol w:w="109"/>
        <w:gridCol w:w="109"/>
        <w:gridCol w:w="484"/>
        <w:gridCol w:w="484"/>
        <w:gridCol w:w="486"/>
        <w:gridCol w:w="109"/>
        <w:gridCol w:w="109"/>
        <w:gridCol w:w="109"/>
        <w:gridCol w:w="196"/>
        <w:gridCol w:w="736"/>
        <w:gridCol w:w="109"/>
        <w:gridCol w:w="109"/>
        <w:gridCol w:w="109"/>
        <w:gridCol w:w="109"/>
        <w:gridCol w:w="196"/>
        <w:gridCol w:w="73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At December 31, 2025</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Financing</w:t>
              <w:br/>
              <w:t>Available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Borrowing</w:t>
              <w:br/>
              <w:t>Outstanding</w:t>
            </w:r>
          </w:p>
        </w:tc>
      </w:tr>
      <w:tr>
        <w:trPr/>
        <w:tc>
          <w:tcPr>
            <w:tcW w:w="26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Prime Brokerage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Prime brokerage credit facilities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645,622 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645,622 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203,816 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Outstanding borrowings are included with Receivables from/Payables to broker-dealers and clearing organizations within the Condensed Consolidated Statements of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Interest expense in relation to the facilities was $5.6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$2.5 million</w:t>
      </w:r>
      <w:r>
        <w:rPr>
          <w:color w:val="000000"/>
        </w:rPr>
        <w:t xml:space="preserve"> </w:t>
      </w:r>
      <w:r>
        <w:rPr>
          <w:rFonts w:ascii="Times New Roman;serif" w:hAnsi="Times New Roman;serif"/>
          <w:b w:val="false"/>
          <w:color w:val="000000"/>
          <w:sz w:val="20"/>
        </w:rPr>
        <w:t xml:space="preserve">for the three months ended </w:t>
      </w:r>
      <w:r>
        <w:rPr>
          <w:rFonts w:ascii="Times New Roman;serif" w:hAnsi="Times New Roman;serif"/>
          <w:b w:val="false"/>
          <w:color w:val="000000"/>
          <w:sz w:val="20"/>
          <w:shd w:fill="FFFFFF" w:val="clear"/>
        </w:rPr>
        <w:t>June 30, 2026 and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respectively, and $9.7 million and $4.9 million</w:t>
      </w:r>
      <w:r>
        <w:rPr>
          <w:color w:val="000000"/>
        </w:rPr>
        <w:t xml:space="preserve"> </w:t>
      </w:r>
      <w:r>
        <w:rPr>
          <w:rFonts w:ascii="Times New Roman;serif" w:hAnsi="Times New Roman;serif"/>
          <w:b w:val="false"/>
          <w:color w:val="000000"/>
          <w:sz w:val="20"/>
          <w:shd w:fill="FFFFFF" w:val="clear"/>
        </w:rPr>
        <w:t>for the six months ended June 30, 2026 and 2025</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Long-Term Borrowings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Company’s long-term borrowings, net of unamortized discount and debt issuance costs, where applicable:</w: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567"/>
        <w:gridCol w:w="499"/>
        <w:gridCol w:w="502"/>
        <w:gridCol w:w="109"/>
        <w:gridCol w:w="109"/>
        <w:gridCol w:w="109"/>
        <w:gridCol w:w="285"/>
        <w:gridCol w:w="285"/>
        <w:gridCol w:w="287"/>
        <w:gridCol w:w="109"/>
        <w:gridCol w:w="109"/>
        <w:gridCol w:w="109"/>
        <w:gridCol w:w="220"/>
        <w:gridCol w:w="220"/>
        <w:gridCol w:w="221"/>
        <w:gridCol w:w="109"/>
        <w:gridCol w:w="109"/>
        <w:gridCol w:w="109"/>
        <w:gridCol w:w="224"/>
        <w:gridCol w:w="999"/>
        <w:gridCol w:w="124"/>
        <w:gridCol w:w="109"/>
        <w:gridCol w:w="109"/>
        <w:gridCol w:w="109"/>
        <w:gridCol w:w="196"/>
        <w:gridCol w:w="590"/>
        <w:gridCol w:w="109"/>
        <w:gridCol w:w="109"/>
        <w:gridCol w:w="109"/>
        <w:gridCol w:w="109"/>
        <w:gridCol w:w="266"/>
        <w:gridCol w:w="939"/>
        <w:gridCol w:w="148"/>
        <w:gridCol w:w="109"/>
        <w:gridCol w:w="109"/>
        <w:gridCol w:w="109"/>
        <w:gridCol w:w="249"/>
        <w:gridCol w:w="1109"/>
        <w:gridCol w:w="204"/>
      </w:tblGrid>
      <w:tr>
        <w:trPr/>
        <w:tc>
          <w:tcPr>
            <w:tcW w:w="56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At June 30, 2026</w:t>
            </w:r>
          </w:p>
        </w:tc>
      </w:tr>
      <w:tr>
        <w:trPr/>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Borrowings, net</w:t>
            </w:r>
          </w:p>
        </w:tc>
      </w:tr>
      <w:tr>
        <w:trPr/>
        <w:tc>
          <w:tcPr>
            <w:tcW w:w="15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First Lien Term B-2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1,529,550 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1,511,013 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Senior Secured First Lien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(6,662)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493,338 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SBI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21,532 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2,051,082 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(23,009)</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2,025,883 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62"/>
        <w:gridCol w:w="495"/>
        <w:gridCol w:w="497"/>
        <w:gridCol w:w="109"/>
        <w:gridCol w:w="109"/>
        <w:gridCol w:w="109"/>
        <w:gridCol w:w="285"/>
        <w:gridCol w:w="285"/>
        <w:gridCol w:w="287"/>
        <w:gridCol w:w="109"/>
        <w:gridCol w:w="109"/>
        <w:gridCol w:w="109"/>
        <w:gridCol w:w="220"/>
        <w:gridCol w:w="220"/>
        <w:gridCol w:w="221"/>
        <w:gridCol w:w="109"/>
        <w:gridCol w:w="109"/>
        <w:gridCol w:w="109"/>
        <w:gridCol w:w="225"/>
        <w:gridCol w:w="1001"/>
        <w:gridCol w:w="125"/>
        <w:gridCol w:w="109"/>
        <w:gridCol w:w="109"/>
        <w:gridCol w:w="109"/>
        <w:gridCol w:w="196"/>
        <w:gridCol w:w="590"/>
        <w:gridCol w:w="109"/>
        <w:gridCol w:w="109"/>
        <w:gridCol w:w="109"/>
        <w:gridCol w:w="109"/>
        <w:gridCol w:w="267"/>
        <w:gridCol w:w="943"/>
        <w:gridCol w:w="148"/>
        <w:gridCol w:w="109"/>
        <w:gridCol w:w="109"/>
        <w:gridCol w:w="109"/>
        <w:gridCol w:w="250"/>
        <w:gridCol w:w="1112"/>
        <w:gridCol w:w="205"/>
      </w:tblGrid>
      <w:tr>
        <w:trPr/>
        <w:tc>
          <w:tcPr>
            <w:tcW w:w="56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At December 31, 2025</w:t>
            </w:r>
          </w:p>
        </w:tc>
      </w:tr>
      <w:tr>
        <w:trPr/>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b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Deferred Debt Issuance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Borrowings, net</w:t>
            </w:r>
          </w:p>
        </w:tc>
      </w:tr>
      <w:tr>
        <w:trPr/>
        <w:tc>
          <w:tcPr>
            <w:tcW w:w="15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First Lien Term B-2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1,545,000 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1,524,466 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Senior Secured First Lien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492,663 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SBI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22,334 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2,067,334 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(25,439)</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2,039,463 </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13, 2022 (the “Credit Agreement Closing Date”), Virtu Financial, VFH Parent LLC, a Delaware limited liability company and a subsidiary of Virtu Financial (“VFH”),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“Original Credit Agreement”). The Original Credit Agreement provides (i) a senior secured first lien term loan in an aggregate principal amount of $1,800.0 million, drawn in its entirety on the Credit Agreement Closing Date, the proceeds of which were used by VFH to repay all amounts outstanding under the previous credit agreement entered into in relation to the ITG Acquisition,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loan borrowings and revolver borrowings under the Original Credit Agreement bear interest at a per annum rate equal to, at the Company’s election, either (i) the greatest of (a) the prime rate in effect, (b) the greater of (1) the federal funds effective rate and (2) the overnight bank funding rate, in each case plus 0.50%, (c) an adjusted term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loans amortize in annual installments equal to 1.0% of the original aggregate principal amount of the term loans and the Company repaid $18.0 million on January 13, 2023. On December 12, 2023, the Company made a voluntary prepayment of $55.0 million, and the payment is applied toward subsequent annual amortization installments.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2022, in order to align the Company’s existing swap agreements with the Original Credit Agreement, the Company amended its existing five-year $525.0 million floating-to-fixed interest rate swap agreement and five-year $1,000.0 million floating-to-fixed interest rate swap agreement to align the floating rate term of such swap agreements to SOFR. These two interest rate swaps met the criteria to be considered and were designated as qualifying cash flow hedges under ASC 815,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they effectively fixed interest payment obligations on $525.0 million and $1,000.0 million of principal under the first lien term loan facility in relation to the Original Credit Agreement at rates of 4.5% and 4.6% through September 2024 and January 2025,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2023, the Company terminated the two interest rate swap arrangements and received $55.8 million in proceeds from the counterparty. The Company therefore dedesignated those cash flow hedges under ASC 815, and the amounts in AOCI related to the terminated swaps are amortized through interest expense. The Company simultaneously entered into a two-year $1,525.0 million floating-to-fixed interest rate swap agreement with the same counterparty (the “December 2023 Swap”). The December 2023 Swap met the criteria to be considered and was designated as a qualifying cash flow hedge under ASC 815 as of December 2023, and it effectively fixed interest payment obligations on $1,525.0 million of principal under the first lien term loan facility at a rate of 7.5% through November 2025, based on the interest rates set forth in the Original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21, 2024 (the “Amendment No. 1 Effective Date”), the Company entered into Amendment No. 1 to the Original Credit Agreement (as amended, the “First Amended Credit Agreement”) and completed the issuance of the Notes (as defined below). Pursuant to the First Amended Credit Agreement, $1,245.0 million in aggregate principal amount of Senior Secured First Lien Term B-1 Loans due 2031 (the “Term B-1 Loans”) were issued, the proceeds of which were used, along with the proceeds of the Notes, to repay in full all term loans previously outstanding under the Original Credit Agreement. Additionally, the First Amended Credit Agreement provides an increase in its senior secured first lien revolving credit facility from $250.0 million to $300.0 million and an extension of the maturity thereof to three years after the Amendment No. 1 Effective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B-1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1.00% and (d) 1.00%, plus, in each case, 1.75%, or (ii) the greater of (x) term SOFR for the interest period in effect and (y) 0%, plus, in each case, 2.75%. The Term B-1 Loans will mature on the seventh anniversary of the Amendment No. 1 Effective Date and amortize in annual installments equal to 1.0% of the original aggregate principal amount of the Term B-1 Loans. The Term B-1 Loans are also subject to contingent principal payments based on excess cash flow and certain other triggering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its entry into the First Amended Credit Agreement and the associated reduction in term loan balance, the Company partially terminated the December 2023 Swap, reducing the notional amount thereof from $1,525.0 million to $1,075.0 million and received $2.0 million in proceeds from the counterparty. The cash flow hedge was proportionally dedesignated under ASC 815 as of June 21, 2024. As a result of the partial dedesignation, we recognized a gain of $5.7 million in Other Income. The remaining interest rate swap effectively fixed interest payment obligations on the $1,075.0 million of principal of the Term B-1 Loans at a rate of 7.17% through November 2025, based on the interest rates set forth in the First Amended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19, 2025 (the “Amendment No. 2 Effective Date”), the Company entered into Amendment No. 2 to the First Amended Credit Agreement (“Amendment No. 2”). Amendment No. 2 amended the First Amended Credit Agreement (as amended, the “Second Amended Credit Agreement”) to, among other things, effect a repricing of the $1,245.0 million in aggregate principal amount of Term B-1 Loans by establishing a new refinancing tranche of $1,245.0 million in aggregate principal amount of Senior Secured First Lien Term B-2 Loans, the proceeds of which were used to repay in full the Term B-1 Loans on the Amendment No. 2 Effective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23, 2025 (the “Amendment No. 3 Effective Date”), the Company entered into Amendment No. 3 to the Second Amended Credit Agreement (“Amendment No. 3”). Amendment No. 3 amended the Second Amended Credit Agreement (as amended, the “Credit Agreement”) to effect the issuance of incremental Senior Secured First Lien Term B-2 Loans in the amount of $300.0 million, the proceeds of which were used for general corporate purposes, for a total Term B-2 Loan balance of $1,545.0 million (collectively, the “Term B-2 Loans”).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B-2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 and (d) 1.0%, plus, in each case, 1.50%, or (ii) the greater of (x) term SOFR for the interest period in effect and (y) 0%, plus, in each case, 2.50%. The Term B-2 Loans will mature on June 21, 2031 and amortize in annual installments equal to 1.0% of the original aggregate principal amount of the Term B-2 Loans due on each anniversary of the Amendment No. 2 Effective Date. On February 19, 2026, the Company repaid $15.5 million. The Term B-2 Loans are also subject to contingent principal payments based on excess cash flow and certain other triggering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interest rate swap effectively fixed interest payment obligations on $1,075.0 million of principal of the Term B-2 Loans at a rate of 6.92% through November 2025, based on the interest rates set forth in the Credit Agreement. The designation of the interest rate swap as a cash flow hedge was discontinued upon the termination of the swap in November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revolving facility under the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$1,529.6 million was outstanding under the current term loans, and there were no amounts outstanding under the first lien revolving facility.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Secured First Lien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21, 2024, VFH and Valor Co-Issuer, Inc., a subsidiary of Virtu Financial, (the “Co-Issuer”) completed the offering of $500.0 million aggregate principal amount of 7.50% senior secured first lien notes due 2031 (the “Notes”). The Notes were issued under an Indenture, dated as of June 21, 2024 (the “Indenture”), among the VFH, the Co-Issuer, Virtu Financial and the subsidiary guarantors party thereto, and U.S. Bank Trust Company, National Association, as the trustee and collateral agent. The Notes mature on June 15, 2031. Interest on the Notes accrues at 7.50% per annum, payable every six months through maturity on each June 15 and December 15, beginning on December 15, 2024. We refer to VFH and the Co-Issuer together as, the “Issuers.”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Notes and the related guarantees are secured by first-priority perfected liens on substantially all of the Issuers’ and guarantors’ existing and future assets, subject to certain exceptions, including all material personal property, a pledge of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 stock of the Issuers, the guarantors (other than Virtu Financial) and the direct subsidiaries of the Issuers and the guarantors and 100% of the non-voting capital stock and up to 65.0% of the voting capital stock of any now-owned or later acquired foreign subsidiaries that are directly owned by the Issuers or any of the guarantors, which assets also secure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obligations under the Credit Agreement on a first-priority basis.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imposes certain limitations on our ability to (i) incur or guarantee additional indebtedness or issue preferred stock; (ii) pay dividends, make certain investments and make repayments on indebtedness that is subordinated in right of payment to the Notes and make other “restricted payments”; (iii) create liens on their assets to secure debt; (iv) enter into transactions with affiliates; (v) merge, consolidate or amalgamate with another company; (vi) transfer and sell assets; and (vii) permit restrictions on the payment of dividends by Virtu Financial’s subsidiaries. The Indenture also contains customary events of default, including, among others, payment defaults related to the failure to pay principal or interest on Notes, covenant defaults, final maturity default or cross-acceleration with respect to material indebtedness and certain bankruptcy events.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June 15, 2027, we may redeem some or all of the Notes at a redemption price equal to 100% of the principal amount plus accrued and unpaid interest, if any, to (but not including) the date of redemption, plus an applicable “make whole” premium.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June 15, 2027, we may also redeem up to 40% of the aggregate principal amount of the Notes with the net cash proceeds from certain equity offerings at a redemption price equal to 107.500% of the principal amount thereof, plus accrued and unpaid interest, if any, to (but not including) the date of redemption.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June 15, 2027, we may also, on one or more occasions, redeem during each successive twelve-month period following June 21, 2024 up to 10% of the aggregate original principal amount of notes, at a redemption price equal to 103% of the principal amount of notes to be redeemed, plus accrued and unpaid interest to, but not including, the redemption date.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or after June 15, 2027, we may redeem some or all of the Notes, at the following redemption prices (expressed as percentages of principal amount), plus accrued and unpaid interest to (but not including) the date of redemption, if redeemed during the 12-month period beginning on June 15 of the years indicated below:</w:t>
      </w:r>
    </w:p>
    <w:p>
      <w:pPr>
        <w:pStyle w:val="TextBody"/>
        <w:bidi w:val="0"/>
        <w:spacing w:before="0" w:after="0"/>
        <w:jc w:val="left"/>
        <w:rPr/>
      </w:pPr>
      <w:r>
        <w:rPr/>
      </w:r>
    </w:p>
    <w:tbl>
      <w:tblPr>
        <w:tblW w:w="2772" w:type="dxa"/>
        <w:jc w:val="center"/>
        <w:tblInd w:w="0" w:type="dxa"/>
        <w:tblLayout w:type="fixed"/>
        <w:tblCellMar>
          <w:top w:w="28" w:type="dxa"/>
          <w:left w:w="28" w:type="dxa"/>
          <w:bottom w:w="28" w:type="dxa"/>
          <w:right w:w="28" w:type="dxa"/>
        </w:tblCellMar>
      </w:tblPr>
      <w:tblGrid>
        <w:gridCol w:w="534"/>
        <w:gridCol w:w="471"/>
        <w:gridCol w:w="479"/>
        <w:gridCol w:w="109"/>
        <w:gridCol w:w="109"/>
        <w:gridCol w:w="109"/>
        <w:gridCol w:w="281"/>
        <w:gridCol w:w="281"/>
        <w:gridCol w:w="399"/>
      </w:tblGrid>
      <w:tr>
        <w:trPr/>
        <w:tc>
          <w:tcPr>
            <w:tcW w:w="53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14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103.750%</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101.875%</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2029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100.000%</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the occurrence of specified change of control events as defined in the Indenture, we must offer to repurchase the outstanding Notes at 101% of the aggregate principal amount, plus accrued and unpaid interest, if any, to (but excluding) the purchase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SBI Bonds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Japannext Co., Ltd. (as described in Note 10 “Financial Instruments and Fair Value Measurements”).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In December 2022, the maturity of the SBI Bonds was extended to 2026, and in December 2025, the maturity of the SBI Bonds was extended to 2029. The principal balance was ¥3.5 billion ($21.5 million) and ¥3.5 billion ($22.3 million) as of June 30, 2026 and December 31, 2025, respectively. The Company had a gain of $0.5 million and a loss of $1.0 million during the three months ended June 30, 2026 and 2025, respectively, and a gain of $0.8 million and a loss of $2.0 million during the six months ended June 30, 2026 and 2025, respectively, due to changes in foreign currency rates.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aggregate future required minimum principal payments based on the terms of the long-term borrowings were as follows: </w:t>
      </w:r>
    </w:p>
    <w:p>
      <w:pPr>
        <w:pStyle w:val="TextBody"/>
        <w:bidi w:val="0"/>
        <w:spacing w:before="0" w:after="0"/>
        <w:ind w:left="0" w:right="0" w:firstLine="720"/>
        <w:jc w:val="left"/>
        <w:rPr/>
      </w:pPr>
      <w:r>
        <w:rPr/>
      </w:r>
    </w:p>
    <w:tbl>
      <w:tblPr>
        <w:tblW w:w="4458" w:type="dxa"/>
        <w:jc w:val="center"/>
        <w:tblInd w:w="0" w:type="dxa"/>
        <w:tblLayout w:type="fixed"/>
        <w:tblCellMar>
          <w:top w:w="28" w:type="dxa"/>
          <w:left w:w="28" w:type="dxa"/>
          <w:bottom w:w="28" w:type="dxa"/>
          <w:right w:w="28" w:type="dxa"/>
        </w:tblCellMar>
      </w:tblPr>
      <w:tblGrid>
        <w:gridCol w:w="1052"/>
        <w:gridCol w:w="927"/>
        <w:gridCol w:w="931"/>
        <w:gridCol w:w="109"/>
        <w:gridCol w:w="109"/>
        <w:gridCol w:w="109"/>
        <w:gridCol w:w="196"/>
        <w:gridCol w:w="871"/>
        <w:gridCol w:w="154"/>
      </w:tblGrid>
      <w:tr>
        <w:trPr/>
        <w:tc>
          <w:tcPr>
            <w:tcW w:w="105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principal of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2,051,082 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10. Financial Instruments and Fair Value Measurements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equities, options, on-the-run U.S. government obligations, certain exchange traded notes, USDC, and digital assets is estimated using recently executed transactions and market price quotations in active markets and are categorized as Level 1 with the exception of inactively traded equities, all other exchange traded notes and certain other financial instruments, which are categorized as Level 2. The Company’s corporate bonds, derivative contracts, other U.S. and non-U.S. government obligations and receivables and payables linked to digital assets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measurements for those items measured on a recurring basis are summarized below as of June 30, 2026:</w:t>
      </w:r>
    </w:p>
    <w:tbl>
      <w:tblPr>
        <w:tblW w:w="10205" w:type="dxa"/>
        <w:jc w:val="center"/>
        <w:tblInd w:w="0" w:type="dxa"/>
        <w:tblLayout w:type="fixed"/>
        <w:tblCellMar>
          <w:top w:w="28" w:type="dxa"/>
          <w:left w:w="28" w:type="dxa"/>
          <w:bottom w:w="28" w:type="dxa"/>
          <w:right w:w="28" w:type="dxa"/>
        </w:tblCellMar>
      </w:tblPr>
      <w:tblGrid>
        <w:gridCol w:w="532"/>
        <w:gridCol w:w="468"/>
        <w:gridCol w:w="471"/>
        <w:gridCol w:w="109"/>
        <w:gridCol w:w="109"/>
        <w:gridCol w:w="109"/>
        <w:gridCol w:w="266"/>
        <w:gridCol w:w="1183"/>
        <w:gridCol w:w="148"/>
        <w:gridCol w:w="109"/>
        <w:gridCol w:w="109"/>
        <w:gridCol w:w="109"/>
        <w:gridCol w:w="242"/>
        <w:gridCol w:w="1078"/>
        <w:gridCol w:w="134"/>
        <w:gridCol w:w="109"/>
        <w:gridCol w:w="109"/>
        <w:gridCol w:w="109"/>
        <w:gridCol w:w="276"/>
        <w:gridCol w:w="914"/>
        <w:gridCol w:w="156"/>
        <w:gridCol w:w="109"/>
        <w:gridCol w:w="109"/>
        <w:gridCol w:w="109"/>
        <w:gridCol w:w="241"/>
        <w:gridCol w:w="995"/>
        <w:gridCol w:w="134"/>
        <w:gridCol w:w="109"/>
        <w:gridCol w:w="109"/>
        <w:gridCol w:w="109"/>
        <w:gridCol w:w="197"/>
        <w:gridCol w:w="969"/>
        <w:gridCol w:w="166"/>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 and Cash Collateral Netting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 </w:t>
            </w:r>
          </w:p>
        </w:tc>
      </w:tr>
      <w:tr>
        <w:trPr/>
        <w:tc>
          <w:tcPr>
            <w:tcW w:w="14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owned,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1,935,476 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5,042,151 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6,977,627 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598,682 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2,676,386 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3,275,068 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1,071,739 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1,071,739 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26,336 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26,336 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438,928 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(435,831)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19,359 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2,553,517 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9,255,540 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(435,831)</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11,373,226 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owned, pledged as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2,279,869 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1,218,051 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3,497,920 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traded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2,279,869 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1,233,154 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3,513,023 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156,227 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USDC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41,787 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41,787 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198,842 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85,903 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284,745 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 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linked to 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234,379 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234,379 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234,379 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234,379 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sold, not yet purchased,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4,340,205 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4,285,265 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8,625,470 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706,066 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2,785,417 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3,491,483 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1,393,509 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1,393,509 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41,163 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442,864 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(442,864)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5,064,293 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8,948,218 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(442,864)</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13,569,647 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 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r>
        <w:trPr/>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linked to 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278,098 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278,098 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278,098 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278,098 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(1) USDC is a stablecoin that can be redeemed on a one-to-one basis for U.S. dollars and is accounted for as a financial asset.</w:t>
            </w:r>
          </w:p>
        </w:tc>
      </w:tr>
      <w:tr>
        <w:trPr/>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measurements for those items measured on a recurring basis are summarized below as of December 31,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39"/>
        <w:gridCol w:w="474"/>
        <w:gridCol w:w="477"/>
        <w:gridCol w:w="109"/>
        <w:gridCol w:w="109"/>
        <w:gridCol w:w="109"/>
        <w:gridCol w:w="269"/>
        <w:gridCol w:w="1198"/>
        <w:gridCol w:w="149"/>
        <w:gridCol w:w="109"/>
        <w:gridCol w:w="109"/>
        <w:gridCol w:w="109"/>
        <w:gridCol w:w="244"/>
        <w:gridCol w:w="1088"/>
        <w:gridCol w:w="136"/>
        <w:gridCol w:w="109"/>
        <w:gridCol w:w="109"/>
        <w:gridCol w:w="109"/>
        <w:gridCol w:w="279"/>
        <w:gridCol w:w="923"/>
        <w:gridCol w:w="157"/>
        <w:gridCol w:w="109"/>
        <w:gridCol w:w="109"/>
        <w:gridCol w:w="109"/>
        <w:gridCol w:w="243"/>
        <w:gridCol w:w="1005"/>
        <w:gridCol w:w="135"/>
        <w:gridCol w:w="109"/>
        <w:gridCol w:w="109"/>
        <w:gridCol w:w="109"/>
        <w:gridCol w:w="199"/>
        <w:gridCol w:w="888"/>
        <w:gridCol w:w="167"/>
      </w:tblGrid>
      <w:tr>
        <w:trPr/>
        <w:tc>
          <w:tcPr>
            <w:tcW w:w="53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 (Level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 (Level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 (Level 3)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 and Cash Collateral Netting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 </w:t>
            </w:r>
          </w:p>
        </w:tc>
      </w:tr>
      <w:tr>
        <w:trPr/>
        <w:tc>
          <w:tcPr>
            <w:tcW w:w="14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owned,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1,511,213 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2,839,183 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4,350,396 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and Non-U.S. government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459,943 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1,210,309 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1,670,252 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1,207,385 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1,207,385 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211,856 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(204,775)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97,459 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97,459 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2,068,615 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5,479,192 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(204,775)</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7,343,032 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owned, pledged as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1,896,091 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1,304,254 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3,200,345 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traded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1,896,091 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1,312,434 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3,208,525 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86,491 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Digital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154,610 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154,610 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155,630 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86,491 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242,121 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 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linked to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328,934 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328,934 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328,934 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328,934 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sold, not yet purchased,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2,933,027 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2,784,522 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5,717,549 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and Non-U.S. government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234,169 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1,155,901 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1,390,070 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1,754,517 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1,754,517 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traded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26,135 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26,135 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198,463 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(198,463)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216,992 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216,992 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3,384,188 </w:t>
            </w:r>
          </w:p>
        </w:tc>
        <w:tc>
          <w:tcPr>
            <w:tcW w:w="1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5,919,538 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(198,463)</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9,105,263 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 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linked to digital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181,272 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181,272 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181,272 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181,272 </w:t>
            </w:r>
          </w:p>
        </w:tc>
        <w:tc>
          <w:tcPr>
            <w:tcW w:w="1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JNX Investment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 minority investment (the “JNX Investment”) in Japannext Co., Ltd. (“JNX”), formerly known as SBI Japannext Co., Ltd., a proprietary trading system based in Tokyo. In connection with the JNX Investment, the Company issued the SBI Bonds (as described in Note 9 “Borrowings”) and used the proceeds to partially finance the transaction. The JNX Investment is included within Level 3 of the fair value hierarchy. As of June 30, 2026 and December 31, 2025, the fair value of the JNX Investment was determined using a weighted average of valuations using 1) the discounted cash flow method, an income approach; 2) a market approach based on average enterprise value/EBITDA ratios of comparable companies; and to a lesser extent 3) a transaction approach based on transaction values of comparable companies. The fair value measurement is highly sensitive to significant changes in the unobservable inputs, and significant increases (decreases) in discount rate or decreases (increases) in enterprise value/EBITDA multiples would result in a significantly lower (higher) fair value measurement.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information on the valuation techniques, significant unobservable inputs and their ranges for the JNX Investment:</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76"/>
        <w:gridCol w:w="419"/>
        <w:gridCol w:w="422"/>
        <w:gridCol w:w="109"/>
        <w:gridCol w:w="109"/>
        <w:gridCol w:w="109"/>
        <w:gridCol w:w="196"/>
        <w:gridCol w:w="646"/>
        <w:gridCol w:w="109"/>
        <w:gridCol w:w="109"/>
        <w:gridCol w:w="109"/>
        <w:gridCol w:w="109"/>
        <w:gridCol w:w="490"/>
        <w:gridCol w:w="481"/>
        <w:gridCol w:w="483"/>
        <w:gridCol w:w="109"/>
        <w:gridCol w:w="109"/>
        <w:gridCol w:w="109"/>
        <w:gridCol w:w="804"/>
        <w:gridCol w:w="804"/>
        <w:gridCol w:w="806"/>
        <w:gridCol w:w="109"/>
        <w:gridCol w:w="109"/>
        <w:gridCol w:w="109"/>
        <w:gridCol w:w="353"/>
        <w:gridCol w:w="343"/>
        <w:gridCol w:w="345"/>
        <w:gridCol w:w="109"/>
        <w:gridCol w:w="109"/>
        <w:gridCol w:w="109"/>
        <w:gridCol w:w="315"/>
        <w:gridCol w:w="293"/>
        <w:gridCol w:w="785"/>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Discounted cash flow</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Estimated revenue growth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5.0% - 9.5%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16.4% - 16.4%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Future enterprise value/ EBITDA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10.4x - 19.6x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13.1x</w:t>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76"/>
        <w:gridCol w:w="419"/>
        <w:gridCol w:w="422"/>
        <w:gridCol w:w="109"/>
        <w:gridCol w:w="109"/>
        <w:gridCol w:w="109"/>
        <w:gridCol w:w="196"/>
        <w:gridCol w:w="646"/>
        <w:gridCol w:w="109"/>
        <w:gridCol w:w="109"/>
        <w:gridCol w:w="109"/>
        <w:gridCol w:w="109"/>
        <w:gridCol w:w="490"/>
        <w:gridCol w:w="481"/>
        <w:gridCol w:w="483"/>
        <w:gridCol w:w="109"/>
        <w:gridCol w:w="109"/>
        <w:gridCol w:w="109"/>
        <w:gridCol w:w="804"/>
        <w:gridCol w:w="804"/>
        <w:gridCol w:w="806"/>
        <w:gridCol w:w="109"/>
        <w:gridCol w:w="109"/>
        <w:gridCol w:w="109"/>
        <w:gridCol w:w="353"/>
        <w:gridCol w:w="343"/>
        <w:gridCol w:w="345"/>
        <w:gridCol w:w="109"/>
        <w:gridCol w:w="109"/>
        <w:gridCol w:w="109"/>
        <w:gridCol w:w="315"/>
        <w:gridCol w:w="293"/>
        <w:gridCol w:w="785"/>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13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Discounted cash flow</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Estimated revenue growth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5.0% - 6.0%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16.2% - 16.2%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Future enterprise value/ EBITDA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9.5x - 20.1x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15.0x</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the fair value of the JNX Investment are included within Other, net in the Condensed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presents the changes in the Company’s Level 3 financial instruments measured at fair value on a recurring basis:</w:t>
      </w:r>
    </w:p>
    <w:tbl>
      <w:tblPr>
        <w:tblW w:w="10205" w:type="dxa"/>
        <w:jc w:val="center"/>
        <w:tblInd w:w="0" w:type="dxa"/>
        <w:tblLayout w:type="fixed"/>
        <w:tblCellMar>
          <w:top w:w="28" w:type="dxa"/>
          <w:left w:w="28" w:type="dxa"/>
          <w:bottom w:w="28" w:type="dxa"/>
          <w:right w:w="28" w:type="dxa"/>
        </w:tblCellMar>
      </w:tblPr>
      <w:tblGrid>
        <w:gridCol w:w="395"/>
        <w:gridCol w:w="348"/>
        <w:gridCol w:w="350"/>
        <w:gridCol w:w="109"/>
        <w:gridCol w:w="109"/>
        <w:gridCol w:w="109"/>
        <w:gridCol w:w="206"/>
        <w:gridCol w:w="680"/>
        <w:gridCol w:w="114"/>
        <w:gridCol w:w="109"/>
        <w:gridCol w:w="109"/>
        <w:gridCol w:w="109"/>
        <w:gridCol w:w="227"/>
        <w:gridCol w:w="471"/>
        <w:gridCol w:w="128"/>
        <w:gridCol w:w="109"/>
        <w:gridCol w:w="109"/>
        <w:gridCol w:w="109"/>
        <w:gridCol w:w="229"/>
        <w:gridCol w:w="653"/>
        <w:gridCol w:w="129"/>
        <w:gridCol w:w="109"/>
        <w:gridCol w:w="109"/>
        <w:gridCol w:w="109"/>
        <w:gridCol w:w="241"/>
        <w:gridCol w:w="499"/>
        <w:gridCol w:w="135"/>
        <w:gridCol w:w="109"/>
        <w:gridCol w:w="109"/>
        <w:gridCol w:w="109"/>
        <w:gridCol w:w="240"/>
        <w:gridCol w:w="497"/>
        <w:gridCol w:w="134"/>
        <w:gridCol w:w="109"/>
        <w:gridCol w:w="109"/>
        <w:gridCol w:w="109"/>
        <w:gridCol w:w="205"/>
        <w:gridCol w:w="675"/>
        <w:gridCol w:w="114"/>
        <w:gridCol w:w="109"/>
        <w:gridCol w:w="109"/>
        <w:gridCol w:w="109"/>
        <w:gridCol w:w="267"/>
        <w:gridCol w:w="759"/>
        <w:gridCol w:w="220"/>
      </w:tblGrid>
      <w:tr>
        <w:trPr/>
        <w:tc>
          <w:tcPr>
            <w:tcW w:w="3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Realized and Unrealized Gains / (Losses)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Transfers into (out of)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Settlement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Net Unrealized Gains / (Losses) on Investments still held at June 30, 2026</w:t>
            </w:r>
          </w:p>
        </w:tc>
      </w:tr>
      <w:tr>
        <w:trPr/>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80,561 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5,342 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85,903 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5,342 </w:t>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Total realized and unrealized gains/(losses) includes gains and losses due to fluctuations in currency rates as well as gains and losses recognized on changes in the fair value of the JNX Investment.</w:t>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95"/>
        <w:gridCol w:w="348"/>
        <w:gridCol w:w="350"/>
        <w:gridCol w:w="109"/>
        <w:gridCol w:w="109"/>
        <w:gridCol w:w="109"/>
        <w:gridCol w:w="206"/>
        <w:gridCol w:w="680"/>
        <w:gridCol w:w="114"/>
        <w:gridCol w:w="109"/>
        <w:gridCol w:w="109"/>
        <w:gridCol w:w="109"/>
        <w:gridCol w:w="227"/>
        <w:gridCol w:w="471"/>
        <w:gridCol w:w="128"/>
        <w:gridCol w:w="109"/>
        <w:gridCol w:w="109"/>
        <w:gridCol w:w="109"/>
        <w:gridCol w:w="273"/>
        <w:gridCol w:w="586"/>
        <w:gridCol w:w="153"/>
        <w:gridCol w:w="109"/>
        <w:gridCol w:w="109"/>
        <w:gridCol w:w="109"/>
        <w:gridCol w:w="241"/>
        <w:gridCol w:w="499"/>
        <w:gridCol w:w="135"/>
        <w:gridCol w:w="109"/>
        <w:gridCol w:w="109"/>
        <w:gridCol w:w="109"/>
        <w:gridCol w:w="240"/>
        <w:gridCol w:w="497"/>
        <w:gridCol w:w="134"/>
        <w:gridCol w:w="109"/>
        <w:gridCol w:w="109"/>
        <w:gridCol w:w="109"/>
        <w:gridCol w:w="205"/>
        <w:gridCol w:w="675"/>
        <w:gridCol w:w="114"/>
        <w:gridCol w:w="109"/>
        <w:gridCol w:w="109"/>
        <w:gridCol w:w="109"/>
        <w:gridCol w:w="314"/>
        <w:gridCol w:w="676"/>
        <w:gridCol w:w="255"/>
      </w:tblGrid>
      <w:tr>
        <w:trPr/>
        <w:tc>
          <w:tcPr>
            <w:tcW w:w="3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Balance at March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Realized and Unrealized Gains / (Losses)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Transfers into (out of)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Settlement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Net Unrealized Gains / (Losses) on Investments still held at June 30, 2025</w:t>
            </w:r>
          </w:p>
        </w:tc>
      </w:tr>
      <w:tr>
        <w:trPr/>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85,009 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981 </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85,990 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981 </w:t>
            </w:r>
          </w:p>
        </w:tc>
        <w:tc>
          <w:tcPr>
            <w:tcW w:w="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Total realized and unrealized gains/(losses) includes gains and losses due to fluctuations in currency rates as well as gains and losses recognized on changes in the fair value of the JNX Investment.</w:t>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95"/>
        <w:gridCol w:w="348"/>
        <w:gridCol w:w="350"/>
        <w:gridCol w:w="109"/>
        <w:gridCol w:w="109"/>
        <w:gridCol w:w="109"/>
        <w:gridCol w:w="208"/>
        <w:gridCol w:w="686"/>
        <w:gridCol w:w="115"/>
        <w:gridCol w:w="109"/>
        <w:gridCol w:w="109"/>
        <w:gridCol w:w="109"/>
        <w:gridCol w:w="227"/>
        <w:gridCol w:w="471"/>
        <w:gridCol w:w="128"/>
        <w:gridCol w:w="109"/>
        <w:gridCol w:w="109"/>
        <w:gridCol w:w="109"/>
        <w:gridCol w:w="266"/>
        <w:gridCol w:w="594"/>
        <w:gridCol w:w="149"/>
        <w:gridCol w:w="109"/>
        <w:gridCol w:w="109"/>
        <w:gridCol w:w="109"/>
        <w:gridCol w:w="240"/>
        <w:gridCol w:w="499"/>
        <w:gridCol w:w="135"/>
        <w:gridCol w:w="109"/>
        <w:gridCol w:w="109"/>
        <w:gridCol w:w="109"/>
        <w:gridCol w:w="240"/>
        <w:gridCol w:w="497"/>
        <w:gridCol w:w="134"/>
        <w:gridCol w:w="109"/>
        <w:gridCol w:w="109"/>
        <w:gridCol w:w="109"/>
        <w:gridCol w:w="204"/>
        <w:gridCol w:w="675"/>
        <w:gridCol w:w="113"/>
        <w:gridCol w:w="109"/>
        <w:gridCol w:w="109"/>
        <w:gridCol w:w="109"/>
        <w:gridCol w:w="306"/>
        <w:gridCol w:w="684"/>
        <w:gridCol w:w="252"/>
      </w:tblGrid>
      <w:tr>
        <w:trPr/>
        <w:tc>
          <w:tcPr>
            <w:tcW w:w="39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Realized and Unrealized Gains / (Losses)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Transfers into (out of)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Settlement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Net Unrealized Gains / (Losses) on Investments still held at June 30, 2026</w:t>
            </w:r>
          </w:p>
        </w:tc>
      </w:tr>
      <w:tr>
        <w:trPr/>
        <w:tc>
          <w:tcPr>
            <w:tcW w:w="10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86,491 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85,903 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w:t>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Total realized and unrealized gains/(losses) includes gains and losses due to fluctuations in currency rates as well as gains and losses recognized on changes in the fair value of the JNX Investment.</w:t>
            </w:r>
          </w:p>
        </w:tc>
      </w:tr>
    </w:tbl>
    <w:tbl>
      <w:tblPr>
        <w:tblW w:w="10205" w:type="dxa"/>
        <w:jc w:val="center"/>
        <w:tblInd w:w="0" w:type="dxa"/>
        <w:tblLayout w:type="fixed"/>
        <w:tblCellMar>
          <w:top w:w="28" w:type="dxa"/>
          <w:left w:w="28" w:type="dxa"/>
          <w:bottom w:w="28" w:type="dxa"/>
          <w:right w:w="28" w:type="dxa"/>
        </w:tblCellMar>
      </w:tblPr>
      <w:tblGrid>
        <w:gridCol w:w="395"/>
        <w:gridCol w:w="347"/>
        <w:gridCol w:w="349"/>
        <w:gridCol w:w="109"/>
        <w:gridCol w:w="109"/>
        <w:gridCol w:w="109"/>
        <w:gridCol w:w="206"/>
        <w:gridCol w:w="681"/>
        <w:gridCol w:w="115"/>
        <w:gridCol w:w="109"/>
        <w:gridCol w:w="109"/>
        <w:gridCol w:w="109"/>
        <w:gridCol w:w="227"/>
        <w:gridCol w:w="471"/>
        <w:gridCol w:w="128"/>
        <w:gridCol w:w="109"/>
        <w:gridCol w:w="109"/>
        <w:gridCol w:w="109"/>
        <w:gridCol w:w="218"/>
        <w:gridCol w:w="719"/>
        <w:gridCol w:w="121"/>
        <w:gridCol w:w="109"/>
        <w:gridCol w:w="109"/>
        <w:gridCol w:w="109"/>
        <w:gridCol w:w="238"/>
        <w:gridCol w:w="493"/>
        <w:gridCol w:w="133"/>
        <w:gridCol w:w="109"/>
        <w:gridCol w:w="109"/>
        <w:gridCol w:w="109"/>
        <w:gridCol w:w="240"/>
        <w:gridCol w:w="497"/>
        <w:gridCol w:w="134"/>
        <w:gridCol w:w="109"/>
        <w:gridCol w:w="109"/>
        <w:gridCol w:w="109"/>
        <w:gridCol w:w="203"/>
        <w:gridCol w:w="672"/>
        <w:gridCol w:w="113"/>
        <w:gridCol w:w="109"/>
        <w:gridCol w:w="109"/>
        <w:gridCol w:w="109"/>
        <w:gridCol w:w="236"/>
        <w:gridCol w:w="783"/>
        <w:gridCol w:w="197"/>
      </w:tblGrid>
      <w:tr>
        <w:trPr/>
        <w:tc>
          <w:tcPr>
            <w:tcW w:w="39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7"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Purchases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Realized and Unrealized Gains / (Losses)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Transfers into (out of)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Settlement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Net Unrealized Gains / (Losses) on Investments still held at June 30, 2025</w:t>
            </w:r>
          </w:p>
        </w:tc>
      </w:tr>
      <w:tr>
        <w:trPr/>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75,843 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10,147 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85,990 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10,147 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Total realized and unrealized gains/(losses) includes gains and losses due to fluctuations in currency rates as well as gains and losses recognized on changes in the fair value of the JNX Investment.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Financial Instruments Not Measured at Fair Value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carrying value, fair value and fair value hierarchy category of certain financial instruments that are not measured at fair value on the Condensed Consolidated Statements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financial assets and liabilities not carried at fair value on a recurring basis as of June 30, 2026:</w:t>
      </w:r>
    </w:p>
    <w:tbl>
      <w:tblPr>
        <w:tblW w:w="10205" w:type="dxa"/>
        <w:jc w:val="center"/>
        <w:tblInd w:w="0" w:type="dxa"/>
        <w:tblLayout w:type="fixed"/>
        <w:tblCellMar>
          <w:top w:w="28" w:type="dxa"/>
          <w:left w:w="28" w:type="dxa"/>
          <w:bottom w:w="28" w:type="dxa"/>
          <w:right w:w="28" w:type="dxa"/>
        </w:tblCellMar>
      </w:tblPr>
      <w:tblGrid>
        <w:gridCol w:w="580"/>
        <w:gridCol w:w="510"/>
        <w:gridCol w:w="512"/>
        <w:gridCol w:w="109"/>
        <w:gridCol w:w="109"/>
        <w:gridCol w:w="109"/>
        <w:gridCol w:w="196"/>
        <w:gridCol w:w="961"/>
        <w:gridCol w:w="109"/>
        <w:gridCol w:w="109"/>
        <w:gridCol w:w="109"/>
        <w:gridCol w:w="109"/>
        <w:gridCol w:w="196"/>
        <w:gridCol w:w="961"/>
        <w:gridCol w:w="109"/>
        <w:gridCol w:w="109"/>
        <w:gridCol w:w="109"/>
        <w:gridCol w:w="109"/>
        <w:gridCol w:w="267"/>
        <w:gridCol w:w="1194"/>
        <w:gridCol w:w="151"/>
        <w:gridCol w:w="109"/>
        <w:gridCol w:w="109"/>
        <w:gridCol w:w="109"/>
        <w:gridCol w:w="229"/>
        <w:gridCol w:w="1126"/>
        <w:gridCol w:w="127"/>
        <w:gridCol w:w="109"/>
        <w:gridCol w:w="109"/>
        <w:gridCol w:w="109"/>
        <w:gridCol w:w="345"/>
        <w:gridCol w:w="717"/>
        <w:gridCol w:w="280"/>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r>
          </w:p>
        </w:tc>
      </w:tr>
      <w:tr>
        <w:trPr/>
        <w:tc>
          <w:tcPr>
            <w:tcW w:w="16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 </w:t>
            </w:r>
          </w:p>
        </w:tc>
      </w:tr>
      <w:tr>
        <w:trPr/>
        <w:tc>
          <w:tcPr>
            <w:tcW w:w="16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1,069,254 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restricted or segregated under regulations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63,759 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3,774,108 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3,774,108 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3,774,108 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purchased under agreements to resell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1,857,034 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2,973,085 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309,953 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14,574 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10,100,876 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10,100,876 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1,147,587 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8,953,289 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355,359 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2,077,891 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4,089,659 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4,089,659 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4,089,659 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2,620,126 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2,620,126 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2,620,126 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758,273 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226,743 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39,395 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10,114,020 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10,167,446 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10,167,446 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cash collateral and deposits, and interest and dividends receivables.</w:t>
            </w:r>
          </w:p>
        </w:tc>
      </w:tr>
      <w:tr>
        <w:trPr/>
        <w:tc>
          <w:tcPr>
            <w:tcW w:w="1602" w:type="dxa"/>
            <w:gridSpan w:val="3"/>
            <w:tcBorders/>
            <w:vAlign w:val="center"/>
          </w:tcPr>
          <w:p>
            <w:pPr>
              <w:pStyle w:val="TableContents"/>
              <w:bidi w:val="0"/>
              <w:spacing w:before="0" w:after="283"/>
              <w:jc w:val="left"/>
              <w:rPr>
                <w:sz w:val="4"/>
                <w:szCs w:val="4"/>
              </w:rPr>
            </w:pPr>
            <w:r>
              <w:rPr>
                <w:sz w:val="4"/>
                <w:szCs w:val="4"/>
              </w:rPr>
            </w:r>
          </w:p>
        </w:tc>
        <w:tc>
          <w:tcPr>
            <w:tcW w:w="8603" w:type="dxa"/>
            <w:gridSpan w:val="30"/>
            <w:tcBorders/>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Includes deposits, interest and dividends payable.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financial assets and liabilities not carried at fair value on a recurring basis as of December 31, 2025:</w:t>
      </w:r>
    </w:p>
    <w:tbl>
      <w:tblPr>
        <w:tblW w:w="10205" w:type="dxa"/>
        <w:jc w:val="center"/>
        <w:tblInd w:w="0" w:type="dxa"/>
        <w:tblLayout w:type="fixed"/>
        <w:tblCellMar>
          <w:top w:w="28" w:type="dxa"/>
          <w:left w:w="28" w:type="dxa"/>
          <w:bottom w:w="28" w:type="dxa"/>
          <w:right w:w="28" w:type="dxa"/>
        </w:tblCellMar>
      </w:tblPr>
      <w:tblGrid>
        <w:gridCol w:w="611"/>
        <w:gridCol w:w="538"/>
        <w:gridCol w:w="540"/>
        <w:gridCol w:w="109"/>
        <w:gridCol w:w="109"/>
        <w:gridCol w:w="109"/>
        <w:gridCol w:w="197"/>
        <w:gridCol w:w="880"/>
        <w:gridCol w:w="110"/>
        <w:gridCol w:w="109"/>
        <w:gridCol w:w="109"/>
        <w:gridCol w:w="109"/>
        <w:gridCol w:w="196"/>
        <w:gridCol w:w="871"/>
        <w:gridCol w:w="109"/>
        <w:gridCol w:w="109"/>
        <w:gridCol w:w="109"/>
        <w:gridCol w:w="109"/>
        <w:gridCol w:w="280"/>
        <w:gridCol w:w="1250"/>
        <w:gridCol w:w="158"/>
        <w:gridCol w:w="109"/>
        <w:gridCol w:w="109"/>
        <w:gridCol w:w="109"/>
        <w:gridCol w:w="241"/>
        <w:gridCol w:w="1074"/>
        <w:gridCol w:w="134"/>
        <w:gridCol w:w="109"/>
        <w:gridCol w:w="109"/>
        <w:gridCol w:w="109"/>
        <w:gridCol w:w="355"/>
        <w:gridCol w:w="737"/>
        <w:gridCol w:w="289"/>
      </w:tblGrid>
      <w:tr>
        <w:trPr/>
        <w:tc>
          <w:tcPr>
            <w:tcW w:w="6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r>
          </w:p>
        </w:tc>
      </w:tr>
      <w:tr>
        <w:trPr/>
        <w:tc>
          <w:tcPr>
            <w:tcW w:w="16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 </w:t>
            </w:r>
          </w:p>
        </w:tc>
      </w:tr>
      <w:tr>
        <w:trPr/>
        <w:tc>
          <w:tcPr>
            <w:tcW w:w="16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1,061,697 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1,061,697 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restricted or segregated under regulations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3,191,138 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3,191,138 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988,929 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988,929 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1,567,471 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1,567,471 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161,561 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23,531 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7,075,485 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7,075,485 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1,142,855 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5,932,630 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2,039,463 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2,098,639 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2,098,639 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3,477,831 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3,477,831 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3,477,831 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1,405,639 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1,405,639 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1,405,639 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817,004 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817,004 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43,103 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7,821,461 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7,880,637 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7,880,637 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 Includes cash collateral and deposits, and interest and dividends receivables.</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Includes deposits, interest and dividends payable.</w:t>
            </w:r>
          </w:p>
        </w:tc>
      </w:tr>
      <w:tr>
        <w:trPr/>
        <w:tc>
          <w:tcPr>
            <w:tcW w:w="1689" w:type="dxa"/>
            <w:gridSpan w:val="3"/>
            <w:tcBorders/>
            <w:vAlign w:val="center"/>
          </w:tcPr>
          <w:p>
            <w:pPr>
              <w:pStyle w:val="TableContents"/>
              <w:bidi w:val="0"/>
              <w:spacing w:before="0" w:after="283"/>
              <w:jc w:val="left"/>
              <w:rPr>
                <w:sz w:val="4"/>
                <w:szCs w:val="4"/>
              </w:rPr>
            </w:pPr>
            <w:r>
              <w:rPr>
                <w:sz w:val="4"/>
                <w:szCs w:val="4"/>
              </w:rPr>
            </w:r>
          </w:p>
        </w:tc>
        <w:tc>
          <w:tcPr>
            <w:tcW w:w="8516" w:type="dxa"/>
            <w:gridSpan w:val="30"/>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Offsetting of Financial Assets and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gross and net presentation of certain financial assets and financial liabilities as of June 30, 2026 and December 31, 2025:</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407"/>
        <w:gridCol w:w="358"/>
        <w:gridCol w:w="360"/>
        <w:gridCol w:w="109"/>
        <w:gridCol w:w="109"/>
        <w:gridCol w:w="109"/>
        <w:gridCol w:w="207"/>
        <w:gridCol w:w="922"/>
        <w:gridCol w:w="116"/>
        <w:gridCol w:w="109"/>
        <w:gridCol w:w="109"/>
        <w:gridCol w:w="109"/>
        <w:gridCol w:w="213"/>
        <w:gridCol w:w="822"/>
        <w:gridCol w:w="118"/>
        <w:gridCol w:w="109"/>
        <w:gridCol w:w="109"/>
        <w:gridCol w:w="109"/>
        <w:gridCol w:w="216"/>
        <w:gridCol w:w="959"/>
        <w:gridCol w:w="120"/>
        <w:gridCol w:w="109"/>
        <w:gridCol w:w="109"/>
        <w:gridCol w:w="109"/>
        <w:gridCol w:w="201"/>
        <w:gridCol w:w="914"/>
        <w:gridCol w:w="112"/>
        <w:gridCol w:w="112"/>
        <w:gridCol w:w="112"/>
        <w:gridCol w:w="112"/>
        <w:gridCol w:w="345"/>
        <w:gridCol w:w="688"/>
        <w:gridCol w:w="112"/>
        <w:gridCol w:w="109"/>
        <w:gridCol w:w="109"/>
        <w:gridCol w:w="109"/>
        <w:gridCol w:w="203"/>
        <w:gridCol w:w="671"/>
        <w:gridCol w:w="170"/>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Offset in the Condensed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Assets Presented in the Condensed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Not Offset in the Condensed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Instrument Collateral</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 Netting/ 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1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Offsetting of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3,774,108 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3,774,108 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(3,714,317)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(24,243)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35,548 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1,857,034 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1,857,034 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(1,855,760)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438,929 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(435,831)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6,089,430 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(435,831)</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5,653,599 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(5,570,077)</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(39,332)</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44,190 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404"/>
        <w:gridCol w:w="356"/>
        <w:gridCol w:w="358"/>
        <w:gridCol w:w="109"/>
        <w:gridCol w:w="109"/>
        <w:gridCol w:w="109"/>
        <w:gridCol w:w="207"/>
        <w:gridCol w:w="922"/>
        <w:gridCol w:w="116"/>
        <w:gridCol w:w="109"/>
        <w:gridCol w:w="109"/>
        <w:gridCol w:w="109"/>
        <w:gridCol w:w="210"/>
        <w:gridCol w:w="812"/>
        <w:gridCol w:w="117"/>
        <w:gridCol w:w="109"/>
        <w:gridCol w:w="109"/>
        <w:gridCol w:w="109"/>
        <w:gridCol w:w="213"/>
        <w:gridCol w:w="950"/>
        <w:gridCol w:w="118"/>
        <w:gridCol w:w="109"/>
        <w:gridCol w:w="109"/>
        <w:gridCol w:w="109"/>
        <w:gridCol w:w="200"/>
        <w:gridCol w:w="910"/>
        <w:gridCol w:w="111"/>
        <w:gridCol w:w="111"/>
        <w:gridCol w:w="111"/>
        <w:gridCol w:w="111"/>
        <w:gridCol w:w="344"/>
        <w:gridCol w:w="684"/>
        <w:gridCol w:w="112"/>
        <w:gridCol w:w="109"/>
        <w:gridCol w:w="109"/>
        <w:gridCol w:w="109"/>
        <w:gridCol w:w="212"/>
        <w:gridCol w:w="701"/>
        <w:gridCol w:w="180"/>
      </w:tblGrid>
      <w:tr>
        <w:trPr/>
        <w:tc>
          <w:tcPr>
            <w:tcW w:w="40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Offset in the Condensed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Liabilities Presented in the Condensed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Not Offset in the Condensed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Financial Instrument Collateral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 Netting/ 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 </w:t>
            </w:r>
          </w:p>
        </w:tc>
      </w:tr>
      <w:tr>
        <w:trPr/>
        <w:tc>
          <w:tcPr>
            <w:tcW w:w="11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Offsetting of 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4,089,659 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4,089,659 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(4,033,807)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(41,486)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14,366 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2,620,126 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2,620,126 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(2,617,247)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442,864 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(442,864)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(17,584)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7,170,671 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(442,864)</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6,727,807 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(6,651,054)</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(59,070)</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17,683 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07"/>
        <w:gridCol w:w="358"/>
        <w:gridCol w:w="360"/>
        <w:gridCol w:w="109"/>
        <w:gridCol w:w="109"/>
        <w:gridCol w:w="109"/>
        <w:gridCol w:w="207"/>
        <w:gridCol w:w="922"/>
        <w:gridCol w:w="116"/>
        <w:gridCol w:w="109"/>
        <w:gridCol w:w="109"/>
        <w:gridCol w:w="109"/>
        <w:gridCol w:w="213"/>
        <w:gridCol w:w="823"/>
        <w:gridCol w:w="118"/>
        <w:gridCol w:w="109"/>
        <w:gridCol w:w="109"/>
        <w:gridCol w:w="109"/>
        <w:gridCol w:w="216"/>
        <w:gridCol w:w="960"/>
        <w:gridCol w:w="120"/>
        <w:gridCol w:w="109"/>
        <w:gridCol w:w="109"/>
        <w:gridCol w:w="109"/>
        <w:gridCol w:w="201"/>
        <w:gridCol w:w="912"/>
        <w:gridCol w:w="111"/>
        <w:gridCol w:w="111"/>
        <w:gridCol w:w="111"/>
        <w:gridCol w:w="111"/>
        <w:gridCol w:w="256"/>
        <w:gridCol w:w="778"/>
        <w:gridCol w:w="112"/>
        <w:gridCol w:w="109"/>
        <w:gridCol w:w="109"/>
        <w:gridCol w:w="109"/>
        <w:gridCol w:w="203"/>
        <w:gridCol w:w="671"/>
        <w:gridCol w:w="173"/>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Offset in the Condensed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Assets Presented in the Condensed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Not Offset in the Condensed Consolidated Statements of Financial Condition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Instrument Collateral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 Netting/ 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1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Offsetting of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3,191,138 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3,191,138 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(3,083,612)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(53,461)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54,065 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purchased under agreements to resell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988,929 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988,929 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(988,274)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211,856 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(204,775)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(96,708)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4,489,382 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(204,775)</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4,284,607 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(4,071,886)</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(150,169)</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62,552 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49"/>
        <w:gridCol w:w="356"/>
        <w:gridCol w:w="358"/>
        <w:gridCol w:w="109"/>
        <w:gridCol w:w="109"/>
        <w:gridCol w:w="109"/>
        <w:gridCol w:w="206"/>
        <w:gridCol w:w="918"/>
        <w:gridCol w:w="116"/>
        <w:gridCol w:w="109"/>
        <w:gridCol w:w="109"/>
        <w:gridCol w:w="109"/>
        <w:gridCol w:w="208"/>
        <w:gridCol w:w="802"/>
        <w:gridCol w:w="115"/>
        <w:gridCol w:w="109"/>
        <w:gridCol w:w="109"/>
        <w:gridCol w:w="109"/>
        <w:gridCol w:w="210"/>
        <w:gridCol w:w="937"/>
        <w:gridCol w:w="117"/>
        <w:gridCol w:w="109"/>
        <w:gridCol w:w="109"/>
        <w:gridCol w:w="109"/>
        <w:gridCol w:w="199"/>
        <w:gridCol w:w="904"/>
        <w:gridCol w:w="111"/>
        <w:gridCol w:w="111"/>
        <w:gridCol w:w="111"/>
        <w:gridCol w:w="111"/>
        <w:gridCol w:w="254"/>
        <w:gridCol w:w="770"/>
        <w:gridCol w:w="111"/>
        <w:gridCol w:w="109"/>
        <w:gridCol w:w="109"/>
        <w:gridCol w:w="109"/>
        <w:gridCol w:w="196"/>
        <w:gridCol w:w="736"/>
        <w:gridCol w:w="164"/>
      </w:tblGrid>
      <w:tr>
        <w:trPr/>
        <w:tc>
          <w:tcPr>
            <w:tcW w:w="44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of Recognized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Offset in the Condensed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of Liabilities Presented in the Condensed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Not Offset in the Condensed Consolidated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Instrument Collateral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Counterparty Netting/ Cash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11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Offsetting of 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3,477,831 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3,477,831 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(3,382,370)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(67,690)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1,405,639 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1,405,639 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(1,404,924)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liabilities,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(198,463)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216,992 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216,992 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(96,708)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5,298,925 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(198,463)</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5,100,462 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(4,787,294)</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(164,398)</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148,770 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gross obligations for securities sold under agreements to repurchase and for securities lending transactions by remaining contractual maturity and the class of collateral pledged as of June 30, 2026 and December 31, 2025:</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99"/>
        <w:gridCol w:w="528"/>
        <w:gridCol w:w="531"/>
        <w:gridCol w:w="109"/>
        <w:gridCol w:w="109"/>
        <w:gridCol w:w="109"/>
        <w:gridCol w:w="231"/>
        <w:gridCol w:w="1030"/>
        <w:gridCol w:w="128"/>
        <w:gridCol w:w="109"/>
        <w:gridCol w:w="109"/>
        <w:gridCol w:w="109"/>
        <w:gridCol w:w="211"/>
        <w:gridCol w:w="795"/>
        <w:gridCol w:w="117"/>
        <w:gridCol w:w="109"/>
        <w:gridCol w:w="109"/>
        <w:gridCol w:w="109"/>
        <w:gridCol w:w="196"/>
        <w:gridCol w:w="646"/>
        <w:gridCol w:w="109"/>
        <w:gridCol w:w="109"/>
        <w:gridCol w:w="109"/>
        <w:gridCol w:w="109"/>
        <w:gridCol w:w="196"/>
        <w:gridCol w:w="736"/>
        <w:gridCol w:w="109"/>
        <w:gridCol w:w="109"/>
        <w:gridCol w:w="109"/>
        <w:gridCol w:w="109"/>
        <w:gridCol w:w="235"/>
        <w:gridCol w:w="488"/>
        <w:gridCol w:w="130"/>
        <w:gridCol w:w="109"/>
        <w:gridCol w:w="109"/>
        <w:gridCol w:w="109"/>
        <w:gridCol w:w="196"/>
        <w:gridCol w:w="871"/>
        <w:gridCol w:w="161"/>
      </w:tblGrid>
      <w:tr>
        <w:trPr/>
        <w:tc>
          <w:tcPr>
            <w:tcW w:w="5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Contractual Maturity</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Overnight and Continuous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30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30 - 60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61 - 90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than 90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6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and Non-U.S. government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2,095,126 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2,095,126 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2,270,126 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115,000 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2,620,126 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4,089,659 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4,089,659 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4,089,659 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4,089,659 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99"/>
        <w:gridCol w:w="528"/>
        <w:gridCol w:w="531"/>
        <w:gridCol w:w="109"/>
        <w:gridCol w:w="109"/>
        <w:gridCol w:w="109"/>
        <w:gridCol w:w="231"/>
        <w:gridCol w:w="1030"/>
        <w:gridCol w:w="128"/>
        <w:gridCol w:w="109"/>
        <w:gridCol w:w="109"/>
        <w:gridCol w:w="109"/>
        <w:gridCol w:w="211"/>
        <w:gridCol w:w="795"/>
        <w:gridCol w:w="117"/>
        <w:gridCol w:w="109"/>
        <w:gridCol w:w="109"/>
        <w:gridCol w:w="109"/>
        <w:gridCol w:w="196"/>
        <w:gridCol w:w="646"/>
        <w:gridCol w:w="109"/>
        <w:gridCol w:w="109"/>
        <w:gridCol w:w="109"/>
        <w:gridCol w:w="109"/>
        <w:gridCol w:w="196"/>
        <w:gridCol w:w="736"/>
        <w:gridCol w:w="109"/>
        <w:gridCol w:w="109"/>
        <w:gridCol w:w="109"/>
        <w:gridCol w:w="109"/>
        <w:gridCol w:w="235"/>
        <w:gridCol w:w="488"/>
        <w:gridCol w:w="130"/>
        <w:gridCol w:w="109"/>
        <w:gridCol w:w="109"/>
        <w:gridCol w:w="109"/>
        <w:gridCol w:w="196"/>
        <w:gridCol w:w="871"/>
        <w:gridCol w:w="161"/>
      </w:tblGrid>
      <w:tr>
        <w:trPr/>
        <w:tc>
          <w:tcPr>
            <w:tcW w:w="5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0"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Contractual Maturity</w:t>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Overnight and Continuous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30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30 - 60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61 - 90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than 90</w:t>
              <w:br/>
              <w:t>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6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and Non-U.S. government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905,639 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905,639 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905,639 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315,000 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1,405,639 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3,477,831 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3,477,831 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3,477,831 </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3,477,831 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11. Digital Assets Held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Digital assets held at June 30, 2026 and December 31, 2025:</w:t>
      </w:r>
    </w:p>
    <w:tbl>
      <w:tblPr>
        <w:tblW w:w="5909" w:type="dxa"/>
        <w:jc w:val="center"/>
        <w:tblInd w:w="0" w:type="dxa"/>
        <w:tblLayout w:type="fixed"/>
        <w:tblCellMar>
          <w:top w:w="28" w:type="dxa"/>
          <w:left w:w="28" w:type="dxa"/>
          <w:bottom w:w="28" w:type="dxa"/>
          <w:right w:w="28" w:type="dxa"/>
        </w:tblCellMar>
      </w:tblPr>
      <w:tblGrid>
        <w:gridCol w:w="755"/>
        <w:gridCol w:w="663"/>
        <w:gridCol w:w="666"/>
        <w:gridCol w:w="109"/>
        <w:gridCol w:w="109"/>
        <w:gridCol w:w="109"/>
        <w:gridCol w:w="278"/>
        <w:gridCol w:w="278"/>
        <w:gridCol w:w="161"/>
        <w:gridCol w:w="109"/>
        <w:gridCol w:w="109"/>
        <w:gridCol w:w="109"/>
        <w:gridCol w:w="196"/>
        <w:gridCol w:w="736"/>
        <w:gridCol w:w="109"/>
        <w:gridCol w:w="109"/>
        <w:gridCol w:w="109"/>
        <w:gridCol w:w="109"/>
        <w:gridCol w:w="196"/>
        <w:gridCol w:w="73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Bitcoin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Digital assets 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160,905 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156,227 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tbl>
      <w:tblPr>
        <w:tblW w:w="5909" w:type="dxa"/>
        <w:jc w:val="center"/>
        <w:tblInd w:w="0" w:type="dxa"/>
        <w:tblLayout w:type="fixed"/>
        <w:tblCellMar>
          <w:top w:w="28" w:type="dxa"/>
          <w:left w:w="28" w:type="dxa"/>
          <w:bottom w:w="28" w:type="dxa"/>
          <w:right w:w="28" w:type="dxa"/>
        </w:tblCellMar>
      </w:tblPr>
      <w:tblGrid>
        <w:gridCol w:w="755"/>
        <w:gridCol w:w="663"/>
        <w:gridCol w:w="666"/>
        <w:gridCol w:w="109"/>
        <w:gridCol w:w="109"/>
        <w:gridCol w:w="109"/>
        <w:gridCol w:w="278"/>
        <w:gridCol w:w="278"/>
        <w:gridCol w:w="161"/>
        <w:gridCol w:w="109"/>
        <w:gridCol w:w="109"/>
        <w:gridCol w:w="109"/>
        <w:gridCol w:w="196"/>
        <w:gridCol w:w="736"/>
        <w:gridCol w:w="109"/>
        <w:gridCol w:w="109"/>
        <w:gridCol w:w="109"/>
        <w:gridCol w:w="109"/>
        <w:gridCol w:w="196"/>
        <w:gridCol w:w="736"/>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Basis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Bitcoin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Digital assets 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154,194 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154,610 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25.0 million PYTH tokens with a fair value of $0.9 million are subject to selling restrictions. The time-based selling restrictions will unlock in 2027.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12. Derivative Instruments</w:t>
      </w:r>
    </w:p>
    <w:p>
      <w:pPr>
        <w:pStyle w:val="TextBody"/>
        <w:bidi w:val="0"/>
        <w:spacing w:before="120" w:after="283"/>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the Company’s derivative instruments on a gross basis consisted of the following at June 30, 2026 and December 31, 2025:</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017"/>
        <w:gridCol w:w="720"/>
        <w:gridCol w:w="728"/>
        <w:gridCol w:w="109"/>
        <w:gridCol w:w="109"/>
        <w:gridCol w:w="109"/>
        <w:gridCol w:w="776"/>
        <w:gridCol w:w="577"/>
        <w:gridCol w:w="579"/>
        <w:gridCol w:w="109"/>
        <w:gridCol w:w="109"/>
        <w:gridCol w:w="109"/>
        <w:gridCol w:w="201"/>
        <w:gridCol w:w="572"/>
        <w:gridCol w:w="113"/>
        <w:gridCol w:w="109"/>
        <w:gridCol w:w="109"/>
        <w:gridCol w:w="109"/>
        <w:gridCol w:w="196"/>
        <w:gridCol w:w="871"/>
        <w:gridCol w:w="109"/>
        <w:gridCol w:w="109"/>
        <w:gridCol w:w="109"/>
        <w:gridCol w:w="109"/>
        <w:gridCol w:w="201"/>
        <w:gridCol w:w="572"/>
        <w:gridCol w:w="113"/>
        <w:gridCol w:w="109"/>
        <w:gridCol w:w="109"/>
        <w:gridCol w:w="109"/>
        <w:gridCol w:w="196"/>
        <w:gridCol w:w="871"/>
        <w:gridCol w:w="158"/>
      </w:tblGrid>
      <w:tr>
        <w:trPr/>
        <w:tc>
          <w:tcPr>
            <w:tcW w:w="101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Statement 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r>
          </w:p>
        </w:tc>
      </w:tr>
      <w:tr>
        <w:trPr/>
        <w:tc>
          <w:tcPr>
            <w:tcW w:w="24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instruments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Equities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1,017,174 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11,235,551 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11,492,904 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3,484,123 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4,575,259 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income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2,565,169 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438,928 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43,056,133 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211,856 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28,015,291 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Statement 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r>
          </w:p>
        </w:tc>
      </w:tr>
      <w:tr>
        <w:trPr/>
        <w:tc>
          <w:tcPr>
            <w:tcW w:w="24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instruments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Equities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940,143 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Commodity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171,504 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212,120 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income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383,154 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sold, not yet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216,992 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2,637,691 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sold, not yet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442,864 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43,058,101 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28,008,595 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r>
        <w:trPr/>
        <w:tc>
          <w:tcPr>
            <w:tcW w:w="2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Amounts included in receivables from and payables to broker-dealers and clearing organizations represent net variation margin on long and short futures contracts as well as amounts receivable or payable on interest rate swaps.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net gain (loss) from derivative instruments not designated as hedging instruments under ASC 815, which are recorded in total revenues, and from those designated as hedging instruments under ASC 815, which are initially recorded in other comprehensive income in the accompanying Condensed Consolidated Statements of Comprehensive Income for the three and six months ended June 30, 2026 and 2025.</w:t>
      </w:r>
    </w:p>
    <w:tbl>
      <w:tblPr>
        <w:tblW w:w="10205" w:type="dxa"/>
        <w:jc w:val="center"/>
        <w:tblInd w:w="0" w:type="dxa"/>
        <w:tblLayout w:type="fixed"/>
        <w:tblCellMar>
          <w:top w:w="28" w:type="dxa"/>
          <w:left w:w="28" w:type="dxa"/>
          <w:bottom w:w="28" w:type="dxa"/>
          <w:right w:w="28" w:type="dxa"/>
        </w:tblCellMar>
      </w:tblPr>
      <w:tblGrid>
        <w:gridCol w:w="789"/>
        <w:gridCol w:w="695"/>
        <w:gridCol w:w="699"/>
        <w:gridCol w:w="109"/>
        <w:gridCol w:w="109"/>
        <w:gridCol w:w="109"/>
        <w:gridCol w:w="769"/>
        <w:gridCol w:w="593"/>
        <w:gridCol w:w="596"/>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56"/>
      </w:tblGrid>
      <w:tr>
        <w:trPr/>
        <w:tc>
          <w:tcPr>
            <w:tcW w:w="78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21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Statements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instruments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Currency 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Terminated interest rate swaps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interest expense on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247,458 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243,396 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212,301 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instruments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swaps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The Company entered into a two-year $1,525 million floating-to-fixed interest rate agreement in December 2023 (the “December 2023 Swap”). The two-year interest rate swap met the criteria to be considered as a qualifying cash flow hedge under ASC 815 as of December 2023, and the mark-to-market gains (losses) on the instrument was deferred within Other comprehensive income on the Condensed Consolidated Statements of Comprehensive Income. In November 2025, the designation of the interest rate swap as a cash flow hedge was discontinued upon the termination of the December 2023 Swap in accordance with its contractual terms, and no further gains or losses related to this instrument are recorded in Other comprehensive income. See Note 9 “Borrowings” for further details.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The Company records the amortization of AOCI balances related to its previously terminated interest rate swaps in Financing interest expense on long-term borrowings on the Condensed Consolidated Statements of Comprehensive Income. See Note 9 “Borrowings” for further details on the previously terminated swaps.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13. Variable Interest Entities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an interest in a joint venture (“JV”) that builds and maintains communication networks and related assets globally. The Company and its JV partners each pay monthly fees for the use of the communication networks in connection with their respective trading activities, and the JV may sell excess bandwidth that is not utilized by the JV members to third parties. As of June 30, 2026, the Company held a noncontrolling interest of 50.0% in the JV.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an interest in a JV that offers derivatives trading technology and execution services to broker-dealers, professional traders and select hedge funds. As of June 30, 2026, the Company held approximately a 9.8% noncontrolling interest in this JV.</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an interest in a JV that operates a member-owned equities exchange with the goal of increasing competition and transparency, while reducing fixed costs and simplifying execution of equity trading in the U.S. As of June 30, 2026, the Company held approximately a 12.6% noncontrolling interest in this JV.</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an interest in a JV that was formed for the purpose of developing and operating a cryptocurrency trading platform with the goal of increasing competition and transparency, while improving trading performance and reducing operational risk. As of June 30, 2026, the Company held approximately a 6.4% noncontrolling interest in this JV.</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JVs noted above meet the criteria to be considered VIEs, which it does not consolidate. The Company records its interest in the JVs under the equity method of accounting and records its investment in the JVs within Other assets and its amounts payable for communication services provided by the telecommunications JV within Accounts payable, accrued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expenses and other liabilities on the Statements of Financial Condition as applicable. The Company records its pro-rata share of the JVs’ earnings or losses within Other, net and fees related to the use of communication services provided by the telecommunications JV within Communications and data processing on the Condensed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exposure to the obligations of these VIEs is generally limited to its interests in each respective JV, which is the carrying value of the equity investment in each JV.</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nonconsolidated VIEs at June 30, 2026:</w:t>
      </w:r>
    </w:p>
    <w:p>
      <w:pPr>
        <w:pStyle w:val="TextBody"/>
        <w:bidi w:val="0"/>
        <w:spacing w:before="0" w:after="0"/>
        <w:ind w:left="0" w:right="0" w:firstLine="720"/>
        <w:jc w:val="left"/>
        <w:rPr/>
      </w:pPr>
      <w:r>
        <w:rPr/>
      </w:r>
    </w:p>
    <w:tbl>
      <w:tblPr>
        <w:tblW w:w="7561" w:type="dxa"/>
        <w:jc w:val="center"/>
        <w:tblInd w:w="0" w:type="dxa"/>
        <w:tblLayout w:type="fixed"/>
        <w:tblCellMar>
          <w:top w:w="28" w:type="dxa"/>
          <w:left w:w="28" w:type="dxa"/>
          <w:bottom w:w="28" w:type="dxa"/>
          <w:right w:w="28" w:type="dxa"/>
        </w:tblCellMar>
      </w:tblPr>
      <w:tblGrid>
        <w:gridCol w:w="499"/>
        <w:gridCol w:w="440"/>
        <w:gridCol w:w="441"/>
        <w:gridCol w:w="109"/>
        <w:gridCol w:w="109"/>
        <w:gridCol w:w="109"/>
        <w:gridCol w:w="196"/>
        <w:gridCol w:w="646"/>
        <w:gridCol w:w="109"/>
        <w:gridCol w:w="109"/>
        <w:gridCol w:w="109"/>
        <w:gridCol w:w="109"/>
        <w:gridCol w:w="198"/>
        <w:gridCol w:w="411"/>
        <w:gridCol w:w="112"/>
        <w:gridCol w:w="109"/>
        <w:gridCol w:w="109"/>
        <w:gridCol w:w="109"/>
        <w:gridCol w:w="436"/>
        <w:gridCol w:w="1437"/>
        <w:gridCol w:w="242"/>
        <w:gridCol w:w="109"/>
        <w:gridCol w:w="109"/>
        <w:gridCol w:w="109"/>
        <w:gridCol w:w="196"/>
        <w:gridCol w:w="73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Exposure to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VIEs' assets</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90,411 </w:t>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534,313 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nonconsolidated VIEs at December 31, 2025: </w:t>
      </w:r>
    </w:p>
    <w:p>
      <w:pPr>
        <w:pStyle w:val="TextBody"/>
        <w:bidi w:val="0"/>
        <w:spacing w:before="0" w:after="0"/>
        <w:ind w:left="0" w:right="0" w:firstLine="720"/>
        <w:jc w:val="left"/>
        <w:rPr/>
      </w:pPr>
      <w:r>
        <w:rPr/>
      </w:r>
    </w:p>
    <w:tbl>
      <w:tblPr>
        <w:tblW w:w="7561" w:type="dxa"/>
        <w:jc w:val="center"/>
        <w:tblInd w:w="0" w:type="dxa"/>
        <w:tblLayout w:type="fixed"/>
        <w:tblCellMar>
          <w:top w:w="28" w:type="dxa"/>
          <w:left w:w="28" w:type="dxa"/>
          <w:bottom w:w="28" w:type="dxa"/>
          <w:right w:w="28" w:type="dxa"/>
        </w:tblCellMar>
      </w:tblPr>
      <w:tblGrid>
        <w:gridCol w:w="499"/>
        <w:gridCol w:w="440"/>
        <w:gridCol w:w="441"/>
        <w:gridCol w:w="109"/>
        <w:gridCol w:w="109"/>
        <w:gridCol w:w="109"/>
        <w:gridCol w:w="196"/>
        <w:gridCol w:w="646"/>
        <w:gridCol w:w="109"/>
        <w:gridCol w:w="109"/>
        <w:gridCol w:w="109"/>
        <w:gridCol w:w="109"/>
        <w:gridCol w:w="198"/>
        <w:gridCol w:w="411"/>
        <w:gridCol w:w="112"/>
        <w:gridCol w:w="109"/>
        <w:gridCol w:w="109"/>
        <w:gridCol w:w="109"/>
        <w:gridCol w:w="436"/>
        <w:gridCol w:w="1437"/>
        <w:gridCol w:w="242"/>
        <w:gridCol w:w="109"/>
        <w:gridCol w:w="109"/>
        <w:gridCol w:w="109"/>
        <w:gridCol w:w="196"/>
        <w:gridCol w:w="73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Exposure to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VIEs' assets</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92,127 </w:t>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422,006 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formed a JV to support the growth and expansion of a multi-asset request-for-quote communication platform in 2022. Upon the formation of the JV, the Company held a 51% controlling interest. The JV met the criteria to be considered a VIE, and based on the standard for control set forth above, the Company consolidated this entity and recorded the interest that the Company did not own as noncontrolling interest in the Condensed Consolidated Financial Statements. On May 9, 2025, the Company completed the sale of a 49% interest in the multi-asset request-for-quote communication platform JV. Upon the closing of the sale, the Company retains a minority interest of approximately 2% in RFQ-hub. The Company ceased to control, and deconsolidated, RFQ-hub at such time. See Note 3 “Sale of RFQ-hub” for further details.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14. Revenues from Contracts with Customers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more information on revenue recognition and the nature of services provided, see Note 2 “Summary of Significant Accounting Policies” and Note 14 “Revenues from Contracts with Customers” to the Consolidated Financial Statements of the Company’s 2025 Annual Report on Form 10-K.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revenue from contracts with customers disaggregated by service, and timing of revenue recognition, reconciled to the Company’s segments, for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tbl>
      <w:tblPr>
        <w:tblW w:w="9309" w:type="dxa"/>
        <w:jc w:val="left"/>
        <w:tblInd w:w="0" w:type="dxa"/>
        <w:tblLayout w:type="fixed"/>
        <w:tblCellMar>
          <w:top w:w="28" w:type="dxa"/>
          <w:left w:w="28" w:type="dxa"/>
          <w:bottom w:w="28" w:type="dxa"/>
          <w:right w:w="28" w:type="dxa"/>
        </w:tblCellMar>
      </w:tblPr>
      <w:tblGrid>
        <w:gridCol w:w="1161"/>
        <w:gridCol w:w="1023"/>
        <w:gridCol w:w="1026"/>
        <w:gridCol w:w="109"/>
        <w:gridCol w:w="109"/>
        <w:gridCol w:w="109"/>
        <w:gridCol w:w="207"/>
        <w:gridCol w:w="922"/>
        <w:gridCol w:w="115"/>
        <w:gridCol w:w="109"/>
        <w:gridCol w:w="109"/>
        <w:gridCol w:w="109"/>
        <w:gridCol w:w="274"/>
        <w:gridCol w:w="1029"/>
        <w:gridCol w:w="152"/>
        <w:gridCol w:w="109"/>
        <w:gridCol w:w="109"/>
        <w:gridCol w:w="109"/>
        <w:gridCol w:w="198"/>
        <w:gridCol w:w="562"/>
        <w:gridCol w:w="111"/>
        <w:gridCol w:w="109"/>
        <w:gridCol w:w="109"/>
        <w:gridCol w:w="109"/>
        <w:gridCol w:w="196"/>
        <w:gridCol w:w="871"/>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127,565 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Workflow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26,835 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Analytics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163,601 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sources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993,230 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1,009,174 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173,461 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1,189,953 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transferred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1,009,174 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154,604 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transferred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18,857 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1,009,174 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173,461 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7,318 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1,189,953 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39" w:type="dxa"/>
        <w:jc w:val="left"/>
        <w:tblInd w:w="0" w:type="dxa"/>
        <w:tblLayout w:type="fixed"/>
        <w:tblCellMar>
          <w:top w:w="28" w:type="dxa"/>
          <w:left w:w="28" w:type="dxa"/>
          <w:bottom w:w="28" w:type="dxa"/>
          <w:right w:w="28" w:type="dxa"/>
        </w:tblCellMar>
      </w:tblPr>
      <w:tblGrid>
        <w:gridCol w:w="1161"/>
        <w:gridCol w:w="1023"/>
        <w:gridCol w:w="1026"/>
        <w:gridCol w:w="109"/>
        <w:gridCol w:w="109"/>
        <w:gridCol w:w="109"/>
        <w:gridCol w:w="234"/>
        <w:gridCol w:w="880"/>
        <w:gridCol w:w="130"/>
        <w:gridCol w:w="109"/>
        <w:gridCol w:w="109"/>
        <w:gridCol w:w="109"/>
        <w:gridCol w:w="274"/>
        <w:gridCol w:w="1029"/>
        <w:gridCol w:w="152"/>
        <w:gridCol w:w="109"/>
        <w:gridCol w:w="109"/>
        <w:gridCol w:w="109"/>
        <w:gridCol w:w="196"/>
        <w:gridCol w:w="631"/>
        <w:gridCol w:w="109"/>
        <w:gridCol w:w="109"/>
        <w:gridCol w:w="109"/>
        <w:gridCol w:w="109"/>
        <w:gridCol w:w="196"/>
        <w:gridCol w:w="736"/>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104,467 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Workflow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25,433 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Analytics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14,414 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139,445 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153,859 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sources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772,179 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75,043 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786,593 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214,488 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999,573 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transferred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786,593 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196,144 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transferred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18,344 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786,593 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214,488 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999,573 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09" w:type="dxa"/>
        <w:jc w:val="left"/>
        <w:tblInd w:w="0" w:type="dxa"/>
        <w:tblLayout w:type="fixed"/>
        <w:tblCellMar>
          <w:top w:w="28" w:type="dxa"/>
          <w:left w:w="28" w:type="dxa"/>
          <w:bottom w:w="28" w:type="dxa"/>
          <w:right w:w="28" w:type="dxa"/>
        </w:tblCellMar>
      </w:tblPr>
      <w:tblGrid>
        <w:gridCol w:w="1161"/>
        <w:gridCol w:w="1023"/>
        <w:gridCol w:w="1026"/>
        <w:gridCol w:w="109"/>
        <w:gridCol w:w="109"/>
        <w:gridCol w:w="109"/>
        <w:gridCol w:w="207"/>
        <w:gridCol w:w="922"/>
        <w:gridCol w:w="115"/>
        <w:gridCol w:w="109"/>
        <w:gridCol w:w="109"/>
        <w:gridCol w:w="109"/>
        <w:gridCol w:w="274"/>
        <w:gridCol w:w="1029"/>
        <w:gridCol w:w="152"/>
        <w:gridCol w:w="109"/>
        <w:gridCol w:w="109"/>
        <w:gridCol w:w="109"/>
        <w:gridCol w:w="230"/>
        <w:gridCol w:w="512"/>
        <w:gridCol w:w="129"/>
        <w:gridCol w:w="109"/>
        <w:gridCol w:w="109"/>
        <w:gridCol w:w="109"/>
        <w:gridCol w:w="196"/>
        <w:gridCol w:w="871"/>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 from contracts with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268,160 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Workflow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54,665 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Analytics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18,726 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24,619 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341,551 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366,170 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sources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1,900,252 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19,041 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1,924,871 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360,592 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2,285,280 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transferred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1,924,871 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322,685 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transferred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37,907 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1,924,871 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360,592 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2,285,280 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tbl>
      <w:tblPr>
        <w:tblW w:w="9309" w:type="dxa"/>
        <w:jc w:val="left"/>
        <w:tblInd w:w="0" w:type="dxa"/>
        <w:tblLayout w:type="fixed"/>
        <w:tblCellMar>
          <w:top w:w="28" w:type="dxa"/>
          <w:left w:w="28" w:type="dxa"/>
          <w:bottom w:w="28" w:type="dxa"/>
          <w:right w:w="28" w:type="dxa"/>
        </w:tblCellMar>
      </w:tblPr>
      <w:tblGrid>
        <w:gridCol w:w="1161"/>
        <w:gridCol w:w="1023"/>
        <w:gridCol w:w="1026"/>
        <w:gridCol w:w="109"/>
        <w:gridCol w:w="109"/>
        <w:gridCol w:w="109"/>
        <w:gridCol w:w="207"/>
        <w:gridCol w:w="922"/>
        <w:gridCol w:w="115"/>
        <w:gridCol w:w="109"/>
        <w:gridCol w:w="109"/>
        <w:gridCol w:w="109"/>
        <w:gridCol w:w="274"/>
        <w:gridCol w:w="1029"/>
        <w:gridCol w:w="152"/>
        <w:gridCol w:w="109"/>
        <w:gridCol w:w="109"/>
        <w:gridCol w:w="109"/>
        <w:gridCol w:w="198"/>
        <w:gridCol w:w="562"/>
        <w:gridCol w:w="111"/>
        <w:gridCol w:w="109"/>
        <w:gridCol w:w="109"/>
        <w:gridCol w:w="109"/>
        <w:gridCol w:w="196"/>
        <w:gridCol w:w="871"/>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 from contracts with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201,901 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233,627 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Workflow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52,504 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Analytics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19,035 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273,440 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305,166 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sources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1,446,039 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82,056 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1,532,276 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1,477,765 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355,496 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1,837,442 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transferred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1,477,765 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319,213 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1,801,159 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 transferred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36,283 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1,477,765 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355,496 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1,837,442 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Remaining Performance Obligations and Revenue Recognized from Past Performance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and 2025, the aggregate amount of the transaction price allocated to the performance obligations relating to workflow technology and analytics revenues that are unsatisfied (or partially unsatisfied) was not material.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Contract Assets and Contract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Receivables related to revenues from contracts with customers amounted to $79.8 million and $64.5 million as of June 30, 2026 and December 31, 2025, respectively. The Company did not identify any contract assets. There were no impairment losses on receivables as of June 30, 2026.</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Deferred revenue primarily relates to deferred commissions allocated to analytics products and subscription fees billed in advance of satisfying the performance obligations. Deferred revenue related to contracts with customers was $11.3 million and $9.2 million as of June 30, 2026 and December 31, 2025, respectively. The Company recognized the full amount of revenue </w:t>
      </w:r>
      <w:r>
        <w:rPr>
          <w:rFonts w:ascii="Times New Roman;serif" w:hAnsi="Times New Roman;serif"/>
          <w:b w:val="false"/>
          <w:color w:val="000000"/>
          <w:sz w:val="20"/>
          <w:shd w:fill="FFFFFF" w:val="clear"/>
        </w:rPr>
        <w:t xml:space="preserve">during the six months ended June 30, 2026 and 2025, </w:t>
      </w:r>
      <w:r>
        <w:rPr>
          <w:rFonts w:ascii="Times New Roman;serif" w:hAnsi="Times New Roman;serif"/>
          <w:b w:val="false"/>
          <w:color w:val="000000"/>
          <w:sz w:val="20"/>
        </w:rPr>
        <w:t>that had been recorded as deferred revenue in the respective prior year.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not identified any costs to obtain or fulfill its contracts under ASC 606.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15. Income Taxes</w:t>
      </w:r>
    </w:p>
    <w:p>
      <w:pPr>
        <w:pStyle w:val="TextBody"/>
        <w:bidi w:val="0"/>
        <w:spacing w:before="0" w:after="0"/>
        <w:jc w:val="both"/>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The Company is subject to U.S. federal, state and local income tax at the rate applicable to corporations for the share of income that is not attributable to the noncontrolling interest in Virtu Financial. These noncontrolling interests are subject to U.S. taxation at the partner level. Accordingly, for the three and six months ended June 30, 2026 and 2025, the income attributable to these noncontrolling interests was reported in the Condensed Consolidated Statements of Comprehensive Income, but the related U.S. income tax expense attributable to these noncontrolling interests was not reported by the Company as it is the obligation of the individual partners. The Company’s non-U.S. subsidiaries are subject to foreign income taxes in the jurisdictions in which they operate. The Company’s provisions for income taxes and effective tax rates were $57.6 million, and 16.8%, and $54.0 million, and 15.6% for the </w:t>
      </w:r>
      <w:r>
        <w:rPr>
          <w:rFonts w:ascii="Times New Roman;serif" w:hAnsi="Times New Roman;serif"/>
          <w:b w:val="false"/>
          <w:color w:val="000000"/>
          <w:sz w:val="20"/>
          <w:shd w:fill="FFFFFF" w:val="clear"/>
        </w:rPr>
        <w:t>three months ended</w:t>
      </w:r>
      <w:r>
        <w:rPr>
          <w:color w:val="000000"/>
        </w:rPr>
        <w:t xml:space="preserve"> </w:t>
      </w:r>
      <w:r>
        <w:rPr>
          <w:rFonts w:ascii="Times New Roman;serif" w:hAnsi="Times New Roman;serif"/>
          <w:b w:val="false"/>
          <w:color w:val="000000"/>
          <w:sz w:val="20"/>
        </w:rPr>
        <w:t>June 30, 2026 and 2025, respectively, and $120.6 million, and 16.0%, and $88.1 million, and 15.4% for the six months ended June 30, 2026 and 2025, respectively. Income tax expense is also affected by the differing effective tax rates in foreign, state and local jurisdictions where certain of the Company’s subsidiaries are subject to corporate taxation.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Included in Other assets on the Condensed Consolidated Statements of Financial Condition at June 30, 2026 and December 31, 2025 are current income tax receivables of $46.0 million and $36.8 million, respectively. The balances at June 30, 2026 and December 31, 2025 primarily comprised prepayments of income tax and income tax benefits due to the Company from federal, state, local, and foreign tax jurisdictions based on income before taxes. Included in Accounts payable, accrued expenses and other liabilities on the Condensed Consolidated Statements of Financial Condition at June 30, 2026 and December 31, 2025 are current tax liabilities of $38.8 million and $37.8 million, respectively. The balances at June 30, 2026 and December 31, 2025 primarily comprise income taxes owed to federal, state and local, and foreign tax jurisdictions based on income before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taxes arise primarily due to the amortization of the deferred tax assets recognized in connection with the IPO (see Note 5 “Tax Receivable Agreements”), differences in the valuation of financial assets and liabilities, and other temporary differences arising from the deductibility of compensation, depreciation, and other expenses in different time periods for book and income tax return purposes.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At June 30, 2026 and December 31, 2025, the Company did not have any U.S. federal, state or local net operating loss carryforwards and therefore the Company did not record a deferred tax asset related to any federal net operating loss carryforwards.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non-U.S. net operating losses at June 30, 2026 and December 31, 2025, of $37.4 million and $46.8 million, respectively, and has recorded related deferred tax assets of $6.3 million and $7.9 million, respectively. A full valuation allowance was recorded against these deferred tax assets at June 30, 2026 and December 31, 2025 as it is more likely than not that these deferred tax assets will not be realized. No valuation allowance against the remaining deferred taxes was recorded as of June 30, 2026 and December 31, 2025 because it is more likely than not that these deferred tax assets will be fully realized.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taxation in U.S. federal, state, local and foreign jurisdictions. As of June 30, 2026, the Company’s tax years for 2022 through 2024 and 2018 through 2025 are subject to examination by U.S. and non-U.S. tax authorities, respectively. In addition, the Company is subject to state and local income tax examinations in various jurisdictions for the tax years 2018 through 2024. The final outcome of these examinations is not yet determinable. However, the Company anticipates that adjustments related to these examinations, if any, will not result in a material change to its financial condition, results of operations and cash flows.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Condensed Consolidated Statements of Comprehensive Income,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had $19.7 million of unrecognized tax benefits as of June 30, 2026, all of which would affect the Company’s effective tax rate if recognized. The Company has determined that there are no uncertain tax positions that would have a material impact on the Company’s financial position as of June 30, 2026.</w: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16. Commitments, Contingencies and Guarantees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Legal and Regulatory Proceedings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nature of the Company’s business subjects it to claims, lawsuits, regulatory examinations or investigations and other proceedings, any of which could result in the imposition of fines, penalties or other sanctions against the Company. The Company and its subsidiaries are subject to several of these matters at the present time. As previously disclosed in prior regulatory filings, the U.S. Securities and Exchange Commission (“SEC”) undertook an investigation of aspects of the Company’s internal information access barriers. The Company cooperated with this civil investigation and engaged in settlement discussions but was unable to reach a settlement. In September 2023, the SEC filed an action against the Company in federal court in the Southern District of New York, alleging violations of federal securities laws with respect to the Company’s information barriers policies and procedures for a specified time period in and around January 2018 to April 2019 and related statements made by the Company during such period. In December 2025, the matter was resolved as the Company voluntarily consented to the entry of a final order without admitting or denying the SEC’s allegations with respect to its policies and procedures. Pursuant to the order, the Company paid a penalty in the amount of $2.5 million and consented to an injunction with respect to violations of Section 15(g) of the Securities Exchange Act of 1934, while the SEC’s claims with respect to the Company’s statements were dismissed with prejudice.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In matters related to the SEC investigation noted above, the Company and certain of its current and former executive officers were named as defendants on May 19, 2023 in </w:t>
      </w:r>
      <w:r>
        <w:rPr>
          <w:rFonts w:ascii="Times New Roman;serif" w:hAnsi="Times New Roman;serif"/>
          <w:b w:val="false"/>
          <w:i/>
          <w:color w:val="000000"/>
          <w:sz w:val="20"/>
        </w:rPr>
        <w:t xml:space="preserve">Hiebert v. Virtu Financial, Inc., </w:t>
      </w:r>
      <w:r>
        <w:rPr>
          <w:rFonts w:ascii="Times New Roman;serif" w:hAnsi="Times New Roman;serif"/>
          <w:b w:val="false"/>
          <w:color w:val="000000"/>
          <w:sz w:val="20"/>
        </w:rPr>
        <w:t>No. 23-cv-03770 and on October 31, 2023 in</w:t>
      </w:r>
      <w:r>
        <w:rPr>
          <w:color w:val="000000"/>
        </w:rPr>
        <w:t xml:space="preserve"> </w:t>
      </w:r>
      <w:r>
        <w:rPr>
          <w:rFonts w:ascii="Times New Roman;serif" w:hAnsi="Times New Roman;serif"/>
          <w:b w:val="false"/>
          <w:i/>
          <w:color w:val="000000"/>
          <w:sz w:val="20"/>
        </w:rPr>
        <w:t xml:space="preserve">City of Birmingham Retirement and Relief System v. Virtu Financial, Inc., </w:t>
      </w:r>
      <w:r>
        <w:rPr>
          <w:rFonts w:ascii="Times New Roman;serif" w:hAnsi="Times New Roman;serif"/>
          <w:b w:val="false"/>
          <w:color w:val="000000"/>
          <w:sz w:val="20"/>
        </w:rPr>
        <w:t xml:space="preserve">No. 23-cv-08123. The complaints were each filed by purported stockholders in the Eastern District of New York on behalf of a putative class and assert that the Company made materially false and misleading statements and omissions in its public filings in violation of federal securities laws. The complaints were subsequently consolidated and recaptioned in </w:t>
      </w:r>
      <w:r>
        <w:rPr>
          <w:rFonts w:ascii="Times New Roman;serif" w:hAnsi="Times New Roman;serif"/>
          <w:b w:val="false"/>
          <w:i/>
          <w:color w:val="000000"/>
          <w:sz w:val="20"/>
        </w:rPr>
        <w:t>re Virtu Financial, Inc. Securities Litigation</w:t>
      </w:r>
      <w:r>
        <w:rPr>
          <w:rFonts w:ascii="Times New Roman;serif" w:hAnsi="Times New Roman;serif"/>
          <w:b w:val="false"/>
          <w:color w:val="000000"/>
          <w:sz w:val="20"/>
        </w:rPr>
        <w:t xml:space="preserve">, No. 23-cv-03770. The Company believes the defendants have meritorious defenses against claims that its public disclosures were inadequate or misleading. The Company maintains that such disclosures were true and accurate and compliant with applicable law, and the defendants are defending themselves vigorously. The Company also has received requests for information related to the SEC investigation pursuant to Section 220 of the Delaware General Corporation Law from counsel for purported stockholders. On March 26, 2025, members of the Company’s Board of Directors and certain current and former executives were named in a derivative complaint in </w:t>
      </w:r>
      <w:r>
        <w:rPr>
          <w:rFonts w:ascii="Times New Roman;serif" w:hAnsi="Times New Roman;serif"/>
          <w:b w:val="false"/>
          <w:i/>
          <w:color w:val="000000"/>
          <w:sz w:val="20"/>
        </w:rPr>
        <w:t>Adams v. Viola et al.</w:t>
      </w:r>
      <w:r>
        <w:rPr>
          <w:rFonts w:ascii="Times New Roman;serif" w:hAnsi="Times New Roman;serif"/>
          <w:b w:val="false"/>
          <w:color w:val="000000"/>
          <w:sz w:val="20"/>
        </w:rPr>
        <w:t xml:space="preserve">, No. 1:25-cv-1688 filed on behalf of the Company in the Eastern District of New York in which it is asserted that the defendants breached fiduciary duties to the Company related to the FS matter. A similar derivative complaint was filed on April 9, 2025 in </w:t>
      </w:r>
      <w:r>
        <w:rPr>
          <w:rFonts w:ascii="Times New Roman;serif" w:hAnsi="Times New Roman;serif"/>
          <w:b w:val="false"/>
          <w:i/>
          <w:color w:val="000000"/>
          <w:sz w:val="20"/>
        </w:rPr>
        <w:t>Deisz v. Viola et al.</w:t>
      </w:r>
      <w:r>
        <w:rPr>
          <w:rFonts w:ascii="Times New Roman;serif" w:hAnsi="Times New Roman;serif"/>
          <w:b w:val="false"/>
          <w:color w:val="000000"/>
          <w:sz w:val="20"/>
        </w:rPr>
        <w:t xml:space="preserve">, 25-CV-1958 in the Eastern District of New York against current and former members of the Board of Directors and executives. The derivative complaints were subsequently consolidated and recaptioned </w:t>
      </w:r>
      <w:r>
        <w:rPr>
          <w:rFonts w:ascii="Times New Roman;serif" w:hAnsi="Times New Roman;serif"/>
          <w:b w:val="false"/>
          <w:i/>
          <w:color w:val="000000"/>
          <w:sz w:val="20"/>
        </w:rPr>
        <w:t>In re Virtu Financial Inc. Derivative Litigation</w:t>
      </w:r>
      <w:r>
        <w:rPr>
          <w:rFonts w:ascii="Times New Roman;serif" w:hAnsi="Times New Roman;serif"/>
          <w:b w:val="false"/>
          <w:color w:val="000000"/>
          <w:sz w:val="20"/>
        </w:rPr>
        <w:t xml:space="preserve">. On December 11, 2025, a complaint making similar allegations against current and former directors and officers, captioned </w:t>
      </w:r>
      <w:r>
        <w:rPr>
          <w:rFonts w:ascii="Times New Roman;serif" w:hAnsi="Times New Roman;serif"/>
          <w:b w:val="false"/>
          <w:i/>
          <w:color w:val="000000"/>
          <w:sz w:val="20"/>
        </w:rPr>
        <w:t>Curti v. Viola et al.,</w:t>
      </w:r>
      <w:r>
        <w:rPr>
          <w:color w:val="000000"/>
        </w:rPr>
        <w:t xml:space="preserve"> </w:t>
      </w:r>
      <w:r>
        <w:rPr>
          <w:rFonts w:ascii="Times New Roman;serif" w:hAnsi="Times New Roman;serif"/>
          <w:b w:val="false"/>
          <w:color w:val="000000"/>
          <w:sz w:val="20"/>
        </w:rPr>
        <w:t>No. 2025-1441-KSJM, was filed in Delaware Chancery Court. The defendants in these cases deny that they breached any fiduciary duties related to the FS matter and are defending themselves vigorously.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On November 30, 2020, the Company was named as a defendant in </w:t>
      </w:r>
      <w:r>
        <w:rPr>
          <w:rFonts w:ascii="Times New Roman;serif" w:hAnsi="Times New Roman;serif"/>
          <w:b w:val="false"/>
          <w:i/>
          <w:color w:val="000000"/>
          <w:sz w:val="20"/>
        </w:rPr>
        <w:t>In re United States Oil Fund, LP Securities Litigation</w:t>
      </w:r>
      <w:r>
        <w:rPr>
          <w:rFonts w:ascii="Times New Roman;serif" w:hAnsi="Times New Roman;serif"/>
          <w:b w:val="false"/>
          <w:color w:val="000000"/>
          <w:sz w:val="20"/>
        </w:rPr>
        <w:t>, No. 20-cv-4740. The consolidated amended complaint was filed in federal district court in New York on behalf of a putative class, and asserts claims against the Company and numerous other financial institutions under Section 11 of the Securities Act of 1933 in connection with trading in United States Oil Fund, LP, a crude oil ETF. The complaint also names the ETF, its sponsor, and related individuals as defendants. The complaint did not specify the amount of alleged damages. Defendants moved to dismiss the consolidated amended complaint on January 29, 2021; the motion was granted on September 29, 2025. In November, 2025, the plaintiffs moved for leave to file a proposed second amended complaint, briefing was completed on the motion and it is currently pending before the court. The Company believes that the claims are without merit and plans to continue defending itself vigorously if necessary.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On March 7, 2022, the Company was named as a defendant in </w:t>
      </w:r>
      <w:r>
        <w:rPr>
          <w:rFonts w:ascii="Times New Roman;serif" w:hAnsi="Times New Roman;serif"/>
          <w:b w:val="false"/>
          <w:i/>
          <w:color w:val="000000"/>
          <w:sz w:val="20"/>
        </w:rPr>
        <w:t>Iron Workers Local No. 55 Pension Fund v. Virtu Financial, Inc.</w:t>
      </w:r>
      <w:r>
        <w:rPr>
          <w:rFonts w:ascii="Times New Roman;serif" w:hAnsi="Times New Roman;serif"/>
          <w:b w:val="false"/>
          <w:color w:val="000000"/>
          <w:sz w:val="20"/>
        </w:rPr>
        <w:t xml:space="preserve">, No. 2022-0211-PAF pending in the Court of Chancery of the State of Delaware. The complaint (the 220 Complaint”), filed by a purported stockholder, seeks to compel the inspection of certain Company books and records pursuant to Section 220 of the Delaware General Corporation Law. The 220 Complaint alleged that the stockholder sought Company information to investigate (a) whether wrongdoing or mismanagement occurred in connection with distributions made to the partners of Virtu Financial pursuant to the Company’s Up-C corporate structure; (b) the independence and disinterestedness of the Company’s directors and/or officers and whether the directors breached their fiduciary duties; and (c) potential damages relating thereto. The Company made substantial productions of documents and other information in response to plaintiff's requests. In January 2025, the plaintiff voluntarily dismissed the 220 Complaint and filed a complaint in the Court of Chancery of the State of Delaware naming the Company and its directors, officers, and controlling stockholder as defendants, captioned </w:t>
      </w:r>
      <w:r>
        <w:rPr>
          <w:rFonts w:ascii="Times New Roman;serif" w:hAnsi="Times New Roman;serif"/>
          <w:b w:val="false"/>
          <w:i/>
          <w:color w:val="000000"/>
          <w:sz w:val="20"/>
        </w:rPr>
        <w:t>Iron Workers Local No. 55 Pension Fund v. Viola et al.</w:t>
      </w:r>
      <w:r>
        <w:rPr>
          <w:rFonts w:ascii="Times New Roman;serif" w:hAnsi="Times New Roman;serif"/>
          <w:b w:val="false"/>
          <w:color w:val="000000"/>
          <w:sz w:val="20"/>
        </w:rPr>
        <w:t>, No. 2025-0058-JTL, alleging breaches of fiduciary duties which purportedly have caused harm to holders of the Company’s Class A common stock. The defendants in these cases deny they breached their fiduciary duties and are defending themselves vigorously. A motion to dismiss was denied on June 2, 2026, and the case is proceeding to discovery.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On October 17, 2022, the Company’s subsidiary, along with several other parties, was named as a defendant in </w:t>
      </w:r>
      <w:r>
        <w:rPr>
          <w:rFonts w:ascii="Times New Roman;serif" w:hAnsi="Times New Roman;serif"/>
          <w:b w:val="false"/>
          <w:i/>
          <w:color w:val="000000"/>
          <w:sz w:val="20"/>
        </w:rPr>
        <w:t>Mallinckrodt PLC, et al. (Reorganized Debtors); Opioid Master Disbursement Trust II v. Argos Capital Appreciation Master Fund LP et al</w:t>
      </w:r>
      <w:r>
        <w:rPr>
          <w:color w:val="000000"/>
        </w:rPr>
        <w:t xml:space="preserve"> </w:t>
      </w:r>
      <w:r>
        <w:rPr>
          <w:rFonts w:ascii="Times New Roman;serif" w:hAnsi="Times New Roman;serif"/>
          <w:b w:val="false"/>
          <w:color w:val="000000"/>
          <w:sz w:val="20"/>
        </w:rPr>
        <w:t>No. 20-12522. The complaint alleges that Mallinckrodt PLC engaged in a share repurchase program from 2015 through 2018 pursuant to which it repurchased its own shares in various open market transactions, a period during which it was allegedly insolvent. The debtor plaintiff is seeking to unwind the transactions consummated under the program, alleging such transactions constituted fraudulent transfers by the debtor. The Company believes it has meritorious defenses against any unwinding of transactions, and the court granted its motion to dismiss in March 2025. The debtor plaintiff appealed the dismissal to the United States District Court for the District of Delaware, and the district court affirmed the bankruptcy court’s dismissal in November 2025.</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On December 1, 2022, the Company’s subsidiary, along with several other parties, was named as a defendant in N</w:t>
      </w:r>
      <w:r>
        <w:rPr>
          <w:rFonts w:ascii="Times New Roman;serif" w:hAnsi="Times New Roman;serif"/>
          <w:b w:val="false"/>
          <w:i/>
          <w:color w:val="000000"/>
          <w:sz w:val="20"/>
        </w:rPr>
        <w:t xml:space="preserve">orthwest Biotherapeutics, Inc. v. Canaccord Genuity LLC, et al </w:t>
      </w:r>
      <w:r>
        <w:rPr>
          <w:rFonts w:ascii="Times New Roman;serif" w:hAnsi="Times New Roman;serif"/>
          <w:b w:val="false"/>
          <w:color w:val="000000"/>
          <w:sz w:val="20"/>
        </w:rPr>
        <w:t xml:space="preserve">No. 1:22-cv-10185, filed in United States District Court in the Southern District of New York. The initial complaint alleged that defendants engaged in market manipulation in the plaintiff’s stock during a period from 2018 to 2022. A first amended complaint was filed on April 10, 2023, bringing substantially the same allegations as the initial complaint. The first amended complaint was dismissed with leave to amend on February 14, 2024. Plaintiff filed a second amended complaint on March 18, 2024. Neither the operative complaint nor prior iterations specify the amount of alleged damages. On March 27, 2025, the district court partially granted the defendants’ motion to dismiss. On November 14, 2025, the Company’s subsidiary, along with another market maker, was named as a defendant in </w:t>
      </w:r>
      <w:r>
        <w:rPr>
          <w:rFonts w:ascii="Times New Roman;serif" w:hAnsi="Times New Roman;serif"/>
          <w:b w:val="false"/>
          <w:i/>
          <w:color w:val="000000"/>
          <w:sz w:val="20"/>
        </w:rPr>
        <w:t>Genius Group Limited v. Citadel Securities LLC, et al</w:t>
      </w:r>
      <w:r>
        <w:rPr>
          <w:color w:val="000000"/>
        </w:rPr>
        <w:t xml:space="preserve"> </w:t>
      </w:r>
      <w:r>
        <w:rPr>
          <w:rFonts w:ascii="Times New Roman;serif" w:hAnsi="Times New Roman;serif"/>
          <w:b w:val="false"/>
          <w:color w:val="000000"/>
          <w:sz w:val="20"/>
        </w:rPr>
        <w:t xml:space="preserve">No. 1:25-CV-09546, filed in United States District Court in the Southern District of New York. The putative class action complaint alleges that defendants engaged in market manipulation of the plaintiff’s stock during a period from 2022 to 2025. On June 29, 2026, plaintiff filed a notice of voluntary dismissal in the Southern District Court and filed a new putative securities class action against the same defendants in the New York District of Florida, captioned </w:t>
      </w:r>
      <w:r>
        <w:rPr>
          <w:rFonts w:ascii="Times New Roman;serif" w:hAnsi="Times New Roman;serif"/>
          <w:b w:val="false"/>
          <w:i/>
          <w:color w:val="000000"/>
          <w:sz w:val="20"/>
        </w:rPr>
        <w:t>Reynolds v. Citadel Securities LLC and Virtu Americas LLC</w:t>
      </w:r>
      <w:r>
        <w:rPr>
          <w:rFonts w:ascii="Times New Roman;serif" w:hAnsi="Times New Roman;serif"/>
          <w:b w:val="false"/>
          <w:color w:val="000000"/>
          <w:sz w:val="20"/>
        </w:rPr>
        <w:t>, No. 1:26-cv-24485 (S.D. Fla.). On January 7, 2026, the Company, along with several other parties, was named as a defendant in Asia Broadband, Inc. v. Virtu Financial Inc. et al No. 2:26-cv-00175, filed in United States District Court in the Central District of California. The putative class action complaint alleges that the defendants engaged in market manipulation of the plaintiff’s stock during a period from 2021 to 2025. The Company believes that all of these claims are without merit and is defending itself vigorously.</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On October 7, 2024, the Company and its 50% owned subsidiary, NLN Holdings, LLC, along with several other defendants, were named in a lawsuit brought by Skywave Networks, LLC in the United States District Court for the Northern District of Illinois, </w:t>
      </w:r>
      <w:r>
        <w:rPr>
          <w:rFonts w:ascii="Times New Roman;serif" w:hAnsi="Times New Roman;serif"/>
          <w:b w:val="false"/>
          <w:i/>
          <w:color w:val="000000"/>
          <w:sz w:val="20"/>
        </w:rPr>
        <w:t>Skywave Networks, LLC v. DiSomma, et al.,</w:t>
      </w:r>
      <w:r>
        <w:rPr>
          <w:color w:val="000000"/>
        </w:rPr>
        <w:t xml:space="preserve"> </w:t>
      </w:r>
      <w:r>
        <w:rPr>
          <w:rFonts w:ascii="Times New Roman;serif" w:hAnsi="Times New Roman;serif"/>
          <w:b w:val="false"/>
          <w:color w:val="000000"/>
          <w:sz w:val="20"/>
        </w:rPr>
        <w:t>1:24-cv-09650 (N.D.Ill.). The complaint alleges that defendants engaged in violations of federal law, 18 U.S.C. sec. 1962, in connection with the application for and utilization of various licenses issued by the Federal Communications Commission, purportedly harming plaintiffs’ attempts to offer certain network communications capacity on a commercial basis. The complaint does not specify any amount of alleged damages. On February 13, 2025, the plaintiffs filed a First Amended Complaint which does not specify any amount of alleged damages. On December 2, 2025, the court granted the Company’s motion to dismiss the complaint. On December 31, 2025, the Plaintiffs filed a notice of appeal with the 7th Circuit Court of Appeals. Oral argument on the appeal has been scheduled for September 10, 2026. The Company believes that the claims are without merit and intends to continue to defend itself vigorously.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20, 2026, SpectraNet Technologies LLC (“SpectraNet”) filed a lawsuit against VFI and other entities in the U.S. District Court for the Northern District of Illinois alleging that their collective and individual use of shortwave trading methods comprises a patented ionospheric radio frequency transmission of a message in a high frequency (HF) band to a remote receiving device and, thus, allegedly infringes certain claims of U.S. Patent No. 10,959,123, No. 11,516,694, and No. 12,414,002. SpectraNet seeks unspecified monetary damages, subject to trebling under 35 U.S.C. § 284, and an injunction or, alternatively, an ongoing royalty of an unspecified percentage or amount. No scheduling order has been entered. No trial date has been set. VFI believes these claims are without merit and intends to defend itself vigorously.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and utilizes its judgment in accordance with applicable accounting standards in booking any associated estimated liability. It is not presently possible to determine the ultimate exposure to these matters and it is possible that the resolution of the outstanding matters will significantly exceed any estimated liabilities accrued by the Company. In addition, there are numerous factors that result in a greater degree of complexity in class-action lawsuits as compared to other types of litigation. There can be no assurance that these various legal proceedings will not significantly exceed any estimated liability accrued by the Company or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Legal and Regulatory Matters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increased regulatory, congressional and media scrutiny of U.S. equities market structure, the retail trading environment in the U.S., wholesale market making and the relationships between retail broker-dealers and market making firms including, but not limited to, payment for order flow arrangements, other remuneration arrangements such as profit-sharing relationships and exchange fee and rebate structures, alternative trading systems and off-exchange trading more generally, high frequency trading, short selling, market fragmentation, colocation, and access to market data feeds. In 2022 and 2023, the SEC under the prior administration proposed several rule changes focused on equity market structure reform, certain of which have been adopted, while others remain pending while others have been withdrawn. The SEC has recently (i) adopted rule amendments to minimum pricing increments under Rule 612 of Regulation NMS, access fee caps under Rule 610 of Regulation NMS, acceleration of the implementation of certain Market Data Infrastructure Rules, and an amendment to the odd-lot information definition adopted under the MDI rules (collectively referred to as the “tick size, access fees and infrastructure rule proposals”), which had a previous compliance date commencing in November 2025, and the compliance date for tick size and access fees rule changes have been delayed until November 2026, and the infrastructure rule proposal concerning odd lots has been delayed until May 2026, (ii) adopted amendments to Rule 605 of Regulation NMS, which had an initial compliance date on or about December 15, 2025 which has been postponed until August 1, 2026, and (iii) approved a funding model submitted by several exchanges in relation to the Consolidated Audit Trail (CAT) which provided for fee collection commencing in November 2024 but which was ultimately struck down by the 11th Circuit Court of Appeals. On March 16, 2026, the SEC approved a revised CAT funding model on a two-year limited basis. On March 25, 2026, a petition was filed in the 11th Circuit Court of Appeals for a review of the revised plan. On April 16, 2026, the SEC issued a concept release seeking public comment on the CAT as part of the SEC’s comprehensive review. Moreover, on June 11, 2026, the SEC proposed amendments to Regulation NMS to rescind Rule 611 (the Trade-Through Rule) and Rule 610(e) (the Locked and Crossed Markets Rule).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of 2025, under Chair Atkins, the SEC withdrew the following previously pending proposals: (i) Proposed Rule 615 of Regulation NMS (i.e., the Order Competition Rule), (ii) Regulation Best Execution, (iii) a series of amendments to the definition of Exchange and Alternative Trading Systems (ATS), (iv) proposed amendments to expand and update Regulation Systems Compliance and Integrity (SCI), and (v) a proposal to restrict volume based tiered pricing by equity exchanges in certain cases. Further, the FTC took steps to dismiss its appeal and accede to a vacatur of its previously announced final rule banning most non-compete clauses in employer-employee contracts. Other recent developments in law and regulation relating to digital assets and cryptocurrency include the adoption of the Guiding and Establishing National innovation for U.S. Stablecoins Act (the “GENIUS Act”) and the proposal of the Digital Asset Market Clarity Act (the “CLARITY Act”) and the “Responsible Financial Innovation Act of 2025” in the United States, and the adoption of the Markets in Crypto-Assets Regulation (MiCAR) in the EU. These remaining pending or potential rule changes in law, rule or regulation, to the extent adopted, along with those that have recently been adopted, could adversely affect the Company’s business or the Company’s industry, though may also have positive impacts. As indicated above, from time to time, the Company is the subject of requests for information and documents from the SEC, the Financial Industry Regulatory Authority (“FINRA”), state attorneys general, and other regulators and governmental authorities. It is the Company’s practice to cooperate and comply with the requests for information and documents. Additional information regarding legal and regulatory risks is described within the “Risk Factors” section under the sub header of “Legal and Regulatory Risks” in the Company’s Annual Report on Form 10-K for the year ended December 31, 2025.</w:t>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indicated above, the Company is currently the subject of various regulatory reviews and investigations by state, federal and foreign regulators and SROs, including the SEC and FINRA. In some instances, these matters may result in a disciplinary action and/or a civil or administrative action. Further, as noted in the above Legal and Regulatory Proceedings section, there is inherent difficulty in predicting the outcome of regulatory examinations or investigations, and the Company cannot estimate losses or ranges of losses for these matters above what has already been accrued for.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Representations and Warranties; Indemnification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its operations, the Company enters into contracts that contain a variety of representations and warranties in addition to indemnification obligations, including indemnification obligations in connection with the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of KCG and the ITG Acquisition. The Company’s maximum exposure under these arrangements is currently unknown, as such exposure could relate to claims not yet brought or events which have not yet occurred.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Consistent with standard business practices in the normal course of business, the Company enters into contracts that contain a variety of representations and warranties and general indemnifications. The Company has also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claims.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17. Leases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primarily enters into lessee arrangements for corporate office space, data centers, and technology equipment. For more information on lease accounting, see Note 2 “Summary of Significant Accounting Policies” and Note 17 “Leases” to the Consolidated Financial Statements of the Company’s 2025 Annual Report on Form 10-K.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Lease assets and liabilities are summarized as follows:</w:t>
      </w:r>
    </w:p>
    <w:p>
      <w:pPr>
        <w:pStyle w:val="TextBody"/>
        <w:bidi w:val="0"/>
        <w:spacing w:before="0" w:after="0"/>
        <w:jc w:val="left"/>
        <w:rPr/>
      </w:pPr>
      <w:r>
        <w:rPr/>
      </w:r>
    </w:p>
    <w:tbl>
      <w:tblPr>
        <w:tblW w:w="10160" w:type="dxa"/>
        <w:jc w:val="center"/>
        <w:tblInd w:w="0" w:type="dxa"/>
        <w:tblLayout w:type="fixed"/>
        <w:tblCellMar>
          <w:top w:w="28" w:type="dxa"/>
          <w:left w:w="28" w:type="dxa"/>
          <w:bottom w:w="28" w:type="dxa"/>
          <w:right w:w="28" w:type="dxa"/>
        </w:tblCellMar>
      </w:tblPr>
      <w:tblGrid>
        <w:gridCol w:w="894"/>
        <w:gridCol w:w="789"/>
        <w:gridCol w:w="791"/>
        <w:gridCol w:w="109"/>
        <w:gridCol w:w="109"/>
        <w:gridCol w:w="109"/>
        <w:gridCol w:w="1343"/>
        <w:gridCol w:w="1343"/>
        <w:gridCol w:w="1349"/>
        <w:gridCol w:w="109"/>
        <w:gridCol w:w="109"/>
        <w:gridCol w:w="109"/>
        <w:gridCol w:w="212"/>
        <w:gridCol w:w="796"/>
        <w:gridCol w:w="117"/>
        <w:gridCol w:w="109"/>
        <w:gridCol w:w="109"/>
        <w:gridCol w:w="109"/>
        <w:gridCol w:w="279"/>
        <w:gridCol w:w="1047"/>
        <w:gridCol w:w="219"/>
      </w:tblGrid>
      <w:tr>
        <w:trPr/>
        <w:tc>
          <w:tcPr>
            <w:tcW w:w="89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Financial Statement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206,388 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213,707 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253,198 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261,169 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equipment, and capitalized software,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36,611 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equipment, and capitalized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(17,703)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19,984 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and discount rate are as follows:</w:t>
      </w:r>
    </w:p>
    <w:p>
      <w:pPr>
        <w:pStyle w:val="TextBody"/>
        <w:bidi w:val="0"/>
        <w:spacing w:before="0" w:after="0"/>
        <w:ind w:left="0" w:right="0" w:firstLine="720"/>
        <w:jc w:val="center"/>
        <w:rPr/>
      </w:pPr>
      <w:r>
        <w:rPr/>
      </w:r>
    </w:p>
    <w:tbl>
      <w:tblPr>
        <w:tblW w:w="6173" w:type="dxa"/>
        <w:jc w:val="center"/>
        <w:tblInd w:w="0" w:type="dxa"/>
        <w:tblLayout w:type="fixed"/>
        <w:tblCellMar>
          <w:top w:w="28" w:type="dxa"/>
          <w:left w:w="28" w:type="dxa"/>
          <w:bottom w:w="28" w:type="dxa"/>
          <w:right w:w="28" w:type="dxa"/>
        </w:tblCellMar>
      </w:tblPr>
      <w:tblGrid>
        <w:gridCol w:w="1032"/>
        <w:gridCol w:w="907"/>
        <w:gridCol w:w="911"/>
        <w:gridCol w:w="109"/>
        <w:gridCol w:w="109"/>
        <w:gridCol w:w="109"/>
        <w:gridCol w:w="267"/>
        <w:gridCol w:w="267"/>
        <w:gridCol w:w="591"/>
        <w:gridCol w:w="109"/>
        <w:gridCol w:w="109"/>
        <w:gridCol w:w="109"/>
        <w:gridCol w:w="333"/>
        <w:gridCol w:w="333"/>
        <w:gridCol w:w="878"/>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years</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years</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5.93 </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5.95 </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5.31 </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are as follows:</w:t>
      </w:r>
    </w:p>
    <w:p>
      <w:pPr>
        <w:pStyle w:val="TextBody"/>
        <w:bidi w:val="0"/>
        <w:spacing w:before="0" w:after="0"/>
        <w:ind w:left="0" w:right="0" w:firstLine="720"/>
        <w:jc w:val="left"/>
        <w:rPr/>
      </w:pPr>
      <w:r>
        <w:rPr/>
      </w:r>
    </w:p>
    <w:tbl>
      <w:tblPr>
        <w:tblW w:w="7430" w:type="dxa"/>
        <w:jc w:val="center"/>
        <w:tblInd w:w="0" w:type="dxa"/>
        <w:tblLayout w:type="fixed"/>
        <w:tblCellMar>
          <w:top w:w="28" w:type="dxa"/>
          <w:left w:w="28" w:type="dxa"/>
          <w:bottom w:w="28" w:type="dxa"/>
          <w:right w:w="28" w:type="dxa"/>
        </w:tblCellMar>
      </w:tblPr>
      <w:tblGrid>
        <w:gridCol w:w="733"/>
        <w:gridCol w:w="644"/>
        <w:gridCol w:w="647"/>
        <w:gridCol w:w="109"/>
        <w:gridCol w:w="109"/>
        <w:gridCol w:w="109"/>
        <w:gridCol w:w="199"/>
        <w:gridCol w:w="656"/>
        <w:gridCol w:w="110"/>
        <w:gridCol w:w="110"/>
        <w:gridCol w:w="110"/>
        <w:gridCol w:w="110"/>
        <w:gridCol w:w="199"/>
        <w:gridCol w:w="656"/>
        <w:gridCol w:w="110"/>
        <w:gridCol w:w="109"/>
        <w:gridCol w:w="109"/>
        <w:gridCol w:w="109"/>
        <w:gridCol w:w="196"/>
        <w:gridCol w:w="646"/>
        <w:gridCol w:w="109"/>
        <w:gridCol w:w="109"/>
        <w:gridCol w:w="109"/>
        <w:gridCol w:w="109"/>
        <w:gridCol w:w="196"/>
        <w:gridCol w:w="646"/>
        <w:gridCol w:w="109"/>
        <w:gridCol w:w="109"/>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ROU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22,685 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19,294 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ROU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3,109 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operating and finance leases with non-cancelable lease terms, as of June 30, 2026, are as follows:</w:t>
      </w:r>
    </w:p>
    <w:p>
      <w:pPr>
        <w:pStyle w:val="TextBody"/>
        <w:bidi w:val="0"/>
        <w:spacing w:before="0" w:after="0"/>
        <w:jc w:val="left"/>
        <w:rPr/>
      </w:pPr>
      <w:r>
        <w:rPr/>
      </w:r>
    </w:p>
    <w:tbl>
      <w:tblPr>
        <w:tblW w:w="4824" w:type="dxa"/>
        <w:jc w:val="center"/>
        <w:tblInd w:w="0" w:type="dxa"/>
        <w:tblLayout w:type="fixed"/>
        <w:tblCellMar>
          <w:top w:w="28" w:type="dxa"/>
          <w:left w:w="28" w:type="dxa"/>
          <w:bottom w:w="28" w:type="dxa"/>
          <w:right w:w="28" w:type="dxa"/>
        </w:tblCellMar>
      </w:tblPr>
      <w:tblGrid>
        <w:gridCol w:w="570"/>
        <w:gridCol w:w="502"/>
        <w:gridCol w:w="503"/>
        <w:gridCol w:w="109"/>
        <w:gridCol w:w="109"/>
        <w:gridCol w:w="109"/>
        <w:gridCol w:w="257"/>
        <w:gridCol w:w="965"/>
        <w:gridCol w:w="143"/>
        <w:gridCol w:w="109"/>
        <w:gridCol w:w="109"/>
        <w:gridCol w:w="109"/>
        <w:gridCol w:w="242"/>
        <w:gridCol w:w="798"/>
        <w:gridCol w:w="190"/>
      </w:tblGrid>
      <w:tr>
        <w:trPr/>
        <w:tc>
          <w:tcPr>
            <w:tcW w:w="57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1557" w:type="dxa"/>
            <w:gridSpan w:val="6"/>
            <w:tcBorders/>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r>
      <w:tr>
        <w:trPr/>
        <w:tc>
          <w:tcPr>
            <w:tcW w:w="15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42,477 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6,372 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80,832 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2031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43,350 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289,787 </w:t>
            </w:r>
          </w:p>
        </w:tc>
        <w:tc>
          <w:tcPr>
            <w:tcW w:w="1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28,946 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(36,589)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253,198 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27,045 </w:t>
            </w:r>
          </w:p>
        </w:tc>
        <w:tc>
          <w:tcPr>
            <w:tcW w:w="1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18. Cash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cash equivalents together with restricted or segregated cash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reported within the Condensed Consolidated Statements of Financial Condition to the sum of the same such amounts shown in the Condensed Consolidated Statements of Cash Flows.</w:t>
      </w:r>
    </w:p>
    <w:p>
      <w:pPr>
        <w:pStyle w:val="TextBody"/>
        <w:bidi w:val="0"/>
        <w:spacing w:before="0" w:after="0"/>
        <w:jc w:val="left"/>
        <w:rPr/>
      </w:pPr>
      <w:r>
        <w:rPr/>
      </w:r>
    </w:p>
    <w:tbl>
      <w:tblPr>
        <w:tblW w:w="9313" w:type="dxa"/>
        <w:jc w:val="center"/>
        <w:tblInd w:w="0" w:type="dxa"/>
        <w:tblLayout w:type="fixed"/>
        <w:tblCellMar>
          <w:top w:w="28" w:type="dxa"/>
          <w:left w:w="28" w:type="dxa"/>
          <w:bottom w:w="28" w:type="dxa"/>
          <w:right w:w="28" w:type="dxa"/>
        </w:tblCellMar>
      </w:tblPr>
      <w:tblGrid>
        <w:gridCol w:w="2146"/>
        <w:gridCol w:w="1892"/>
        <w:gridCol w:w="1901"/>
        <w:gridCol w:w="109"/>
        <w:gridCol w:w="109"/>
        <w:gridCol w:w="109"/>
        <w:gridCol w:w="196"/>
        <w:gridCol w:w="871"/>
        <w:gridCol w:w="109"/>
        <w:gridCol w:w="109"/>
        <w:gridCol w:w="109"/>
        <w:gridCol w:w="109"/>
        <w:gridCol w:w="248"/>
        <w:gridCol w:w="1102"/>
        <w:gridCol w:w="194"/>
      </w:tblGrid>
      <w:tr>
        <w:trPr/>
        <w:tc>
          <w:tcPr>
            <w:tcW w:w="2146"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59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1,061,697 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restricted or segregated under regulations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64,744 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 shown in the statement of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1,133,013 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1,126,441 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871"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19. Capital Structure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 Mr. Vincent Viola together with certain affiliates controls approximately 87.4% of the combined voting power of our common stock as a result of their ownership of our Class A, Class C and Class D Common Stock. The Company holds approximately a 58.1% interest in Virtu Financial at June 30, 2026.</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period prior to the Company’s IPO and certain reorganization transactions consummated in connection with the IPO, Class A-2 profits interests and Class B interests in Virtu Financial were issued to Employee Holdco (as defined below) on behalf of certain key employees and stakeholders. In connection with these reorganization transactions, all Class A-2 profits interests and Class B interests were reclassified into Virtu Financial Units. As of June 30, 2026 and December 31, 2025, there were 3,240,583 and 3,402,959 Virtu Financial Units outstanding held by Employee Holdco, respectively, and 162,376 and 367,123 of such Virtu Financial Units and corresponding Class C Common Stock were exchanged into Class A Common Stock, forfeited or repurchased during the six months ended June 30, 2026 and June 30,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Second Amended and Restated 2015 Management Incentive Plan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Board of Directors and stockholders adopted the 2015 Management Incentive Plan, which became effective upon consummation of the IPO, and was subsequently amended and restated following receipt of approval from the Company’s stockholders on June 30, 2017, June 5, 2020, June 2, 2022, and June 2, 2025. The Second Amended and Restated 2015 Management Incentive Plan provides for the grant of stock options, restricted stock units, and other awards based on an aggregate of 33,500,000 shares of Class A Common Stock, subject to additional sublimits, including limits on the total option grant to any one participant in a single year and the total performance award to any one participant in a single year.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13, 2020, the Company amended its form award agreement for the issuance of RSUs to provide for the continued vesting of outstanding RSU awards upon the occurrence of a qualified retirement (the “RSU Amendment”). A qualified retirement generally means a voluntary resignation by the participant (i) after five years of service, (ii) the participant attaining the age of 50 and (iii) the sum of the participant’s age and service at the time of termination equaling or exceeding 65. Continued vesting is subject to the participant entering into a 2 year non-compete. The RSU Amendment was authorized and approved by the Compensation Committee of the Company’s Board of Directors. As a result of the RSU Amendment, currently issued and outstanding RSUs held by the Company’s employees, including its executive officers, shall be deemed to be subject to the amended terms of the form award agreement, and any future RSU awards shall also be governed by such amended terms.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6, 2020, the Company’s Board of Directors authorized a share repurchase program of up to $100.0 million in Class A common stock and Virtu Financial Units by December 31, 2021. On February 11, 2021, the Company’s Board of Directors authorized the expansion of the program by an additional $70 million in Class A Common Stock and Virtu Financial Units. On May 4, 2021, the Company’s Board of Directors authorized the expansion of the Company’s share repurchase program, increasing the total authorized amount by an additional $300 million in Class A Common Stock and Virtu Financial Units and extending the duration of the program through May 4, 2022. On November 3, 2021 the Company’s Board of Directors authorized another expansion of the program by an additional $750 million to $1,220 million and extending the duration of the program through November 3, 2023, which was subsequently extended through December 31, 2024. On April 24, 2024, the Company’s Board of Directors authorized the expansion of the program by an additional $500 million to $1,720 million and extended the duration through April 24, 2026. The share repurchase program authorized the Company to repurchase shares from time to time in open market transactions, privately negotiated transactions or by other means. Repurchases were also permitted to be made under Rule 10b5-1 plans. The timing and amount of repurchase transactions were determined by the Company’s management based on its evaluation of market conditions, share price, cash sources, legal requirements and other factors. From the inception of the program through April 24, 2026, the Company repurchased approximately 53.8 million shares of Class A Common Stock and Virtu Financial Units for approximately $1,417.2 million.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Employee Exchanges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June 30, 2025, pursuant to the exchange agreement by and among the Company, Virtu Financial and holders of Virtu Financial Units, certain current and former employees elected to exchange 1,162,376 and 350,858 units, respectively, in Virtu Financial held directly or on their behalf by Virtu Employee Holdco LLC (“Employee Holdco”) on a one-for-one basis for shares of Class A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Accumulated Other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Other Comprehensive Income for the three and six months ended June 30, 2026 and 2025:</w:t>
      </w:r>
    </w:p>
    <w:tbl>
      <w:tblPr>
        <w:tblW w:w="10205" w:type="dxa"/>
        <w:jc w:val="center"/>
        <w:tblInd w:w="0" w:type="dxa"/>
        <w:tblLayout w:type="fixed"/>
        <w:tblCellMar>
          <w:top w:w="28" w:type="dxa"/>
          <w:left w:w="28" w:type="dxa"/>
          <w:bottom w:w="28" w:type="dxa"/>
          <w:right w:w="28" w:type="dxa"/>
        </w:tblCellMar>
      </w:tblPr>
      <w:tblGrid>
        <w:gridCol w:w="997"/>
        <w:gridCol w:w="866"/>
        <w:gridCol w:w="869"/>
        <w:gridCol w:w="109"/>
        <w:gridCol w:w="109"/>
        <w:gridCol w:w="109"/>
        <w:gridCol w:w="308"/>
        <w:gridCol w:w="965"/>
        <w:gridCol w:w="171"/>
        <w:gridCol w:w="109"/>
        <w:gridCol w:w="109"/>
        <w:gridCol w:w="109"/>
        <w:gridCol w:w="267"/>
        <w:gridCol w:w="759"/>
        <w:gridCol w:w="148"/>
        <w:gridCol w:w="109"/>
        <w:gridCol w:w="109"/>
        <w:gridCol w:w="109"/>
        <w:gridCol w:w="596"/>
        <w:gridCol w:w="1236"/>
        <w:gridCol w:w="334"/>
        <w:gridCol w:w="109"/>
        <w:gridCol w:w="109"/>
        <w:gridCol w:w="109"/>
        <w:gridCol w:w="279"/>
        <w:gridCol w:w="875"/>
        <w:gridCol w:w="227"/>
      </w:tblGrid>
      <w:tr>
        <w:trPr/>
        <w:tc>
          <w:tcPr>
            <w:tcW w:w="99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2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recorded</w:t>
              <w:br/>
              <w:t>in AOCI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reclassified from AOCI to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Ending Balance</w:t>
            </w:r>
          </w:p>
        </w:tc>
      </w:tr>
      <w:tr>
        <w:trPr/>
        <w:tc>
          <w:tcPr>
            <w:tcW w:w="27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27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(4,975)</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(5,836)</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(4,975)</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(861)</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(5,836)</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vAlign w:val="center"/>
          </w:tcPr>
          <w:p>
            <w:pPr>
              <w:pStyle w:val="TableContents"/>
              <w:bidi w:val="0"/>
              <w:spacing w:before="0" w:after="283"/>
              <w:jc w:val="left"/>
              <w:rPr>
                <w:sz w:val="4"/>
                <w:szCs w:val="4"/>
              </w:rPr>
            </w:pPr>
            <w:r>
              <w:rPr>
                <w:sz w:val="4"/>
                <w:szCs w:val="4"/>
              </w:rPr>
            </w:r>
          </w:p>
        </w:tc>
        <w:tc>
          <w:tcPr>
            <w:tcW w:w="7473" w:type="dxa"/>
            <w:gridSpan w:val="24"/>
            <w:tcBorders/>
          </w:tcPr>
          <w:p>
            <w:pPr>
              <w:pStyle w:val="TableContents"/>
              <w:bidi w:val="0"/>
              <w:spacing w:before="0" w:after="283"/>
              <w:jc w:val="left"/>
              <w:rPr>
                <w:sz w:val="4"/>
                <w:szCs w:val="4"/>
              </w:rPr>
            </w:pPr>
            <w:r>
              <w:rPr>
                <w:sz w:val="4"/>
                <w:szCs w:val="4"/>
              </w:rPr>
            </w:r>
          </w:p>
        </w:tc>
      </w:tr>
      <w:tr>
        <w:trPr/>
        <w:tc>
          <w:tcPr>
            <w:tcW w:w="2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6"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recorded</w:t>
              <w:br/>
              <w:t>in AOCI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reclassified from AOCI to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Ending Balance</w:t>
            </w:r>
          </w:p>
        </w:tc>
      </w:tr>
      <w:tr>
        <w:trPr/>
        <w:tc>
          <w:tcPr>
            <w:tcW w:w="27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unrealized cash flow hedges gains (losses)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3,732 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4,359 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7,160 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(5,554)</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7,700 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2,233 </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(1) Amounts reclassified from AOCI to income are included within Financing interest expense on long-term borrowings on the Condensed Consolidated Statements of Comprehensive Income.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91"/>
        <w:gridCol w:w="861"/>
        <w:gridCol w:w="863"/>
        <w:gridCol w:w="109"/>
        <w:gridCol w:w="109"/>
        <w:gridCol w:w="109"/>
        <w:gridCol w:w="307"/>
        <w:gridCol w:w="961"/>
        <w:gridCol w:w="170"/>
        <w:gridCol w:w="109"/>
        <w:gridCol w:w="109"/>
        <w:gridCol w:w="109"/>
        <w:gridCol w:w="249"/>
        <w:gridCol w:w="825"/>
        <w:gridCol w:w="139"/>
        <w:gridCol w:w="109"/>
        <w:gridCol w:w="109"/>
        <w:gridCol w:w="109"/>
        <w:gridCol w:w="454"/>
        <w:gridCol w:w="1448"/>
        <w:gridCol w:w="252"/>
        <w:gridCol w:w="109"/>
        <w:gridCol w:w="109"/>
        <w:gridCol w:w="109"/>
        <w:gridCol w:w="279"/>
        <w:gridCol w:w="872"/>
        <w:gridCol w:w="226"/>
      </w:tblGrid>
      <w:tr>
        <w:trPr/>
        <w:tc>
          <w:tcPr>
            <w:tcW w:w="99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recorded</w:t>
              <w:br/>
              <w:t>in AOCI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reclassified from AOCI to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Ending Balance</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(3,011)</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(2,825)</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(5,836)</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(3,011)</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(2,825)</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(5,836)</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7490" w:type="dxa"/>
            <w:gridSpan w:val="24"/>
            <w:tcBorders/>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recorded</w:t>
              <w:br/>
              <w:t>in AOCI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reclassified from AOCI to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Ending Balance</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unrealized cash flow hedges gains (losses)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4,943 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w:t>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4,359 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exchange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9,880 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(7,063)</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10,733 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w:t>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2,233 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(1) Amounts reclassified from AOCI to income are included within Financing interest expense on long-term borrowings on the Condensed Consolidated Statements of Comprehensive Income.</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5725" w:type="dxa"/>
            <w:gridSpan w:val="18"/>
            <w:tcBorders/>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7490" w:type="dxa"/>
            <w:gridSpan w:val="2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20. Share-based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Second Amended and Restated 2015 Management Incentive Plan as described in Note 19 “Capital Structure”, and in connection with the IPO, non-qualified stock options to purchase shares of Class A Common Stock were granted, each of which vests in equal annual installments over a period of 4 years from grant date and expires not later than 10 years from the date of grant. There were no options outstanding as of June 30,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activity related to stock options for the six months ended June 30, 2025. There was no such activity for the six months ended June 30, 2026.</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24"/>
        <w:gridCol w:w="373"/>
        <w:gridCol w:w="374"/>
        <w:gridCol w:w="499"/>
        <w:gridCol w:w="348"/>
        <w:gridCol w:w="336"/>
        <w:gridCol w:w="109"/>
        <w:gridCol w:w="109"/>
        <w:gridCol w:w="109"/>
        <w:gridCol w:w="412"/>
        <w:gridCol w:w="1168"/>
        <w:gridCol w:w="228"/>
        <w:gridCol w:w="109"/>
        <w:gridCol w:w="109"/>
        <w:gridCol w:w="109"/>
        <w:gridCol w:w="662"/>
        <w:gridCol w:w="662"/>
        <w:gridCol w:w="664"/>
        <w:gridCol w:w="109"/>
        <w:gridCol w:w="109"/>
        <w:gridCol w:w="109"/>
        <w:gridCol w:w="499"/>
        <w:gridCol w:w="348"/>
        <w:gridCol w:w="336"/>
        <w:gridCol w:w="109"/>
        <w:gridCol w:w="109"/>
        <w:gridCol w:w="109"/>
        <w:gridCol w:w="335"/>
        <w:gridCol w:w="955"/>
        <w:gridCol w:w="274"/>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Options Exercisable</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br/>
              <w:t>Per Share</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December 31, 2024</w:t>
            </w:r>
          </w:p>
        </w:tc>
        <w:tc>
          <w:tcPr>
            <w:tcW w:w="8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813,750 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813,750 </w:t>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Exercised</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(813,750)</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(813,750)</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 or expired</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June 30, 2025</w:t>
            </w:r>
          </w:p>
        </w:tc>
        <w:tc>
          <w:tcPr>
            <w:tcW w:w="84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expected life was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Class A Common Stock, Restricted Stock Units and Restricted Stock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Second Amended and Restated 2015 Management Incentive Plan as described in Note 19 “Capital Structure”, subsequent to the IPO, shares of immediately vested Class A Common Stock, restricted stock units (“RSUs”) and restricted stock awards (“RSAs”) were granted, with RSUs and RSAs vesting over a period of up to 4 years. The fair value of the Class A Common Stock and RSUs was determined based on a volume weighted average price and the expense is recognized on a straight-line basis over the vesting period. The fair value of the RSAs was determined based on the closing price as of the date of grant and the expense is recognized from the date that achievement of the performance target becomes probable through the remainder of the vesting period. Performance targets are based on the Company’s adjusted EBITDA for certain future periods. For the six months ended June 30, 2026 and 2025, respectively, there were 717,206 and 528,221 shares of immediately vested Class A Common Stock granted as part of year-end compensation. In addition, the Company accrued compensation expense of $18.2 million and $11.1 million for the three months ended June 30, 2026 and 2025, respectively, and $37.4 million and $18.2 million for the six months ended June 30, 2026 and 2025, respectively, related to immediately vested Class A Common Stock expected to be awarded as part of year-end incentive compensation, which was included in Employee compensation and payroll taxes on the Condensed Consolidated Statements of Comprehensive Income and Accounts payable, accrued expenses and other liabilities on the Condensed Consolidated Statements of Financial Condition.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activity related to RSUs and RSAs for the six months ended June 30, 2026 and 2025:</w:t>
      </w:r>
    </w:p>
    <w:tbl>
      <w:tblPr>
        <w:tblW w:w="10205" w:type="dxa"/>
        <w:jc w:val="center"/>
        <w:tblInd w:w="0" w:type="dxa"/>
        <w:tblLayout w:type="fixed"/>
        <w:tblCellMar>
          <w:top w:w="28" w:type="dxa"/>
          <w:left w:w="28" w:type="dxa"/>
          <w:bottom w:w="28" w:type="dxa"/>
          <w:right w:w="28" w:type="dxa"/>
        </w:tblCellMar>
      </w:tblPr>
      <w:tblGrid>
        <w:gridCol w:w="1084"/>
        <w:gridCol w:w="952"/>
        <w:gridCol w:w="956"/>
        <w:gridCol w:w="1328"/>
        <w:gridCol w:w="1167"/>
        <w:gridCol w:w="1173"/>
        <w:gridCol w:w="211"/>
        <w:gridCol w:w="211"/>
        <w:gridCol w:w="211"/>
        <w:gridCol w:w="627"/>
        <w:gridCol w:w="1784"/>
        <w:gridCol w:w="501"/>
      </w:tblGrid>
      <w:tr>
        <w:trPr/>
        <w:tc>
          <w:tcPr>
            <w:tcW w:w="108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2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RSUs and RSAs</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Fair Value </w:t>
            </w:r>
          </w:p>
        </w:tc>
      </w:tr>
      <w:tr>
        <w:trPr/>
        <w:tc>
          <w:tcPr>
            <w:tcW w:w="2992" w:type="dxa"/>
            <w:gridSpan w:val="3"/>
            <w:tcBorders/>
            <w:vAlign w:val="center"/>
          </w:tcPr>
          <w:p>
            <w:pPr>
              <w:pStyle w:val="TableContents"/>
              <w:bidi w:val="0"/>
              <w:spacing w:before="0" w:after="283"/>
              <w:jc w:val="left"/>
              <w:rPr>
                <w:sz w:val="4"/>
                <w:szCs w:val="4"/>
              </w:rPr>
            </w:pPr>
            <w:r>
              <w:rPr>
                <w:sz w:val="4"/>
                <w:szCs w:val="4"/>
              </w:rPr>
            </w:r>
          </w:p>
        </w:tc>
        <w:tc>
          <w:tcPr>
            <w:tcW w:w="3668"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2912" w:type="dxa"/>
            <w:gridSpan w:val="3"/>
            <w:tcBorders/>
            <w:vAlign w:val="center"/>
          </w:tcPr>
          <w:p>
            <w:pPr>
              <w:pStyle w:val="TableContents"/>
              <w:bidi w:val="0"/>
              <w:spacing w:before="0" w:after="283"/>
              <w:jc w:val="left"/>
              <w:rPr>
                <w:sz w:val="4"/>
                <w:szCs w:val="4"/>
              </w:rPr>
            </w:pPr>
            <w:r>
              <w:rPr>
                <w:sz w:val="4"/>
                <w:szCs w:val="4"/>
              </w:rPr>
            </w:r>
          </w:p>
        </w:tc>
      </w:tr>
      <w:tr>
        <w:trPr/>
        <w:tc>
          <w:tcPr>
            <w:tcW w:w="2992" w:type="dxa"/>
            <w:gridSpan w:val="3"/>
            <w:tcBorders/>
            <w:vAlign w:val="center"/>
          </w:tcPr>
          <w:p>
            <w:pPr>
              <w:pStyle w:val="TableContents"/>
              <w:bidi w:val="0"/>
              <w:spacing w:before="0" w:after="283"/>
              <w:jc w:val="left"/>
              <w:rPr>
                <w:sz w:val="4"/>
                <w:szCs w:val="4"/>
              </w:rPr>
            </w:pPr>
            <w:r>
              <w:rPr>
                <w:sz w:val="4"/>
                <w:szCs w:val="4"/>
              </w:rPr>
            </w:r>
          </w:p>
        </w:tc>
        <w:tc>
          <w:tcPr>
            <w:tcW w:w="3668"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2912" w:type="dxa"/>
            <w:gridSpan w:val="3"/>
            <w:tcBorders/>
            <w:vAlign w:val="center"/>
          </w:tcPr>
          <w:p>
            <w:pPr>
              <w:pStyle w:val="TableContents"/>
              <w:bidi w:val="0"/>
              <w:spacing w:before="0" w:after="283"/>
              <w:jc w:val="left"/>
              <w:rPr>
                <w:sz w:val="4"/>
                <w:szCs w:val="4"/>
              </w:rPr>
            </w:pPr>
            <w:r>
              <w:rPr>
                <w:sz w:val="4"/>
                <w:szCs w:val="4"/>
              </w:rPr>
            </w:r>
          </w:p>
        </w:tc>
      </w:tr>
      <w:tr>
        <w:trPr/>
        <w:tc>
          <w:tcPr>
            <w:tcW w:w="2992" w:type="dxa"/>
            <w:gridSpan w:val="3"/>
            <w:tcBorders/>
            <w:vAlign w:val="center"/>
          </w:tcPr>
          <w:p>
            <w:pPr>
              <w:pStyle w:val="TableContents"/>
              <w:bidi w:val="0"/>
              <w:spacing w:before="0" w:after="283"/>
              <w:jc w:val="left"/>
              <w:rPr>
                <w:sz w:val="4"/>
                <w:szCs w:val="4"/>
              </w:rPr>
            </w:pPr>
            <w:r>
              <w:rPr>
                <w:sz w:val="4"/>
                <w:szCs w:val="4"/>
              </w:rPr>
            </w:r>
          </w:p>
        </w:tc>
        <w:tc>
          <w:tcPr>
            <w:tcW w:w="3668"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2912" w:type="dxa"/>
            <w:gridSpan w:val="3"/>
            <w:tcBorders/>
            <w:vAlign w:val="center"/>
          </w:tcPr>
          <w:p>
            <w:pPr>
              <w:pStyle w:val="TableContents"/>
              <w:bidi w:val="0"/>
              <w:spacing w:before="0" w:after="283"/>
              <w:jc w:val="left"/>
              <w:rPr>
                <w:sz w:val="4"/>
                <w:szCs w:val="4"/>
              </w:rPr>
            </w:pPr>
            <w:r>
              <w:rPr>
                <w:sz w:val="4"/>
                <w:szCs w:val="4"/>
              </w:rPr>
            </w:r>
          </w:p>
        </w:tc>
      </w:tr>
      <w:tr>
        <w:trPr/>
        <w:tc>
          <w:tcPr>
            <w:tcW w:w="2992" w:type="dxa"/>
            <w:gridSpan w:val="3"/>
            <w:tcBorders/>
            <w:vAlign w:val="center"/>
          </w:tcPr>
          <w:p>
            <w:pPr>
              <w:pStyle w:val="TableContents"/>
              <w:bidi w:val="0"/>
              <w:spacing w:before="0" w:after="283"/>
              <w:jc w:val="left"/>
              <w:rPr>
                <w:sz w:val="4"/>
                <w:szCs w:val="4"/>
              </w:rPr>
            </w:pPr>
            <w:r>
              <w:rPr>
                <w:sz w:val="4"/>
                <w:szCs w:val="4"/>
              </w:rPr>
            </w:r>
          </w:p>
        </w:tc>
        <w:tc>
          <w:tcPr>
            <w:tcW w:w="3668"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2912" w:type="dxa"/>
            <w:gridSpan w:val="3"/>
            <w:tcBorders/>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December 31, 2024</w:t>
            </w:r>
          </w:p>
        </w:tc>
        <w:tc>
          <w:tcPr>
            <w:tcW w:w="24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5,564,532 </w:t>
            </w:r>
          </w:p>
        </w:tc>
        <w:tc>
          <w:tcPr>
            <w:tcW w:w="1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21.77 </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 (1)</w:t>
            </w:r>
          </w:p>
        </w:tc>
        <w:tc>
          <w:tcPr>
            <w:tcW w:w="2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3,282,979 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39.41 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w:t>
            </w:r>
          </w:p>
        </w:tc>
        <w:tc>
          <w:tcPr>
            <w:tcW w:w="2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(155,915)</w:t>
            </w:r>
          </w:p>
        </w:tc>
        <w:tc>
          <w:tcPr>
            <w:tcW w:w="1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w:t>
            </w:r>
          </w:p>
        </w:tc>
        <w:tc>
          <w:tcPr>
            <w:tcW w:w="2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(2,712,652)</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June 30, 2025</w:t>
            </w:r>
          </w:p>
        </w:tc>
        <w:tc>
          <w:tcPr>
            <w:tcW w:w="24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5,978,944 </w:t>
            </w:r>
          </w:p>
        </w:tc>
        <w:tc>
          <w:tcPr>
            <w:tcW w:w="1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29.92 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December 31, 2025</w:t>
            </w:r>
          </w:p>
        </w:tc>
        <w:tc>
          <w:tcPr>
            <w:tcW w:w="2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5,776,036 </w:t>
            </w:r>
          </w:p>
        </w:tc>
        <w:tc>
          <w:tcPr>
            <w:tcW w:w="1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30.79 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 (1)</w:t>
            </w:r>
          </w:p>
        </w:tc>
        <w:tc>
          <w:tcPr>
            <w:tcW w:w="2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2,112,881 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40.02 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w:t>
            </w:r>
          </w:p>
        </w:tc>
        <w:tc>
          <w:tcPr>
            <w:tcW w:w="2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(45,724)</w:t>
            </w:r>
          </w:p>
        </w:tc>
        <w:tc>
          <w:tcPr>
            <w:tcW w:w="1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34.56 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w:t>
            </w:r>
          </w:p>
        </w:tc>
        <w:tc>
          <w:tcPr>
            <w:tcW w:w="2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(3,585,872)</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29.92 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At June 30, 2026</w:t>
            </w:r>
          </w:p>
        </w:tc>
        <w:tc>
          <w:tcPr>
            <w:tcW w:w="249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4,257,321 </w:t>
            </w:r>
          </w:p>
        </w:tc>
        <w:tc>
          <w:tcPr>
            <w:tcW w:w="1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36.07 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(1) Excluded in the number of RSUs and RSAs are 475,000 and 100,000 participating RSAs for the three and six months ended June 30, 2026 and 2025, where the grant date has not been achieved because the performance conditions have not been met.</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recognized $15.1 million and $11.5 million for the three months ended June 30, 2026 and 2025, respectively, and $30.4 million and $26.9 million for the six months ended June 30, 2026 and 2025, respectively, of compensation expense in relation to RSUs. As of June 30, 2026 and December 31, 2025, total unrecognized share-based compensation expense related to unvested RSUs was $113.0 million and $95.9 million, respectively, and this amount is to be recognized over a weighted average period of 1.3 years and 1.0 year, respectively. Awards in which the specific performance conditions have not been met are not included in unrecognized share-based compensation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13, 2020, the Company adopted the Virtu Financial, Inc. Deferred Compensation Plan (the “DCP”). The DCP permits eligible executive officers and other employees to defer cash or equity-based compensation beginning in the calendar year ending December 31, 2021, subject to certain limitations and restrictions. Deferrals of cash compensation may also be directed to notional investments in certain of the employee investment opportunities.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21. Regulatory Requirement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U.S. Subsidiary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U.S. broker-dealer subsidiary, Virtu Americas LLC (“VAL”), is subject to the SEC Uniform Net Capital Rule 15c3-1, which requires the maintenance of minimum net capital as detailed in the table below. Pursuant to New York Stock Exchange (“NYSE”) rules, VAL was also required to maintain $1.3 million of capital in connection with the operation of its designated market maker (“DMM”) business as of June 30, 2026. The required amount is determined under the exchange rules as the greater of (i) $1.0 million or (ii) $75,000 for every 0.1% of NYSE transaction dollar volume in each of the securities for which the Company is registered as the DMM.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regulatory capital and regulatory capital requirements of the Company’s U.S. subsidiary as of June 30, 2026 was as follows:</w:t>
      </w:r>
    </w:p>
    <w:tbl>
      <w:tblPr>
        <w:tblW w:w="8584" w:type="dxa"/>
        <w:jc w:val="center"/>
        <w:tblInd w:w="0" w:type="dxa"/>
        <w:tblLayout w:type="fixed"/>
        <w:tblCellMar>
          <w:top w:w="28" w:type="dxa"/>
          <w:left w:w="28" w:type="dxa"/>
          <w:bottom w:w="28" w:type="dxa"/>
          <w:right w:w="28" w:type="dxa"/>
        </w:tblCellMar>
      </w:tblPr>
      <w:tblGrid>
        <w:gridCol w:w="553"/>
        <w:gridCol w:w="487"/>
        <w:gridCol w:w="490"/>
        <w:gridCol w:w="109"/>
        <w:gridCol w:w="109"/>
        <w:gridCol w:w="109"/>
        <w:gridCol w:w="285"/>
        <w:gridCol w:w="1071"/>
        <w:gridCol w:w="158"/>
        <w:gridCol w:w="109"/>
        <w:gridCol w:w="109"/>
        <w:gridCol w:w="109"/>
        <w:gridCol w:w="512"/>
        <w:gridCol w:w="1690"/>
        <w:gridCol w:w="288"/>
        <w:gridCol w:w="109"/>
        <w:gridCol w:w="109"/>
        <w:gridCol w:w="109"/>
        <w:gridCol w:w="373"/>
        <w:gridCol w:w="1403"/>
        <w:gridCol w:w="293"/>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Capital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Regulatory Capital</w:t>
            </w:r>
          </w:p>
        </w:tc>
      </w:tr>
      <w:tr>
        <w:trPr/>
        <w:tc>
          <w:tcPr>
            <w:tcW w:w="15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Americas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612,161 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10,436 </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601,725 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As of June 30, 2026, VAL</w:t>
      </w:r>
      <w:r>
        <w:rPr>
          <w:color w:val="000000"/>
        </w:rPr>
        <w:t xml:space="preserve"> </w:t>
      </w:r>
      <w:r>
        <w:rPr>
          <w:rFonts w:ascii="Times New Roman;serif" w:hAnsi="Times New Roman;serif"/>
          <w:b w:val="false"/>
          <w:color w:val="000000"/>
          <w:sz w:val="20"/>
        </w:rPr>
        <w:t xml:space="preserve">had $54.6 million of cash in special reserve bank accounts for the benefit of customers pursuant to SEC Rule 15c3-3, </w:t>
      </w:r>
      <w:r>
        <w:rPr>
          <w:rFonts w:ascii="Times New Roman;serif" w:hAnsi="Times New Roman;serif"/>
          <w:b w:val="false"/>
          <w:i/>
          <w:color w:val="000000"/>
          <w:sz w:val="20"/>
        </w:rPr>
        <w:t xml:space="preserve">Computation for Determination of Reserve Requirements, </w:t>
      </w:r>
      <w:r>
        <w:rPr>
          <w:rFonts w:ascii="Times New Roman;serif" w:hAnsi="Times New Roman;serif"/>
          <w:b w:val="false"/>
          <w:color w:val="000000"/>
          <w:sz w:val="20"/>
        </w:rPr>
        <w:t>and $8.8 million of cash in reserve bank accounts for the benefit of proprietary accounts of brokers. The balances are included within Cash restricted or segregated under regulations and other on the Condensed Consolidated Statements of Financial Condition.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regulatory capital and regulatory capital requirements of the Company’s U.S. subsidiaries as of December 31, 2025 was as follows:</w:t>
      </w:r>
    </w:p>
    <w:tbl>
      <w:tblPr>
        <w:tblW w:w="8584" w:type="dxa"/>
        <w:jc w:val="center"/>
        <w:tblInd w:w="0" w:type="dxa"/>
        <w:tblLayout w:type="fixed"/>
        <w:tblCellMar>
          <w:top w:w="28" w:type="dxa"/>
          <w:left w:w="28" w:type="dxa"/>
          <w:bottom w:w="28" w:type="dxa"/>
          <w:right w:w="28" w:type="dxa"/>
        </w:tblCellMar>
      </w:tblPr>
      <w:tblGrid>
        <w:gridCol w:w="553"/>
        <w:gridCol w:w="487"/>
        <w:gridCol w:w="490"/>
        <w:gridCol w:w="109"/>
        <w:gridCol w:w="109"/>
        <w:gridCol w:w="109"/>
        <w:gridCol w:w="285"/>
        <w:gridCol w:w="1071"/>
        <w:gridCol w:w="158"/>
        <w:gridCol w:w="109"/>
        <w:gridCol w:w="109"/>
        <w:gridCol w:w="109"/>
        <w:gridCol w:w="565"/>
        <w:gridCol w:w="1608"/>
        <w:gridCol w:w="317"/>
        <w:gridCol w:w="109"/>
        <w:gridCol w:w="109"/>
        <w:gridCol w:w="109"/>
        <w:gridCol w:w="373"/>
        <w:gridCol w:w="1403"/>
        <w:gridCol w:w="293"/>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Capital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Regulatory Capital</w:t>
            </w:r>
          </w:p>
        </w:tc>
      </w:tr>
      <w:tr>
        <w:trPr/>
        <w:tc>
          <w:tcPr>
            <w:tcW w:w="15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Americas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561,242 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560,242 </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As of December 31, 2025, VAL had $55.5 million of cash in special reserve bank accounts for the benefit of customers pursuant to SEC Rule 15c3-3, </w:t>
      </w:r>
      <w:r>
        <w:rPr>
          <w:rFonts w:ascii="Times New Roman;serif" w:hAnsi="Times New Roman;serif"/>
          <w:b w:val="false"/>
          <w:i/>
          <w:color w:val="000000"/>
          <w:sz w:val="20"/>
        </w:rPr>
        <w:t xml:space="preserve">Computation for Determination of Reserve Requirements, </w:t>
      </w:r>
      <w:r>
        <w:rPr>
          <w:rFonts w:ascii="Times New Roman;serif" w:hAnsi="Times New Roman;serif"/>
          <w:b w:val="false"/>
          <w:color w:val="000000"/>
          <w:sz w:val="20"/>
        </w:rPr>
        <w:t>and $8.7 million of cash in reserve bank accounts for the benefit of proprietary accounts of brokers.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val="false"/>
          <w:i/>
          <w:color w:val="000000"/>
          <w:sz w:val="20"/>
        </w:rPr>
        <w:t>Foreign Subsidiaries</w:t>
      </w:r>
      <w:r>
        <w:rPr>
          <w:color w:val="000000"/>
        </w:rPr>
        <w: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foreign subsidiaries are subject to regulatory capital requirements set by local regulatory bodies, including the Canadian Investment Regulatory Organization (“CIRO”), the Central Bank of Ireland (“CBI”), the Financial Conduct Authority (“FCA”) in the United Kingdom, the Australian Securities and Investments Commission (“ASIC”), the Securities and Futures Commission in Hong Kong (“SFC”), and the Monetary Authority of Singapore (“MAS”).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regulatory net capital balances and regulatory capital requirements applicable to the Company’s foreign subsidiaries as of June 30, 2026 were as follows:</w:t>
      </w:r>
    </w:p>
    <w:tbl>
      <w:tblPr>
        <w:tblW w:w="9588" w:type="dxa"/>
        <w:jc w:val="center"/>
        <w:tblInd w:w="0" w:type="dxa"/>
        <w:tblLayout w:type="fixed"/>
        <w:tblCellMar>
          <w:top w:w="28" w:type="dxa"/>
          <w:left w:w="28" w:type="dxa"/>
          <w:bottom w:w="28" w:type="dxa"/>
          <w:right w:w="28" w:type="dxa"/>
        </w:tblCellMar>
      </w:tblPr>
      <w:tblGrid>
        <w:gridCol w:w="916"/>
        <w:gridCol w:w="807"/>
        <w:gridCol w:w="811"/>
        <w:gridCol w:w="109"/>
        <w:gridCol w:w="109"/>
        <w:gridCol w:w="109"/>
        <w:gridCol w:w="312"/>
        <w:gridCol w:w="1029"/>
        <w:gridCol w:w="173"/>
        <w:gridCol w:w="109"/>
        <w:gridCol w:w="109"/>
        <w:gridCol w:w="109"/>
        <w:gridCol w:w="670"/>
        <w:gridCol w:w="1442"/>
        <w:gridCol w:w="377"/>
        <w:gridCol w:w="109"/>
        <w:gridCol w:w="109"/>
        <w:gridCol w:w="109"/>
        <w:gridCol w:w="407"/>
        <w:gridCol w:w="1343"/>
        <w:gridCol w:w="320"/>
      </w:tblGrid>
      <w:tr>
        <w:trPr/>
        <w:tc>
          <w:tcPr>
            <w:tcW w:w="91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Capital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Regulatory Capital</w:t>
            </w:r>
          </w:p>
        </w:tc>
      </w:tr>
      <w:tr>
        <w:trPr/>
        <w:tc>
          <w:tcPr>
            <w:tcW w:w="25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Canada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17,459 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Ireland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Europe Trading Limited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95,656 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34,548 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61,108 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Financial Ireland Limited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184,097 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84,722 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99,375 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ITG UK Limited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Asia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ITG Australia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47,630 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22,382 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25,248 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ITG Hong Kong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ITG Singapore Pte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Financial Singapore Pte.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329,961 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229,758 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100,203 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(1) Preliminary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7054" w:type="dxa"/>
            <w:gridSpan w:val="18"/>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Virtu Europe Trading Limited had $0.1 million of segregated funds on deposit for trade clearing and settlement activity, and Virtu ITG Hong Kong Ltd. had $30 thousand of segregated balances under a collateral account control agreement for the benefit of certain customers.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regulatory net capital balances and regulatory capital requirements applicable to the Company’s foreign subsidiaries as of December 31, 2025 were as follows:</w:t>
      </w:r>
    </w:p>
    <w:tbl>
      <w:tblPr>
        <w:tblW w:w="9589" w:type="dxa"/>
        <w:jc w:val="center"/>
        <w:tblInd w:w="0" w:type="dxa"/>
        <w:tblLayout w:type="fixed"/>
        <w:tblCellMar>
          <w:top w:w="28" w:type="dxa"/>
          <w:left w:w="28" w:type="dxa"/>
          <w:bottom w:w="28" w:type="dxa"/>
          <w:right w:w="28" w:type="dxa"/>
        </w:tblCellMar>
      </w:tblPr>
      <w:tblGrid>
        <w:gridCol w:w="917"/>
        <w:gridCol w:w="807"/>
        <w:gridCol w:w="811"/>
        <w:gridCol w:w="109"/>
        <w:gridCol w:w="109"/>
        <w:gridCol w:w="109"/>
        <w:gridCol w:w="312"/>
        <w:gridCol w:w="1029"/>
        <w:gridCol w:w="173"/>
        <w:gridCol w:w="109"/>
        <w:gridCol w:w="109"/>
        <w:gridCol w:w="109"/>
        <w:gridCol w:w="670"/>
        <w:gridCol w:w="1442"/>
        <w:gridCol w:w="377"/>
        <w:gridCol w:w="109"/>
        <w:gridCol w:w="109"/>
        <w:gridCol w:w="109"/>
        <w:gridCol w:w="407"/>
        <w:gridCol w:w="1343"/>
        <w:gridCol w:w="320"/>
      </w:tblGrid>
      <w:tr>
        <w:trPr/>
        <w:tc>
          <w:tcPr>
            <w:tcW w:w="91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Capital 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Regulatory Capital</w:t>
            </w:r>
          </w:p>
        </w:tc>
      </w:tr>
      <w:tr>
        <w:trPr/>
        <w:tc>
          <w:tcPr>
            <w:tcW w:w="25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Canada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15,133 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0"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Ireland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Europe Trading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86,656 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28,283 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58,373 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Financial Ireland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64,951 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57,950 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ITG UK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Asia Pacific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ITG Australia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35,511 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13,262 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22,249 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ITG Hong Kong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ITG Singapore Pte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Virtu Financial Singapore Pte.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278,288 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198,100 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80,188 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7054" w:type="dxa"/>
            <w:gridSpan w:val="18"/>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Virtu Europe Trading Limited had $0.3 million of segregated funds on deposit for trade clearing and settlement activity, and Virtu ITG Hong Kong Ltd had $30 thousand of segregated balances under a collateral account control agreement for the benefit of certain customers.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22. Geographic Information and Business Segments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two operating segments: (i) Market Making and (ii) Execution Services; and one non-operating segment: Corporate.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 Making segment principally consists of market making in the cash, futures, and options markets across global equities, fixed income, currencies, cryptocurrencies,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Electronic Communications Networks (“ECNs”) and alternative trading systems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Execution Services segment comprises client-based trading and trading venues, offering execution services in global equities, options, futures and fixed income on behalf of institutions, banks and broker-dealers. The Company earns commissions as an agent on behalf of clients as well as between principals to transactions; in addition, the Company will commit capital on behalf of clients as needed. Client-based,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client orders in the Company’s ATSs, including Virtu MatchIt, and POSIT.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 The segment also includes the results of the Company’s capital markets business, in which the Company acts as an agent for issuers in connection with at-the-market offerings and buyback programs.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Corporate segment contains the Company’s investments, principally in strategic trading-related opportunities and maintains corporate overhead expenses and all other income and expenses that are not attributable to the Company’s other segments. The segment is not considered a reportable operating segment as its results are not regularly reviewed by the Company’s Chief Operating Decision Makers (“CODMs”).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accounting policies of the segments are the same as those described in Note 2 “Summary of Significant Accounting Policies”. The Company’s CODMs are the Chief Executive Officer and the Chief Operating Officers. The CODMs use a top-line approach in regards to evaluating segment performance and making business decisions on resource allocations, focusing on each segment's trading-related activities. Revenues, including breakdown of key trading-driven components of revenues, trading-related operating expenses, and pre-tax earnings by segment are regularly provided to the CODMs. The CODMs review trading-related results by monitoring period-over-period trends and considering variances between actuals and expectations. Corporate overhead and other shared expenses, as well as assets and liabilities by segment are not used for evaluating segment performance or in deciding how to allocate resources to segments.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total revenues, operating expenses, and income (loss) before income taxes and noncontrolling interest (“Pre-tax earnings”) by segment for the three months ended June 30, 2026 and 2025 are summarized in the following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51"/>
        <w:gridCol w:w="1198"/>
        <w:gridCol w:w="1200"/>
        <w:gridCol w:w="109"/>
        <w:gridCol w:w="109"/>
        <w:gridCol w:w="109"/>
        <w:gridCol w:w="203"/>
        <w:gridCol w:w="906"/>
        <w:gridCol w:w="113"/>
        <w:gridCol w:w="109"/>
        <w:gridCol w:w="109"/>
        <w:gridCol w:w="109"/>
        <w:gridCol w:w="250"/>
        <w:gridCol w:w="942"/>
        <w:gridCol w:w="139"/>
        <w:gridCol w:w="109"/>
        <w:gridCol w:w="109"/>
        <w:gridCol w:w="109"/>
        <w:gridCol w:w="223"/>
        <w:gridCol w:w="703"/>
        <w:gridCol w:w="124"/>
        <w:gridCol w:w="109"/>
        <w:gridCol w:w="109"/>
        <w:gridCol w:w="109"/>
        <w:gridCol w:w="230"/>
        <w:gridCol w:w="1026"/>
        <w:gridCol w:w="189"/>
      </w:tblGrid>
      <w:tr>
        <w:trPr/>
        <w:tc>
          <w:tcPr>
            <w:tcW w:w="145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Total</w:t>
            </w:r>
          </w:p>
        </w:tc>
      </w:tr>
      <w:tr>
        <w:trPr/>
        <w:tc>
          <w:tcPr>
            <w:tcW w:w="38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1,009,174 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173,461 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1,189,953 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225,815 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33,171 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258,986 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205,266 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items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270,643 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111,832 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383,144 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699,440 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147,287 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847,396 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309,734 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26,174 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6,649 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342,557 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786,593 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214,488 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999,573 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172,311 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29,814 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202,125 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165,213 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items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194,949 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285,215 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531,131 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120,362 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652,553 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255,462 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94,126 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347,020 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6356" w:type="dxa"/>
            <w:gridSpan w:val="24"/>
            <w:tcBorders/>
          </w:tcPr>
          <w:p>
            <w:pPr>
              <w:pStyle w:val="TableContents"/>
              <w:bidi w:val="0"/>
              <w:spacing w:before="0" w:after="283"/>
              <w:jc w:val="left"/>
              <w:rPr>
                <w:sz w:val="4"/>
                <w:szCs w:val="4"/>
              </w:rPr>
            </w:pPr>
            <w:r>
              <w:rPr>
                <w:sz w:val="4"/>
                <w:szCs w:val="4"/>
              </w:rPr>
            </w:r>
          </w:p>
        </w:tc>
      </w:tr>
    </w:tbl>
    <w:p>
      <w:pPr>
        <w:pStyle w:val="TextBody"/>
        <w:bidi w:val="0"/>
        <w:spacing w:lineRule="auto" w:line="268" w:before="0" w:after="20"/>
        <w:jc w:val="left"/>
        <w:rPr>
          <w:rFonts w:ascii="Times New Roman;serif" w:hAnsi="Times New Roman;serif"/>
          <w:b w:val="false"/>
          <w:color w:val="000000"/>
          <w:sz w:val="16"/>
        </w:rPr>
      </w:pPr>
      <w:r>
        <w:rPr>
          <w:rFonts w:ascii="Times New Roman;serif" w:hAnsi="Times New Roman;serif"/>
          <w:b w:val="false"/>
          <w:color w:val="000000"/>
          <w:sz w:val="16"/>
        </w:rPr>
        <w:t>(1) Corporate is a non-operating segment. The Company presents its information as a part of reconciliation to Consolidated Totals.</w:t>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(2) Other segment items for both reportable segments include: Communication and data processing, Employee compensation and payroll taxes, Operations and administrative, Depreciation and amortization, Financing interest expense on long-term borrowings, and Debt issue cost related to debt refinancing, prepayment and commitment fees.</w:t>
      </w:r>
    </w:p>
    <w:p>
      <w:pPr>
        <w:pStyle w:val="TextBody"/>
        <w:bidi w:val="0"/>
        <w:spacing w:before="0" w:after="20"/>
        <w:jc w:val="left"/>
        <w:rPr/>
      </w:pPr>
      <w:r>
        <w:rPr/>
      </w:r>
    </w:p>
    <w:p>
      <w:pPr>
        <w:pStyle w:val="TextBody"/>
        <w:bidi w:val="0"/>
        <w:spacing w:lineRule="auto" w:line="288" w:before="0" w:after="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total revenues, operating expenses, and income (loss) before income taxes and noncontrolling interest (“Pre-tax earnings”) by segment for the six months ended June 30, 2026 and 2025 are summarized in the following table:</w:t>
      </w:r>
    </w:p>
    <w:tbl>
      <w:tblPr>
        <w:tblW w:w="10205" w:type="dxa"/>
        <w:jc w:val="center"/>
        <w:tblInd w:w="0" w:type="dxa"/>
        <w:tblLayout w:type="fixed"/>
        <w:tblCellMar>
          <w:top w:w="28" w:type="dxa"/>
          <w:left w:w="28" w:type="dxa"/>
          <w:bottom w:w="28" w:type="dxa"/>
          <w:right w:w="28" w:type="dxa"/>
        </w:tblCellMar>
      </w:tblPr>
      <w:tblGrid>
        <w:gridCol w:w="1451"/>
        <w:gridCol w:w="1198"/>
        <w:gridCol w:w="1200"/>
        <w:gridCol w:w="109"/>
        <w:gridCol w:w="109"/>
        <w:gridCol w:w="109"/>
        <w:gridCol w:w="203"/>
        <w:gridCol w:w="906"/>
        <w:gridCol w:w="113"/>
        <w:gridCol w:w="109"/>
        <w:gridCol w:w="109"/>
        <w:gridCol w:w="109"/>
        <w:gridCol w:w="250"/>
        <w:gridCol w:w="942"/>
        <w:gridCol w:w="139"/>
        <w:gridCol w:w="109"/>
        <w:gridCol w:w="109"/>
        <w:gridCol w:w="109"/>
        <w:gridCol w:w="223"/>
        <w:gridCol w:w="703"/>
        <w:gridCol w:w="124"/>
        <w:gridCol w:w="109"/>
        <w:gridCol w:w="109"/>
        <w:gridCol w:w="109"/>
        <w:gridCol w:w="230"/>
        <w:gridCol w:w="1026"/>
        <w:gridCol w:w="189"/>
      </w:tblGrid>
      <w:tr>
        <w:trPr/>
        <w:tc>
          <w:tcPr>
            <w:tcW w:w="145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Total</w:t>
            </w:r>
          </w:p>
        </w:tc>
      </w:tr>
      <w:tr>
        <w:trPr/>
        <w:tc>
          <w:tcPr>
            <w:tcW w:w="38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1,924,871 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360,592 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2,285,280 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328,573 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69,241 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397,814 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379,323 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383,193 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items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530,797 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220,217 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752,144 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1,238,693 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293,328 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1,533,151 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 and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686,178 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67,264 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752,129 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1,477,765 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355,496 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1,837,442 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366,614 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57,386 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424,000 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293,922 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296,541 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segment items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372,587 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171,440 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546,145 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1,033,123 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231,445 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1,266,686 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444,642 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124,051 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2,063 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570,756 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3849" w:type="dxa"/>
            <w:gridSpan w:val="3"/>
            <w:tcBorders/>
            <w:vAlign w:val="center"/>
          </w:tcPr>
          <w:p>
            <w:pPr>
              <w:pStyle w:val="TableContents"/>
              <w:bidi w:val="0"/>
              <w:spacing w:before="0" w:after="283"/>
              <w:jc w:val="left"/>
              <w:rPr>
                <w:sz w:val="4"/>
                <w:szCs w:val="4"/>
              </w:rPr>
            </w:pPr>
            <w:r>
              <w:rPr>
                <w:sz w:val="4"/>
                <w:szCs w:val="4"/>
              </w:rPr>
            </w:r>
          </w:p>
        </w:tc>
        <w:tc>
          <w:tcPr>
            <w:tcW w:w="6356" w:type="dxa"/>
            <w:gridSpan w:val="24"/>
            <w:tcBorders/>
          </w:tcPr>
          <w:p>
            <w:pPr>
              <w:pStyle w:val="TableContents"/>
              <w:bidi w:val="0"/>
              <w:spacing w:before="0" w:after="283"/>
              <w:jc w:val="left"/>
              <w:rPr>
                <w:sz w:val="4"/>
                <w:szCs w:val="4"/>
              </w:rPr>
            </w:pPr>
            <w:r>
              <w:rPr>
                <w:sz w:val="4"/>
                <w:szCs w:val="4"/>
              </w:rPr>
            </w:r>
          </w:p>
        </w:tc>
      </w:tr>
    </w:tbl>
    <w:p>
      <w:pPr>
        <w:pStyle w:val="TextBody"/>
        <w:bidi w:val="0"/>
        <w:spacing w:lineRule="auto" w:line="268" w:before="0" w:after="20"/>
        <w:jc w:val="left"/>
        <w:rPr>
          <w:rFonts w:ascii="Times New Roman;serif" w:hAnsi="Times New Roman;serif"/>
          <w:b w:val="false"/>
          <w:color w:val="000000"/>
          <w:sz w:val="16"/>
        </w:rPr>
      </w:pPr>
      <w:r>
        <w:rPr>
          <w:rFonts w:ascii="Times New Roman;serif" w:hAnsi="Times New Roman;serif"/>
          <w:b w:val="false"/>
          <w:color w:val="000000"/>
          <w:sz w:val="16"/>
        </w:rPr>
        <w:t>(1) Corporate is a non-operating segment. The Company presents its information as a part of reconciliation to Consolidated Totals.</w:t>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(2) Other segment items for both reportable segments include: Communication and data processing, Employee compensation and payroll taxes, Operations and administrative, Depreciation and amortization, Financing interest expense on long-term borrowings, and Debt issue cost related to debt refinancing, prepayment and commitment fees.</w:t>
      </w:r>
    </w:p>
    <w:p>
      <w:pPr>
        <w:pStyle w:val="TextBody"/>
        <w:bidi w:val="0"/>
        <w:spacing w:before="0" w:after="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The Company operates its business in the U.S. and internationally, primarily in Europe and Asia.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and six months ended June 30, 2026 and 2025</w:t>
      </w:r>
      <w:r>
        <w:rPr>
          <w:rFonts w:ascii="Times New Roman;serif" w:hAnsi="Times New Roman;serif"/>
          <w:b w:val="false"/>
          <w:color w:val="000000"/>
          <w:sz w:val="18"/>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tbl>
      <w:tblPr>
        <w:tblW w:w="278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9" w:type="dxa"/>
            <w:gridSpan w:val="1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7280" w:type="dxa"/>
        <w:jc w:val="center"/>
        <w:tblInd w:w="0" w:type="dxa"/>
        <w:tblLayout w:type="fixed"/>
        <w:tblCellMar>
          <w:top w:w="28" w:type="dxa"/>
          <w:left w:w="28" w:type="dxa"/>
          <w:bottom w:w="28" w:type="dxa"/>
          <w:right w:w="28" w:type="dxa"/>
        </w:tblCellMar>
      </w:tblPr>
      <w:tblGrid>
        <w:gridCol w:w="412"/>
        <w:gridCol w:w="363"/>
        <w:gridCol w:w="365"/>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54"/>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Ireland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1,189,953 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999,573 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2,285,280 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1,837,442 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23. Related Party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incurs expenses and maintains balances with its affiliates in the ordinary course of business. As of June 30, 2026 and December 31, 2025 the Company had net payables to its affiliates of $5.8 million and $10.6 million,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held a minority interest in JNX since 2016 (see Note 10 “Financial Instruments and Fair Value Measurements”). The Company pays exchange fees to JNX for the trading activities conducted on its proprietary trading system. The Company paid $2.8 million and $3.0 million for the three months ended June 30, 2026 and 2025, respectively, and $5.3 million and $5.5 million for the six months ended June 30, 2026 and 2025, respectively, to JNX for these trading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pays monthly use fees and makes certain contributions to a JV in which it holds an interest (see Note 13 “Variable Interest Entities”). These monthly fees are for the use of communication networks operated by the JV and are recorded within Communications and data processing on the Condensed Consolidated Statements of Comprehensive Income. The Company made payments to the JV of $13.5 million and $7.2 million for the three months ended June 30, 2026 and 2025, respectively, and $24.5 million and $14.4 million for the six months ended June 30, 2026 and 2025,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an interest in Members Exchange, a member-owned equities exchange. The Company pays regulatory and transaction fees and receives rebates from trading activities. The Company received payments of $2.3 million and made payments of $2.7 million for the three months ended June 30, 2026 and 2025, respectively, and received payments of $6.0 million and made payments of $5.4 million for the six months ended June 30, 2026 and 2025,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24. Subsequent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23, 2026 (the “Amendment No. 4 Effective Date”), the Company, VFH and certain subsidiaries of VFH entered into Amendment No. 4 (“Amendment No. 4”), which amended the Credit Agreement, to effect the issuance of incremental Senior Secured First Lien Term B-2 Loans (the “Incremental Term B-2 Loans”) in the amount of $500.0 million, the proceeds of which will be used for general corporate purposes, for a total Term B-2 Loan balance of $2,029.6 million.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Incremental Term B-2 Loans, together with the other Term B-2 Loans, bear interest, at our election, at either (i) the greatest of (a) the prime rate in effect, (b) the greater of (1) the federal funds effective rate and (2) the overnight bank funding rate, in each case plus 0.50%, and (c) term SOFR for a borrowing with an interest period of one month plus 1.0% and (d) 1.0%, plus, in each case, 1.50%, or (ii) the greater of (x) term SOFR for the interest period in effect and (y) 0%, plus, in each case, 2.50%.</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Incremental Term B-2 Loans, along with the other Term B-2 Loans, will mature on June 21, 2031. The Incremental Term B-2 Loans amortize in annual installments equal to approximately 1.0% of the aggregate principal amount of Incremental Term B-2 Loans made on the Amendment No. 4 Effective Date and on a pro rata basis with the other Term B-2 Loans. The Term B-2 Loans are also subject to contingent principal payments based on excess cash flow and certain other triggering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30, 2026, the Company’s Board of Directors declared a dividend of $0.24 per share of Class A Common Stock and Class B Common Stock and per participating Restricted Stock Unit and Restricted Stock Award that will be paid on September 15, 2026 to holders of record as of September 1, 2026.</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following management’s discussion and analysis covers the three and six months ended June 30, 2026 and 2025, and it should be read in conjunction with the Condensed Consolidated Financial Statements and accompanying notes for the period ended June 30, 2026, which are included in Part I, Item 1 of this Quarterly Report on Form 10-Q, and the audited consolidated financial statements and accompanying notes and MD&amp;A for the year ended December 31, 2025, which are included in Items 8 and 7, respectively, of the Company’s Annual Report on Form 10-K for the year ended December 31, 2025. This management’s discussion and analysis contains forward-looking statements that involve risks and uncertainties. Our actual results could differ materially from those discussed below. Unless otherwise stated, all amounts are presented in thousands of dollars.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 10-Q. By their nature, forward-looking statements involve known and unknown risks and uncertainties, including those described under the heading “Risk Factors” in our Annual Report on Form 10-K for the year ended December 31, 2025, as filed with the Securities and Exchange Commission (“SEC”) on February 20, 2026 (the “2025 Form 10-K”),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our 2025 Form 10-K, could affect our actual financial results or results of operations and cash flows, and could cause actual results to differ materially from those in such forward-looking statements, including but not limited to:</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volatility in levels of overall trading activity;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dependence upon trading counterparties, clients and clearing houses performing their obligations to us;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failures of our customized trading platform;</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risks inherent to the electronic market making business and trading generally;</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enhanced regulatory and media scrutiny, including attention to electronic trading, wholesale market making and off-exchange trading, payment for order flow, and other market structure topics and both the impact of additional potential changes in regulation or law as well as the potential impact upon public perception of us or of companies in our industry could also have an adverse effect on our business;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increased competition in market making activities and execution services;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dependence on continued access to sources of liquidity;</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risks associated with self-clearing and other operational elements of our business, including but not limited to risks related to funding and liquidity;</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obligations to comply with applicable regulatory capital requirements;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litigation or other legal and regulatory-based liabilities;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obligations to comply with laws and regulations applicable to our operations in the U.S. and abroad;</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need to maintain and continue developing proprietary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capacity constraints, system failures, and delays;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dependence on third-party infrastructure or systems;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use of open source software;</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failure to protect or enforce our intellectual property rights in our proprietary technology;</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failure to protect confidential and proprietary information;</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failure to protect our systems from internal or external cyber threats that could result in damage to our computer systems, business interruption, loss of data, monetary payment demands or other consequences;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risks associated with investments in our growth strategy which increase our capital expenditures and operating expenses and which may not ultimately yield returns that justify these increases;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risks associated with international operations and expansion, including failed acquisitions or dispositions;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the effects of and changes in economic conditions (such as volatility in the financial markets, increased inflation, monetary conditions and foreign currency and continued or exacerbated exchange rate fluctuations, foreign currency controls and/or government mandated pricing controls, as well as in trade, tariff, monetary, fiscal and tax policies in international markets), political conditions (such as military actions and terrorist activities), and other global events such as fires, natural disasters, pandemics or extreme weather;</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risks associated with potential growth and associated corporate actions;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inability to access, or delay in accessing, the capital markets to sell shares or raise additional capital;</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risks associated with new and emerging asset classes and eco-systems in which we may participate, including digital assets, including risks related to volatility in the underlying assets, regulatory uncertainty, evolving industry practices and standards around custody, clearing and settlement, and other risks inherent in a new and evolving asset class;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loss of key executives and failure to recruit and retain qualified personnel;</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risks associated with losing access to a significant exchange or other trading venue; and</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risks associated with changes in governmental administrations and agencies.</w:t>
      </w:r>
    </w:p>
    <w:p>
      <w:pPr>
        <w:pStyle w:val="TextBody"/>
        <w:bidi w:val="0"/>
        <w:spacing w:before="0" w:after="0"/>
        <w:ind w:left="0" w:right="0" w:firstLine="18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options, foreign exchange, futures, fixed income, cryptocurrencies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third-party licensing or processing fees.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two operating segments: Market Making and Execution Services, and one non-operating segment: Corporate. Our management allocates resources, assesses performance and manages our business according to these segments.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Market Making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leverage cutting edge technology to provide competitive and deep liquidity that helps to create more efficient markets around the world. As a market maker and liquidity provider, we stand ready, at any time, to buy or sell a broad range of securities and other financial instruments,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50,000 securities and other financial instruments, on over 150 venues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the overall level of volumes and realized volatility as well as the attractiveness of the order flow we interact with and the level of retail participation in the various markets we serve have the greatest impact on the financial performance of our market making businesses. Increases in market volatility can cause bid/ask spreads to widen as market participants are more willing to pay market makers like us to transact immediately and as a result, market makers’ capture rate per notional amount transacted may increase.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Execution Services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offer client execution services and trading venues that provide transparent trading in global equities, ETFs, fixed income, currencies, and commodities to institutions, banks and broker-dealers. We generally earn commissions when transacting as an agent for our clients. Client-based,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and POSIT.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 The segment also includes the results of our capital markets business, in which we act as an agent for issuers in connection with at-the-market offerings and buyback programs.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Corporate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Corporate segment contains investments principally in strategic financial services-oriented opportunities and maintains corporate overhead expenses and all other income and expenses that are not attributable to our other segments.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Credit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13, 2022 (the “Credit Agreement Closing Date”), VFH and Virtu Financial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“Original Credit Agreement”). The Original Credit Agreement provides (i) a senior secured first lien term loan in an aggregate principal amount of $1,800.0 million, drawn in its entirety on the Credit Agreement Closing Date, the proceeds of which were used by VFH to repay all amounts outstanding under the previous credit agreement entered into in relation to the ITG Acquisition,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21, 2024 (the “Amendment No. 1 Effective Date”), the Company entered into Amendment No. 1 to the Original Credit Agreement (as amended, the “First Amended Credit Agreement”) and completed the issuance of the Notes (as defined below). Pursuant to the First Amended Credit Agreement, $1,245.0 million in aggregate principal amount of Senior Secured First Lien Term B-1 Loans due 2031 (the “Term B-1 Loans”) were issued, the proceeds of which were used, along with the proceeds of the Notes, to repay in full all term loans previously outstanding under the Original Credit Agreement. Additionally, the First Amended Credit Agreement provides an increase in its senior secured first lien revolving credit facility from $250.0 million to $300.0 million and an extension of the maturity thereof to three years after the Amendment No. 1 Effective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B-1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1.00% and (d) 1.00%, plus, in each case, 1.75%, or (ii) the greater of (x) term SOFR for the interest period in effect and (y) 0%, plus, in each case, 2.75%. The Term B-1 Loans will mature on the seventh anniversary of the Amendment No. 1 Effective Date and amortize in annual installments equal to 1.0% of the original aggregate principal amount of the Term B-1 Loans. The Term B-1 Loans are also subject to contingent principal payments based on excess cash flow and certain other triggering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19, 2025 (the “Amendment No. 2 Effective Date”), the Company entered into Amendment No. 2 to the First Amended Credit Agreement (“Amendment No. 2”). Amendment No. 2 amended the First Amended Credit Agreement (as amended, the “Second Amended Credit Agreement”) to, among other things, effect a repricing of the $1,245.0 million in aggregate principal amount of Term B-1 Loans by establishing a new refinancing tranche of $1,245.0 million in aggregate principal amount of Senior Secured First Lien Term B-2 Loans, the proceeds of which were used to repay in full the Term B-1 Loans on the Amendment No. 2 Effective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23, 2025 (the “Amendment No. 3 Effective Date”), the Company entered into Amendment No. 3 to the Second Amended Credit Agreement (“Amendment No. 3”). Amendment No. 3 amended the Second Amended Credit Agreement (as amended, the “Credit Agreement”) to effect the issuance of incremental Senior Secured First Lien Term B-2 Loans in the amount of $300.0 million, the proceeds of which were used for general corporate purposes, for a total Term B-2 Loan balance of $1,545.0 million (collectively, the “Term B-2 Loans”).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B-2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 and (d) 1.0%, plus, in each case, 1.50%, or (ii) the greater of (x) term SOFR for the interest period in effect and (y) 0%, plus, in each case, 2.50%. The Term B-2 Loans will mature on June 21, 2031 and amortize in annual installments equal to 1.0% of the original aggregate principal amount of the Term B-2 Loans due on each anniversary of the Amendment No. 2 Effective Date. The Term B-2 Loans are also subject to contingent principal payments based on excess cash flow and certain other triggering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interest rate swap effectively fixed interest payment obligations on $1,075.0 million of principal of the Term B-2 Loans at a rate of 6.92% through November 2025, based on the interest rates set forth in the Credit Agreement.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Indenture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21, 2024, VFH and Valor Co-Issuer, Inc., a subsidiary of Virtu Financial, (the “Co-Issuer”) completed the offering of $500.0 million aggregate principal amount of 7.50% senior secured first lien notes due 2031 (the “Notes”). The Notes were issued under an Indenture, dated as of June 21, 2024 (the “Indenture”), among the VFH, the Co-Issuer, Virtu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and the subsidiary guarantors party thereto, and U.S. Bank Trust Company, National Association, as the trustee and collateral agent. The Notes mature on June 15, 2031. Interest on the Notes accrues at 7.50% per annum, payable every six months through maturity on each June 15 and December 15, beginning on December 15, 2024. We refer to VFH and the Co-Issuer together as, the “Issuers.”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Second Amended and Restated 2015 Management Incentive Plan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June 5, 2020, June 2, 2022, and June 2, 2025 (as amended and restated, the “Second Amended and Restated 2015 Management Incentive Plan”). On April 23, 2025, the Company’s Board of Directors adopted the Second Amended and Restated 2015 Management Incentive Plan to increase the number of shares, to extend the expiration date to June 2, 2035 and to remove certain provisions related to Section 162(m) of the Code that are no longer applicable. The Second Amended and Restated 2015 Management Incentive Plan provides for the grant of stock options, restricted stock units, and other awards based on an aggregate of 33,500,000 shares of Class A Common Stock, par value $0.00001 per share (the “Class A Common Stock”), subject to additional sublimits, including limits on the total option grant to any one participant in a single year and the total performance award to any one participant in a single year. The Second Amended and Restated 2015 Management Incentive Plan was approved by the Company’s shareholders at the Company’s annual meeting of shareholders on June 2,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IPO, non-qualified stock options to purchase 9,228,000 shares were granted at the IPO per share price, each of which vested in equal annual installments over a period of four years from the grant date and expire not later than 10 years from the grant date. Subsequent to the IPO and through June 30, 2026, options to purchase 1,646,500 shares in the aggregate were forfeited and 7,581,500 options were exercised. The fair value of the stock option grants was determined through the application of the Black-Scholes-Merton model and was recognized on a straight-line basis over the vesting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Parent Company Financial Information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no material differences between our condensed consolidated financial statements and the financial statements of Virtu Financial except as follows: (i) cash and cash equivalents reflected on our Condensed Consolidated Statements of Financial Condition as of June 30, 2026 in the amount of $306.8 million; (ii) deferred tax assets reflected on our Condensed Consolidated Statements of Financial Condition as of June 30, 2026 in the amount of $80.7 million and tax receivable agreement obligation in the amount of $173.1 million, in each case as described in greater detail in Note 5 “Tax Receivable Agreements” of Part I Item 1 “Financial Statements” of this Quarterly Report on Form 10-Q; (iii) a portion of the member’s equity of Virtu Financial is represented as noncontrolling interest on our Condensed Consolidated Statements of Financial Condition as of June 30, 2026; and (iv) provision for corporate income tax in the amount of $35.3 million and $74.7 million reflected on our Condensed Consolidated Statements of Comprehensive Income for the three and six months ended June 30, 2026,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Components of Our Results of Operations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i) Total revenue, ii) Total operating expenses, and iii) Income before income taxes and noncontrolling interest by segment for the three and six months ended June 30, 2026 and 2025:</w: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1494"/>
        <w:gridCol w:w="1282"/>
        <w:gridCol w:w="1287"/>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56"/>
      </w:tblGrid>
      <w:tr>
        <w:trPr/>
        <w:tc>
          <w:tcPr>
            <w:tcW w:w="149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40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1,009,174 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786,593 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1,924,871 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1,477,765 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1,238,693 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309,734 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255,462 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686,178 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444,642 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2,285,280 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342,557 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347,020 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752,129 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570,756 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our results of operations for the three and six months ended June 30, 2026 and 2025: </w:t>
      </w:r>
    </w:p>
    <w:p>
      <w:pPr>
        <w:pStyle w:val="TextBody"/>
        <w:bidi w:val="0"/>
        <w:spacing w:before="0" w:after="0"/>
        <w:ind w:left="0" w:right="0" w:firstLine="72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432"/>
        <w:gridCol w:w="1117"/>
        <w:gridCol w:w="1121"/>
        <w:gridCol w:w="109"/>
        <w:gridCol w:w="109"/>
        <w:gridCol w:w="109"/>
        <w:gridCol w:w="196"/>
        <w:gridCol w:w="736"/>
        <w:gridCol w:w="241"/>
        <w:gridCol w:w="109"/>
        <w:gridCol w:w="109"/>
        <w:gridCol w:w="109"/>
        <w:gridCol w:w="196"/>
        <w:gridCol w:w="736"/>
        <w:gridCol w:w="241"/>
        <w:gridCol w:w="109"/>
        <w:gridCol w:w="109"/>
        <w:gridCol w:w="109"/>
        <w:gridCol w:w="196"/>
        <w:gridCol w:w="871"/>
        <w:gridCol w:w="241"/>
        <w:gridCol w:w="109"/>
        <w:gridCol w:w="109"/>
        <w:gridCol w:w="109"/>
        <w:gridCol w:w="196"/>
        <w:gridCol w:w="871"/>
        <w:gridCol w:w="241"/>
        <w:gridCol w:w="109"/>
        <w:gridCol w:w="156"/>
      </w:tblGrid>
      <w:tr>
        <w:trPr/>
        <w:tc>
          <w:tcPr>
            <w:tcW w:w="143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3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856,691 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652,796 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1,645,837 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1,242,779 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145,886 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273,404 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237,459 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366,170 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305,166 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1,189,953 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999,573 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2,285,280 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1,837,442 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258,986 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397,814 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Communication and data processing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compensation and payroll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216,683 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425,038 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255,537 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205,266 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383,193 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296,541 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Operations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Termination of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issue cost related to debt refinancing, prepayment and commitment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advisory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interest expense on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847,396 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652,553 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1,533,151 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1,266,686 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 and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342,557 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347,020 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752,129 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570,756 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284,929 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292,976 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631,525 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482,611 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Selected Operating Margins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Net income Margin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(1)Calculated by dividing Net income by Total revenue.</w:t>
      </w:r>
    </w:p>
    <w:p>
      <w:pPr>
        <w:pStyle w:val="TextBody"/>
        <w:bidi w:val="0"/>
        <w:spacing w:before="0" w:after="0"/>
        <w:ind w:left="0" w:right="0" w:hanging="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available to stockholders and basic and diluted earnings per share are presented below:</w:t>
      </w:r>
    </w:p>
    <w:tbl>
      <w:tblPr>
        <w:tblW w:w="9556" w:type="dxa"/>
        <w:jc w:val="center"/>
        <w:tblInd w:w="0" w:type="dxa"/>
        <w:tblLayout w:type="fixed"/>
        <w:tblCellMar>
          <w:top w:w="28" w:type="dxa"/>
          <w:left w:w="28" w:type="dxa"/>
          <w:bottom w:w="28" w:type="dxa"/>
          <w:right w:w="28" w:type="dxa"/>
        </w:tblCellMar>
      </w:tblPr>
      <w:tblGrid>
        <w:gridCol w:w="1342"/>
        <w:gridCol w:w="1181"/>
        <w:gridCol w:w="1182"/>
        <w:gridCol w:w="109"/>
        <w:gridCol w:w="109"/>
        <w:gridCol w:w="109"/>
        <w:gridCol w:w="202"/>
        <w:gridCol w:w="759"/>
        <w:gridCol w:w="109"/>
        <w:gridCol w:w="109"/>
        <w:gridCol w:w="109"/>
        <w:gridCol w:w="109"/>
        <w:gridCol w:w="202"/>
        <w:gridCol w:w="759"/>
        <w:gridCol w:w="109"/>
        <w:gridCol w:w="109"/>
        <w:gridCol w:w="109"/>
        <w:gridCol w:w="109"/>
        <w:gridCol w:w="202"/>
        <w:gridCol w:w="759"/>
        <w:gridCol w:w="109"/>
        <w:gridCol w:w="109"/>
        <w:gridCol w:w="109"/>
        <w:gridCol w:w="109"/>
        <w:gridCol w:w="202"/>
        <w:gridCol w:w="759"/>
        <w:gridCol w:w="109"/>
        <w:gridCol w:w="109"/>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for share or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284,929 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631,525 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482,611 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available for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333,208 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250,868 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87,603,606 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85,490,121 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86,852,837 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85,585,040 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87,603,606 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85,530,426 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86,852,837 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85,794,619 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Total 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Revenues are generated through market making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client execution services. 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Trading income, net.</w:t>
      </w:r>
      <w:r>
        <w:rPr>
          <w:color w:val="000000"/>
        </w:rPr>
        <w:t xml:space="preserve"> </w:t>
      </w:r>
      <w:r>
        <w:rPr>
          <w:rFonts w:ascii="Times New Roman;serif" w:hAnsi="Times New Roman;serif"/>
          <w:b w:val="false"/>
          <w:color w:val="000000"/>
          <w:sz w:val="20"/>
        </w:rPr>
        <w:t>Trading income, net represents revenue earned from bid/ask spreads. Trading income is generated in the normal course of our market making activities and is typically proportional to the level of trading activity, or volumes, and bid/ask spreads in the asset classes we serve. Our trading income is highly diversified by asset class and geography and comprises small amounts earned on millions of trades on various exchanges. Our trading income, net, results from gains and losses associated with trading strategies, which are designed to capture small bid/ask spreads, while hedging risks. Trading income, net, accounted for 72% and 68% of our total revenues for the six months ended June 30, 2026 and 2025, respectively.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Interest and dividends income.</w:t>
      </w:r>
      <w:r>
        <w:rPr>
          <w:color w:val="000000"/>
        </w:rPr>
        <w:t xml:space="preserve"> </w:t>
      </w:r>
      <w:r>
        <w:rPr>
          <w:rFonts w:ascii="Times New Roman;serif" w:hAnsi="Times New Roman;serif"/>
          <w:b w:val="false"/>
          <w:color w:val="000000"/>
          <w:sz w:val="20"/>
        </w:rPr>
        <w:t>Our market making activities require us to hold securities on a regular basis, and we generate revenues in the form of interest and dividends income from these securities. Interest is also earned on securities borrowed from other market participants pursuant to collateralized financing arrangements and on cash held by brokers. Dividends income arises from holding market making positions over dates on which dividends and capital gain distributions are paid to shareholders of record.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Commissions, net and technology services.</w:t>
      </w:r>
      <w:r>
        <w:rPr>
          <w:color w:val="000000"/>
        </w:rPr>
        <w:t xml:space="preserve"> </w:t>
      </w:r>
      <w:r>
        <w:rPr>
          <w:rFonts w:ascii="Times New Roman;serif" w:hAnsi="Times New Roman;serif"/>
          <w:b w:val="false"/>
          <w:color w:val="000000"/>
          <w:sz w:val="20"/>
        </w:rPr>
        <w:t xml:space="preserve">We earn revenues on transactions for which we charge explicit commissions, which include the majority of 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volume-based fees from providing liquidity to other trading venues; and the level of our soft dollar and commission recapture activity. Client commission fees are charged for client trades executed by us on behalf of third-party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 parties. Revenues are derived from fees generated by matching sell-side and buy-side clients orders, and from analytic products delivered to the clients.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Other, net.</w:t>
      </w:r>
      <w:r>
        <w:rPr>
          <w:color w:val="000000"/>
        </w:rPr>
        <w:t xml:space="preserve"> </w:t>
      </w:r>
      <w:r>
        <w:rPr>
          <w:rFonts w:ascii="Times New Roman;serif" w:hAnsi="Times New Roman;serif"/>
          <w:b w:val="false"/>
          <w:color w:val="000000"/>
          <w:sz w:val="20"/>
        </w:rPr>
        <w:t>We have interests in a telecommunications joint venture and certain strategic investments (“JVs”). We record our pro-rata share of our JVs’ earnings or losses within Other, net as applicable, and fees related to the use of communication services provided by the telecommunications JV are recorded within Communications and data processing.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 noncontrolling investment (the “JNX Investment”) in Japannext Co., Ltd. (“JNX”), a proprietary trading system based in Tokyo. In connection with the investment, we issued bonds to certain affiliates of JNX and used the proceeds to partially finance the transaction. Revenues or losses are recognized due to the changes in fair value of the investment or fluctuations in Japanese Yen conversion rates within Other,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net can also include gains on sales of strategic investments and businesses, settlement fund recoveries, remeasurement gains or losses on certain digital assets held, as well as revenues from service agreements related to the sale of businesses.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Brokerage, exchange, clearance fees and payments for order flow, net.</w:t>
      </w:r>
      <w:r>
        <w:rPr>
          <w:color w:val="000000"/>
        </w:rPr>
        <w:t xml:space="preserve"> </w:t>
      </w:r>
      <w:r>
        <w:rPr>
          <w:rFonts w:ascii="Times New Roman;serif" w:hAnsi="Times New Roman;serif"/>
          <w:b w:val="false"/>
          <w:color w:val="000000"/>
          <w:sz w:val="20"/>
        </w:rPr>
        <w:t xml:space="preserve">Brokerage, exchange, clearance fees and payments for order flow are our most significant expenses, which include the direct expenses of executing and clearing transactions that we consummate in the course of our market making activities. Brokerage, exchange, clearance fees and payments for order flow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Payments for order flow represent payments to broker-dealer clients, in the normal course of business, for directing their order flow in U.S. equities to the Company. Rebates based on volume discounts, credits or payments received from exchanges or other marketplaces are netted against brokerage, exchange, clearance fees and payments for order flow.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Communication and data processing.</w:t>
      </w:r>
      <w:r>
        <w:rPr>
          <w:color w:val="000000"/>
        </w:rPr>
        <w:t xml:space="preserve"> </w:t>
      </w:r>
      <w:r>
        <w:rPr>
          <w:rFonts w:ascii="Times New Roman;serif" w:hAnsi="Times New Roman;serif"/>
          <w:b w:val="false"/>
          <w:color w:val="000000"/>
          <w:sz w:val="20"/>
        </w:rPr>
        <w:t>Communication and data processing represent primarily fixed expenses for data center co-location, network 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Employee compensation and payroll taxes.</w:t>
      </w:r>
      <w:r>
        <w:rPr>
          <w:color w:val="000000"/>
        </w:rPr>
        <w:t xml:space="preserve"> </w:t>
      </w:r>
      <w:r>
        <w:rPr>
          <w:rFonts w:ascii="Times New Roman;serif" w:hAnsi="Times New Roman;serif"/>
          <w:b w:val="false"/>
          <w:color w:val="000000"/>
          <w:sz w:val="20"/>
        </w:rPr>
        <w:t xml:space="preserve">Employee compensation and payroll taxes include employee salaries, cash and non-cash incentive compensation, employee benefits, payroll taxes, severance and other employee related costs. Employee compensation and payroll taxes also includes non-cash compensation expenses with respect to restricted stock units and restricted stock awards pursuant to the Second Amended and Restated 2015 Management Incentive Plan.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Interest and dividends expense.</w:t>
      </w:r>
      <w:r>
        <w:rPr>
          <w:color w:val="000000"/>
        </w:rPr>
        <w:t xml:space="preserve"> </w:t>
      </w:r>
      <w:r>
        <w:rPr>
          <w:rFonts w:ascii="Times New Roman;serif" w:hAnsi="Times New Roman;serif"/>
          <w:b w:val="false"/>
          <w:color w:val="000000"/>
          <w:sz w:val="20"/>
        </w:rPr>
        <w:t>We incur interest expense from loaning certain equity securities in the general course of our market making activities pursuant to collateralized lending transactions. Typically, dividends expense is incurred when a dividend is paid on securities sold short.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Operations and administrative.</w:t>
      </w:r>
      <w:r>
        <w:rPr>
          <w:color w:val="000000"/>
        </w:rPr>
        <w:t xml:space="preserve"> </w:t>
      </w:r>
      <w:r>
        <w:rPr>
          <w:rFonts w:ascii="Times New Roman;serif" w:hAnsi="Times New Roman;serif"/>
          <w:b w:val="false"/>
          <w:color w:val="000000"/>
          <w:sz w:val="20"/>
        </w:rPr>
        <w:t>Operations and administrative expense represents occupancy, recruiting, travel and related expense, professional fees and other expenses.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Depreciation and amortization.</w:t>
      </w:r>
      <w:r>
        <w:rPr>
          <w:color w:val="000000"/>
        </w:rPr>
        <w:t xml:space="preserve"> </w:t>
      </w:r>
      <w:r>
        <w:rPr>
          <w:rFonts w:ascii="Times New Roman;serif" w:hAnsi="Times New Roman;serif"/>
          <w:b w:val="false"/>
          <w:color w:val="000000"/>
          <w:sz w:val="20"/>
        </w:rPr>
        <w:t>Depreciation and amortization expense results from the depreciation of fixed assets and leased equipment, such as computing and communications 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Amortization of purchased intangibles and acquired capitalized software.</w:t>
      </w:r>
      <w:r>
        <w:rPr>
          <w:color w:val="000000"/>
        </w:rPr>
        <w:t xml:space="preserve"> </w:t>
      </w:r>
      <w:r>
        <w:rPr>
          <w:rFonts w:ascii="Times New Roman;serif" w:hAnsi="Times New Roman;serif"/>
          <w:b w:val="false"/>
          <w:color w:val="000000"/>
          <w:sz w:val="20"/>
        </w:rPr>
        <w:t>Amortization of purchased intangibles and acquired capitalized software represents the amortization of finite lived intangible assets acquired in connection with the Acquisition of KCG and the ITG Acquisition. These assets are amortized over their useful lives, ranging from 1 to 15 years, except for certain assets which were categorized as having indefinite useful lives.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Termination of office leases. </w:t>
      </w:r>
      <w:r>
        <w:rPr>
          <w:rFonts w:ascii="Times New Roman;serif" w:hAnsi="Times New Roman;serif"/>
          <w:b w:val="false"/>
          <w:color w:val="000000"/>
          <w:sz w:val="20"/>
        </w:rPr>
        <w:t>Termination of office leases represents the write-off expense and asset retirement obligations related to certain office space we ceased use of as part of the effort to integrate and consolidate office space. The aggregate write-off amount includes the impairment of operating lease right-of-use assets, leasehold improvements and fixed assets, and dilapidation charges.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Debt issue cost related to debt refinancing, prepayment and commitment fees.</w:t>
      </w:r>
      <w:r>
        <w:rPr>
          <w:color w:val="000000"/>
        </w:rPr>
        <w:t xml:space="preserve"> </w:t>
      </w:r>
      <w:r>
        <w:rPr>
          <w:rFonts w:ascii="Times New Roman;serif" w:hAnsi="Times New Roman;serif"/>
          <w:b w:val="false"/>
          <w:color w:val="000000"/>
          <w:sz w:val="20"/>
        </w:rPr>
        <w:t xml:space="preserve">As a result of the refinancing or early termination of our long-term borrowings, we accelerate the capitalized debt issue cost and the discount on the term loan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would otherwise be amortized or accreted over the life of the term loan. Premium paid in connection with retiring outstanding bonds, and commitment fees paid for lines of credit are also included in this category.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Transaction advisory fees and expenses.</w:t>
      </w:r>
      <w:r>
        <w:rPr>
          <w:color w:val="000000"/>
        </w:rPr>
        <w:t xml:space="preserve"> </w:t>
      </w:r>
      <w:r>
        <w:rPr>
          <w:rFonts w:ascii="Times New Roman;serif" w:hAnsi="Times New Roman;serif"/>
          <w:b w:val="false"/>
          <w:color w:val="000000"/>
          <w:sz w:val="20"/>
        </w:rPr>
        <w:t>Transaction advisory fees and expenses primarily reflect professional fees incurred by us in connection with one or more acquisitions or dispositions.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Financing interest expense on long-term borrowings.</w:t>
      </w:r>
      <w:r>
        <w:rPr>
          <w:color w:val="000000"/>
        </w:rPr>
        <w:t xml:space="preserve"> </w:t>
      </w:r>
      <w:r>
        <w:rPr>
          <w:rFonts w:ascii="Times New Roman;serif" w:hAnsi="Times New Roman;serif"/>
          <w:b w:val="false"/>
          <w:color w:val="000000"/>
          <w:sz w:val="20"/>
        </w:rPr>
        <w:t>Financing interest expense reflects interest accrued on outstanding indebtedness under our long-term borrowing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U.S. federal, state and local income tax at the rate applicable to corporations less the rate attributable to the noncontrolling interest in Virtu Financial. Our non-U.S. operations are also subject to foreign income tax at the applicable corporate rates.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 Additionally, our effective tax rate can be more or less volatile based on the amount of pre-tax income or loss. For example, the impact of discrete items and non-deductible expenses on our effective tax rate is greater when our pre-tax income is lower. Our effective tax rate may also be impacted by changes in the portion of income that is attributable to the noncontrolling interest.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15 “Income Taxes” of Part I Item 1 “Financial Statements” of this Quarterly Report on Form 10-Q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Non-GAAP Financial Measures and Other Items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supplement our Condensed Consolidated Financial Statements presented in accordance with generally accepted accounting principles in the United States (“U.S. GAAP”), we use the following non-U.S. GAAP (“Non-GAAP”) financial measures of financial performance:</w:t>
      </w:r>
    </w:p>
    <w:p>
      <w:pPr>
        <w:pStyle w:val="TextBody"/>
        <w:bidi w:val="0"/>
        <w:spacing w:before="0" w:after="0"/>
        <w:jc w:val="left"/>
        <w:rPr/>
      </w:pPr>
      <w:r>
        <w:rPr/>
      </w:r>
    </w:p>
    <w:p>
      <w:pPr>
        <w:pStyle w:val="TextBody"/>
        <w:bidi w:val="0"/>
        <w:spacing w:lineRule="auto" w:line="268" w:before="0" w:after="0"/>
        <w:ind w:left="0" w:right="0" w:hanging="270"/>
        <w:jc w:val="left"/>
        <w:rPr/>
      </w:pPr>
      <w:r>
        <w:rPr>
          <w:color w:val="000000"/>
        </w:rPr>
        <w:t>•“</w:t>
      </w:r>
      <w:r>
        <w:rPr>
          <w:rFonts w:ascii="Times New Roman;serif" w:hAnsi="Times New Roman;serif"/>
          <w:b w:val="false"/>
          <w:color w:val="000000"/>
          <w:sz w:val="20"/>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clearance fees and payments for order flow, net, and Interest and dividends expense. We also disclose Adjusted Net Trading Income by segment, and as daily averages by dividing Adjusted Net Trading Income by the number of trading days in a given period. We count days on which U.S. equities exchanges close early or otherwise operate for less than a full trading day as half-days. Management believes that Adjusted Net Trading Income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core business activities.</w:t>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transaction advisory fees and expenses, termination of office leases, charges related to share-based compensation and other expenses, which includes reserves for legal matters, and Other, net, which includes gains and losses from strategic investments, the sales of businesses, and other income.</w:t>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Normalized Adjusted Net Income”, “Normalized Adjusted Net Income before income taxes”, “Normalized provision for income taxes”, and “Normalized Adjusted EPS”, which we calculate by adjusting Net Income to exclude certain items, and other non-cash items, assuming that all vested and unvested Virtu Financial Units have been exchanged for Class A Common Stock, and applying an effective tax rate, which was approximately 24%.</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Operating Margins, which are calculated by dividing net income, EBITDA, and Adjusted EBITDA by 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 operating performance and in making strategic decisions. In addition, the Company’s Non-GAAP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 Company’s Non-GAAP Measures as financial measures to assess the performance of our business, such use is limited because they do not include certain material costs necessary to operate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pStyle w:val="TextBody"/>
        <w:bidi w:val="0"/>
        <w:spacing w:before="0" w:after="0"/>
        <w:jc w:val="left"/>
        <w:rPr/>
      </w:pPr>
      <w:r>
        <w:rPr/>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they do not reflect every cash expenditure, future requirements for capital expenditures or contractual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our EBITDA-based measures do not reflect the significant interest expense or the cash requirements necessary to service interest or principal payment on our debt;</w:t>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they are not adjusted for all non-cash income or expense items that are reflected in our consolidated statements of cash flows;</w:t>
      </w:r>
    </w:p>
    <w:p>
      <w:pPr>
        <w:pStyle w:val="TextBody"/>
        <w:bidi w:val="0"/>
        <w:spacing w:lineRule="auto" w:line="288" w:before="0" w:after="120"/>
        <w:ind w:left="0" w:right="0" w:hanging="270"/>
        <w:jc w:val="left"/>
        <w:rPr/>
      </w:pPr>
      <w:r>
        <w:rPr>
          <w:color w:val="000000"/>
        </w:rPr>
        <w:t>•</w:t>
      </w:r>
      <w:r>
        <w:rPr>
          <w:rFonts w:ascii="Times New Roman;serif" w:hAnsi="Times New Roman;serif"/>
          <w:b w:val="false"/>
          <w:color w:val="000000"/>
          <w:sz w:val="20"/>
        </w:rPr>
        <w:t>they do not reflect the impact of earnings or charges resulting from matters we consider not to be indicative of our ongoing operations; and</w:t>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they do not reflect limitations on our costs related to transferring earnings from our subsidiaries to 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 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Condensed Consolidated Statements of Comprehensive Income to arrive at Adjusted Net Trading Income, EBITDA, Adjusted EBITDA, and Operating Margins for the three and six months ended June 30, 2026 and 2025.</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24"/>
        <w:gridCol w:w="1168"/>
        <w:gridCol w:w="1178"/>
        <w:gridCol w:w="109"/>
        <w:gridCol w:w="109"/>
        <w:gridCol w:w="109"/>
        <w:gridCol w:w="196"/>
        <w:gridCol w:w="736"/>
        <w:gridCol w:w="241"/>
        <w:gridCol w:w="109"/>
        <w:gridCol w:w="109"/>
        <w:gridCol w:w="109"/>
        <w:gridCol w:w="196"/>
        <w:gridCol w:w="736"/>
        <w:gridCol w:w="241"/>
        <w:gridCol w:w="109"/>
        <w:gridCol w:w="109"/>
        <w:gridCol w:w="109"/>
        <w:gridCol w:w="196"/>
        <w:gridCol w:w="871"/>
        <w:gridCol w:w="241"/>
        <w:gridCol w:w="109"/>
        <w:gridCol w:w="109"/>
        <w:gridCol w:w="109"/>
        <w:gridCol w:w="196"/>
        <w:gridCol w:w="871"/>
        <w:gridCol w:w="241"/>
        <w:gridCol w:w="109"/>
        <w:gridCol w:w="156"/>
      </w:tblGrid>
      <w:tr>
        <w:trPr/>
        <w:tc>
          <w:tcPr>
            <w:tcW w:w="132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3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Trading income, net to 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856,691 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652,796 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1,645,837 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1,242,779 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145,886 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273,404 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237,459 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366,170 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305,166 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(258,986)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(202,125)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(397,814)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(424,000)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(205,266)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(383,193)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(296,541)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717,870 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567,723 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1,504,404 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1,064,863 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Net Income to EBITDA and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284,929 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631,525 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482,611 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interest expense on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issue cost related to debt refinancing, prepayment, and commitment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409,024 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408,654 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883,309 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691,677 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Severance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advisory fees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Termination of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RFQ-hub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(66,988)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(66,988)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436,778 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369,449 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957,351 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689,388 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Selected Operating Margins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 Net income Margin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Net income Margin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 Margin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Margin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(1)Calculated by dividing Net Income by Total Revenue.</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(2)Calculated by dividing Net Income by Adjusted Net Trading Income.</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(3)Calculated by dividing EBITDA by Adjusted Net Trading Income.</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(4)Calculated by dividing Adjusted EBITDA by Adjusted Net Trading Income.</w:t>
      </w:r>
    </w:p>
    <w:p>
      <w:pPr>
        <w:pStyle w:val="TextBody"/>
        <w:bidi w:val="0"/>
        <w:spacing w:before="0" w:after="200"/>
        <w:ind w:left="0" w:right="0" w:firstLine="72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to arrive at Normalized Adjusted Net Income before income taxes, Normalized provision for income taxes, Normalized Adjusted Net Income and Normalized Adjusted EPS for the three and six months ended June 30, 2026 and 2025:</w:t>
      </w:r>
    </w:p>
    <w:tbl>
      <w:tblPr>
        <w:tblW w:w="10205" w:type="dxa"/>
        <w:jc w:val="center"/>
        <w:tblInd w:w="0" w:type="dxa"/>
        <w:tblLayout w:type="fixed"/>
        <w:tblCellMar>
          <w:top w:w="28" w:type="dxa"/>
          <w:left w:w="28" w:type="dxa"/>
          <w:bottom w:w="28" w:type="dxa"/>
          <w:right w:w="28" w:type="dxa"/>
        </w:tblCellMar>
      </w:tblPr>
      <w:tblGrid>
        <w:gridCol w:w="1506"/>
        <w:gridCol w:w="1241"/>
        <w:gridCol w:w="1246"/>
        <w:gridCol w:w="109"/>
        <w:gridCol w:w="109"/>
        <w:gridCol w:w="109"/>
        <w:gridCol w:w="221"/>
        <w:gridCol w:w="830"/>
        <w:gridCol w:w="109"/>
        <w:gridCol w:w="109"/>
        <w:gridCol w:w="109"/>
        <w:gridCol w:w="109"/>
        <w:gridCol w:w="221"/>
        <w:gridCol w:w="830"/>
        <w:gridCol w:w="109"/>
        <w:gridCol w:w="109"/>
        <w:gridCol w:w="109"/>
        <w:gridCol w:w="109"/>
        <w:gridCol w:w="221"/>
        <w:gridCol w:w="830"/>
        <w:gridCol w:w="109"/>
        <w:gridCol w:w="109"/>
        <w:gridCol w:w="109"/>
        <w:gridCol w:w="109"/>
        <w:gridCol w:w="221"/>
        <w:gridCol w:w="830"/>
        <w:gridCol w:w="109"/>
        <w:gridCol w:w="109"/>
        <w:gridCol w:w="155"/>
      </w:tblGrid>
      <w:tr>
        <w:trPr/>
        <w:tc>
          <w:tcPr>
            <w:tcW w:w="150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4" w:type="dxa"/>
            <w:gridSpan w:val="2"/>
            <w:tcBorders/>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Net Income to Normalized Adjusted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342,557 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347,020 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752,129 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570,756 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purchased intangibles and acquired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issue cost related to debt refinancing, prepayment, and commitment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Severance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advisory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Termination of office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RFQ-hub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Normalized Adjusted Net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383,568 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321,280 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852,867 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595,396 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Normalized provision for income taxes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Normalized Adjusted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291,512 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244,173 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648,179 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452,502 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Adjusted shares outstanding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159,860,687 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159,952,792 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159,700,858 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160,133,364 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Normalized Adjusted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(1)Reflects U.S. federal, state, and local income tax rate applicable to corporations of approximately 24% for all periods presented.</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(2)Assumes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the dilutive impact of restricted stock units and restricted stock awards outstanding under the Second Amended and Restated 2015 Management Incentive Plan during the three and six months ended June 30, 2026 and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Trading income, net to Adjusted Net Trading Income by segment for the three and six months ended June 30, 2026 and 2025:</w:t>
      </w:r>
    </w:p>
    <w:tbl>
      <w:tblPr>
        <w:tblW w:w="10205" w:type="dxa"/>
        <w:jc w:val="center"/>
        <w:tblInd w:w="0" w:type="dxa"/>
        <w:tblLayout w:type="fixed"/>
        <w:tblCellMar>
          <w:top w:w="28" w:type="dxa"/>
          <w:left w:w="28" w:type="dxa"/>
          <w:bottom w:w="28" w:type="dxa"/>
          <w:right w:w="28" w:type="dxa"/>
        </w:tblCellMar>
      </w:tblPr>
      <w:tblGrid>
        <w:gridCol w:w="1595"/>
        <w:gridCol w:w="1370"/>
        <w:gridCol w:w="1376"/>
        <w:gridCol w:w="109"/>
        <w:gridCol w:w="109"/>
        <w:gridCol w:w="109"/>
        <w:gridCol w:w="227"/>
        <w:gridCol w:w="856"/>
        <w:gridCol w:w="126"/>
        <w:gridCol w:w="109"/>
        <w:gridCol w:w="109"/>
        <w:gridCol w:w="109"/>
        <w:gridCol w:w="261"/>
        <w:gridCol w:w="981"/>
        <w:gridCol w:w="144"/>
        <w:gridCol w:w="109"/>
        <w:gridCol w:w="109"/>
        <w:gridCol w:w="109"/>
        <w:gridCol w:w="240"/>
        <w:gridCol w:w="497"/>
        <w:gridCol w:w="134"/>
        <w:gridCol w:w="109"/>
        <w:gridCol w:w="109"/>
        <w:gridCol w:w="109"/>
        <w:gridCol w:w="196"/>
        <w:gridCol w:w="736"/>
        <w:gridCol w:w="158"/>
      </w:tblGrid>
      <w:tr>
        <w:trPr/>
        <w:tc>
          <w:tcPr>
            <w:tcW w:w="159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4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849,402 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7,289 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856,691 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163,601 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145,886 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(225,815)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(33,171)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(258,986)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(202,982)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(205,266)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579,871 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137,999 </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717,870 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95"/>
        <w:gridCol w:w="1370"/>
        <w:gridCol w:w="1376"/>
        <w:gridCol w:w="109"/>
        <w:gridCol w:w="109"/>
        <w:gridCol w:w="109"/>
        <w:gridCol w:w="227"/>
        <w:gridCol w:w="856"/>
        <w:gridCol w:w="126"/>
        <w:gridCol w:w="109"/>
        <w:gridCol w:w="109"/>
        <w:gridCol w:w="109"/>
        <w:gridCol w:w="261"/>
        <w:gridCol w:w="981"/>
        <w:gridCol w:w="144"/>
        <w:gridCol w:w="109"/>
        <w:gridCol w:w="109"/>
        <w:gridCol w:w="109"/>
        <w:gridCol w:w="240"/>
        <w:gridCol w:w="497"/>
        <w:gridCol w:w="134"/>
        <w:gridCol w:w="109"/>
        <w:gridCol w:w="109"/>
        <w:gridCol w:w="109"/>
        <w:gridCol w:w="196"/>
        <w:gridCol w:w="736"/>
        <w:gridCol w:w="158"/>
      </w:tblGrid>
      <w:tr>
        <w:trPr/>
        <w:tc>
          <w:tcPr>
            <w:tcW w:w="159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43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647,344 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5,452 </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652,796 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139,445 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125,893 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(172,311)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(29,814)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(202,125)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(163,871)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(165,213)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451,469 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116,254 </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567,723 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50"/>
        <w:gridCol w:w="1323"/>
        <w:gridCol w:w="1328"/>
        <w:gridCol w:w="109"/>
        <w:gridCol w:w="109"/>
        <w:gridCol w:w="109"/>
        <w:gridCol w:w="204"/>
        <w:gridCol w:w="911"/>
        <w:gridCol w:w="113"/>
        <w:gridCol w:w="109"/>
        <w:gridCol w:w="109"/>
        <w:gridCol w:w="109"/>
        <w:gridCol w:w="258"/>
        <w:gridCol w:w="970"/>
        <w:gridCol w:w="143"/>
        <w:gridCol w:w="109"/>
        <w:gridCol w:w="109"/>
        <w:gridCol w:w="109"/>
        <w:gridCol w:w="240"/>
        <w:gridCol w:w="497"/>
        <w:gridCol w:w="134"/>
        <w:gridCol w:w="109"/>
        <w:gridCol w:w="109"/>
        <w:gridCol w:w="109"/>
        <w:gridCol w:w="196"/>
        <w:gridCol w:w="871"/>
        <w:gridCol w:w="159"/>
      </w:tblGrid>
      <w:tr>
        <w:trPr/>
        <w:tc>
          <w:tcPr>
            <w:tcW w:w="155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4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2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1,631,821 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14,016 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1,645,837 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341,551 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366,170 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268,384 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273,404 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(328,573)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(69,241)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(397,814)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(379,323)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(383,193)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Trading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1,216,928 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287,476 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1,504,404 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50"/>
        <w:gridCol w:w="1323"/>
        <w:gridCol w:w="1328"/>
        <w:gridCol w:w="109"/>
        <w:gridCol w:w="109"/>
        <w:gridCol w:w="109"/>
        <w:gridCol w:w="204"/>
        <w:gridCol w:w="911"/>
        <w:gridCol w:w="113"/>
        <w:gridCol w:w="109"/>
        <w:gridCol w:w="109"/>
        <w:gridCol w:w="109"/>
        <w:gridCol w:w="258"/>
        <w:gridCol w:w="970"/>
        <w:gridCol w:w="143"/>
        <w:gridCol w:w="109"/>
        <w:gridCol w:w="109"/>
        <w:gridCol w:w="109"/>
        <w:gridCol w:w="240"/>
        <w:gridCol w:w="497"/>
        <w:gridCol w:w="134"/>
        <w:gridCol w:w="109"/>
        <w:gridCol w:w="109"/>
        <w:gridCol w:w="109"/>
        <w:gridCol w:w="196"/>
        <w:gridCol w:w="871"/>
        <w:gridCol w:w="159"/>
      </w:tblGrid>
      <w:tr>
        <w:trPr/>
        <w:tc>
          <w:tcPr>
            <w:tcW w:w="1550"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4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2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1,229,966 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12,813 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1,242,779 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273,440 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305,166 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232,331 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237,459 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Brokerage, exchange, clearance fees and payments for order flow,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(366,614)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(57,386)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(424,000)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(293,922)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(296,541)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Trading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833,487 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231,376 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1,064,863 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Adjusted Net Trading Income and average daily Adjusted Net Trading Income by segment for the three and six months ended June 30, 2026 and 2025:</w:t>
      </w:r>
    </w:p>
    <w:tbl>
      <w:tblPr>
        <w:tblW w:w="9348" w:type="dxa"/>
        <w:jc w:val="center"/>
        <w:tblInd w:w="0" w:type="dxa"/>
        <w:tblLayout w:type="fixed"/>
        <w:tblCellMar>
          <w:top w:w="28" w:type="dxa"/>
          <w:left w:w="28" w:type="dxa"/>
          <w:bottom w:w="28" w:type="dxa"/>
          <w:right w:w="28" w:type="dxa"/>
        </w:tblCellMar>
      </w:tblPr>
      <w:tblGrid>
        <w:gridCol w:w="1941"/>
        <w:gridCol w:w="1711"/>
        <w:gridCol w:w="1717"/>
        <w:gridCol w:w="109"/>
        <w:gridCol w:w="109"/>
        <w:gridCol w:w="109"/>
        <w:gridCol w:w="196"/>
        <w:gridCol w:w="736"/>
        <w:gridCol w:w="109"/>
        <w:gridCol w:w="109"/>
        <w:gridCol w:w="109"/>
        <w:gridCol w:w="109"/>
        <w:gridCol w:w="196"/>
        <w:gridCol w:w="736"/>
        <w:gridCol w:w="109"/>
        <w:gridCol w:w="109"/>
        <w:gridCol w:w="109"/>
        <w:gridCol w:w="109"/>
        <w:gridCol w:w="268"/>
        <w:gridCol w:w="268"/>
        <w:gridCol w:w="380"/>
      </w:tblGrid>
      <w:tr>
        <w:trPr/>
        <w:tc>
          <w:tcPr>
            <w:tcW w:w="194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Trading Income by Segment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579,871 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451,469 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28.4%</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Execution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18.7%</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717,870 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567,723 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26.4%</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Daily Adjusted Net Trading Income by Segment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28.4%</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Execution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18.7%</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Daily 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26.1%</w:t>
            </w:r>
          </w:p>
        </w:tc>
      </w:tr>
    </w:tbl>
    <w:tbl>
      <w:tblPr>
        <w:tblW w:w="9618" w:type="dxa"/>
        <w:jc w:val="center"/>
        <w:tblInd w:w="0" w:type="dxa"/>
        <w:tblLayout w:type="fixed"/>
        <w:tblCellMar>
          <w:top w:w="28" w:type="dxa"/>
          <w:left w:w="28" w:type="dxa"/>
          <w:bottom w:w="28" w:type="dxa"/>
          <w:right w:w="28" w:type="dxa"/>
        </w:tblCellMar>
      </w:tblPr>
      <w:tblGrid>
        <w:gridCol w:w="1941"/>
        <w:gridCol w:w="1711"/>
        <w:gridCol w:w="1717"/>
        <w:gridCol w:w="109"/>
        <w:gridCol w:w="109"/>
        <w:gridCol w:w="109"/>
        <w:gridCol w:w="196"/>
        <w:gridCol w:w="871"/>
        <w:gridCol w:w="109"/>
        <w:gridCol w:w="109"/>
        <w:gridCol w:w="109"/>
        <w:gridCol w:w="109"/>
        <w:gridCol w:w="196"/>
        <w:gridCol w:w="871"/>
        <w:gridCol w:w="109"/>
        <w:gridCol w:w="109"/>
        <w:gridCol w:w="109"/>
        <w:gridCol w:w="109"/>
        <w:gridCol w:w="268"/>
        <w:gridCol w:w="268"/>
        <w:gridCol w:w="380"/>
      </w:tblGrid>
      <w:tr>
        <w:trPr/>
        <w:tc>
          <w:tcPr>
            <w:tcW w:w="194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Trading Income by Segment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1,216,928 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46.0%</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Execution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24.2%</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1,504,404 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1,064,863 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41.3%</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Daily Adjusted Net Trading Income by Segment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44.8%</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Execution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23.2%</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Daily Adjusted Net Trading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40.2%</w:t>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4249" w:type="dxa"/>
            <w:gridSpan w:val="18"/>
            <w:tcBorders/>
          </w:tcPr>
          <w:p>
            <w:pPr>
              <w:pStyle w:val="TableContents"/>
              <w:bidi w:val="0"/>
              <w:spacing w:before="0" w:after="283"/>
              <w:jc w:val="left"/>
              <w:rPr>
                <w:sz w:val="4"/>
                <w:szCs w:val="4"/>
              </w:rPr>
            </w:pPr>
            <w:r>
              <w:rPr>
                <w:sz w:val="4"/>
                <w:szCs w:val="4"/>
              </w:rPr>
            </w:r>
          </w:p>
        </w:tc>
      </w:tr>
    </w:tbl>
    <w:tbl>
      <w:tblPr>
        <w:tblW w:w="496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623" w:type="dxa"/>
            <w:gridSpan w:val="4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Three Months Ended June 30, 2026 Compared to Three Months Ended June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Total Revenues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total revenues increased $190.4 million, or 19.0%, to $1,190.0 million for the three months ended June 30, 2026, compared to $999.6 million for the three months ended June 30, 2025. The increase was primarily driven by an increase of $203.9 million in Trading income, net due to higher trading volumes and increased opportunities across global markets, an increase of $25.6 million in Commissions, net and technology services due to strengthened institutional engagement during the three months ended June 30, 2026 compared to the same period in 2025, partially offset by a decrease in Other, net primarily driven by gains on the sale and deconsolidation of RFQ-hub recognized during the three months ended June 30,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total revenues by segment for the three months ended June 30, 2026 and 2025.</w:t>
      </w:r>
    </w:p>
    <w:tbl>
      <w:tblPr>
        <w:tblW w:w="7159" w:type="dxa"/>
        <w:jc w:val="center"/>
        <w:tblInd w:w="0" w:type="dxa"/>
        <w:tblLayout w:type="fixed"/>
        <w:tblCellMar>
          <w:top w:w="28" w:type="dxa"/>
          <w:left w:w="28" w:type="dxa"/>
          <w:bottom w:w="28" w:type="dxa"/>
          <w:right w:w="28" w:type="dxa"/>
        </w:tblCellMar>
      </w:tblPr>
      <w:tblGrid>
        <w:gridCol w:w="1104"/>
        <w:gridCol w:w="967"/>
        <w:gridCol w:w="974"/>
        <w:gridCol w:w="109"/>
        <w:gridCol w:w="109"/>
        <w:gridCol w:w="109"/>
        <w:gridCol w:w="196"/>
        <w:gridCol w:w="871"/>
        <w:gridCol w:w="109"/>
        <w:gridCol w:w="109"/>
        <w:gridCol w:w="109"/>
        <w:gridCol w:w="109"/>
        <w:gridCol w:w="196"/>
        <w:gridCol w:w="736"/>
        <w:gridCol w:w="109"/>
        <w:gridCol w:w="109"/>
        <w:gridCol w:w="109"/>
        <w:gridCol w:w="109"/>
        <w:gridCol w:w="268"/>
        <w:gridCol w:w="268"/>
        <w:gridCol w:w="380"/>
      </w:tblGrid>
      <w:tr>
        <w:trPr/>
        <w:tc>
          <w:tcPr>
            <w:tcW w:w="110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for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13.8%</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revenues from Market Making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1,009,174 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786,593 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Execution Services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33.7%</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17.3%</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(100.0)%</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revenues from Execution Services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(19.1)%</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from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856,691 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31.2%</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13.6%</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16.7%</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(87.9)%</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1,189,953 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999,573 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19.0%</w:t>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Trading income, net. </w:t>
      </w:r>
      <w:r>
        <w:rPr>
          <w:rFonts w:ascii="Times New Roman;serif" w:hAnsi="Times New Roman;serif"/>
          <w:b w:val="false"/>
          <w:color w:val="000000"/>
          <w:sz w:val="20"/>
        </w:rPr>
        <w:t>Trading income, net was primarily earned by our Market Making segment. Trading income, net increased $203.9 million, or 31.2% to $856.7 million for the three months ended June 30, 2026, compared to $652.8 million for the three months ended June 30, 2025. The increase was largely a result of higher trading volumes and increased opportunities across global markets during the three months ended June 30, 2026 compared to the same period in 2025.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is described below.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Interest and dividends income.</w:t>
      </w:r>
      <w:r>
        <w:rPr>
          <w:color w:val="000000"/>
        </w:rPr>
        <w:t xml:space="preserve"> </w:t>
      </w:r>
      <w:r>
        <w:rPr>
          <w:rFonts w:ascii="Times New Roman;serif" w:hAnsi="Times New Roman;serif"/>
          <w:b w:val="false"/>
          <w:color w:val="000000"/>
          <w:sz w:val="20"/>
        </w:rPr>
        <w:t>Interest and dividends income was primarily earned by our Market Making segment. Interest and dividends income increased $17.5 million, or 13.6%, to $145.9 million for the three months ended June 30, 2026, compared to $128.4 million for the three months ended June 30, 2025. This increase was primarily driven by higher interest income from increased securities borrowing transactions and higher dividends earned on market making trading assets held over periods when dividends are paid, compared to the same period in 2025. As indicated above, rather than analyzing interest and dividends income in isolation, we evaluate it in the broader context of our 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Commissions, net and technology services.</w:t>
      </w:r>
      <w:r>
        <w:rPr>
          <w:color w:val="000000"/>
        </w:rPr>
        <w:t xml:space="preserve"> </w:t>
      </w:r>
      <w:r>
        <w:rPr>
          <w:rFonts w:ascii="Times New Roman;serif" w:hAnsi="Times New Roman;serif"/>
          <w:b w:val="false"/>
          <w:color w:val="000000"/>
          <w:sz w:val="20"/>
        </w:rPr>
        <w:t>Commissions, net and technology services revenues were primarily earned by our Execution Services segment. Commissions, net and technology services revenues increased $25.6 million, or 16.6%, to $179.5 million for the three months ended June 30, 2026, compared to $153.9 million for the three months ended June 30, 2025. This increase was driven by higher client volumes and increasing institutional engagement compared to the same period in 2025. As indicated above, rather than analyzing commission income in isolation, we evaluate it in the broader context of our Adjusted Net Trading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Other, net. </w:t>
      </w:r>
      <w:r>
        <w:rPr>
          <w:rFonts w:ascii="Times New Roman;serif" w:hAnsi="Times New Roman;serif"/>
          <w:b w:val="false"/>
          <w:color w:val="000000"/>
          <w:sz w:val="20"/>
        </w:rPr>
        <w:t>Other, net decreased $56.7 million, to $7.8 million for the three months ended June 30, 2026, compared to $64.5 million for the three months ended June 30, 2025. The period-over-period variance was primarily driven by gains on the sale and deconsolidation of RFQ-hub recognized during the three months ended June 30, 2025, partially offset by higher gains recognized due to the changes in fair value of our investment in JNX for the three months ended June 30, 2026.</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Net Trading Income, which is a non-GAAP measure, increased $150.1 million, or 26.4%, to $717.9 million for the three months ended June 30, 2026, compared to $567.7 million for the three months ended June 30, 2025. This increase was primarily attributable to higher Trading income, net and Commissions, net and technology services as noted above and lower Brokerage, exchange, clearance fees and payments for order flow, net as noted below, partially offset by higher Interest and dividends expense as described below. Average daily Adjusted Net Trading Income increased $2.4 million, or 26.1%, to $11.6 million for the three months ended June 30, 2026, compared to $9.2 million for the three months ended June 30, 2025.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expenses increased $194.8 million, or 29.8%, to $847.4 million for the three months ended June 30, 2026, compared to $652.6 million for the three months ended June 30, 2025. The increase in operating expenses is primarily due to an increase in Employee compensation and payroll taxes, Interest and dividends expense, and Brokerage, exchange, clearance fees and payments for order flow, net.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Brokerage, exchange, clearance fees and payments for order flow, net. </w:t>
      </w:r>
      <w:r>
        <w:rPr>
          <w:rFonts w:ascii="Times New Roman;serif" w:hAnsi="Times New Roman;serif"/>
          <w:b w:val="false"/>
          <w:color w:val="000000"/>
          <w:sz w:val="20"/>
        </w:rPr>
        <w:t xml:space="preserve">Brokerage exchange, clearance fees and payments for order flow, net, increased $56.9 million, or 28.2%, to $259.0 million for the three months ended June 30, 2026, compared to $202.1 million for the three months ended June 30, 2025. These costs vary period to period based upon the level and composition of our trading activities. We evaluate this category representing direct costs associated with transacting business, in the broader context of our Adjusted Net Trading Income.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Communication and data processing. </w:t>
      </w:r>
      <w:r>
        <w:rPr>
          <w:rFonts w:ascii="Times New Roman;serif" w:hAnsi="Times New Roman;serif"/>
          <w:b w:val="false"/>
          <w:color w:val="000000"/>
          <w:sz w:val="20"/>
        </w:rPr>
        <w:t>Communication and data processing expense increased $8.3 million, or 13.5%, to $69.7 million for the three months ended June 30, 2026, compared to $61.4 million for the three months ended June 30, 2025. This increase was primarily due to increased spending on hardware and software and communication networks maintained by our joint venture.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Employee compensation and payroll taxes. </w:t>
      </w:r>
      <w:r>
        <w:rPr>
          <w:rFonts w:ascii="Times New Roman;serif" w:hAnsi="Times New Roman;serif"/>
          <w:b w:val="false"/>
          <w:color w:val="000000"/>
          <w:sz w:val="20"/>
        </w:rPr>
        <w:t>Employee compensation and payroll taxes increased $80.5 million, or 59.1%, to $216.7 million for the three months ended June 30, 2026, compared to $136.2 million for the three months ended June 30, 2025. The increase in compensation levels was primarily attributable to an increase in accrued incentive compensation, which is recorded at management’s discretion and is generally accrued in connection with the overall level of profitability on a year-to-date basis, as well as the anticipated mix of cash and stock-based awards.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capitalized and therefore excluded employee compensation and benefits related to software development of $14.2 million and $9.9 million for the three months ended June 30, 2026, and 2025, respectively.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Interest and dividends expense. </w:t>
      </w:r>
      <w:r>
        <w:rPr>
          <w:rFonts w:ascii="Times New Roman;serif" w:hAnsi="Times New Roman;serif"/>
          <w:b w:val="false"/>
          <w:color w:val="000000"/>
          <w:sz w:val="20"/>
        </w:rPr>
        <w:t>Interest and dividends expense increased $40.1 million, or 24.3%, to $205.3 million for the three months ended June 30, 2026, compared to $165.2 million for the three months ended June 30, 2025. This increase was primarily attributable to higher interest expense incurred on cash collateral received driven by an increase in securities lending transactions, as well as higher dividends expense with respect to securities sold, not yet purchased for the period compared to the same period during the prior year. As indicated above, rather than analyzing interest and dividends expense in isolation, we evaluate it in the broader context of our Adjusted Net Trading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Operations and administrative. </w:t>
      </w:r>
      <w:r>
        <w:rPr>
          <w:rFonts w:ascii="Times New Roman;serif" w:hAnsi="Times New Roman;serif"/>
          <w:b w:val="false"/>
          <w:color w:val="000000"/>
          <w:sz w:val="20"/>
        </w:rPr>
        <w:t>Operations and administrative expense increased $3.5 million, or 13.5%, to $29.4 million for the three months ended June 30, 2026, compared to $25.9 million for the three months ended June 30, 2025. The increase was driven primarily by increases in occupancy expense.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Depreciation and amortization. </w:t>
      </w:r>
      <w:r>
        <w:rPr>
          <w:rFonts w:ascii="Times New Roman;serif" w:hAnsi="Times New Roman;serif"/>
          <w:b w:val="false"/>
          <w:color w:val="000000"/>
          <w:sz w:val="20"/>
        </w:rPr>
        <w:t>Depreciation and amortization increased $2.8 million, or 17.9%, to $18.4 million for the three months ended June 30, 2026, compared to $15.6 million for the three months ended June 30, 2025. The increase was driven primarily by an increase in software amortization expense compared to the same period in 2025.</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Amortization of purchased intangibles and acquired capitalized software. </w:t>
      </w:r>
      <w:r>
        <w:rPr>
          <w:rFonts w:ascii="Times New Roman;serif" w:hAnsi="Times New Roman;serif"/>
          <w:b w:val="false"/>
          <w:color w:val="000000"/>
          <w:sz w:val="20"/>
        </w:rPr>
        <w:t>Amortization of purchased intangibles and acquired capitalized software remained consistent at $11.8 million for the three months ended June 30, 2026 and the three months ended June 30, 2025. Included in Amortization of purchased intangibles and acquired capitalized software was the amortization of finite lived intangible assets acquired in connection with the acquisition of KCG and ITG.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Termination of office leases. </w:t>
      </w:r>
      <w:r>
        <w:rPr>
          <w:rFonts w:ascii="Times New Roman;serif" w:hAnsi="Times New Roman;serif"/>
          <w:b w:val="false"/>
          <w:color w:val="000000"/>
          <w:sz w:val="20"/>
        </w:rPr>
        <w:t xml:space="preserve">Termination of office leases increased $0.8 million to $0.8 million for the three months ended June 30, 2026, compared to an insignificant amount for the three months ended June 30, 2025. The increase was related to the impairment of lease right-of-use assets, leasehold improvements, and fixed assets for certain abandoned or vacated office space.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Debt issue cost related to debt refinancing, prepayment and commitment fees. </w:t>
      </w:r>
      <w:r>
        <w:rPr>
          <w:rFonts w:ascii="Times New Roman;serif" w:hAnsi="Times New Roman;serif"/>
          <w:b w:val="false"/>
          <w:color w:val="000000"/>
          <w:sz w:val="20"/>
        </w:rPr>
        <w:t>Expense from debt issue cost related to debt refinancing, prepayment and commitment fees decreased $0.2 million, or 11.8%, to $1.5 million for the three months ended June 30, 2026, compared to $1.7 million for the three months ended June 30, 2025. The decrease was primarily driven by lower commitment fees based on usage.</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i/>
          <w:color w:val="000000"/>
          <w:sz w:val="20"/>
        </w:rPr>
        <w:t>Transaction advisory fees and expenses.</w:t>
      </w:r>
      <w:r>
        <w:rPr>
          <w:color w:val="000000"/>
        </w:rPr>
        <w:t xml:space="preserve"> </w:t>
      </w:r>
      <w:r>
        <w:rPr>
          <w:rFonts w:ascii="Times New Roman;serif" w:hAnsi="Times New Roman;serif"/>
          <w:b w:val="false"/>
          <w:color w:val="000000"/>
          <w:sz w:val="20"/>
        </w:rPr>
        <w:t>Transaction advisory fees and expenses were insignificant for both the three months ended June 30, 2026 and June 30, 2025. These expenses, when incurred, are primarily in relation to our strategic investment portfolio.</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Financing interest expense on long-term borrowings. </w:t>
      </w:r>
      <w:r>
        <w:rPr>
          <w:rFonts w:ascii="Times New Roman;serif" w:hAnsi="Times New Roman;serif"/>
          <w:b w:val="false"/>
          <w:color w:val="000000"/>
          <w:sz w:val="20"/>
        </w:rPr>
        <w:t>Financing interest expense on long-term borrowings increased $2.2 million, or 6.7%, to $34.8 million for the three months ended June 30, 2026, compared to $32.6 million for the three months ended June 30, 2025. The increase was primarily attributable to a higher outstanding principal under the Senior Secured First Lien Term B-2 Loans, as described in Note 9 “Borrowings”.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rates were $57.6 million and 16.8% for the three months ended June 30, 2026, compared to $54.0 million and 15.6% for the three months ended June 30,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Six Months Ended June 30, 2026 Compared to Six Months Ended June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Total 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total revenues increased $447.9 million, or 24.4%, to $2,285.3 million for the six months ended June 30, 2026, compared to $1,837.4 million for the six months ended June 30, 2025. This increase was primarily attributable to an increase of $403.0 million in Trading income, net due to higher trading volumes and increased opportunities across global markets and an increase of $61.0 million in Commissions, net and technology services driven by strengthened institutional engagement during the six months ended June 30, 2026 compared to the same period in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total revenues by segment for the six months ended June 30, 2026 and 2025.</w:t>
      </w:r>
    </w:p>
    <w:p>
      <w:pPr>
        <w:pStyle w:val="TextBody"/>
        <w:bidi w:val="0"/>
        <w:spacing w:before="0" w:after="0"/>
        <w:ind w:left="0" w:right="0" w:firstLine="720"/>
        <w:jc w:val="left"/>
        <w:rPr/>
      </w:pPr>
      <w:r>
        <w:rPr/>
      </w:r>
    </w:p>
    <w:tbl>
      <w:tblPr>
        <w:tblW w:w="7294" w:type="dxa"/>
        <w:jc w:val="center"/>
        <w:tblInd w:w="0" w:type="dxa"/>
        <w:tblLayout w:type="fixed"/>
        <w:tblCellMar>
          <w:top w:w="28" w:type="dxa"/>
          <w:left w:w="28" w:type="dxa"/>
          <w:bottom w:w="28" w:type="dxa"/>
          <w:right w:w="28" w:type="dxa"/>
        </w:tblCellMar>
      </w:tblPr>
      <w:tblGrid>
        <w:gridCol w:w="1104"/>
        <w:gridCol w:w="967"/>
        <w:gridCol w:w="974"/>
        <w:gridCol w:w="109"/>
        <w:gridCol w:w="109"/>
        <w:gridCol w:w="109"/>
        <w:gridCol w:w="196"/>
        <w:gridCol w:w="871"/>
        <w:gridCol w:w="109"/>
        <w:gridCol w:w="109"/>
        <w:gridCol w:w="109"/>
        <w:gridCol w:w="109"/>
        <w:gridCol w:w="196"/>
        <w:gridCol w:w="871"/>
        <w:gridCol w:w="109"/>
        <w:gridCol w:w="109"/>
        <w:gridCol w:w="109"/>
        <w:gridCol w:w="109"/>
        <w:gridCol w:w="268"/>
        <w:gridCol w:w="268"/>
        <w:gridCol w:w="380"/>
      </w:tblGrid>
      <w:tr>
        <w:trPr/>
        <w:tc>
          <w:tcPr>
            <w:tcW w:w="110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for percentage)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0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Market Making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32.7%</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15.5%</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(22.4)%</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from Market Making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1,924,871 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1,477,765 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Execution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24.9%</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(100.0)%</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from Execution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360,592 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355,496 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from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32.4%</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dividends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15.1%</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Commissions, net and technology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2,285,280 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1,837,442 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24.4%</w:t>
            </w:r>
          </w:p>
        </w:tc>
      </w:tr>
    </w:tbl>
    <w:p>
      <w:pPr>
        <w:pStyle w:val="TextBody"/>
        <w:bidi w:val="0"/>
        <w:spacing w:before="0" w:after="20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Trading income, net. </w:t>
      </w:r>
      <w:r>
        <w:rPr>
          <w:rFonts w:ascii="Times New Roman;serif" w:hAnsi="Times New Roman;serif"/>
          <w:b w:val="false"/>
          <w:color w:val="000000"/>
          <w:sz w:val="20"/>
        </w:rPr>
        <w:t>Trading income, net was primarily earned by our Market Making segment. Trading income, net increased $403.0 million, or 32.4%, to $1,645.8 million for the six months ended June 30, 2026, compared to $1,242.8 million for the six months ended June 30, 2025. The increase was largely a result of higher trading volumes and increased opportunities across global markets during the six months ended June 30, 2026 compared to the same period in 2025. Rather than analyzing Trading income, net in isolation, we evaluate it in the broader context of our Adjusted Net Trading Income, together with Interest and dividends income, Commissions, net and technology services, Interest and dividends expense, and Brokerage, exchange, clearance fees and payments for order flow, net, each of which are described below.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Interest and dividends income. </w:t>
      </w:r>
      <w:r>
        <w:rPr>
          <w:rFonts w:ascii="Times New Roman;serif" w:hAnsi="Times New Roman;serif"/>
          <w:b w:val="false"/>
          <w:color w:val="000000"/>
          <w:sz w:val="20"/>
        </w:rPr>
        <w:t>Interest and dividends income was primarily earned by our Market Making segment. Interest and dividends income increased $35.9 million, or 15.1%, to $273.4 million for the six months ended June 30, 2026, compared to $237.5 million for the six months ended June 30, 2025. The increase for the six months ended June 30, 2026 was primarily driven by higher interest income from increased securities borrowing transactions and higher dividends earned on market making trading assets held over periods when dividends are paid, compared to the same period in the prior year. As indicated above, rather than analyzing interest and dividends income in isolation, we evaluate it in the broader context of our 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Commissions, net and technology services.</w:t>
      </w:r>
      <w:r>
        <w:rPr>
          <w:color w:val="000000"/>
        </w:rPr>
        <w:t xml:space="preserve"> </w:t>
      </w:r>
      <w:r>
        <w:rPr>
          <w:rFonts w:ascii="Times New Roman;serif" w:hAnsi="Times New Roman;serif"/>
          <w:b w:val="false"/>
          <w:color w:val="000000"/>
          <w:sz w:val="20"/>
        </w:rPr>
        <w:t>Commissions, net and technology services revenues were primarily earned by our Execution Services segment. Commissions, net and technology services revenues increased $61.0 million, or 20.0%, to $366.2 million for the six months ended June 30, 2026, compared to $305.2 million for the six months ended June 30, 2025. This increase was driven by relatively higher client volumes and increasing institutional engagement compared to the same period in 2025. As indicated above, rather than analyzing commission income in isolation, we evaluate it in the broader context of our 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Other, net.</w:t>
      </w:r>
      <w:r>
        <w:rPr>
          <w:color w:val="000000"/>
        </w:rPr>
        <w:t xml:space="preserve"> </w:t>
      </w:r>
      <w:r>
        <w:rPr>
          <w:rFonts w:ascii="Times New Roman;serif" w:hAnsi="Times New Roman;serif"/>
          <w:b w:val="false"/>
          <w:color w:val="000000"/>
          <w:sz w:val="20"/>
        </w:rPr>
        <w:t>Other, net decreased $52.1 million, or 100.2%, to $(0.1) million for the six months ended June 30, 2026, compared to $52.0 million for the six months ended June 30, 2025. The decrease was primarily attributable to gains on the sale and deconsolidation of RFQ-hub recognized during the six months ended June 30, 2025, partially offset by lower remeasurement losses on certain digital assets held during the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Net Trading Income, which is a non-GAAP measure, increased $439.5 million, or 41.3%, to $1,504.4 million for the six months ended June 30, 2026, compared to $1,064.9 million for the six months ended June 30, 2025. This increase was primarily attributable to higher Trading income, net and Commissions, net and technology services, as noted above, partially offset by higher Brokerage, exchange, clearance fees and payments for order flow, net and Interest and dividends expense as described below. Average daily Adjusted Net Trading Income increased $3.5 million, or 40.2%, to $12.2 million for the six months ended June 30, 2026, compared to $8.7 million for the six months ended June 30, 2025. Taking shortened trading days into consideration, for the six months ended June 30, 2026, the number of trading days was 123 days, compared to 122 days for the six months ended June 30, 2025.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expenses increased $266.5 million, or 21.0%, to $1,533.2 million for the six months ended June 30, 2026, compared to $1,266.7 million for the six months ended June 30, 2025. The increase was primarily driven by increases in Interest and dividends expense and Employee compensation and payroll taxes, partially offset by a decrease in Brokerage, exchange, clearance fees and payments for order flow, net.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Brokerage, exchange, clearance fees and payments for order flow, net. </w:t>
      </w:r>
      <w:r>
        <w:rPr>
          <w:rFonts w:ascii="Times New Roman;serif" w:hAnsi="Times New Roman;serif"/>
          <w:b w:val="false"/>
          <w:color w:val="000000"/>
          <w:sz w:val="20"/>
        </w:rPr>
        <w:t>Brokerage, exchange, clearance fees and payments for order flow, net, decreased $26.2 million, or 6.2%, to $397.8 million for the six months ended June 30, 2026, compared to $424.0 million for the six months ended June 30, 2025. These costs vary period to period based upon the level and composition of our trading activities. The decrease was primarily attributable to lower Section 31 fees during the six months ended June 30, 2026 compared to the same period in 2025. We evaluate this category, representing direct costs associated with transacting our business, in the broader context of our Adjusted Net Trading Income.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Communication and data processing. </w:t>
      </w:r>
      <w:r>
        <w:rPr>
          <w:rFonts w:ascii="Times New Roman;serif" w:hAnsi="Times New Roman;serif"/>
          <w:b w:val="false"/>
          <w:color w:val="000000"/>
          <w:sz w:val="20"/>
        </w:rPr>
        <w:t>Communication and data processing expense increased $15.4 million, or 12.7%, to $136.6 million for the six months ended June 30, 2026, compared to $121.2 million for the six months ended June 30, 2025. This increase was primarily attributable to increased connectivity spending on market data, hardware and software, and communication networks maintained by our joint venture.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Employee compensation and payroll taxes. </w:t>
      </w:r>
      <w:r>
        <w:rPr>
          <w:rFonts w:ascii="Times New Roman;serif" w:hAnsi="Times New Roman;serif"/>
          <w:b w:val="false"/>
          <w:color w:val="000000"/>
          <w:sz w:val="20"/>
        </w:rPr>
        <w:t>Employee compensation and payroll taxes increased $169.5 million, or 66.3%, to $425.0 million for the six months ended June 30, 2026, compared to $255.5 million for the six months ended June 30, 2025. The increase in compensation levels was primarily attributable to an increase in accrued incentive compensation, which is recorded at management’s discretion and is generally accrued in connection with the overall level of profitability on a year-to-date basis, as well as the anticipated mix of cash and stock-based awards.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capitalized and therefore excluded employee compensation and benefits related to software development of $32.1 million and $21.3 million for the six months ended June 30, 2026 and 2025, respectively.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Interest and dividends expense. </w:t>
      </w:r>
      <w:r>
        <w:rPr>
          <w:rFonts w:ascii="Times New Roman;serif" w:hAnsi="Times New Roman;serif"/>
          <w:b w:val="false"/>
          <w:color w:val="000000"/>
          <w:sz w:val="20"/>
        </w:rPr>
        <w:t>Interest and dividends expense increased $86.7 million, or 29.2%, to $383.2 million for the six months ended June 30, 2026, compared to $296.5 million for the six months ended June 30, 2025. This increase was primarily attributable to higher interest expense incurred on cash collateral received driven by an increase in securities lending transactions, as well as higher dividends expense with respect to securities sold, not yet purchased for the period compared to the prior year. As indicated above, rather than analyzing interest and dividends expense in isolation, we generally evaluate it in the broader context of our Adjusted Net Trading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Operations and administrative. </w:t>
      </w:r>
      <w:r>
        <w:rPr>
          <w:rFonts w:ascii="Times New Roman;serif" w:hAnsi="Times New Roman;serif"/>
          <w:b w:val="false"/>
          <w:color w:val="000000"/>
          <w:sz w:val="20"/>
        </w:rPr>
        <w:t>Operations and administrative expense increased $10.5 million, or 21.9%, to $58.5 million for the six months ended June 30, 2026, compared to $48.0 million for the six months ended June 30, 2025. The increase was primarily driven by an increase in occupancy expense and professional expense compared to the same period in the prior year.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Depreciation and amortization. </w:t>
      </w:r>
      <w:r>
        <w:rPr>
          <w:rFonts w:ascii="Times New Roman;serif" w:hAnsi="Times New Roman;serif"/>
          <w:b w:val="false"/>
          <w:color w:val="000000"/>
          <w:sz w:val="20"/>
        </w:rPr>
        <w:t>Depreciation and amortization increased $3.2 million, or 10.1%, to $34.8 million for the six months ended June 30, 2026, compared to $31.6 million for the six months ended June 30, 2025. This increase was driven primarily by an increase in software amortization expense compared to the same period in the prior year.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Amortization of purchased intangibles and acquired capitalized software. </w:t>
      </w:r>
      <w:r>
        <w:rPr>
          <w:rFonts w:ascii="Times New Roman;serif" w:hAnsi="Times New Roman;serif"/>
          <w:b w:val="false"/>
          <w:color w:val="000000"/>
          <w:sz w:val="20"/>
        </w:rPr>
        <w:t>Amortization of purchased intangibles and acquired capitalized software remained consistent at $23.6 million for the six months ended June 30, 2026 and 2025. Included in Amortization of purchased intangibles and acquired capitalized software was the amortization of finite lived intangible assets acquired in connection with the acquisition of KCG and ITG.</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Termination of office leases. </w:t>
      </w:r>
      <w:r>
        <w:rPr>
          <w:rFonts w:ascii="Times New Roman;serif" w:hAnsi="Times New Roman;serif"/>
          <w:b w:val="false"/>
          <w:color w:val="000000"/>
          <w:sz w:val="20"/>
        </w:rPr>
        <w:t>Termination of office leases increased $0.8 million to $0.8 million for the six months ended June 30, 2026, compared to an insignificant amount for the six months ended June 30, 2025. The increase was related to the impairment of lease right-of-use assets, leasehold improvements, and fixed assets for certain abandoned or vacated office space.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Debt issue cost related to debt refinancing, prepayment and commitment fees.</w:t>
      </w:r>
      <w:r>
        <w:rPr>
          <w:color w:val="000000"/>
        </w:rPr>
        <w:t xml:space="preserve"> </w:t>
      </w:r>
      <w:r>
        <w:rPr>
          <w:rFonts w:ascii="Times New Roman;serif" w:hAnsi="Times New Roman;serif"/>
          <w:b w:val="false"/>
          <w:color w:val="000000"/>
          <w:sz w:val="20"/>
        </w:rPr>
        <w:t>Expense from debt issue cost related to debt refinancing, prepayment and commitment fees decreased $0.3 million, or 8.8%, to $3.1 million for the six months ended June 30, 2026, compared to $3.4 million for the six months ended June 30, 2025. The decrease was primarily driven by lower commitment fees based on usage, partially offset by acceleration of debt issue cost related to the annual prepayment of the Senior Secured First Lien Term B-2 Loans described in Note 9 “Borrowings” of Part I Item 1 “Financial Statements” of this Quarterly Report on Form 10-Q.</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Transaction advisory fees and expenses.</w:t>
      </w:r>
      <w:r>
        <w:rPr>
          <w:color w:val="000000"/>
        </w:rPr>
        <w:t xml:space="preserve"> </w:t>
      </w:r>
      <w:r>
        <w:rPr>
          <w:rFonts w:ascii="Times New Roman;serif" w:hAnsi="Times New Roman;serif"/>
          <w:b w:val="false"/>
          <w:color w:val="000000"/>
          <w:sz w:val="20"/>
        </w:rPr>
        <w:t>Transaction advisory fees and expenses were insignificant for the six months ended June 30, 2026 and June 30, 2025. These expenses, when incurred, are primarily in relation to our strategic investment portfolio.</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 xml:space="preserve">Financing interest expense on long term borrowings. </w:t>
      </w:r>
      <w:r>
        <w:rPr>
          <w:rFonts w:ascii="Times New Roman;serif" w:hAnsi="Times New Roman;serif"/>
          <w:b w:val="false"/>
          <w:color w:val="000000"/>
          <w:sz w:val="20"/>
        </w:rPr>
        <w:t>Financing interest expense on long-term borrowings increased $7.3 million, or 11.7%, to $69.7 million for the six months ended June 30, 2026, compared to $62.4 million for the six months ended June 30, 2025. This increase was primarily attributable to a higher outstanding principal under the Senior Secured First Lien Term B-2 Loans, as well as the completion in February 2025 of the amortization of the amounts in AOCI related to the interest rate swaps that were terminated in December 2023 described in Note 9 “Borrowings”.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 was $120.6 million and 16.0% for the six months ended June 30, 2026, compared to a provision for income taxes and effective tax rate of $88.1 million and 15.4% for the six months ended June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had $1,069.3 million in Cash and cash equivalents. This balance is maintained primarily to support operating activities, for capital expenditures and for short-term access to liquidity, and for other general corporate purposes. As of June 30, 2026, we had borrowings under our prime brokerage credit facilities of approximately $261.3 million, borrowings under our broker dealer facilities of $325.0 million, and long-term debt outstanding in an aggregate principal amount of approximately $2,051.1 million.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brokers. For purposes of providing additional liquidity, we maintain a committed credit facility and an uncommitted credit facility for our wholly-owned U.S. broker-dealer subsidiary, as discussed in Note 9 “Borrowings” of Part I Item 1 “Financial Statements” of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Short-term Liquidity and Capital Resources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our current level of operations, we believe our cash flows from operations, available cash and cash equivalents, and available borrowings under our broker-dealer credit facilities will be adequate to meet our future liquidity needs for the next twelve months. We anticipate that our primary upcoming cash and liquidity needs will be increased due to margin requirements from increased trading activities in markets where we currently provide liquidity and in new markets into which we plan to expand. We manage and monitor our margin and liquidity needs on a real-time basis and can adjust our requirements both intra-day and inter-day, as required.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Long-term Liquidity and Capital Resources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demand for funds beyond the next twelve months will be payments on our long-term debt, operating lease payments, common stock repurchases under our share repurchase program, and dividend payments. Based on our current level of operations, we believe our cash flow from operations, and ability to raise funding, will be sufficient to fund capital demands.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Tax Receivable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Generally, we are required under the tax receivable agreements entered into in connection with our IPO to make payments to certain direct or indirect equity holders of Virtu Financial or their permitted assignees (collectively, “TRA Parties”) that are generally equal to 85% of the applicable cash tax savings, if any, that we realize as a result of favorable tax attributes that are available to us as a result of the IPO and certain reorganization transactions undertaken in connection therewith, for exchanges of membership interests for Class A Common Stock or Class B Common Stock and payments made under the tax receivable agreements. We will retain the remaining 15% of any such cash tax savings. We expect that future payments to TRA Parties described in Note 5 “Tax Receivable Agreements” of Part I Item 1 “Financial Statements” of this Quarterly Report on Form 10-Q are expected to range from approximately $0.7 million to $23.2 million per year over the next 15 years. Such payments will occur only after we have filed our U.S. federal and state income tax returns and realized the cash tax savings from the favorable tax attributes. We made payments totaling $155.8 million from February 2017 through June 2026. Future payments under the tax receivable agreements in respect of subsequent exchanges would be in addition to these amounts. We currently expect to fund these payments from realized cash tax savings from the favorable tax attributes.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tax receivable agreements, as a result of certain types of transactions and other factors, including a transaction resulting in a change of control, we may also be required to make payments to TRA Parties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Credit Agreement restricts the ability of our subsidiaries to make distributions to us) such payments will be deferred and will accrue interest until paid.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Regulatory Capital Requirements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U.S. subsidiary, Virtu Americas LLC (“VAL”) is subject to separate regulation and capital requirements in the U.S. and other jurisdictions. VAL is a registered U.S. broker-dealer, and its primary regulators include the SEC and the Financial Industry Regulatory Authority (“FINRA”).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Company’s liquidation. Additionally, certain applicable rules impose requirements that may have the effect of prohibiting a broker-dealer from distributing or withdrawing capital and requiring prior notice to and/or approval from the SEC and FINRA for certain capital withdrawals. VAL is also subject to rules set forth by NYSE and is required to maintain a certain level of capital in connection with the operation of its designated market maker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Canadian subsidiaries, Virtu Canada Corp (f/k/a Virtu ITG Canada Corp.) and Virtu Financial Canada ULC, are subject to regulatory capital requirements and periodic requirements to report their regulatory capital and submit other regulatory reports set forth by the Canadian Investment Regulatory Organization. Effective January 22, 2025, Virtu Financial Canada ULC has resigned from membership with the Canadian Investment Regulatory Organization and is no longer subject to its regulatory requirements. Our Irish subsidiaries, Virtu Financial Ireland Limited (“VFIL”) and Virtu Europe Trading Limited (“VETL”) are regulated by the Central Bank of Ireland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VFIL and VETL are required to obtain consent prior to receiving capital contributions or making capital distributions from their regulatory capital. Failure to comply with their regulatory capital requirements could result in regulatory sanction or revocation of their regulatory license. Virtu ITG UK Limited is regulated by the Financial Conduct Authority in the United Kingdom and is subject to similar prudential capital requirements. Virtu ITG Australia Limited, and Virtu ITG Hong Kong Limited are also subject to local regulatory capital requirements and are regulated by the Australian Securities and Investments Commission, the Securities and Futures Commission of Hong Kong, respectively. Virtu ITG Singapore Pte. Limited and Virtu Financial Singapore Pte. Ltd. have similar regulatory requirements and are regulated by the Monetary Authority of Singapore.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21 “Regulatory Requirement” of Part I Item 1 “Financial Statements” of this Quarterly Report on Form 10-Q for a discussion of regulatory capital requirements of our regulated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Broker Dealer Credit Facilities, Short-Term Bank Loans, and Prime Brokerage Credit Facilities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various broker-dealer facilities and short-term credit facilities as part of our daily trading operations. See Note 9 “Borrowings” of Part I Item 1 “Financial Statements” of this Quarterly Report on Form 10-Q for details on our various credit facilities. As of June 30, 2026, there was an outstanding principal balance on our broker-dealer facilities of $325.0 million, and the outstanding aggregate short-term credit facilities with various prime brokers and other financial institutions from which the Company receives execution or clearing services was approximately $261.3 million, which was netted within Receivables from broker-dealers and clearing organizations on the Condensed Consolidated Statements of Financial Condition of Part I Item 1 “Financial Statements” of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13, 2022 (the “Credit Agreement Closing Date”), Virtu Financial, VFH Parent LLC, a Delaware limited liability company and a subsidiary of Virtu Financial (“VFH”),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“Original Credit Agreement”). The Original Credit Agreement provides (i) a senior secured first lien term loan in an aggregate principal amount of $1,800.0 million, drawn in its entirety on the Credit Agreement Closing Date, the proceeds of which were used by VFH to repay all amounts outstanding under the previous credit agreement entered into in relation to the ITG Acquisition,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loan borrowings and revolver borrowings under the Original Credit Agreement bear interest at a per annum rate equal to, at the Company’s election, either (i) the greatest of (a) the prime rate in effect, (b) the greater of (1) the federal funds effective rate and (2) the overnight bank funding rate, in each case plus 0.50%, (c) an adjusted term Secured Overnight Financing Rate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loans amortize in annual installments equal to 1.0% of the original aggregate principal amount of the term loans and the Company repaid $18.0 million on January 13, 2023. On December 12, 2023, the Company made a voluntary prepayment of $55.0 million, and the payment is applied toward subsequent annual amortization installments.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2022, in order to align the Company’s existing swap agreements with the Original Credit Agreement, the Company amended its existing five-year $525.0 million floating-to-fixed interest rate swap agreement and five-year $1,000.0 million floating-to-fixed interest rate swap agreement to align the floating rate term of such swap agreements to SOFR. These two interest rate swaps met the criteria to be considered and were designated as qualifying cash flow hedges under ASC 815, and they effectively fixed interest payment obligations on $525.0 million and $1,000.0 million of principal under the first lien term loan facility in relation to the Original Credit Agreement at rates of 4.5% and 4.6% through September 2024 and January 2025,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2023, the Company terminated the two interest rate swap arrangements and received $55.8 million in proceeds from the counterparty. The Company therefore dedesignated those cash flow hedges under ASC 815, and the amounts in AOCI related to the terminated swaps are amortized through interest expense. The Company simultaneously entered into a two-year $1,525.0 million floating-to-fixed interest rate swap agreement with the same counterparty (the “December 2023 Swap”). The December 2023 Swap met the criteria to be considered and was designated as a qualifying cash flow hedge under ASC 815 as of December 2023, and it effectively fixed interest payment obligations on $1,525.0 million of principal under the first lien term loan facility at a rate of 7.5% through November 2025, based on the interest rates set forth in the Original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21, 2024 (the “Amendment No. 1 Effective Date”), the Company entered into Amendment No. 1 to the Original Credit Agreement (as amended, the “First Amended Credit Agreement”) and completed the issuance of the Notes (as defined below). Pursuant to the First Amended Credit Agreement, $1,245.0 million in aggregate principal amount of Senior Secured First Lien Term B-1 Loans due 2031 (the “Term B-1 Loans”) were issued, the proceeds of which were used, along with the proceeds of the Notes, to repay in full all term loans previously outstanding under the Original Credit Agreement. Additionally, the First Amended Credit Agreement provides an increase in its senior secured first lien revolving credit facility from $250.0 million to $300.0 million and an extension of the maturity thereof to three years after the Amendment No. 1 Effective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B-1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1.00% and (d) 1.00%, plus, in each case, 1.75%, or (ii) the greater of (x) term SOFR for the interest period in effect and (y) 0%, plus, in each case, 2.75%. The Term B-1 Loans will mature on the seventh anniversary of the Amendment No. 1 Effective Date and amortize in annual installments equal to 1.0% of the original aggregate principal amount of the Term B-1 Loans. The Term B-1 Loans are also subject to contingent principal payments based on excess cash flow and certain other triggering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its entry into the First Amended Credit Agreement and the associated reduction in term loan balance, the Company partially terminated the December 2023 Swap, reducing the notional amount thereof from $1,525.0 million to $1,075.0 million and received $2.0 million in proceeds from the counterparty. The cash flow hedge was proportionally dedesignated under ASC 815 as of June 21, 2024. As a result of the partial dedesignation, we recognized a gain of $5.7 million in Other Income. The remaining interest rate swap effectively fixed interest payment obligations on the $1,075.0 million of principal of the Term B-1 Loans at a rate of 7.17% through November 2025, based on the interest rates set forth in the First Amended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19, 2025 (the “Amendment No. 2 Effective Date”), the Company entered into Amendment No. 2 to the First Amended Credit Agreement (“Amendment No. 2”). Amendment No. 2 amended the First Amended Credit Agreement (as amended, the “Second Amended Credit Agreement”) to, among other things, effect a repricing of the $1,245.0 million in aggregate principal amount of Term B-1 Loans by establishing a new refinancing tranche of $1,245.0 million in aggregate principal amount of Senior Secured First Lien Term B-2 Loans, the proceeds of which were used to repay in full the Term B-1 Loans on the Amendment No. 2 Effective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23, 2025 (the “Amendment No. 3 Effective Date”), the Company entered into Amendment No. 3 to the Second Amended Credit Agreement (“Amendment No. 3”). Amendment No. 3 amended the Second Amended Credit Agreement (as amended, the “Credit Agreement”) to effect the issuance of incremental Senior Secured First Lien Term B-2 Loans in the amount of $300.0 million, the proceeds of which were used for general corporate purposes, for a total Term B-2 Loan balance of $1,545.0 million (collectively, the “Term B-2 Loans”).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Term B-2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 and (d) 1.0%, plus, in each case, 1.50%, or (ii) the greater of (x) term SOFR for the interest period in effect and (y) 0%, plus, in each case, 2.50%. The Term B-2 Loans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mature on June 21, 2031 and amortize in annual installments equal to 1.0% of the original aggregate principal amount of the Term B-2 Loans due on each anniversary of the Amendment No. 2 Effective Date. On February 19, 2026, the Company repaid $15.5 million. The Term B-2 Loans are also subject to contingent principal payments based on excess cash flow and certain other triggering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interest rate swap effectively fixed interest payment obligations on $1,075.0 million of principal of the Term B-2 Loans at a rate of 6.92% through November 2025, based on the interest rates set forth in the Credit Agreement. The designation of the interest rate swap as a cash flow hedge was discontinued upon the termination of the swap in November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revolving facility under the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$1,529.6 million was outstanding under the current term loans. We were in compliance with all applicable covenants under the Credit Agreement as of June 30, 2026.</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Senior Secured First Lien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21, 2024, VFH and Valor Co-Issuer, Inc., a subsidiary of Virtu Financial, (the “Co-Issuer”) completed the offering of $500.0 million aggregate principal amount of 7.50% senior secured first lien notes due 2031 (the “Notes”). The Notes were issued under an Indenture, dated as of June 21, 2024 (the “Indenture”), among the VFH, the Co-Issuer, Virtu Financial and the subsidiary guarantors party thereto, and U.S. Bank Trust Company, National Association, as the trustee and collateral agent. The Notes mature on June 15, 2031. Interest on the Notes accrues at 7.50% per annum, payable every six months through maturity on each June 15 and December 15, beginning on December 15, 2024. We refer to VFH and the Co-Issuer together as, the “Issuers.”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Notes and the related guarantees are secured by first-priority perfected liens on substantially all of the Issuers’ and guarantors’ existing and future assets, subject to certain exceptions, including all material personal property, a pledge of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 stock of the Issuers, the guarantors (other than Virtu Financial) and the direct subsidiaries of the Issuers and the guarantors and 100% of the non-voting capital stock and up to 65.0% of the voting capital stock of any now-owned or later acquired foreign subsidiaries that are directly owned by the Issuers or any of the guarantors, which assets also secure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obligations under the Credit Agreement on a first-priority basis.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imposes certain limitations on our ability to (i) incur or guarantee additional indebtedness or issue preferred stock; (ii) pay dividends, make certain investments and make repayments on indebtedness that is subordinated in right of payment to the Notes and make other “restricted payments”; (iii) create liens on their assets to secure debt; (iv) enter into transactions with affiliates; (v) merge, consolidate or amalgamate with another company; (vi) transfer and sell assets; and (vii) permit restrictions on the payment of dividends by Virtu Financial’s subsidiaries. The Indenture also contains customary events of default, including, among others, payment defaults related to the failure to pay principal or interest on Notes, covenant defaults, final maturity default or cross-acceleration with respect to material indebtedness and certain bankruptcy events.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June 15, 2027, we may redeem some or all of the Notes at a redemption price equal to 100% of the principal amount plus accrued and unpaid interest, if any, to (but not including) the date of redemption, plus an applicable “make whole” premium.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June 15, 2027, we may also redeem up to 40% of the aggregate principal amount of the Notes with the net cash proceeds from certain equity offerings at a redemption price equal to 107.500% of the principal amount thereof, plus accrued and unpaid interest, if any, to (but not including) the date of redemption.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Prior to June 15, 2027, we may also, on one or more occasions, redeem during each successive twelve-month period following June 21, 2024 up to 10% of the aggregate original principal amount of notes, at a redemption price equal to 103% of the principal amount of notes to be redeemed, plus accrued and unpaid interest to, but not including, the redemption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or after June 15, 2027, we may redeem some or all of the Notes, at the following redemption prices (expressed as percentages of principal amount), plus accrued and unpaid interest to (but not including) the date of redemption, if redeemed during the 12-month period beginning on June 15 of the years indicated below:</w:t>
      </w:r>
    </w:p>
    <w:p>
      <w:pPr>
        <w:pStyle w:val="TextBody"/>
        <w:bidi w:val="0"/>
        <w:spacing w:before="0" w:after="0"/>
        <w:jc w:val="left"/>
        <w:rPr/>
      </w:pPr>
      <w:r>
        <w:rPr/>
      </w:r>
    </w:p>
    <w:tbl>
      <w:tblPr>
        <w:tblW w:w="2772" w:type="dxa"/>
        <w:jc w:val="center"/>
        <w:tblInd w:w="0" w:type="dxa"/>
        <w:tblLayout w:type="fixed"/>
        <w:tblCellMar>
          <w:top w:w="28" w:type="dxa"/>
          <w:left w:w="28" w:type="dxa"/>
          <w:bottom w:w="28" w:type="dxa"/>
          <w:right w:w="28" w:type="dxa"/>
        </w:tblCellMar>
      </w:tblPr>
      <w:tblGrid>
        <w:gridCol w:w="534"/>
        <w:gridCol w:w="471"/>
        <w:gridCol w:w="479"/>
        <w:gridCol w:w="109"/>
        <w:gridCol w:w="109"/>
        <w:gridCol w:w="109"/>
        <w:gridCol w:w="281"/>
        <w:gridCol w:w="281"/>
        <w:gridCol w:w="399"/>
      </w:tblGrid>
      <w:tr>
        <w:trPr/>
        <w:tc>
          <w:tcPr>
            <w:tcW w:w="53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14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103.750%</w:t>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101.875%</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2029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100.000%</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the occurrence of specified change of control events as defined in the Indenture, we must offer to repurchase the outstanding Notes at 101% of the aggregate principal amount, plus accrued and unpaid interest, if any, to (but excluding) the purchase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main sources of liquidity are cash flow from the operations of our subsidiaries, our broker-dealer credit facilities (as described above), margin financing provided by our prime brokers and cash on hand.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our primary sources and uses of cash for the six months ended June 30, 2026 and 2025.</w:t>
      </w:r>
    </w:p>
    <w:p>
      <w:pPr>
        <w:pStyle w:val="TextBody"/>
        <w:bidi w:val="0"/>
        <w:spacing w:before="0" w:after="0"/>
        <w:jc w:val="left"/>
        <w:rPr/>
      </w:pPr>
      <w:r>
        <w:rPr/>
      </w:r>
    </w:p>
    <w:tbl>
      <w:tblPr>
        <w:tblW w:w="7454" w:type="dxa"/>
        <w:jc w:val="center"/>
        <w:tblInd w:w="0" w:type="dxa"/>
        <w:tblLayout w:type="fixed"/>
        <w:tblCellMar>
          <w:top w:w="28" w:type="dxa"/>
          <w:left w:w="28" w:type="dxa"/>
          <w:bottom w:w="28" w:type="dxa"/>
          <w:right w:w="28" w:type="dxa"/>
        </w:tblCellMar>
      </w:tblPr>
      <w:tblGrid>
        <w:gridCol w:w="1584"/>
        <w:gridCol w:w="1395"/>
        <w:gridCol w:w="1401"/>
        <w:gridCol w:w="109"/>
        <w:gridCol w:w="109"/>
        <w:gridCol w:w="109"/>
        <w:gridCol w:w="196"/>
        <w:gridCol w:w="736"/>
        <w:gridCol w:w="109"/>
        <w:gridCol w:w="109"/>
        <w:gridCol w:w="109"/>
        <w:gridCol w:w="109"/>
        <w:gridCol w:w="196"/>
        <w:gridCol w:w="811"/>
        <w:gridCol w:w="109"/>
        <w:gridCol w:w="109"/>
        <w:gridCol w:w="154"/>
      </w:tblGrid>
      <w:tr>
        <w:trPr/>
        <w:tc>
          <w:tcPr>
            <w:tcW w:w="158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(124,184)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$117.0 million for the six months ended June 30, 2026, compared to net cash provided by operating activities of $77.7 million for the six months ended June 30, 2025. The change in net cash provided by operating activities was primarily attributable to higher Net income, partially offset by movements in noncash adjustments for the six months ended June 30, 2026 compared to the same period in the prior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which includes cash used with respect to capitalized software and cash used in the acquisition of property and equipment, was $79.7 million for the six months ended June 30, 2026, compared with net cash used in investing activities of $11.4 million for the six months ended June 30, 2025. The increase in net cash used in investing activities was primarily attributable to increases in acquisition of property and equipment and other investing activities for the six months ended June 30,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$25.8 million for the six months ended June 30, 2026, compared to Net cash used in financing activities of $207.8 million for the six months ended June 30, 2025. The cash used in financing activities for the six months ended June 30, 2026 was primarily attributable to $274.5 million in dividends to stockholders and distributions made to noncontrolling interests and $57.8 million in purchases of treasury stock, partially offset by $343.0 million of net proceeds from short-term borrowings. The cash used in financing activities of $207.8 million during the same period of 2025 primarily reflects $1,245.0 million of repayment of our previous long-term borrowings, $254.4 million in dividends to stockholders and distributions to noncontrolling interests, and $157.6 million purchase of treasury stock, partially offset by $1,245.0 million of net proceeds from long-term borrowings and $216.8 million of net proceeds from short-term borrowings.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6, 2020, the Company’s Board of Directors authorized a share repurchase program of up to $100.0 million in Class A common stock and Virtu Financial Units by December 31, 2021. Subsequently, the Company’s Board of Directors authorized expansions of the share repurchase program on February 11, 2021 to $170.0 million, on May 4, 2021 to $470.0 million (and extended the duration through May 4, 2022), on November 3, 2021 to $1,220.0 million (and extended the duration through November 3, 2023, and on November 2, 2023, further extended the program through December 31, 2024), and on April 24, 2024 to $1,720 million (and extended the duration through April 24,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share repurchase program authorized the Company to repurchase shares from time to time in open market transactions, privately negotiated transactions or by other means. Repurchases were also permitted to be made under Rule 10b5-1 plans. The timing and amount of repurchase transactions were determined by the Company’s management based on its evaluation of market conditions, share price, cash sources, legal requirements and other factors. From the inception of the program through April 24, 2026, the Company repurchased approximately 53.8 million shares of Class A Common Stock and Virtu Financial Units for approximately $1,417.2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our significant accounting policies are described in more detail in the notes to our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 nature of our operations, substantially all of our financial instrument assets, comprised of financial instruments owned, securities purchased under agreements to resell, receivables from brokers, dealers and clearing organizations, and digital assets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1 — Unadjusted quoted prices in active markets that are accessible at the measurement date for identical, unrestricted assets or liabilities;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2 — Quoted prices in markets that are not active and financial instruments for which all significant inputs are observable, either directly or indirectly; or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Level 3 — Prices or valuations that require inputs that are both significant to the fair value measurement and unobservable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values for substantially all of our financial instruments owned, financial instruments sold but not yet purchased, and digital assets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Due to the relative immateriality of our financial instruments classified as level 3, we do not believe that a significant change to the inputs underlying the fair value of our level 3 financial instruments would have a material impact on our Condensed Consolidated Financial Statements. See Note 10 “Financial Instruments and Fair Value Measurements” of Part I Item 1 “Financial Statements” of this Quarterly Report on Form 10-Q for further information about fair value measurements.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Trading Income,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Trading income, net, consists of trading gains and losses that are recorded on a trade date basis and reported on a net basis. Trading income, net, is primarily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and Dividends Income/Interest and Dividends Expense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and interest expense are accrued in accordance with contractual rates. Interest income consists of income earned on collateralized financing arrangements and on cash held by brokers and banks. Interest expense includes interest expense from collateralized transactions, margin and related short-term lending facilities. Dividends are recorded on the ex-dividend date, and interest is recognized on an accrual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Commissions, Net and Technology Services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Commissions, net, which primarily comprise commissions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Condensed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Workflow technology revenues consist of order and trade execution management and order routing services we provide through our front-end workflow solutions and network capabilities.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provide trade order routing from our execution management system (“EMS”) to our execution services offerings, with each trade order routed through the EMS representing a separate performance obligation, which is the trade date for that trade order routed,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is variable in nature, based on the number of live connections, and is recognized over time on a monthly basis using a time-based measure of progress.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(i)the commission value for each customer for the products and services it receives, which is priced using the value for similar stand-alone subscription arrangements; and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(ii)a calculated ratio of the commission value for the products and services relative to the total amount of commissions generated from the customer.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Share-based awards issued for compensation in connection with or subsequent to the Reorganization Transactions and the IPO pursuant to our Second Amended and Restated 2015 Management Incentive Plan were in the form of stock options, Class A Common Stock, restricted stock awards (“RSAs”) and restricted stock units (“RSUs”). The fair value of the stock option grants is determined through the application of the Black-Scholes-Merton model. The fair value of the Class A Common Stock and RSUs is determined based on the volume weighted average price for the three days preceding the grant. With respect to the RSUs, we account for forfeitures as they occur. The fair value of RSAs is determined based on the closing price as of the date of grant. The fair value of share-based awards granted to employees is expensed based on the vesting conditions and is recognized on a straight-line basis over the vesting period, or, in the case of RSAs subject to performance conditions, from the date that achievement becomes probable through the remainder of the vesting period. The assessment of the performance condition becomes certain within the year of grant. At year end there is no future assessment that would affect grants with a performance condition. We record as treasury stock shares repurchased from employees for the purpose of settling tax liabilities incurred upon the issuance of common stock, the vesting of RSUs or the exercise of stock options.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of our wholly owned subsidiaries are subject to income taxes in foreign jurisdictions. The provision for income tax is composed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 We believe the judgments and estimates discussed above are reasonable. However, if actual results are not consistent with our estimates or assumptions, we may be exposed to losses or gains that could be material.</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Tax Receivable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required under the tax receivable agreements entered into in connection with our IPO to make payments to TRA Parties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An exchange of membership interests by the Virtu Members for Class A Common Stock or Class B Common Stock (an “Exchange”) during the year will give rise to favorable tax attributes that may generate cash tax savings specific to the Exchange, to be realized over a specific period of time (generally 15 years). At each Exchange, we estimate the cumulative tax receivable agreement obligations to be reported on the consolidated financial statements. The tax attributes are computed as the difference between our basis in the partnership interest (“outside basis”) as compared to our share of the adjusted tax basis of partnership property (“inside basis”), at the time of each Exchange. The computation of inside basis requires judgments in estimating the components included in the inside basis as of the date of the Exchange (such as, cash received on hypothetical sale of assets, allocation of gain/loss at the time of the Exchange taking into account complex partnership tax rules). In addition, we estimate the period of time that may generate cash tax savings of such tax attributes and the realizability of the tax attributes.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Goodwill and Intangible Assets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general economic conditions;</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limitations on accessing capital;</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fluctuations in foreign exchange rates or other developments in equity and credit markets;</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 xml:space="preserve">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 </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cost factors such as increases in raw materials, labor, or other costs that have a negative effect on earnings and cash flows;</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overall financial performance such as negative or declining cash flows or a decline in actual or planned revenue or earnings compared with actual and projected results of relevant prior periods;</w:t>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 xml:space="preserve">other relevant entity-specific events such as changes in management, key personnel, strategy, or customers, contemplation of bankruptcy, or litigation.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after assessing the totality of such events or circumstances, an entity determines that it is not more likely than not that the fair value of a reporting unit is less than its carrying amount, then no further goodwill impairment testing is necessary.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 Our estimate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goodwill impairment, if indicated based on results of the qualitative assessment, is highly dependent on our estimate of a reporting unit’s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assess goodwill for impairment on an annual basis as of July 1st and on an interim basis when certain events or circumstances exist. In the impairment assessment as of July 1, 2025, we performed a qualitative assessment as described above for each reporting unit. No impairment of goodwill was identified.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Valuation of intangible assets involves the use of significant estimates and assumptions with respect to the timing and amounts of revenue growth rates, customer attrition rates, future tax rates, royalty rates, contributory asset charges, discount rate and the resulting cash flows.</w:t>
      </w:r>
      <w:r>
        <w:rPr>
          <w:color w:val="263238"/>
        </w:rPr>
        <w:t xml:space="preserve"> </w:t>
      </w:r>
      <w:r>
        <w:rPr>
          <w:rFonts w:ascii="Times New Roman;serif" w:hAnsi="Times New Roman;serif"/>
          <w:b w:val="false"/>
          <w:color w:val="000000"/>
          <w:sz w:val="20"/>
        </w:rPr>
        <w:t>We amortize finite-lived intangible assets over their estimated useful lives. Our largest finite-lived intangible asset is customer relationships, which is being amortized over an estimated useful life of ten to twelve years. Had we used a shorter estimated useful life of seven years, the Company’s amortization expense would have been reduced by $11.8 million and increased by $3.6 million for the three months ended June 30, 2026 and 2025, respectively, and would have been reduced by $13.3 million and increased by $7.2 million for the six months ended June 30, 2026 and 2025, respectively. We test finite-lived intangible assets for impairment when impairment indicators are present, and if impaired, they are written down to fair value.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discussion of recently issued accounting developments and their impact or potential impact on our condensed consolidated financial statements, see Note 2 “Summary of Significant Accounting Policies” of Part I Item 1 “Financial Statements”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Market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various market risks in the ordinary course of business. The risks primarily relate to changes in the value of financial instruments due to factors such as market prices, interest rates, and currency rates.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senior trading personnel, designated risk personnel and senior management.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Condensed Consolidated Statements of Financial Condition. These financial instruments do not have maturity dates; the balances are short-term,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maintain inventories of exchange-listed and other equity securities, and to a lesser extent, fixed income securities, listed equity options, and digital assets. The fair value of these financial instruments at June 30, 2026 and December 31, 2025 was $14.9 billion and $10.6 billion, respectively, in long positions and $13.6 billion and $9.1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Risk, Derivative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utilize derivative financial instruments in connection with our proprietary trading activities. We carry our trading derivative instruments at fair value with gains and losses included in Trading income, net, in the accompanying Condensed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also use derivative instruments for risk management purposes, including cash flow hedges used to manage interest rate risk on long-term borrowings and net investment hedges used to manage foreign exchange risk. We had entered into floating-to-fixed interest rate swap agreements in order to manage interest rate risk associated with our long-term debt obligations. Additionally, we may seek to reduce the impact of fluctuations in foreign exchange rates on our net investment in certain non-U.S. operations through the use of foreign currency forward contracts. For interest rate swap agreements and foreign currency forward contracts designated as hedges, we assess our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Condensed Consolidated Statements of Financial Condition and Other comprehensive income on the Condensed Consolidated Statements of Comprehensive Income. The ineffective portion, if any, is recorded in Other, net on the Condensed Consolidated Statements of Comprehensive Income.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Futures Contracts</w:t>
      </w:r>
      <w:r>
        <w:rPr>
          <w:rFonts w:ascii="Times New Roman;serif" w:hAnsi="Times New Roman;serif"/>
          <w:b w:val="false"/>
          <w:color w:val="000000"/>
          <w:sz w:val="20"/>
        </w:rPr>
        <w:t>. As part of our proprietary market making trading strategies, we use futures contracts to gain exposure to changes in values of 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Due from Broker-Dealers and Clearing Organizations</w:t>
      </w:r>
      <w:r>
        <w:rPr>
          <w:rFonts w:ascii="Times New Roman;serif" w:hAnsi="Times New Roman;serif"/>
          <w:b w:val="false"/>
          <w:color w:val="000000"/>
          <w:sz w:val="20"/>
        </w:rPr>
        <w:t>. Management periodically evaluates our counterparty credit exposures to various brokers and clearing organizations with a view to limiting potential losses resulting from counterparty insolvency.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Approximately 22.7% and 16.9% of our total revenues for the six months ended June 30, 2026 and 2025, respectively, were denominated in non-U.S. dollar currencies. We estimate that a hypothetical 10% adverse change in the value of the U.S. dollar relative to our foreign denominated earnings would have resulted in decreases in total revenues of $51.9 million and $31.1 million for the six months ended June 30, 2026 and 2025, respectively.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and Condensed Consolidated Statements of Changes in Equity. Our primary currency translation exposures historically relate to net investments in subsidiaries having functional currencies denominated in the Euro, Pound Sterling, and Canadian dollar.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Instruments with Off Balance Sheet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enter into various transactions involving derivatives and other off-balance sheet financial instruments. These financial instruments include futures, forward contracts, swaps,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Condensed Consolidated Statements of Financial Condition. Market risk is substantially dependent upon the value of the underlying financial instruments and is affected by market forces, such as volatility and changes in interest and foreign exchange rates.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June 30, 2026. Based upon that evaluation, our Chief Executive Officer and Chief Financial Officer concluded that, as of June 30, 2026,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to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change in our internal control over financial reporting (as defined in Rule 13a-15(f) under the Exchange Act) occurred during the three months ended June 30, 2026 that has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set forth in the “Legal Proceedings” section in Note 16 “Commitments, Contingencies and Guarantees” to the Company’s Condensed Consolidated Financial Statements included in Part I Item 1 “Financial Statements”, which is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described in Part I Item 1A. “Risk Factors” in our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share repurchases for the three months ended June 30, 2026 were as follows: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641"/>
        <w:gridCol w:w="344"/>
        <w:gridCol w:w="347"/>
        <w:gridCol w:w="109"/>
        <w:gridCol w:w="109"/>
        <w:gridCol w:w="109"/>
        <w:gridCol w:w="505"/>
        <w:gridCol w:w="448"/>
        <w:gridCol w:w="449"/>
        <w:gridCol w:w="109"/>
        <w:gridCol w:w="109"/>
        <w:gridCol w:w="109"/>
        <w:gridCol w:w="272"/>
        <w:gridCol w:w="773"/>
        <w:gridCol w:w="151"/>
        <w:gridCol w:w="109"/>
        <w:gridCol w:w="109"/>
        <w:gridCol w:w="109"/>
        <w:gridCol w:w="735"/>
        <w:gridCol w:w="735"/>
        <w:gridCol w:w="738"/>
        <w:gridCol w:w="109"/>
        <w:gridCol w:w="109"/>
        <w:gridCol w:w="109"/>
        <w:gridCol w:w="384"/>
        <w:gridCol w:w="2064"/>
        <w:gridCol w:w="311"/>
      </w:tblGrid>
      <w:tr>
        <w:trPr/>
        <w:tc>
          <w:tcPr>
            <w:tcW w:w="6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Plans or Programs</w:t>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302,812,949 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11,671 </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302,812,949 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repurchases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18,912 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302,812,949 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Common Stock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31,840 </w:t>
            </w:r>
          </w:p>
        </w:tc>
        <w:tc>
          <w:tcPr>
            <w:tcW w:w="4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50.95 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r>
        <w:trPr/>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(1) Includes the repurchase of 31,840 shares from employees in order to satisfy statutory tax withholding requirements upon the net settlement of equity awards for the three months ended June 30, 2026.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6, 2020, the Company announced that the Board of Directors had authorized a share repurchase program of up to $100.0 million in Class A common stock and Virtu Financial Units by December 31, 2021. On February 11, 2021, the Company announced that the Board of Directors had authorized the expansion of the program by an additional $70 million in Class A Common Stock and Virtu Financial Units. On May 4, 2021, the Company announced that the Board of Directors had authorized the expansion of the Company's share repurchase program, increasing the total authorized amount by $300 million to $470 million in Class A Common Stock and Virtu Financial Units and extending the duration of the program through May 4, 2022. On November 3, 2021, the Company announced that the Board of Directors had authorized the expansion of the program by an additional $750 million to $1,220 million and extending the duration of the program through November 3, 2023, which was subsequently extended through December 31, 2024. On April 24, 2024, the Company announced that the Board of Directors had authorized the expansion of the program by an additional $500 million to $1,720 million and extended the duration through April 24, 2026. The share repurchase program authorized the Company to repurchase shares from time to time in open market transactions, privately negotiated transactions or by other means. Repurchases were also permitted to be made under Rule 10b5-1 plans. The timing and amount of repurchase transactions were determined by the Company’s management based on its evaluation of market conditions, share price, cash sources, legal requirements and other factors. From the inception of the program through April 24, 2026, the Company repurchased approximately 53.8 million shares of Class A Common Stock and Virtu Financial Units for approximately $1,417.2 million.</w:t>
      </w:r>
    </w:p>
    <w:p>
      <w:pPr>
        <w:pStyle w:val="TextBody"/>
        <w:bidi w:val="0"/>
        <w:spacing w:before="0" w:after="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no director or “officer” (as defined in Rule 16a-1(f) under the Exchange Act) of the Company adopted, modified or terminated a "Rule 10b5-1 trading arrangement" or a “non-Rule 10b5-1 trading arrangement,” as each term is defined in Item 408(a) of Regulation S-K under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462"/>
        <w:gridCol w:w="406"/>
        <w:gridCol w:w="408"/>
        <w:gridCol w:w="109"/>
        <w:gridCol w:w="109"/>
        <w:gridCol w:w="109"/>
        <w:gridCol w:w="2607"/>
        <w:gridCol w:w="2470"/>
        <w:gridCol w:w="3525"/>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3525"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op w:val="single" w:sz="8" w:space="0" w:color="000000"/>
            </w:tcBorders>
            <w:shd w:fill="FEFEFE"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op w:val="single" w:sz="8" w:space="0" w:color="000000"/>
            </w:tcBorders>
            <w:shd w:fill="FEFEFE" w:val="clear"/>
            <w:tcMar>
              <w:top w:w="52"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Second Amended and Restated Certificate of Incorporation of the Registrant (incorporated herein by reference to Exhibit 3.1 to the Company’s Quarterly Report on Form 10-Q (File No. 001-37352), filed on July 28, 2023).</w:t>
              </w:r>
            </w:hyperlink>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 of the Registrant (incorporated herein by reference to Exhibit 3.2 to the Company’s Quarterly Report on Form 10-Q, as amended (File No. 001-37352), filed on May 29, 2015).</w:t>
              </w:r>
            </w:hyperlink>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q226.htm">
              <w:r>
                <w:rPr>
                  <w:rStyle w:val="InternetLink"/>
                  <w:rFonts w:ascii="Times New Roman;serif" w:hAnsi="Times New Roman;serif"/>
                  <w:b w:val="false"/>
                  <w:color w:val="000080"/>
                  <w:sz w:val="20"/>
                  <w:u w:val="single"/>
                </w:rPr>
                <w:t xml:space="preserve">Amended and Restated </w:t>
              </w:r>
            </w:hyperlink>
            <w:hyperlink w:anchor="exhibit101q226.htm">
              <w:r>
                <w:rPr>
                  <w:rStyle w:val="InternetLink"/>
                  <w:rFonts w:ascii="Times New Roman;serif" w:hAnsi="Times New Roman;serif"/>
                  <w:b w:val="false"/>
                  <w:color w:val="000080"/>
                  <w:sz w:val="20"/>
                  <w:u w:val="single"/>
                </w:rPr>
                <w:t xml:space="preserve">Employment Agreement, dated as of </w:t>
              </w:r>
            </w:hyperlink>
            <w:hyperlink w:anchor="exhibit101q226.htm">
              <w:r>
                <w:rPr>
                  <w:rStyle w:val="InternetLink"/>
                  <w:rFonts w:ascii="Times New Roman;serif" w:hAnsi="Times New Roman;serif"/>
                  <w:b w:val="false"/>
                  <w:color w:val="000080"/>
                  <w:sz w:val="20"/>
                  <w:u w:val="single"/>
                </w:rPr>
                <w:t xml:space="preserve">June </w:t>
              </w:r>
            </w:hyperlink>
            <w:hyperlink w:anchor="exhibit101q226.htm">
              <w:r>
                <w:rPr>
                  <w:rStyle w:val="InternetLink"/>
                  <w:rFonts w:ascii="Times New Roman;serif" w:hAnsi="Times New Roman;serif"/>
                  <w:b w:val="false"/>
                  <w:color w:val="000080"/>
                  <w:sz w:val="20"/>
                  <w:u w:val="single"/>
                </w:rPr>
                <w:t>8</w:t>
              </w:r>
            </w:hyperlink>
            <w:hyperlink w:anchor="exhibit101q226.htm">
              <w:r>
                <w:rPr>
                  <w:rStyle w:val="InternetLink"/>
                  <w:rFonts w:ascii="Times New Roman;serif" w:hAnsi="Times New Roman;serif"/>
                  <w:b w:val="false"/>
                  <w:color w:val="000080"/>
                  <w:sz w:val="20"/>
                  <w:u w:val="single"/>
                </w:rPr>
                <w:t>, 202</w:t>
              </w:r>
            </w:hyperlink>
            <w:hyperlink w:anchor="exhibit101q226.htm">
              <w:r>
                <w:rPr>
                  <w:rStyle w:val="InternetLink"/>
                  <w:rFonts w:ascii="Times New Roman;serif" w:hAnsi="Times New Roman;serif"/>
                  <w:b w:val="false"/>
                  <w:color w:val="000080"/>
                  <w:sz w:val="20"/>
                  <w:u w:val="single"/>
                </w:rPr>
                <w:t>6</w:t>
              </w:r>
            </w:hyperlink>
            <w:hyperlink w:anchor="exhibit101q226.htm">
              <w:r>
                <w:rPr>
                  <w:rStyle w:val="InternetLink"/>
                  <w:rFonts w:ascii="Times New Roman;serif" w:hAnsi="Times New Roman;serif"/>
                  <w:b w:val="false"/>
                  <w:color w:val="000080"/>
                  <w:sz w:val="20"/>
                  <w:u w:val="single"/>
                </w:rPr>
                <w:t>, by and between Virtu Financial Operating LLC and Cindy Lee</w:t>
              </w:r>
            </w:hyperlink>
            <w:hyperlink w:anchor="exhibit101q226.htm">
              <w:r>
                <w:rPr>
                  <w:rStyle w:val="InternetLink"/>
                  <w:rFonts w:ascii="Times New Roman;serif" w:hAnsi="Times New Roman;serif"/>
                  <w:b w:val="false"/>
                  <w:color w:val="000080"/>
                  <w:sz w:val="20"/>
                  <w:u w:val="single"/>
                </w:rPr>
                <w:t>.</w:t>
              </w:r>
            </w:hyperlink>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80"/>
                  <w:sz w:val="20"/>
                  <w:u w:val="single"/>
                </w:rPr>
                <w:t xml:space="preserve">Amendment No. </w:t>
              </w:r>
            </w:hyperlink>
            <w:hyperlink r:id="rId5">
              <w:r>
                <w:rPr>
                  <w:rStyle w:val="InternetLink"/>
                  <w:rFonts w:ascii="Times New Roman;serif" w:hAnsi="Times New Roman;serif"/>
                  <w:b w:val="false"/>
                  <w:color w:val="000080"/>
                  <w:sz w:val="20"/>
                  <w:u w:val="single"/>
                </w:rPr>
                <w:t>4</w:t>
              </w:r>
            </w:hyperlink>
            <w:hyperlink r:id="rId6">
              <w:r>
                <w:rPr>
                  <w:rStyle w:val="InternetLink"/>
                  <w:rFonts w:ascii="Times New Roman;serif" w:hAnsi="Times New Roman;serif"/>
                  <w:b w:val="false"/>
                  <w:color w:val="000080"/>
                  <w:sz w:val="20"/>
                  <w:u w:val="single"/>
                </w:rPr>
                <w:t xml:space="preserve">, dated </w:t>
              </w:r>
            </w:hyperlink>
            <w:hyperlink r:id="rId7">
              <w:r>
                <w:rPr>
                  <w:rStyle w:val="InternetLink"/>
                  <w:rFonts w:ascii="Times New Roman;serif" w:hAnsi="Times New Roman;serif"/>
                  <w:b w:val="false"/>
                  <w:color w:val="000080"/>
                  <w:sz w:val="20"/>
                  <w:u w:val="single"/>
                </w:rPr>
                <w:t>July</w:t>
              </w:r>
            </w:hyperlink>
            <w:hyperlink r:id="rId8">
              <w:r>
                <w:rPr>
                  <w:rStyle w:val="InternetLink"/>
                  <w:rFonts w:ascii="Times New Roman;serif" w:hAnsi="Times New Roman;serif"/>
                  <w:b w:val="false"/>
                  <w:color w:val="000080"/>
                  <w:sz w:val="20"/>
                  <w:u w:val="single"/>
                </w:rPr>
                <w:t xml:space="preserve"> 23, 202</w:t>
              </w:r>
            </w:hyperlink>
            <w:hyperlink r:id="rId9">
              <w:r>
                <w:rPr>
                  <w:rStyle w:val="InternetLink"/>
                  <w:rFonts w:ascii="Times New Roman;serif" w:hAnsi="Times New Roman;serif"/>
                  <w:b w:val="false"/>
                  <w:color w:val="000080"/>
                  <w:sz w:val="20"/>
                  <w:u w:val="single"/>
                </w:rPr>
                <w:t>6</w:t>
              </w:r>
            </w:hyperlink>
            <w:hyperlink r:id="rId10">
              <w:r>
                <w:rPr>
                  <w:rStyle w:val="InternetLink"/>
                  <w:rFonts w:ascii="Times New Roman;serif" w:hAnsi="Times New Roman;serif"/>
                  <w:b w:val="false"/>
                  <w:color w:val="000080"/>
                  <w:sz w:val="20"/>
                  <w:u w:val="single"/>
                </w:rPr>
                <w:t>, to the Credit Agreement, dated January 13, 2022 (as amended by Amendment No. 1, dated June 21, 2024</w:t>
              </w:r>
            </w:hyperlink>
            <w:hyperlink r:id="rId11">
              <w:r>
                <w:rPr>
                  <w:rStyle w:val="InternetLink"/>
                  <w:rFonts w:ascii="Times New Roman;serif" w:hAnsi="Times New Roman;serif"/>
                  <w:b w:val="false"/>
                  <w:color w:val="000080"/>
                  <w:sz w:val="20"/>
                  <w:u w:val="single"/>
                </w:rPr>
                <w:t>,</w:t>
              </w:r>
            </w:hyperlink>
            <w:hyperlink r:id="rId12">
              <w:r>
                <w:rPr>
                  <w:rStyle w:val="InternetLink"/>
                  <w:rFonts w:ascii="Times New Roman;serif" w:hAnsi="Times New Roman;serif"/>
                  <w:b w:val="false"/>
                  <w:color w:val="000080"/>
                  <w:sz w:val="20"/>
                  <w:u w:val="single"/>
                </w:rPr>
                <w:t xml:space="preserve"> Amendment No. 2, dated February 19, 2025</w:t>
              </w:r>
            </w:hyperlink>
            <w:hyperlink r:id="rId13">
              <w:r>
                <w:rPr>
                  <w:rStyle w:val="InternetLink"/>
                  <w:rFonts w:ascii="Times New Roman;serif" w:hAnsi="Times New Roman;serif"/>
                  <w:b w:val="false"/>
                  <w:color w:val="000080"/>
                  <w:sz w:val="20"/>
                  <w:u w:val="single"/>
                </w:rPr>
                <w:t xml:space="preserve"> and Amendment No. 3, dated September 23, 2025</w:t>
              </w:r>
            </w:hyperlink>
            <w:hyperlink r:id="rId14">
              <w:r>
                <w:rPr>
                  <w:rStyle w:val="InternetLink"/>
                  <w:rFonts w:ascii="Times New Roman;serif" w:hAnsi="Times New Roman;serif"/>
                  <w:b w:val="false"/>
                  <w:color w:val="000080"/>
                  <w:sz w:val="20"/>
                  <w:u w:val="single"/>
                </w:rPr>
                <w:t>), among Virtu Financial LLC, as Holdings, VFH Parent LLC, as Borrower, the Lenders, and JPMorgan Chase Bank, N.A., as Administrative Agent</w:t>
              </w:r>
            </w:hyperlink>
            <w:hyperlink r:id="rId15">
              <w:r>
                <w:rPr>
                  <w:rStyle w:val="InternetLink"/>
                  <w:rFonts w:ascii="Times New Roman;serif" w:hAnsi="Times New Roman;serif"/>
                  <w:b w:val="false"/>
                  <w:color w:val="000080"/>
                  <w:sz w:val="20"/>
                  <w:u w:val="single"/>
                </w:rPr>
                <w:t xml:space="preserve"> (incorporated herein by reference to Exhibit 10.1 to the Company</w:t>
              </w:r>
            </w:hyperlink>
            <w:hyperlink r:id="rId16">
              <w:r>
                <w:rPr>
                  <w:rStyle w:val="InternetLink"/>
                  <w:rFonts w:ascii="Times New Roman;serif" w:hAnsi="Times New Roman;serif"/>
                  <w:b w:val="false"/>
                  <w:color w:val="000080"/>
                  <w:sz w:val="20"/>
                  <w:u w:val="single"/>
                </w:rPr>
                <w:t>’</w:t>
              </w:r>
            </w:hyperlink>
            <w:hyperlink r:id="rId17">
              <w:r>
                <w:rPr>
                  <w:rStyle w:val="InternetLink"/>
                  <w:rFonts w:ascii="Times New Roman;serif" w:hAnsi="Times New Roman;serif"/>
                  <w:b w:val="false"/>
                  <w:color w:val="000080"/>
                  <w:sz w:val="20"/>
                  <w:u w:val="single"/>
                </w:rPr>
                <w:t>s Current Report on Form 8-K</w:t>
              </w:r>
            </w:hyperlink>
            <w:hyperlink r:id="rId18">
              <w:r>
                <w:rPr>
                  <w:rStyle w:val="InternetLink"/>
                  <w:rFonts w:ascii="Times New Roman;serif" w:hAnsi="Times New Roman;serif"/>
                  <w:b w:val="false"/>
                  <w:color w:val="000080"/>
                  <w:sz w:val="20"/>
                  <w:u w:val="single"/>
                </w:rPr>
                <w:t xml:space="preserve"> (File No. 001-37352)</w:t>
              </w:r>
            </w:hyperlink>
            <w:hyperlink r:id="rId19">
              <w:r>
                <w:rPr>
                  <w:rStyle w:val="InternetLink"/>
                  <w:rFonts w:ascii="Times New Roman;serif" w:hAnsi="Times New Roman;serif"/>
                  <w:b w:val="false"/>
                  <w:color w:val="000080"/>
                  <w:sz w:val="20"/>
                  <w:u w:val="single"/>
                </w:rPr>
                <w:t>, filed on July 23, 2026)</w:t>
              </w:r>
            </w:hyperlink>
            <w:hyperlink r:id="rId20">
              <w:r>
                <w:rPr>
                  <w:rStyle w:val="InternetLink"/>
                  <w:rFonts w:ascii="Times New Roman;serif" w:hAnsi="Times New Roman;serif"/>
                  <w:b w:val="false"/>
                  <w:color w:val="000080"/>
                  <w:sz w:val="20"/>
                  <w:u w:val="single"/>
                </w:rPr>
                <w:t>.</w:t>
              </w:r>
            </w:hyperlink>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311q226.htm">
              <w:r>
                <w:rPr>
                  <w:rStyle w:val="InternetLink"/>
                  <w:rFonts w:ascii="Times New Roman;serif" w:hAnsi="Times New Roman;serif"/>
                  <w:b w:val="false"/>
                  <w:color w:val="0000FF"/>
                  <w:sz w:val="20"/>
                  <w:u w:val="single"/>
                </w:rPr>
                <w:t>Certification of Chief Executive Officer required by Rule 13a-14(a)/15d-14(a) under the Securities Exchange Act of 1934, as amended, as adopted pursuant to Section 302 of the Sarbanes-Oxley Act of 2002.</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312q226.htm">
              <w:r>
                <w:rPr>
                  <w:rStyle w:val="InternetLink"/>
                  <w:rFonts w:ascii="Times New Roman;serif" w:hAnsi="Times New Roman;serif"/>
                  <w:b w:val="false"/>
                  <w:color w:val="0000FF"/>
                  <w:sz w:val="20"/>
                  <w:u w:val="single"/>
                </w:rPr>
                <w:t>Certification of Chief Financial Officer required by Rule 13a-14(a)/15d-14(a) under the Securities Exchange Act of 1934, as amended, as adopted pursuant to Section 302 of the Sarbanes-Oxley Act of 2002.</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321q226.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w:anchor="exhibit322q226.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Document</w:t>
            </w:r>
          </w:p>
        </w:tc>
      </w:tr>
      <w:tr>
        <w:trPr/>
        <w:tc>
          <w:tcPr>
            <w:tcW w:w="12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shd w:fill="FEFEFE" w:val="clear"/>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799" w:type="dxa"/>
        <w:jc w:val="center"/>
        <w:tblInd w:w="0" w:type="dxa"/>
        <w:tblLayout w:type="fixed"/>
        <w:tblCellMar>
          <w:top w:w="28" w:type="dxa"/>
          <w:left w:w="28" w:type="dxa"/>
          <w:bottom w:w="28" w:type="dxa"/>
          <w:right w:w="28" w:type="dxa"/>
        </w:tblCellMar>
      </w:tblPr>
      <w:tblGrid>
        <w:gridCol w:w="249"/>
        <w:gridCol w:w="220"/>
        <w:gridCol w:w="221"/>
        <w:gridCol w:w="404"/>
        <w:gridCol w:w="404"/>
        <w:gridCol w:w="407"/>
        <w:gridCol w:w="275"/>
        <w:gridCol w:w="275"/>
        <w:gridCol w:w="275"/>
        <w:gridCol w:w="603"/>
        <w:gridCol w:w="603"/>
        <w:gridCol w:w="863"/>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Virtu Financial, Inc.</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Aaron Simons</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Aaron Simons</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Cindy Lee</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Cindy Lee</w:t>
            </w:r>
          </w:p>
        </w:tc>
      </w:tr>
      <w:tr>
        <w:trPr/>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bookmarkStart w:id="0" w:name="exhibit101q226.htm"/>
      <w:bookmarkStart w:id="1" w:name="ksexhibit101q226"/>
      <w:bookmarkEnd w:id="0"/>
      <w:bookmarkEnd w:id="1"/>
      <w:r>
        <w:rPr/>
        <w:drawing>
          <wp:inline distT="0" distB="0" distL="0" distR="0">
            <wp:extent cx="10048875" cy="13001625"/>
            <wp:effectExtent l="0" t="0" r="0" b="0"/>
            <wp:docPr id="8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1"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jc w:val="center"/>
        <w:rPr>
          <w:color w:val="FFFFFF"/>
          <w:sz w:val="2"/>
        </w:rPr>
      </w:pPr>
      <w:r>
        <w:rPr>
          <w:color w:val="FFFFFF"/>
          <w:sz w:val="2"/>
        </w:rPr>
        <w:t xml:space="preserve">t: 1 212 418 0100 f: 1 212 418 0123 www.virtu.com Virtu Financial Operating LLC 1633 Broadway New York, NY 10019 Amended and Restated Employment Agreement (this “Agreement”), dated as of the date set forth on the signature page hereto to be effective as of May 1, 2026 (the “Effective Date”), between Virtu Financial Operating LLC, a Delaware limited liability company (together with all parents, affiliates and subsidiaries as the "Company"), and Cindy Lee (“Executive”). WHEREAS, the Company and Executive are party to an existing Employment Agreement dated April 29, 2024 (the “Existing Agreement”) and desire to amend and restate the Existing Agreement as herein provided; and WHEREAS, Executive’s agreement to enter into this Agreement and be bound by the terms hereof, including the restrictive covenants described herein, is a material inducement to the Company’s willingness to provide equity-based compensation to Executive as described herein, and the Company would not otherwise grant such equity-based compensation to Executive if Executive did not agree to enter into this Agreement. NOW, THEREFORE, in consideration of the mutual agreements, provisions and covenants contained herein, and intending to be legally bound hereby, the parties hereto agree as set forth below: 1. Term. a. The term of Executive’s employment under this Agreement shall continue from the Effective Date until June 30, 2029 (the “Initial Expiration Date”), provided that on the Initial Expiration Date and each subsequent anniversary of the Initial Expiration Date, the term of Executive’s employment under this Agreement shall be extended for one (1) additional year unless either party provides written notice to the other party at least ninety (90) days prior to the Initial Expiration Date (or any such anniversary, as applicable) that Executive’s employment hereunder shall not be so extended (in which case, Executive’s employment under this Agreement shall terminate on the Initial Expiration Date or expiration of the extended term, as applicable); provided, however, that Executive’s employment under this Agreement may be terminated at any time pursuant to the provisions of Section 5. The period of time from the Effective Date through the termination of this Agreement and Executive’s employment hereunder pursuant to its terms is herein referred to as the “Term”; and the date on which the Term is scheduled to expire (i.e., the Initial Expiration Date or the scheduled expiration of the extended term, if applicable) is herein referred to as the “Expiration Date.” Notwithstanding anything contained herein to the contrary, if upon the effective date of a Change in Control, the Expiration Date is less than one (1) year from the date of such Change in Control, the Term shall automatically be renewed so that the Expiration Date is one (1) year from the effective date of such Change in Control. b. Executive agrees and acknowledges that the Company has no obligation to extend the Term or to continue Executive’s employment following the Expiration Date, and Executive expressly acknowledges that no promises or understandings to the contrary have been made or reached. Executive also agrees and acknowledges that, should Executive and the Company choose to continue Executive’s employment for any period of time following the Expiration Date without extending the term of Executive’s employment under this Agreement or entering into a new written employment agreement, Executive’s employment with the Company shall be “at will,” such that the Company may terminate Executive’s employment at any time, with or without reason and with or without notice, and Executive may resign at any time, with or without reason and with or without notice (for the sake of clarity, the provisions of this Agreement shall not apply following the expiration of the Term (except as otherwise expressly provided herein)). 2. Definitions. For purposes of this Agreement, the following terms, as used herein, shall have the definitions set forth below. a. “Affiliate” means, with respect to any specified Person, any other Person that directly or indirectly, through one or more intermediaries, Controls, is Controlled by, or is under common Control with,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specified Person; provided, that in no event shall any entity Controlled by Vincent Viola but in which the Company does not have a direct or indirect ownership interest be treated as an Affiliate of the Company. b. “Cause” means that any of the following occurs: i. Executive is convicted of, or pleads guilty or nolo contendere to, any felony or commits any fraudulent or illegal acts with regard to the Company or its employees, independent contractors, officers, members or managers; ii. Executive is repeatedly intoxicated or under the influence of illegal substances while performing his employment duties; iii. Executive does not have any necessary license or regulatorily required qualification, or becomes subject to a decree or order, in each case, from a regulatory agency, in each case, that prevents him from working for the Company; iv. Executive (A) violates any material regulatory or trading policy, procedure, requirement, rule or regulation of the Company, any exchange, regulatory agency or self-regulatory body with authority to govern or regulate him or the Company, (B) violates any material obligation or is in breach of any representation in this Agreement (including for the avoidance of doubt any exhibit hereto), or (C) violates any material written company policy as stated in the Company’s employee policy manual (as amended or revised by the Company from time to time) or the Company’s Code of Conduct and Ethics; provided, that any act, or failure to act, based upon the instructions of the Board or the Chief Executive Officer (“CEO”) or reasonably based upon the written advice of counsel for the Company shall not be considered a violation under clauses (A) or (C) herein; v. Executives intentionally and wrongfully damages material assets of the Company; vi. Executive intentionally and wrongfully discloses material confidential information of the Company; or vii. Executive intentionally and wrongfully engages in any competitive activity which constitutes a material breach of this Agreement, the Proprietary Invention Assignment, Noncompetition and Confidentiality Agreement, and/or a breach of his duty of loyalty; provided that Cause shall not apply to any act or omission described above unless the Company provides written notice of the act or omission (which, except in the case of an allegation of Cause that is subject to cure, may be provided at the time of termination) and, with respect to clauses (iii), (iv), or (vi), if curable, the act or omission is cured within 10 days after receipt of such notice and does not recur within 180 days after the initial act or omission. c. “Change in Control” has the meaning set forth in the Plan. d. “Control” means (including, with correlative meanings, the terms “Controlled by” and “under common Control with”), as used with respect to any Person, means the direct or indirect possession of the power to direct or cause the direction of the management or policies of such Person, whether through the ownership of voting securities or by contract. e. “Disability” means means Executive would be entitled to long-term disability benefits under the Company’s long-term disability plan as in effect from time to time, without regard to any waiting or elimination period under such plan and assuming for the purpose of such determination that Executive is actually participating in such plan at such time. If the Company does not maintain a long-term disability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plan, “Disability” means Executive’s inability to perform Executive’s duties and responsibilities hereunder on a full-time basis for a consecutive period of one hundred eighty (180) days in any three hundred sixty-five (365)-day period due to physical or mental illness or incapacity that is determined to be total and permanent by a physician selected by the Company or its insurers and reasonably acceptable to the Executive or his legal representative. f. “Good Reason” means the termination of Executive’s employment at his initiative after, without Executive’s prior written consent, one (1) or more of the following events: i. an adverse change in Executive’s title or reporting relationship such that he no longer reports to the Chief Executive Officer of the ultimate parent company of Virtu or a material reduction in authority, duties or responsibilities at the Company or a successor employer relative to the Executive’s authority, duties or responsibilities (with respect to a termination in connection with a Change in Control, relative to Executive’s authority, title, duties or responsibilities immediately prior to the Change in Control) or being required to report other than to the CEO or the Board or a material reduction in Base Salary; ii. a material breach of this Agreement by the Company or a successor employer; or iii. required relocation or performance of primary services (other than through routine and reasonable travel) by the Executive more than thirty (30) miles from his current place of employment in order to continue to perform the duties and responsibilities of his position. Notwithstanding the above, Executive’s termination of employment will not be for Good Reason unless (1) she notifies the Company in writing of the existence of the condition that she believes constitutes Good Reason within 30 days of the initial existence of such condition (which notice specifically identifies such condition), (2) the Company fails to remedy such condition within thirty (30) days after the date on which it receives such notice (the “Remedial Period”), and (3) so long as the Company acknowledges in writing the existence of Good Reason, the Executive actually terminates employment within thirty (30) days following the expiration of the Remedial Period and before the Company remedies such condition. If the Company does not acknowledge in writing the existence of Good Reason, Executive shall only be required to resign for Good Reason within two years of the end of the Remedial Period. g. “Person” means any individual, firm, corporation, partnership, limited liability company, trust, joint venture, association, unincorporated entity or other entity. h. “Plan” means the Virtu Financial, Inc. Amended and Restated 2015 Management Incentive Plan. 3. Duties and Responsibilities. a. The Company hereby employs Executive, and Executive hereby accepts employment, subject to the terms and conditions contained herein, during the Term, Chief Financial Officer reporting to the Company’s Chief Executive Officer. During the Term, Executive agrees to be employed by and devote substantially all of Executive’s business time and attention to the Company and the promotion of its interests and to use his best efforts to faithfully and diligently serve the Company; provided, however, that, to the extent such activities do not significantly interfere with the performance of his duties, services and responsibilities under this Agreement, Executive shall be permitted to (i) manage his personal, financial and legal affairs, (ii) serve on civic or charitable boards and committees of such boards and (iii) to the extent approved by the Board pursuant to a duly authorized resolution of the Board, serve on corporate boards and committees of such boards. Executive will perform such lawful duties and responsibilities as are commensurate with Executive’s titles and positions and as are generally consistent with those exercised by Executive prior to the Effective Date, and such other duties and responsibilities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commensurate with Executive’s titles and positions as may be reasonably requested by the Chief Executive Officer from time to time. Executive will have the authority customarily exercised by an individual serving in such capacity of a corporation of the size and nature of the Company. During the Term, upon request shall serve as a director or an officer of one or more subsidiaries of the Company, or of an Affiliate of the Company. Executive shall not be compensated additionally in Executive’s capacity as a member of the Board or as a director or officer of a subsidiary or Affiliate of the Company. b. During the Term, Executive’s principal place of employment shall be in the Company’s offices in Manhattan, New York, or such other location as may otherwise be agreed with the Company. Executive acknowledges that Executive’s duties and responsibilities shall require Executive to travel on business to the extent reasonably necessary to fully perform Executive’s duties and responsibilities hereunder. 4. Compensation and Related Matters. a. Base Salary. As of the Effective Date, Executive shall receive an annual base salary (“Base Salary”) of $500,000 per year, payable in accordance with the Company’s normal payroll procedures and may be increased (but not decreased) by the CEO together with the Compensation Committee (as defined below) in its sole discretion (such salary, as may be increased, the “Base Salary”). For the avoidance of doubt, the position is exempt from any and all overtime laws. b. Discrtetionary Annual Bonus. During the Term, for each calendar year, Executive shall be eligible to receive a discretionary annual bonus (“Annual Bonus”) in the sole and absolute discretion of the Company. The Executive understands that each Annual Bonus is discretionary and is not considered earned until final approval by the Company, and that subject to Section 5 below, the Executive must be an employee of the Company or one if its affiliates on the date each Annual Bonus at bonuses is paid by the Company for such year in order to be eligible for any bonus for such period. For the avoidance of doubt, payment of any and all bonuses in previous years shall not affect the Company’s discretion in future years to pay a discretionary bonus or otherwise, and in particular does not create a contractual entitlement, expectation or acquired right in subsequent years to: (i) a certain level of payment; or (ii) payment of a discretionary bonus.The Annual Bonus, if any, shall be payable within the period required by Section 409A of the Code such that it qualifies as a “short-term deferral” pursuant to Section 1.409A- 1(b)(4) of the Department of Treasury Regulations (or any successor thereto). c. Benefits and Perquisites. Executive will be eligible for all employee benefits offered by the Company to employees in similar positions. The Company retains the right to modify or change its benefits and compensation policy from time to time, as it deems necessary, other than those provided for Executive in this employment agreement. The Company also retains the right to assign Executive’s employment agreement to an Affiliate, subject to the terms and conditions of this Agreement. d. Special Equity Award: On or about June 30, 2026, Executive shall be granted a special equity award in the form of 20,000 restricted shares or RSUs in respect of Class A common stock of the Company (the “Special Award”) that shall vest in equal annual installments on each of the first three (3) anniversaries of the date of the Special Award and shall be subject to the terms of the award and the Virtu Financial, Inc. Second Amended and Restated 2015 Management Incentive Plan (as the same may be amended or amended and restated from time to time, the “Second A&amp;R MIP”). e. Indemnification. The Company will indemnify Executive to the fullest extent permitted by law and the Company’s governing documents. 5. Termination of Employment.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 Executive’s employment under this Agreement may be terminated by either party at any time and for any reason; provided, however, that Executive shall be required to give the Company at least sixty (60) days’ advance written notice of any voluntary resignation of Executive’s employment hereunder (other than resignation for Good Reason) (and in such event the Company in its sole discretion may elect to accelerate Executive’s date of termination of employment, it being understood that such termination shall still be treated as a voluntary resignation for purposes of this Agreement). Notwithstanding the foregoing, Executive’s employment shall automatically terminate upon Executive’s death. b. Upon termination, irrespective of the reason, the Company shall pay Executive: (i) unpaid salary earned through the date of termination; (ii) compensation at the rate of the salary for any vacation time earned but not used as of the date Executive’s employment terminates in accordance with Company policies as then in effect; (iii) reimbursement, in accordance with the Company’s policies and procedures, for business expenses incurred by Executive but not yet paid as of the date employment terminates; and (iv) all other payments, benefits or fringe benefits to which Executive is entitled under the terms of the applicable arrangements and/or applicable law (all of the foregoing clauses (i)-(iv) collectively, the “Accrued Obligations”). c. If Executive’s employment under this Agreement is terminated (i) by the Company without Cause, (ii) due to Executive’s death or Disability, (iii) by Executive for Good Reason, or (iv) due to expiration of the Term on the Expiration Date as a result of the Company delivering a notice of non-renewal as contemplated by Section 1, in addition to the payments and benefits specified in Section 5(b), Executive shall also receive the following termination payments and benefits on or beginning with the first payroll whose cutoff date follows the date Executive’s employment ends or according to such timing as otherwise set forth below (collectively, the “Severance Benefits”): i. an amount equal to greater of (x) the sum of twelve (12) months’ Base Salary, at the rate in effect immediately prior to termination (or, if higher, the highest rate in effect within the preceding six months) and (y) an amount equal to the total amount of Base Salary that Executive would have been entitled to receive had Executive continued to be employed through the Expiration Date (such amount, the “Severance Amount”), payable in a single lump sum within 30 days of the day the Release (as defined below) becomes irrevocable (or, if earlier, within five business days following irrevocability), except where payment is delayed according to the timing relating to the Release Period as set forth below or pursuant to Section 409A (as defined below) (such date, the “Severance Payment Date”); ii. any bonus that the Company had definitively determined to pay to Executive and which was authorized and approved in accordance with the Company’s policies and procedures but which had not yet been paid to as of the date of termination, payable in a lump sum at the same date as provided under clause (i) above; iii. (x) the next scheduled vesting installment under the Speical Award, prorated for the number of days elapsed during the applicable vesting period, plus (y) the full next installment of Special Award scheduled for vesting, if any, shall together be deemed vested immediately upon such termination (the “Special Equity Award Acceleration”); and iv. continued health, dental, vision and life insurance benefits under the terms of the applicable Company benefit plans for (x) twelve (12) months or (y) the period from Executive’s termination of employment through the Expiration Date, whichever is longer (the “Benefits Continuation Period”), subject to Executive’s payment of the cost of such benefits to the same extent that active employees of the Company are required to pay for such benefits from time to time; provided, however, that such continuation coverage shall end earlier upon Executive’s becoming eligible for comparable coverage under another employer’s benefit plans; provided, further, that following the expiration of the Benefits Continuation Period (which was not terminated as a result of Executive becoming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6"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eligible for comparable coverage under another employer’s benefit plans), Executive shall be eligible to continue his health, dental, vision and life insurance benefits for Executive and his spouse and eligible dependents under the terms of the applicable Company benefit plans until the earlier of (X) Executive’s dependents reaching the age of 26, (Y) Executive or his spouse become eligible for Medicare, or (Z) Executive becoming eligible for comparable coverage under another employer’s benefit plans, subject to Executive’s payment of the full cost of such benefits; and provided, further, that to the extent the provision of such continuation coverage is not permitted under the terms of the Company benefit plans or would result in an adverse tax consequence to the Company, the Company may alternatively provide Executive with a cash payment (the “COBRA Cash Payment”) in an amount equal to the applicable COBRA premium that Executive would otherwise be required to pay to obtain COBRA continuation coverage for such benefits for such period (minus the cost of such benefits to the same extent that active employees of the Company are required to pay for such benefits from time to time); provided, further, that the Company will use reasonable best efforts to continue coverage under the Company benefit plans to the extent legally possible without suffering any adverse consequences to the Company or other participants in such plans (the COBRA Cash Payment, if applicable, shall be paid in cash in a lump sum on the Severance Payment Date). d. Notwithstanding anything herein to the contrary, if at any time within twelve (12) months following a Change in Control (as defined in the Plan as of the date thereof) or in anticipation of a Change of Control towards which material steps have been taken at the time of such termination and such Change of Control actually occurs, Executive’s employment under this Agreement is terminated (i) by the Company without Cause, (ii) due to death or Disability, (iii) by Executive for Good Reason, or (iv) due to expiration of the Term on the Expiration Date as a result of the Company delivering a notice of non-renewal as contemplated by Section 1, then in in lieu of the Severance Benefits described in Section 5(c) the Executive shall be entitled to receive the following: i. An amount equal to two and a half (2.5) times the sum of (x) Executive’s Base Salary and (y) the Annual Bonus (including any amounts deferred or satisfied through the grant of equity awards) most recently awarded to Executive for completed fiscal years of the Company (collectively, the “CIC Severance Amount”) payable in a single lump sum on the Severance Payment Date; ii. any bonus that the Company had definitively determined to pay to Executive and which was authorized and approved in accordance with the Company’s policies and procedures but which had not yet been paid to as of the date of termination, payable in a lump sum at the same date as provided under clause (i) above; iii. the Special Equity Award Acceleration; and iv. the benefits described in Section 5(c)(iv) above, except that the Benefits Continuation Period shall be extended to (x) twenty-four (24) months or (y) the period from Executive’s termination of employment through the Expiration Date, whichever is longer. e. For avoidance of doubt, all payments owed to the Executive under Section 5 of this Agreement will be paid in a single lump sum on the Severance Payment Date. f. In the event Executive’s employment is terminated prior to a Change in Control but material steps have been taken at the time of such termination and such Change of Control actually occurs, in the event that Executive receives the Severance Amount prior to the occurrence of the Change in Control, then any such amounts paid prior to the Change in Control shall reduce the amount required to be paid pursuant to CIC Severance Amount. g. Notwithstanding anything else herein to the contrary, the Company’s obligation to pay the benefits described herein shall be conditioned on the receipt of a customary release and waiver of all claims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“Release”) in a form substantially consistent with the Company’s form separation agreement. Such release and waiver must be executed and become irrevocable within sixty (60) days following the date Executive’s employment ends (the “Release Period”). If such Release Period ends in the calendar year subsequent to the calendar year in which Executive’s employment ends and any Severance Benefits or the Change in Control Bonus is subject to Section 409A, payment of such covered amounts will not be made earlier than the first business day of that subsequent year. h. To the extent (i) any payments to which Executive becomes entitled under this agreement, or any agreement or plan referenced herein, in connection with Executive’s termination of employment with the Company, constitute deferred compensation subject to Section 409A of the Internal Revenue Code (“Section 409A”) and (ii) Executive is deemed at the time of such termination of employment to be a “specified” employee under Section 409A, then such payment or payments shall not be made or commence until the earlier of (i) the expiration of the 6-month period measured from the date of Executive’s “separation from service” (as such term is at the time defined in regulations under Section 409A) with the Company and (ii) the date of Executive’s death following such separation from service, provided, however, that such deferral shall be effected only to the extent required to avoid adverse tax treatment to Executive, including (without limitation) the additional twenty-percent (20%) tax for which Executive would otherwise be liable under Section 409A(a)(1)(B)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To the extent that any provision of this Agreement is ambiguous as to its exemption or compliance with Section 409A, the provision will be read in such a manner so that (i) all payments hereunder are exempt from Section 409A to the maximum permissible extent and, (ii) for any payments where such construction is not tenable, so that those payments comply with Section 409A to the maximum permissible extent. Payments pursuant to this Agreement (or referenced in this Agreement), and each installment thereof, are intended to constitute separate payments for purposes of Section 1.409A-2(b)(2) of the regulations under Section 409A. All references to termination of employment or similar terms shall be deemed to mean separation from service within the meaning of Section 409A. Notwithstanding anything to the contrary herein, except to the extent any expense, reimbursement or in-kind benefit provided pursuant to this Agreement does not constitute a “deferral of compensation” within the meaning of Section 409A: (x) the amount of expenses eligible for reimbursement or in-kind benefits provided to Executive during any calendar year will not affect the amount of expenses eligible for reimbursement or in-kind benefits provided to Executive in any other calendar year, (y) the Company will reimburse Executive for expenses for which Executive is entitled to be reimbursed on or before the last day of the calendar year following the calendar year in which the applicable expense is incurred or, if earlier, within 30 days after Executive has substantiated the expense, and (z) the right to payment or reimbursement or in-kind benefits hereunder may not be liquidated or exchanged for any other benefit. 6. 280G Matters. a. Anything in this Agreement to the contrary notwithstanding, in the event that the Accounting Firm shall determine that receipt of all Payments would subject Executive to tax under Section 4999 of the Code, the Accounting Firm shall determine whether some amount of Agreement Payments meets the definition of “Reduced Amount.” If the Accounting Firm determines that there is a Reduced Amount, then the aggregate Agreement Payments shall be reduced to such Reduced Amount. b. If the Accounting Firm determines that the aggregate Agreement Payments should be reduced to the Reduced Amount, the Company shall promptly give Executive notice to that effect and a copy of the detailed calculation thereof, and Executive may then elect, in his sole discretion, which and how much of the Agreement Payments shall be eliminated or reduced (as long as after such election the Present Value of the aggregate Agreement Payments equals the Reduced Amount). All determinations made by the Accounting Firm under this Paragraph shall be binding upon the Company and Executive.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connection with making determinations under this Paragraph, the Accounting Firm shall take into account the value of any reasonable compensation for services to be rendered by Executive before or after the Change in Control, including any non-competition provisions that may apply to Executive and the Company shall cooperate in the valuation of any such services, including any non-competition provisions. c. As a result of the uncertainty in the application of Section 4999 of the Code at the time of the initial determination by the Accounting Firm hereunder, it is possible that amounts will have been paid or distributed by the Company to or for Executive’s benefit pursuant to this Agreement which should not have been so paid or distributed (each, an “Overpayment”) or that additional amounts which will have not been paid or distributed by the Company to or for Executive’s benefit pursuant to this Agreement could have been so paid or distributed (each, an “Underpayment”), in each case, consistent with the calculation of the Reduced Amount hereunder. In the event that the Accounting Firm, based upon the assertion of a deficiency by the Internal Revenue Service against either the Company or Executive which the Accounting Firm believes has a high probability of success determines that an Overpayment has been made, any such Overpayment paid or distributed by the Company to or for Executive’s benefit shall be repaid by Executive to the Company together with interest at the applicable federal rate provided for in Section 7872(f)(2) of the Code; provided, however, that no such repayment shall be required if and to the extent such deemed repayment would not either reduce the amount on which Executive is subject to tax under Section 1 and Section 4999 of the Code or generate a refund of such taxes. In the event that the Accounting Firm, based upon controlling precedent or substantial authority, determines that an Underpayment has occurred, any such Underpayment shall be promptly paid by the Company to or for Executive’s benefit together with interest at the applicable federal rate provided for in Section 7872(f)(2) of the Code. All fees and expenses of the Accounting Firm in implementing the provisions of this Paragraph shall be borne by the Company. d. Definitions. The following terms shall have the following meanings for purposes of this Paragraph. (1) A “Payment” shall mean any payment or distribution in the nature of compensation (within the meaning of Section 280G(b)(2) of the Code) to or for Executive’s benefit, whether paid or payable pursuant to this Agreement or otherwise; (2) “Agreement Payment” shall mean a Payment paid or payable pursuant to this Agreement (disregarding this Paragraph); (3) “Net After-Tax Receipt” shall mean the Present Value of a Payment net of all taxes imposed on Executive with respect thereto under Sections 1 and 4999 of the Code and under applicable state and local laws, determined by applying the highest marginal rate under Section 1 of the Code and under state and local laws which applied to Executive’s taxable income for the immediately preceding taxable year, or such other rate(s) as Executive shall certify, in Executive’s sole discretion, as likely to apply to Executive in the relevant tax year(s); (4) “Accounting Firm” shall mean the Company’s regular auditor, unless Executive objects to the use of that auditor, in which event the auditor shall be an independent auditor or other independent professional services organization that is a certified public accounting firm recognized as an expert in determinations and calculations for purposes of Section 280G of the Code selected by the Company and reasonably acceptable to Executive, which auditor shall not, without Executive’s consent, be a firm serving as accountant or auditor for the individual, entity or group effecting the Change in Control (the “Auditor”); (5) “Parachute Value” of a Payment shall mean the present value as of the date of the change of control for purposes of Section 280G of the Code of the portion of such Payment that constitutes a “parachute payment” under Section 280G(b)(2), as determined by the Accounting Firm for purposes of determining whether and to what extent the Excise Tax will apply to such Payment; and (6) “Reduced Amount” shall mean the amount of Agreement Payments that (x) has a Present Value that is less than the Present Value of all Agreement Payments and (y) results in aggregate Net After-Tax Receipts for all Payments that are greater than the Net After-Tax Receipts for all Payments that would result if the aggregate Present Value of Agreement Payments were any other amount that is less than the Present Value of all Agreement 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7. Mutual Arbitration. Executive and the Company both knowingly and voluntarily agree to a pre-dispute arbitration clause so that should any controversy or dispute arise in connection with Executive’s employment, the cessation of Executive’s employment or the interpretation of this agreement, Executive and the Company agree to the arbitration of any and all such claims at a site in New York, before a neutral panel of the American Arbitration Association or JAMS, as dictated by the underlying facts and circumstances giving rise to Executive’s claim(s). In the course of any arbitration pursuant to this agreement, Executive and the Company agree: (a) to request that a written award be issued by the panel, and (b) that each side is entitled to receive any and all relief they would be entitled to receive in a court proceeding, except that Executive agrees to waive any claim or right Executive may have for punitive or other indirect or consequential damages. Executive and the Company knowingly and voluntarily agree to enter into this arbitration clause and to waive any rights that might otherwise exist to request a jury trial or other court proceeding, except that Executive agrees that the Company may seek and obtain from a court any injunctive or equitable relief necessary to maintain (and/or to restore) the status quo or to prevent the possibility of irreversible or irreparable harm pending final resolution of mediation, arbitration or court proceedings, as applicable. The agreement between Executive and the Company to arbitrate disputes includes, but is not limited to, any claims of unlawful discrimination and/or unlawful harassment under Title VII of the Civil Rights Act of 1964, the Age Discrimination in Employment Act, the Americans with Disabilities Act, the New York Civil Rights Laws, the New York Executive Law, the New York City Human Rights Law, or any other federal, state of local law relating to discrimination in employment and any claims relating to wage and hour claims and any other statutory or common law claims. If Executive is deemed an associated person under FINRA’s rules, this agreement does not prohibit or restrict Executive from filing an arbitration claim in the FINRA arbitration forum as specified in FINRA rules. 8. Offset and Mitigation. No payments due Executive hereunder shall be subject to any offset for obligations owed by Executive to the Company or its Affiliates (except as required by applicable law). In no event shall Executive be obligated to seek other employment or take any other action by way of mitigation of the amounts payable to Executive under any of the provisions of this Agreement. 9. Restrictive Covenants. Executive acknowledges and agrees that Executive shall continue to be bound by the restrictive covenants to which she is presently bound, including those set forth in the Proprietary Agreement (as defined below) (collectively, the “Restrictive Covenants”), in accordance with the terms and conditions thereof; provided, however, that the Executive shall not be held criminally or civilly liable under any federal or state trade secret law for any disclosure of a trade secret that is made: (A) in confidence to a federal, state or local government official, either directly or indirectly, or to an attorney; and (B) solely for the purpose of reporting or investigating a suspected violation of law; or is made in a complaint or other document that is filed under seal in a lawsuit or other proceeding. If the Executive files a lawsuit for retaliation by the Company for reporting a suspected violation of law, the Executive may disclose the Company’s trade secrets to the Executive’s attorney and use the trade secret information in the court proceeding if the Executive: (1) files any document containing the trade secret under seal; and (2) does not disclose the trade secret, except pursuant to court order. 10. Return of Property. Executive acknowledges that all notes, memoranda, specifications, devices, formulas, records, files, lists, drawings, documents, models, equipment, property, computer, software or intellectual property relating to the businesses of the Company, in whatever form (including electronic), and all copies thereof, that are received or created by Executive while an employee of the Company or its subsidiaries or Affiliates are and shall remain the property of the Company, and Executive shall immediately return such property to the Company upon the termination of Executive’s employment and, in any event, at the Company’s request and subject to inspection in accordance with applicable Company employee policies generally, except as may otherwise be agreed by Executive and the Company at the time of termination; provided, that Executive shall be permitted to retain a copy of his contacts/rolodex, including in electronic 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10"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11. Remedies and Injunctive Relief. Executive acknowledges that a violation by Executive of any of the covenants contained in Sections 9 or 10 would cause irreparable damage to the Company in an amount that would be material but not readily ascertainable, and that any remedy at law (including the payment of damages) would be inadequate. Accordingly, Executive agrees that, notwithstanding any provision of this Agreement to the contrary, the Company shall be entitled (without the necessity of showing economic loss or other actual damage) to injunctive relief (including temporary restraining orders, preliminary injunctions and/or permanent injunctions) in any court of competent jurisdiction for any actual or threatened breach of any of the covenants set forth in Sections 9 or 10 in addition to any other legal or equitable remedies it may have. The preceding sentence shall not be construed as a waiver of the rights that the Company may have for damages under this Agreement or otherwise, and all of the Company’s rights shall be unrestricted. 12. Representations of Executive; Advice of Counsel. a. Executive represents, warrants and covenants that as of the date hereof: (i) Executive has the full right, authority and capacity to enter into this Agreement and perform Executive’s obligations hereunder, (ii) Executive is not bound by any agreement that conflicts with or prevents or restricts the full performance of Executive’s duties and obligations to the Company hereunder during or after the Term, and (iii) the execution and delivery of this Agreement shall not result in any breach or violation of, or a default under, any existing obligation, commitment or agreement to which Executive is subject. b. Prior to execution of this Agreement, Executive was advised by the 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Company’s directors, officers, employees or agents which are not expressly set forth herein, and that Executive is relying only upon Executive’s own judgment and any advice provided by Executive’s attorney. 13. Cooperation. Executive agrees that, upon reasonable notice and without the necessity of the Company obtaining a subpoena or court order, Executive shall provide reasonable cooperation in connection with any suit, action or proceeding (or any appeal from any suit, action or proceeding), and any investigation and/or defense of any claims asserted against the Company or its Affiliates, which relates to events occurring during Executive’s employment with the Company and its Affiliates as to which Executive may have relevant information (including but not limited to furnishing relevant information and materials to the Company or its designee and/or providing testimony at depositions and at trial); provided that with respect to such cooperation occurring following termination of employment, the Company shall reimburse Executive for expenses reasonably incurred in connection therewith, and further provided that any such cooperation occurring after the termination of Executive’s employment shall be scheduled so as not to unreasonably interfere with Executive’s business or personal affairs. 14. Withholding. The Company may deduct and withhold from any amounts payable under this Agreement such Federal, state, local, non-U.S. or other taxes as are required to be withheld pursuant to any applicable law or regulation. 15. Assignment. a. This Agreement is personal to Executive and without the prior written consent of the Company shall not be assignable by Executive, except for the assignment by will or the laws of descent and distribution of any accrued pecuniary interest of Executive, and any assignment in violation of this Agreement shall be void. The Company may only assign this Agreement, and its rights and obligations hereunder, in accordance with the terms of Section 14(b).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1"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b. This Agreement shall be binding on, and shall inure to the benefit of, the parties to it and their respective heirs, legal representatives, successors and permitted assigns (including, without limitation, successors by merger, consolidation, sale or similar transaction, and, in the event of Executive’s death or Disability, Executive’s estate, successors, heirs and assigns in the case of any payments due to Executive hereunder). 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“Company” means the Company as hereinbefore defined and any successor to its business and/or assets as aforesaid that assumes and agrees to perform this Agreement by operation of law or otherwise. Following a Change in Control, if the Company is not the ultimate parent corporation and the Company’s common stock is not publicly traded, the “Board of Directors” or “Board” as used in this Agreement shall refer to the board of directors of the ultimate parent of the Company. c. Executive acknowledges and agrees that all of Executive’s covenants and obligations to the Company, as well as the rights of the Company hereunder, shall run in favor of and shall be enforceable by the Company and its successors and assigns. 16. Governing Law; No Construction Against Drafter. This Agreement shall be deemed to be made in the State of New York, and the validity, interpretation, construction, and performance of this Agreement in all respects shall be governed by the laws of the State of New York without regard to its principles of conflicts of law. No provision of this Agreement or any related document will be construed against or interpreted to the disadvantage of any party hereto by any court or other governmental or judicial authority by reason of such party having or being deemed to have structured or drafted such provision. 17. Amendment; No Waiver; Severability. a. No provisions of this Agreement may be amended, modified, waived or discharged except by a written document signed by Executive and a duly authorized officer of the Company (other than Executive).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 No failure or delay by either party in exercising any right or power hereunder will operate as a waiver thereof, nor will any single or partial exercise of any such right or power, or any abandonment of any steps to enforce such a right or power, preclude any other or further exercise thereof or the exercise of any other right or power. b. If any term or provision of this Agreement is invalid, illegal or incapable of being enforced by any applicable law or public policy, all other conditions and provisions of this Agreement shall nonetheless remain in full force and effect so long as the economic and legal substance of the transactions contemplated by this Agreement is not affected in any manner materially adverse to any party; provided, that in the event that any court of competent jurisdiction shall finally hold in a non- appealable judicial determination that any provision of Section 7, 8 or 9 (whether in whole or in part) is void or constitutes an unreasonable restriction against Executive, such provision shall not be rendered void but shall be deemed to be modified to the minimum extent necessary to make such provision enforceable for the longest duration and the greatest scope as such court may determine constitutes a reasonable restriction under the circumstances. Subject to the foregoing,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12"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18. Entire Agreement. This Agreement constitutes the entire agreement and understanding between the Company and Executive with respect to the subject matter hereof and supersedes all prior agreements and understandings (whether written or oral), between Executive and the Company, relating to such subject matter, except that the terms of the Proprietary Invention Assignment, Noncompetition and Confidentiality Agreement (the “Proprietary Agreement”) dated on or around April 29, 2024, any and all award agreements outstanding under the Second A&amp;R MIP, and Executive’s joinder agreement to the Amended and Restated Limited Liability Company Agreement of Virtu Employee Holdco LLC shall each continue in full force and effect in accordance with their terms, and any award agreements issued pursuant to the Plan shall continue in full force and effect in accordance with their terms. 19. Survival. The rights and obligations of the parties under the provisions of this Agreement shall survive, and remain binding and enforceable, notwithstanding the expiration of the Term, the termination of this Agreement, the termination of Executive’s employment hereunder or any settlement of the financial rights and obligations arising from Executive’s employment hereunder, to the extent necessary to preserve the intended benefits of such provisions. 20. Notices. All notices or other communications required or permitted to be given hereunder shall be in writing and shall be delivered by hand or sent by facsimile or sent, postage prepaid, by registered, certified or express mail or overnight courier service and shall be deemed given when so delivered by hand or facsimile, or if mailed, three days after mailing (one (1) business day in the case of express mail or overnight courier service) to the parties at the following addresses or facsimiles (or at such other address for a party as shall be specified by like notice): If to the Company: Virtu Financial 1633 Broadway, 41st Floor New York, NY 10019 Attn: Legal Department E-mail: Legal @virtu.com If to Executive: At the most recent address on file in the Company’s records Notices delivered by email shall have the same legal effect as if such notice had been delivered in person. 21. Headings and References. The headings of this Agreement are inserted for convenience only and neither constitute a part of this Agreement nor affect in any way the meaning or interpretation of this Agreement. When a reference in this Agreement is made to a Section, such reference shall be to a Section of this Agreement unless otherwise indicated. 22. Counterparts.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3"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This Agreement has been duly executed by the parties as of the date first written above. VIRTU FINANCIAL OPERATING LLC By: _________________ Name: Aaron Simons Title: Chief Executive Officer Date: _________________ EXECUTIVE: By: __________________ Name: Cindy Lee Date: _________________ Aaron Simons (Jun 8, 2026 17:12:13 EDT) 06/08/2026 Cindy Lee (Jun 8, 2026 17:21:50 EDT) Cindy Lee 06/08/2026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CEO CERTIFICATION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302 OF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SARBANES — 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Aaron Simons,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ending June 30, 2026 of Virtu Financial, Inc. (the “registrant”) as filed with the Securities and Exchange Commission on the date hereof;</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183"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606"/>
        <w:gridCol w:w="606"/>
        <w:gridCol w:w="858"/>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Aaron Simons</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Aaron Simons</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CFO CERTIFICATION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302 OF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SARBANES — 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Cindy Lee,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period ending June 30, 2026 of Virtu Financial, Inc. (the “registrant”) as filed with the Securities and Exchange Commission on the date hereof;</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firstLine="1620"/>
        <w:jc w:val="left"/>
        <w:rPr>
          <w:color w:val="000000"/>
        </w:rPr>
      </w:pPr>
      <w:r>
        <w:rPr>
          <w:color w:val="000000"/>
        </w:rPr>
        <w:t>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123"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588"/>
        <w:gridCol w:w="588"/>
        <w:gridCol w:w="83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Cindy Lee</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Cindy Lee</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Virtu Financial, Inc. (the “Company”) for the period ended June 30, 2026 as filed with the Securities and Exchange Commission on the date hereof (the “Report”), I, Aaron Simons, certify, pursuant to 18 U.S.C. Section 1350, as adopted pursuant to Section 906 of the Sarbanes-Oxley Act of 2002, in my capacity as an officer of the Company that, to my knowledge:</w:t>
      </w:r>
    </w:p>
    <w:p>
      <w:pPr>
        <w:pStyle w:val="TextBody"/>
        <w:bidi w:val="0"/>
        <w:spacing w:before="0" w:after="0"/>
        <w:ind w:left="0" w:right="0" w:firstLine="12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as applicable,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ind w:left="0" w:right="0" w:firstLine="1260"/>
        <w:jc w:val="center"/>
        <w:rPr>
          <w:color w:val="000000"/>
        </w:rPr>
      </w:pPr>
      <w:r>
        <w:rPr>
          <w:color w:val="000000"/>
        </w:rPr>
        <w:t> </w:t>
      </w:r>
    </w:p>
    <w:tbl>
      <w:tblPr>
        <w:tblW w:w="2412" w:type="dxa"/>
        <w:jc w:val="left"/>
        <w:tblInd w:w="0" w:type="dxa"/>
        <w:tblLayout w:type="fixed"/>
        <w:tblCellMar>
          <w:top w:w="28" w:type="dxa"/>
          <w:left w:w="28" w:type="dxa"/>
          <w:bottom w:w="28" w:type="dxa"/>
          <w:right w:w="28" w:type="dxa"/>
        </w:tblCellMar>
      </w:tblPr>
      <w:tblGrid>
        <w:gridCol w:w="124"/>
        <w:gridCol w:w="109"/>
        <w:gridCol w:w="109"/>
        <w:gridCol w:w="606"/>
        <w:gridCol w:w="606"/>
        <w:gridCol w:w="8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Aaron Simons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Aaron Simons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Virtu Financial, Inc. (the “Company”) for the period ended June 30, 2026 as filed with the Securities and Exchange Commission on the date hereof (the “Report”), I, Cindy Lee, certify, pursuant to 18 U.S.C. Section 1350, as adopted pursuant to Section 906 of the Sarbanes-Oxley Act of 2002, in my capacity as an officer of the Company that, to my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as applicable,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352" w:type="dxa"/>
        <w:jc w:val="left"/>
        <w:tblInd w:w="0" w:type="dxa"/>
        <w:tblLayout w:type="fixed"/>
        <w:tblCellMar>
          <w:top w:w="28" w:type="dxa"/>
          <w:left w:w="28" w:type="dxa"/>
          <w:bottom w:w="28" w:type="dxa"/>
          <w:right w:w="28" w:type="dxa"/>
        </w:tblCellMar>
      </w:tblPr>
      <w:tblGrid>
        <w:gridCol w:w="124"/>
        <w:gridCol w:w="109"/>
        <w:gridCol w:w="109"/>
        <w:gridCol w:w="588"/>
        <w:gridCol w:w="588"/>
        <w:gridCol w:w="8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Cindy Lee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Cindy Lee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31,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92386/000159238623000053/exhibit31q223.htm" TargetMode="External"/><Relationship Id="rId3" Type="http://schemas.openxmlformats.org/officeDocument/2006/relationships/hyperlink" Target="https://www.sec.gov/Archives/edgar/data/1592386/000110465915042100/a15-8228_1ex3d2.htm" TargetMode="External"/><Relationship Id="rId4" Type="http://schemas.openxmlformats.org/officeDocument/2006/relationships/hyperlink" Target="https://www.sec.gov/Archives/edgar/data/1592386/000095014226002156/eh260810393_ex1001.htm" TargetMode="External"/><Relationship Id="rId5" Type="http://schemas.openxmlformats.org/officeDocument/2006/relationships/hyperlink" Target="https://www.sec.gov/Archives/edgar/data/1592386/000095014226002156/eh260810393_ex1001.htm" TargetMode="External"/><Relationship Id="rId6" Type="http://schemas.openxmlformats.org/officeDocument/2006/relationships/hyperlink" Target="https://www.sec.gov/Archives/edgar/data/1592386/000095014226002156/eh260810393_ex1001.htm" TargetMode="External"/><Relationship Id="rId7" Type="http://schemas.openxmlformats.org/officeDocument/2006/relationships/hyperlink" Target="https://www.sec.gov/Archives/edgar/data/1592386/000095014226002156/eh260810393_ex1001.htm" TargetMode="External"/><Relationship Id="rId8" Type="http://schemas.openxmlformats.org/officeDocument/2006/relationships/hyperlink" Target="https://www.sec.gov/Archives/edgar/data/1592386/000095014226002156/eh260810393_ex1001.htm" TargetMode="External"/><Relationship Id="rId9" Type="http://schemas.openxmlformats.org/officeDocument/2006/relationships/hyperlink" Target="https://www.sec.gov/Archives/edgar/data/1592386/000095014226002156/eh260810393_ex1001.htm" TargetMode="External"/><Relationship Id="rId10" Type="http://schemas.openxmlformats.org/officeDocument/2006/relationships/hyperlink" Target="https://www.sec.gov/Archives/edgar/data/1592386/000095014226002156/eh260810393_ex1001.htm" TargetMode="External"/><Relationship Id="rId11" Type="http://schemas.openxmlformats.org/officeDocument/2006/relationships/hyperlink" Target="https://www.sec.gov/Archives/edgar/data/1592386/000095014226002156/eh260810393_ex1001.htm" TargetMode="External"/><Relationship Id="rId12" Type="http://schemas.openxmlformats.org/officeDocument/2006/relationships/hyperlink" Target="https://www.sec.gov/Archives/edgar/data/1592386/000095014226002156/eh260810393_ex1001.htm" TargetMode="External"/><Relationship Id="rId13" Type="http://schemas.openxmlformats.org/officeDocument/2006/relationships/hyperlink" Target="https://www.sec.gov/Archives/edgar/data/1592386/000095014226002156/eh260810393_ex1001.htm" TargetMode="External"/><Relationship Id="rId14" Type="http://schemas.openxmlformats.org/officeDocument/2006/relationships/hyperlink" Target="https://www.sec.gov/Archives/edgar/data/1592386/000095014226002156/eh260810393_ex1001.htm" TargetMode="External"/><Relationship Id="rId15" Type="http://schemas.openxmlformats.org/officeDocument/2006/relationships/hyperlink" Target="https://www.sec.gov/Archives/edgar/data/1592386/000095014226002156/eh260810393_ex1001.htm" TargetMode="External"/><Relationship Id="rId16" Type="http://schemas.openxmlformats.org/officeDocument/2006/relationships/hyperlink" Target="https://www.sec.gov/Archives/edgar/data/1592386/000095014226002156/eh260810393_ex1001.htm" TargetMode="External"/><Relationship Id="rId17" Type="http://schemas.openxmlformats.org/officeDocument/2006/relationships/hyperlink" Target="https://www.sec.gov/Archives/edgar/data/1592386/000095014226002156/eh260810393_ex1001.htm" TargetMode="External"/><Relationship Id="rId18" Type="http://schemas.openxmlformats.org/officeDocument/2006/relationships/hyperlink" Target="https://www.sec.gov/Archives/edgar/data/1592386/000095014226002156/eh260810393_ex1001.htm" TargetMode="External"/><Relationship Id="rId19" Type="http://schemas.openxmlformats.org/officeDocument/2006/relationships/hyperlink" Target="https://www.sec.gov/Archives/edgar/data/1592386/000095014226002156/eh260810393_ex1001.htm" TargetMode="External"/><Relationship Id="rId20" Type="http://schemas.openxmlformats.org/officeDocument/2006/relationships/hyperlink" Target="https://www.sec.gov/Archives/edgar/data/1592386/000095014226002156/eh260810393_ex1001.htm" TargetMode="External"/><Relationship Id="rId21" Type="http://schemas.openxmlformats.org/officeDocument/2006/relationships/image" Target="media/image1.jpeg"/><Relationship Id="rId22" Type="http://schemas.openxmlformats.org/officeDocument/2006/relationships/image" Target="media/image2.jpeg"/><Relationship Id="rId23" Type="http://schemas.openxmlformats.org/officeDocument/2006/relationships/image" Target="media/image3.jpeg"/><Relationship Id="rId24" Type="http://schemas.openxmlformats.org/officeDocument/2006/relationships/image" Target="media/image4.jpeg"/><Relationship Id="rId25" Type="http://schemas.openxmlformats.org/officeDocument/2006/relationships/image" Target="media/image5.jpeg"/><Relationship Id="rId26" Type="http://schemas.openxmlformats.org/officeDocument/2006/relationships/image" Target="media/image6.jpeg"/><Relationship Id="rId27" Type="http://schemas.openxmlformats.org/officeDocument/2006/relationships/image" Target="media/image7.jpeg"/><Relationship Id="rId28" Type="http://schemas.openxmlformats.org/officeDocument/2006/relationships/image" Target="media/image8.jpeg"/><Relationship Id="rId29" Type="http://schemas.openxmlformats.org/officeDocument/2006/relationships/image" Target="media/image9.jpeg"/><Relationship Id="rId30" Type="http://schemas.openxmlformats.org/officeDocument/2006/relationships/image" Target="media/image10.jpeg"/><Relationship Id="rId31" Type="http://schemas.openxmlformats.org/officeDocument/2006/relationships/image" Target="media/image11.jpeg"/><Relationship Id="rId32" Type="http://schemas.openxmlformats.org/officeDocument/2006/relationships/image" Target="media/image12.jpeg"/><Relationship Id="rId33" Type="http://schemas.openxmlformats.org/officeDocument/2006/relationships/image" Target="media/image13.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55589</Words>
  <Characters>308705</Characters>
  <CharactersWithSpaces>361924</CharactersWithSpaces>
  <Paragraphs>6667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exhibit101q226</dc:title>
</cp:coreProperties>
</file>