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308610</wp:posOffset>
            </wp:positionV>
            <wp:extent cx="7233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325120</wp:posOffset>
            </wp:positionV>
            <wp:extent cx="7233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ind w:left="4020" w:right="2260" w:hanging="4015"/>
        <w:spacing w:after="0" w:line="290"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June 30, 2018</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73" w:lineRule="exact"/>
        <w:rPr>
          <w:sz w:val="24"/>
          <w:szCs w:val="24"/>
          <w:color w:val="auto"/>
        </w:rPr>
      </w:pPr>
    </w:p>
    <w:p>
      <w:pPr>
        <w:ind w:left="200" w:hanging="195"/>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 (d) OF THE SECURITIES EXCHANGE ACT OF 1934</w:t>
      </w:r>
    </w:p>
    <w:p>
      <w:pPr>
        <w:spacing w:after="0" w:line="29" w:lineRule="exact"/>
        <w:rPr>
          <w:sz w:val="24"/>
          <w:szCs w:val="24"/>
          <w:color w:val="auto"/>
        </w:rPr>
      </w:pPr>
    </w:p>
    <w:p>
      <w:pPr>
        <w:ind w:left="43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Virtu Financial,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150" w:lineRule="exact"/>
        <w:rPr>
          <w:sz w:val="24"/>
          <w:szCs w:val="24"/>
          <w:color w:val="auto"/>
        </w:rPr>
      </w:pPr>
    </w:p>
    <w:tbl>
      <w:tblPr>
        <w:tblLayout w:type="fixed"/>
        <w:tblInd w:w="1200" w:type="dxa"/>
        <w:tblCellMar>
          <w:top w:w="0" w:type="dxa"/>
          <w:left w:w="0" w:type="dxa"/>
          <w:bottom w:w="0" w:type="dxa"/>
          <w:right w:w="0" w:type="dxa"/>
        </w:tblCellMar>
      </w:tblPr>
      <w:tr>
        <w:trPr>
          <w:trHeight w:val="228"/>
        </w:trPr>
        <w:tc>
          <w:tcPr>
            <w:tcW w:w="4840" w:type="dxa"/>
            <w:vAlign w:val="bottom"/>
          </w:tcPr>
          <w:p>
            <w:pPr>
              <w:jc w:val="center"/>
              <w:ind w:right="1427"/>
              <w:spacing w:after="0"/>
              <w:rPr>
                <w:sz w:val="20"/>
                <w:szCs w:val="20"/>
                <w:color w:val="auto"/>
              </w:rPr>
            </w:pPr>
            <w:r>
              <w:rPr>
                <w:rFonts w:ascii="Arial" w:cs="Arial" w:eastAsia="Arial" w:hAnsi="Arial"/>
                <w:sz w:val="17"/>
                <w:szCs w:val="17"/>
                <w:b w:val="1"/>
                <w:bCs w:val="1"/>
                <w:color w:val="auto"/>
                <w:w w:val="93"/>
              </w:rPr>
              <w:t>Delaware</w:t>
            </w:r>
          </w:p>
        </w:tc>
        <w:tc>
          <w:tcPr>
            <w:tcW w:w="354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c>
          <w:tcPr>
            <w:tcW w:w="0" w:type="dxa"/>
            <w:vAlign w:val="bottom"/>
          </w:tcPr>
          <w:p>
            <w:pPr>
              <w:spacing w:after="0"/>
              <w:rPr>
                <w:sz w:val="1"/>
                <w:szCs w:val="1"/>
                <w:color w:val="auto"/>
              </w:rPr>
            </w:pPr>
          </w:p>
        </w:tc>
      </w:tr>
      <w:tr>
        <w:trPr>
          <w:trHeight w:val="213"/>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3540" w:type="dxa"/>
            <w:vAlign w:val="bottom"/>
          </w:tcPr>
          <w:p>
            <w:pPr>
              <w:jc w:val="center"/>
              <w:ind w:left="1426"/>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90"/>
        </w:trPr>
        <w:tc>
          <w:tcPr>
            <w:tcW w:w="4840" w:type="dxa"/>
            <w:vAlign w:val="bottom"/>
          </w:tcPr>
          <w:p>
            <w:pPr>
              <w:jc w:val="center"/>
              <w:ind w:right="1427"/>
              <w:spacing w:after="0"/>
              <w:rPr>
                <w:sz w:val="20"/>
                <w:szCs w:val="20"/>
                <w:color w:val="auto"/>
              </w:rPr>
            </w:pPr>
            <w:r>
              <w:rPr>
                <w:rFonts w:ascii="Arial" w:cs="Arial" w:eastAsia="Arial" w:hAnsi="Arial"/>
                <w:sz w:val="14"/>
                <w:szCs w:val="14"/>
                <w:b w:val="1"/>
                <w:bCs w:val="1"/>
                <w:color w:val="auto"/>
                <w:w w:val="88"/>
              </w:rPr>
              <w:t>300 Vesey Street</w:t>
            </w:r>
          </w:p>
        </w:tc>
        <w:tc>
          <w:tcPr>
            <w:tcW w:w="3540" w:type="dxa"/>
            <w:vAlign w:val="bottom"/>
            <w:vMerge w:val="restart"/>
          </w:tcPr>
          <w:p>
            <w:pPr>
              <w:jc w:val="right"/>
              <w:ind w:right="766"/>
              <w:spacing w:after="0"/>
              <w:rPr>
                <w:sz w:val="20"/>
                <w:szCs w:val="20"/>
                <w:color w:val="auto"/>
              </w:rPr>
            </w:pPr>
            <w:r>
              <w:rPr>
                <w:rFonts w:ascii="Arial" w:cs="Arial" w:eastAsia="Arial" w:hAnsi="Arial"/>
                <w:sz w:val="14"/>
                <w:szCs w:val="14"/>
                <w:b w:val="1"/>
                <w:bCs w:val="1"/>
                <w:color w:val="auto"/>
              </w:rPr>
              <w:t>10282</w:t>
            </w:r>
          </w:p>
        </w:tc>
        <w:tc>
          <w:tcPr>
            <w:tcW w:w="0" w:type="dxa"/>
            <w:vAlign w:val="bottom"/>
          </w:tcPr>
          <w:p>
            <w:pPr>
              <w:spacing w:after="0"/>
              <w:rPr>
                <w:sz w:val="1"/>
                <w:szCs w:val="1"/>
                <w:color w:val="auto"/>
              </w:rPr>
            </w:pPr>
          </w:p>
        </w:tc>
      </w:tr>
      <w:tr>
        <w:trPr>
          <w:trHeight w:val="183"/>
        </w:trPr>
        <w:tc>
          <w:tcPr>
            <w:tcW w:w="4840" w:type="dxa"/>
            <w:vAlign w:val="bottom"/>
          </w:tcPr>
          <w:p>
            <w:pPr>
              <w:jc w:val="center"/>
              <w:ind w:right="1447"/>
              <w:spacing w:after="0"/>
              <w:rPr>
                <w:sz w:val="20"/>
                <w:szCs w:val="20"/>
                <w:color w:val="auto"/>
              </w:rPr>
            </w:pPr>
            <w:r>
              <w:rPr>
                <w:rFonts w:ascii="Arial" w:cs="Arial" w:eastAsia="Arial" w:hAnsi="Arial"/>
                <w:sz w:val="14"/>
                <w:szCs w:val="14"/>
                <w:b w:val="1"/>
                <w:bCs w:val="1"/>
                <w:color w:val="auto"/>
                <w:w w:val="92"/>
              </w:rPr>
              <w:t>New York, New York 10282</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(Address of principal executive offices)</w:t>
            </w:r>
          </w:p>
        </w:tc>
        <w:tc>
          <w:tcPr>
            <w:tcW w:w="3540" w:type="dxa"/>
            <w:vAlign w:val="bottom"/>
          </w:tcPr>
          <w:p>
            <w:pPr>
              <w:jc w:val="center"/>
              <w:ind w:left="1446"/>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3" w:lineRule="exact"/>
        <w:rPr>
          <w:sz w:val="24"/>
          <w:szCs w:val="24"/>
          <w:color w:val="auto"/>
        </w:rPr>
      </w:pPr>
    </w:p>
    <w:p>
      <w:pPr>
        <w:ind w:right="120" w:firstLine="315"/>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300" w:firstLine="315"/>
        <w:spacing w:after="0" w:line="3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25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760" w:type="dxa"/>
            <w:vAlign w:val="bottom"/>
          </w:tcPr>
          <w:p>
            <w:pPr>
              <w:ind w:left="11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620" w:type="dxa"/>
            <w:vAlign w:val="bottom"/>
          </w:tcPr>
          <w:p>
            <w:pPr>
              <w:jc w:val="center"/>
              <w:ind w:right="94"/>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223"/>
        </w:trPr>
        <w:tc>
          <w:tcPr>
            <w:tcW w:w="2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20" w:type="dxa"/>
            <w:vAlign w:val="bottom"/>
          </w:tcPr>
          <w:p>
            <w:pPr>
              <w:jc w:val="center"/>
              <w:ind w:right="114"/>
              <w:spacing w:after="0"/>
              <w:rPr>
                <w:sz w:val="20"/>
                <w:szCs w:val="20"/>
                <w:color w:val="auto"/>
              </w:rPr>
            </w:pPr>
            <w:r>
              <w:rPr>
                <w:rFonts w:ascii="Arial" w:cs="Arial" w:eastAsia="Arial" w:hAnsi="Arial"/>
                <w:sz w:val="12"/>
                <w:szCs w:val="12"/>
                <w:color w:val="auto"/>
                <w:w w:val="94"/>
              </w:rPr>
              <w:t>(Do not check if a smaller reporting company)</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1"/>
              </w:rPr>
              <w:t xml:space="preserve">Emerging growth company </w:t>
            </w:r>
            <w:r>
              <w:rPr>
                <w:rFonts w:ascii="MS PGothic" w:cs="MS PGothic" w:eastAsia="MS PGothic" w:hAnsi="MS PGothic"/>
                <w:sz w:val="14"/>
                <w:szCs w:val="14"/>
                <w:color w:val="auto"/>
                <w:w w:val="91"/>
              </w:rPr>
              <w:t>☒</w:t>
            </w:r>
          </w:p>
        </w:tc>
      </w:tr>
    </w:tbl>
    <w:p>
      <w:pPr>
        <w:spacing w:after="0" w:line="131" w:lineRule="exact"/>
        <w:rPr>
          <w:sz w:val="24"/>
          <w:szCs w:val="24"/>
          <w:color w:val="auto"/>
        </w:rPr>
      </w:pPr>
    </w:p>
    <w:p>
      <w:pPr>
        <w:ind w:right="140" w:firstLine="315"/>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ind w:left="320"/>
        <w:spacing w:after="0" w:line="173"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Outstanding as of</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August 6, 2018</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107,005,322</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Class C common stock, par value $0.00001 per share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14,331,267</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D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69,091,740</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32" w:right="25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FORM 10-Q</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JUNE 30, 2018</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PAGE</w:t>
            </w:r>
          </w:p>
        </w:tc>
      </w:t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r>
      <w:tr>
        <w:trPr>
          <w:trHeight w:val="459"/>
        </w:trPr>
        <w:tc>
          <w:tcPr>
            <w:tcW w:w="660" w:type="dxa"/>
            <w:vAlign w:val="bottom"/>
            <w:gridSpan w:val="2"/>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PART I -</w:t>
              </w:r>
            </w:hyperlink>
          </w:p>
        </w:tc>
        <w:tc>
          <w:tcPr>
            <w:tcW w:w="580" w:type="dxa"/>
            <w:vAlign w:val="bottom"/>
            <w:gridSpan w:val="2"/>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INFORMATION</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Item 1.</w:t>
              </w:r>
            </w:hyperlink>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414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Financial Statements (Unaudited)</w:t>
              </w:r>
            </w:hyperlink>
          </w:p>
        </w:tc>
        <w:tc>
          <w:tcPr>
            <w:tcW w:w="486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Financial Condition</w:t>
              </w:r>
            </w:hyperlink>
          </w:p>
        </w:tc>
        <w:tc>
          <w:tcPr>
            <w:tcW w:w="114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Comprehensive Income (Loss)</w:t>
              </w:r>
            </w:hyperlink>
          </w:p>
        </w:tc>
        <w:tc>
          <w:tcPr>
            <w:tcW w:w="114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8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1"/>
              </w:rPr>
            </w:pPr>
            <w:hyperlink w:anchor="page6">
              <w:r>
                <w:rPr>
                  <w:rFonts w:ascii="Arial" w:cs="Arial" w:eastAsia="Arial" w:hAnsi="Arial"/>
                  <w:sz w:val="17"/>
                  <w:szCs w:val="17"/>
                  <w:color w:val="0000EE"/>
                  <w:w w:val="91"/>
                </w:rPr>
                <w:t>Condensed Consolidated Statements of Changes in Equity</w:t>
              </w:r>
            </w:hyperlink>
          </w:p>
        </w:tc>
        <w:tc>
          <w:tcPr>
            <w:tcW w:w="860" w:type="dxa"/>
            <w:vAlign w:val="bottom"/>
            <w:tcBorders>
              <w:top w:val="single" w:sz="8" w:color="0000EE"/>
            </w:tcBorders>
            <w:gridSpan w:val="6"/>
          </w:tcPr>
          <w:p>
            <w:pPr>
              <w:spacing w:after="0"/>
              <w:rPr>
                <w:sz w:val="24"/>
                <w:szCs w:val="24"/>
                <w:color w:val="auto"/>
              </w:rPr>
            </w:pPr>
          </w:p>
        </w:tc>
        <w:tc>
          <w:tcPr>
            <w:tcW w:w="4060" w:type="dxa"/>
            <w:vAlign w:val="bottom"/>
            <w:gridSpan w:val="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Cash Flows</w:t>
              </w:r>
            </w:hyperlink>
          </w:p>
        </w:tc>
        <w:tc>
          <w:tcPr>
            <w:tcW w:w="114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 (Unaudited)</w:t>
              </w:r>
            </w:hyperlink>
          </w:p>
        </w:tc>
        <w:tc>
          <w:tcPr>
            <w:tcW w:w="1140" w:type="dxa"/>
            <w:vAlign w:val="bottom"/>
          </w:tcPr>
          <w:p>
            <w:pPr>
              <w:jc w:val="right"/>
              <w:spacing w:after="0"/>
              <w:rPr>
                <w:rFonts w:ascii="Arial" w:cs="Arial" w:eastAsia="Arial" w:hAnsi="Arial"/>
                <w:sz w:val="17"/>
                <w:szCs w:val="17"/>
                <w:color w:val="auto"/>
              </w:rPr>
            </w:pPr>
            <w:hyperlink w:anchor="page10">
              <w:r>
                <w:rPr>
                  <w:rFonts w:ascii="Arial" w:cs="Arial" w:eastAsia="Arial" w:hAnsi="Arial"/>
                  <w:sz w:val="17"/>
                  <w:szCs w:val="17"/>
                  <w:color w:val="auto"/>
                </w:rPr>
                <w:t>9</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46">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628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46">
              <w:r>
                <w:rPr>
                  <w:rFonts w:ascii="Arial" w:cs="Arial" w:eastAsia="Arial" w:hAnsi="Arial"/>
                  <w:sz w:val="17"/>
                  <w:szCs w:val="17"/>
                  <w:color w:val="0000EE"/>
                  <w:w w:val="93"/>
                </w:rPr>
                <w:t>Management’s Discussion and Analysis of Financial Condition and Results of Operations</w:t>
              </w:r>
            </w:hyperlink>
          </w:p>
        </w:tc>
        <w:tc>
          <w:tcPr>
            <w:tcW w:w="272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46">
              <w:r>
                <w:rPr>
                  <w:rFonts w:ascii="Arial" w:cs="Arial" w:eastAsia="Arial" w:hAnsi="Arial"/>
                  <w:sz w:val="17"/>
                  <w:szCs w:val="17"/>
                  <w:color w:val="auto"/>
                </w:rPr>
                <w:t>44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6">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4240" w:type="dxa"/>
            <w:vAlign w:val="bottom"/>
            <w:tcBorders>
              <w:bottom w:val="single" w:sz="8" w:color="0000EE"/>
            </w:tcBorders>
            <w:gridSpan w:val="15"/>
          </w:tcPr>
          <w:p>
            <w:pPr>
              <w:spacing w:after="0"/>
              <w:rPr>
                <w:rFonts w:ascii="Arial" w:cs="Arial" w:eastAsia="Arial" w:hAnsi="Arial"/>
                <w:sz w:val="17"/>
                <w:szCs w:val="17"/>
                <w:color w:val="0000EE"/>
                <w:w w:val="94"/>
              </w:rPr>
            </w:pPr>
            <w:hyperlink w:anchor="page76">
              <w:r>
                <w:rPr>
                  <w:rFonts w:ascii="Arial" w:cs="Arial" w:eastAsia="Arial" w:hAnsi="Arial"/>
                  <w:sz w:val="17"/>
                  <w:szCs w:val="17"/>
                  <w:color w:val="0000EE"/>
                  <w:w w:val="94"/>
                </w:rPr>
                <w:t>Quantitative and Qualitative Disclosures About Market Risk</w:t>
              </w:r>
            </w:hyperlink>
          </w:p>
        </w:tc>
        <w:tc>
          <w:tcPr>
            <w:tcW w:w="476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6">
              <w:r>
                <w:rPr>
                  <w:rFonts w:ascii="Arial" w:cs="Arial" w:eastAsia="Arial" w:hAnsi="Arial"/>
                  <w:sz w:val="17"/>
                  <w:szCs w:val="17"/>
                  <w:color w:val="auto"/>
                </w:rPr>
                <w:t>74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8">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78">
              <w:r>
                <w:rPr>
                  <w:rFonts w:ascii="Arial" w:cs="Arial" w:eastAsia="Arial" w:hAnsi="Arial"/>
                  <w:sz w:val="17"/>
                  <w:szCs w:val="17"/>
                  <w:color w:val="0000EE"/>
                  <w:w w:val="90"/>
                </w:rPr>
                <w:t>Controls and Procedures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8">
              <w:r>
                <w:rPr>
                  <w:rFonts w:ascii="Arial" w:cs="Arial" w:eastAsia="Arial" w:hAnsi="Arial"/>
                  <w:sz w:val="17"/>
                  <w:szCs w:val="17"/>
                  <w:color w:val="auto"/>
                </w:rPr>
                <w:t>76</w:t>
              </w:r>
            </w:hyperlink>
          </w:p>
        </w:tc>
      </w:tr>
      <w:tr>
        <w:trPr>
          <w:trHeight w:val="505"/>
        </w:trPr>
        <w:tc>
          <w:tcPr>
            <w:tcW w:w="720" w:type="dxa"/>
            <w:vAlign w:val="bottom"/>
            <w:gridSpan w:val="3"/>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PART II -</w:t>
              </w:r>
            </w:hyperlink>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OTHER INFORMATION</w:t>
              </w:r>
            </w:hyperlink>
          </w:p>
        </w:tc>
        <w:tc>
          <w:tcPr>
            <w:tcW w:w="1140" w:type="dxa"/>
            <w:vAlign w:val="bottom"/>
          </w:tcPr>
          <w:p>
            <w:pPr>
              <w:spacing w:after="0"/>
              <w:rPr>
                <w:sz w:val="24"/>
                <w:szCs w:val="24"/>
                <w:color w:val="auto"/>
              </w:rPr>
            </w:pPr>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79">
              <w:r>
                <w:rPr>
                  <w:rFonts w:ascii="Arial" w:cs="Arial" w:eastAsia="Arial" w:hAnsi="Arial"/>
                  <w:sz w:val="17"/>
                  <w:szCs w:val="17"/>
                  <w:color w:val="0000EE"/>
                  <w:w w:val="99"/>
                </w:rPr>
                <w:t>Item 1.</w:t>
              </w:r>
            </w:hyperlink>
          </w:p>
        </w:tc>
        <w:tc>
          <w:tcPr>
            <w:tcW w:w="180" w:type="dxa"/>
            <w:vAlign w:val="bottom"/>
            <w:tcBorders>
              <w:top w:val="single" w:sz="8" w:color="0000EE"/>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0"/>
              </w:rPr>
            </w:pPr>
            <w:hyperlink w:anchor="page79">
              <w:r>
                <w:rPr>
                  <w:rFonts w:ascii="Arial" w:cs="Arial" w:eastAsia="Arial" w:hAnsi="Arial"/>
                  <w:sz w:val="17"/>
                  <w:szCs w:val="17"/>
                  <w:color w:val="0000EE"/>
                  <w:w w:val="90"/>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7180" w:type="dxa"/>
            <w:vAlign w:val="bottom"/>
            <w:gridSpan w:val="1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77</w:t>
              </w:r>
            </w:hyperlink>
          </w:p>
        </w:tc>
      </w:tr>
      <w:tr>
        <w:trPr>
          <w:trHeight w:val="505"/>
        </w:trPr>
        <w:tc>
          <w:tcPr>
            <w:tcW w:w="660" w:type="dxa"/>
            <w:vAlign w:val="bottom"/>
            <w:tcBorders>
              <w:bottom w:val="single" w:sz="8" w:color="0000EE"/>
            </w:tcBorders>
            <w:gridSpan w:val="2"/>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Item 1A.</w:t>
              </w:r>
            </w:hyperlink>
          </w:p>
        </w:tc>
        <w:tc>
          <w:tcPr>
            <w:tcW w:w="58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79">
              <w:r>
                <w:rPr>
                  <w:rFonts w:ascii="Arial" w:cs="Arial" w:eastAsia="Arial" w:hAnsi="Arial"/>
                  <w:sz w:val="17"/>
                  <w:szCs w:val="17"/>
                  <w:color w:val="0000EE"/>
                  <w:w w:val="90"/>
                </w:rPr>
                <w:t>Risk Factors</w:t>
              </w:r>
            </w:hyperlink>
          </w:p>
        </w:tc>
        <w:tc>
          <w:tcPr>
            <w:tcW w:w="8120" w:type="dxa"/>
            <w:vAlign w:val="bottom"/>
            <w:gridSpan w:val="17"/>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77</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79">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Unregistered Sales of Equity Securities and Use of Proceeds</w:t>
              </w:r>
            </w:hyperlink>
          </w:p>
        </w:tc>
        <w:tc>
          <w:tcPr>
            <w:tcW w:w="1140" w:type="dxa"/>
            <w:vAlign w:val="bottom"/>
          </w:tcPr>
          <w:p>
            <w:pPr>
              <w:jc w:val="right"/>
              <w:spacing w:after="0"/>
              <w:rPr>
                <w:rFonts w:ascii="Arial" w:cs="Arial" w:eastAsia="Arial" w:hAnsi="Arial"/>
                <w:sz w:val="17"/>
                <w:szCs w:val="17"/>
                <w:color w:val="auto"/>
              </w:rPr>
            </w:pPr>
            <w:hyperlink w:anchor="page79">
              <w:r>
                <w:rPr>
                  <w:rFonts w:ascii="Arial" w:cs="Arial" w:eastAsia="Arial" w:hAnsi="Arial"/>
                  <w:sz w:val="17"/>
                  <w:szCs w:val="17"/>
                  <w:color w:val="auto"/>
                </w:rPr>
                <w:t>77</w:t>
              </w:r>
            </w:hyperlink>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80">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2"/>
              </w:rPr>
            </w:pPr>
            <w:hyperlink w:anchor="page80">
              <w:r>
                <w:rPr>
                  <w:rFonts w:ascii="Arial" w:cs="Arial" w:eastAsia="Arial" w:hAnsi="Arial"/>
                  <w:sz w:val="17"/>
                  <w:szCs w:val="17"/>
                  <w:color w:val="0000EE"/>
                  <w:w w:val="92"/>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4780" w:type="dxa"/>
            <w:vAlign w:val="bottom"/>
            <w:gridSpan w:val="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78</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80">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80">
              <w:r>
                <w:rPr>
                  <w:rFonts w:ascii="Arial" w:cs="Arial" w:eastAsia="Arial" w:hAnsi="Arial"/>
                  <w:sz w:val="17"/>
                  <w:szCs w:val="17"/>
                  <w:color w:val="0000EE"/>
                  <w:w w:val="93"/>
                </w:rPr>
                <w:t>Mine Safety Disclosures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78</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80">
              <w:r>
                <w:rPr>
                  <w:rFonts w:ascii="Arial" w:cs="Arial" w:eastAsia="Arial" w:hAnsi="Arial"/>
                  <w:sz w:val="17"/>
                  <w:szCs w:val="17"/>
                  <w:color w:val="0000EE"/>
                  <w:w w:val="99"/>
                </w:rPr>
                <w:t>Item 5.</w:t>
              </w:r>
            </w:hyperlink>
          </w:p>
        </w:tc>
        <w:tc>
          <w:tcPr>
            <w:tcW w:w="700" w:type="dxa"/>
            <w:vAlign w:val="bottom"/>
            <w:gridSpan w:val="3"/>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80">
              <w:r>
                <w:rPr>
                  <w:rFonts w:ascii="Arial" w:cs="Arial" w:eastAsia="Arial" w:hAnsi="Arial"/>
                  <w:sz w:val="17"/>
                  <w:szCs w:val="17"/>
                  <w:color w:val="0000EE"/>
                  <w:w w:val="95"/>
                </w:rPr>
                <w:t>Other Information</w:t>
              </w:r>
            </w:hyperlink>
          </w:p>
        </w:tc>
        <w:tc>
          <w:tcPr>
            <w:tcW w:w="7720" w:type="dxa"/>
            <w:vAlign w:val="bottom"/>
            <w:gridSpan w:val="1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78</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81">
              <w:r>
                <w:rPr>
                  <w:rFonts w:ascii="Arial" w:cs="Arial" w:eastAsia="Arial" w:hAnsi="Arial"/>
                  <w:sz w:val="17"/>
                  <w:szCs w:val="17"/>
                  <w:color w:val="0000EE"/>
                  <w:w w:val="99"/>
                </w:rPr>
                <w:t>Item 6.</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Exhibits</w:t>
              </w:r>
            </w:hyperlink>
          </w:p>
        </w:tc>
        <w:tc>
          <w:tcPr>
            <w:tcW w:w="1140" w:type="dxa"/>
            <w:vAlign w:val="bottom"/>
          </w:tcPr>
          <w:p>
            <w:pPr>
              <w:jc w:val="right"/>
              <w:spacing w:after="0"/>
              <w:rPr>
                <w:rFonts w:ascii="Arial" w:cs="Arial" w:eastAsia="Arial" w:hAnsi="Arial"/>
                <w:sz w:val="17"/>
                <w:szCs w:val="17"/>
                <w:color w:val="auto"/>
              </w:rPr>
            </w:pPr>
            <w:hyperlink w:anchor="page81">
              <w:r>
                <w:rPr>
                  <w:rFonts w:ascii="Arial" w:cs="Arial" w:eastAsia="Arial" w:hAnsi="Arial"/>
                  <w:sz w:val="17"/>
                  <w:szCs w:val="17"/>
                  <w:color w:val="auto"/>
                </w:rPr>
                <w:t>79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SIGNATURES</w:t>
              </w:r>
            </w:hyperlink>
          </w:p>
        </w:tc>
        <w:tc>
          <w:tcPr>
            <w:tcW w:w="1140" w:type="dxa"/>
            <w:vAlign w:val="bottom"/>
          </w:tcPr>
          <w:p>
            <w:pPr>
              <w:jc w:val="right"/>
              <w:spacing w:after="0"/>
              <w:rPr>
                <w:rFonts w:ascii="Arial" w:cs="Arial" w:eastAsia="Arial" w:hAnsi="Arial"/>
                <w:sz w:val="17"/>
                <w:szCs w:val="17"/>
                <w:color w:val="auto"/>
              </w:rPr>
            </w:pPr>
            <w:hyperlink w:anchor="page85">
              <w:r>
                <w:rPr>
                  <w:rFonts w:ascii="Arial" w:cs="Arial" w:eastAsia="Arial" w:hAnsi="Arial"/>
                  <w:sz w:val="17"/>
                  <w:szCs w:val="17"/>
                  <w:color w:val="auto"/>
                </w:rPr>
                <w:t>83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firstLine="315"/>
        <w:spacing w:after="0" w:line="323" w:lineRule="auto"/>
        <w:rPr>
          <w:sz w:val="20"/>
          <w:szCs w:val="20"/>
          <w:color w:val="auto"/>
        </w:rPr>
      </w:pPr>
      <w:r>
        <w:rPr>
          <w:rFonts w:ascii="Arial" w:cs="Arial" w:eastAsia="Arial" w:hAnsi="Arial"/>
          <w:sz w:val="16"/>
          <w:szCs w:val="16"/>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Condensed Consolidated Financial Statements (Unaudited)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Arial" w:cs="Arial" w:eastAsia="Arial" w:hAnsi="Arial"/>
                <w:sz w:val="14"/>
                <w:szCs w:val="14"/>
                <w:b w:val="1"/>
                <w:bCs w:val="1"/>
                <w:color w:val="auto"/>
              </w:rPr>
              <w:t>PAGE</w:t>
            </w:r>
          </w:p>
        </w:tc>
      </w:tr>
      <w:tr>
        <w:trPr>
          <w:trHeight w:val="188"/>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NUMBER</w:t>
            </w:r>
          </w:p>
        </w:tc>
      </w:tr>
      <w:tr>
        <w:trPr>
          <w:trHeight w:val="720"/>
        </w:trPr>
        <w:tc>
          <w:tcPr>
            <w:tcW w:w="4220" w:type="dxa"/>
            <w:vAlign w:val="bottom"/>
            <w:tcBorders>
              <w:bottom w:val="single" w:sz="8" w:color="0000EE"/>
            </w:tcBorders>
            <w:gridSpan w:val="4"/>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Condensed Consolidated Statements of Financial Condition</w:t>
              </w:r>
            </w:hyperlink>
          </w:p>
        </w:tc>
        <w:tc>
          <w:tcPr>
            <w:tcW w:w="1060" w:type="dxa"/>
            <w:vAlign w:val="bottom"/>
            <w:gridSpan w:val="2"/>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505"/>
        </w:trPr>
        <w:tc>
          <w:tcPr>
            <w:tcW w:w="49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Comprehensive Income (Loss)</w:t>
              </w:r>
            </w:hyperlink>
          </w:p>
        </w:tc>
        <w:tc>
          <w:tcPr>
            <w:tcW w:w="340" w:type="dxa"/>
            <w:vAlign w:val="bottom"/>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5</w:t>
              </w:r>
            </w:hyperlink>
          </w:p>
        </w:tc>
      </w:tr>
      <w:tr>
        <w:trPr>
          <w:trHeight w:val="505"/>
        </w:trPr>
        <w:tc>
          <w:tcPr>
            <w:tcW w:w="412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6">
              <w:r>
                <w:rPr>
                  <w:rFonts w:ascii="Arial" w:cs="Arial" w:eastAsia="Arial" w:hAnsi="Arial"/>
                  <w:sz w:val="17"/>
                  <w:szCs w:val="17"/>
                  <w:color w:val="0000EE"/>
                  <w:w w:val="92"/>
                </w:rPr>
                <w:t>Condensed Consolidated Statements of Changes in Equity</w:t>
              </w:r>
            </w:hyperlink>
          </w:p>
        </w:tc>
        <w:tc>
          <w:tcPr>
            <w:tcW w:w="1160" w:type="dxa"/>
            <w:vAlign w:val="bottom"/>
            <w:gridSpan w:val="3"/>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3640" w:type="dxa"/>
            <w:vAlign w:val="bottom"/>
            <w:tcBorders>
              <w:bottom w:val="single" w:sz="8" w:color="0000EE"/>
            </w:tcBorders>
          </w:tcPr>
          <w:p>
            <w:pPr>
              <w:spacing w:after="0"/>
              <w:rPr>
                <w:rFonts w:ascii="Arial" w:cs="Arial" w:eastAsia="Arial" w:hAnsi="Arial"/>
                <w:sz w:val="17"/>
                <w:szCs w:val="17"/>
                <w:color w:val="0000EE"/>
                <w:w w:val="91"/>
              </w:rPr>
            </w:pPr>
            <w:hyperlink w:anchor="page8">
              <w:r>
                <w:rPr>
                  <w:rFonts w:ascii="Arial" w:cs="Arial" w:eastAsia="Arial" w:hAnsi="Arial"/>
                  <w:sz w:val="17"/>
                  <w:szCs w:val="17"/>
                  <w:color w:val="0000EE"/>
                  <w:w w:val="91"/>
                </w:rPr>
                <w:t>Condensed Consolidated Statements of Cash Flows</w:t>
              </w:r>
            </w:hyperlink>
          </w:p>
        </w:tc>
        <w:tc>
          <w:tcPr>
            <w:tcW w:w="1640" w:type="dxa"/>
            <w:vAlign w:val="bottom"/>
            <w:gridSpan w:val="5"/>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7</w:t>
              </w:r>
            </w:hyperlink>
          </w:p>
        </w:tc>
      </w:tr>
      <w:tr>
        <w:trPr>
          <w:trHeight w:val="505"/>
        </w:trPr>
        <w:tc>
          <w:tcPr>
            <w:tcW w:w="5280" w:type="dxa"/>
            <w:vAlign w:val="bottom"/>
            <w:gridSpan w:val="6"/>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w:t>
              </w:r>
            </w:hyperlink>
          </w:p>
        </w:tc>
        <w:tc>
          <w:tcPr>
            <w:tcW w:w="6100" w:type="dxa"/>
            <w:vAlign w:val="bottom"/>
            <w:gridSpan w:val="2"/>
          </w:tcPr>
          <w:p>
            <w:pPr>
              <w:jc w:val="right"/>
              <w:spacing w:after="0"/>
              <w:rPr>
                <w:rFonts w:ascii="Arial" w:cs="Arial" w:eastAsia="Arial" w:hAnsi="Arial"/>
                <w:sz w:val="17"/>
                <w:szCs w:val="17"/>
                <w:color w:val="auto"/>
              </w:rPr>
            </w:pPr>
            <w:hyperlink w:anchor="page10">
              <w:r>
                <w:rPr>
                  <w:rFonts w:ascii="Arial" w:cs="Arial" w:eastAsia="Arial" w:hAnsi="Arial"/>
                  <w:sz w:val="17"/>
                  <w:szCs w:val="17"/>
                  <w:color w:val="auto"/>
                </w:rPr>
                <w:t>9</w:t>
              </w:r>
            </w:hyperlink>
          </w:p>
        </w:tc>
      </w:tr>
      <w:tr>
        <w:trPr>
          <w:trHeight w:val="491"/>
        </w:trPr>
        <w:tc>
          <w:tcPr>
            <w:tcW w:w="3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jc w:val="right"/>
              <w:ind w:right="4333"/>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395"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interest data)</w:t>
            </w: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2017</w:t>
            </w:r>
          </w:p>
        </w:tc>
      </w:tr>
      <w:tr>
        <w:trPr>
          <w:trHeight w:val="33"/>
        </w:trPr>
        <w:tc>
          <w:tcPr>
            <w:tcW w:w="8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660,067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532,887</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Securities borrowed</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1,217,172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1,471,172</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purchased under agreements to resell</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Receivables from broker dealers and clearing organizations</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1,051,922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972,018</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Trading assets, at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82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2,224,885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2,117,579</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548,198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595,043</w:t>
            </w:r>
          </w:p>
        </w:tc>
      </w:tr>
      <w:tr>
        <w:trPr>
          <w:trHeight w:val="213"/>
        </w:trPr>
        <w:tc>
          <w:tcPr>
            <w:tcW w:w="8820" w:type="dxa"/>
            <w:vAlign w:val="bottom"/>
            <w:gridSpan w:val="2"/>
          </w:tcPr>
          <w:p>
            <w:pPr>
              <w:ind w:left="160"/>
              <w:spacing w:after="0"/>
              <w:rPr>
                <w:sz w:val="20"/>
                <w:szCs w:val="20"/>
                <w:color w:val="auto"/>
              </w:rPr>
            </w:pPr>
            <w:r>
              <w:rPr>
                <w:rFonts w:ascii="Arial" w:cs="Arial" w:eastAsia="Arial" w:hAnsi="Arial"/>
                <w:sz w:val="16"/>
                <w:szCs w:val="16"/>
                <w:color w:val="auto"/>
                <w:w w:val="93"/>
              </w:rPr>
              <w:t>Property, equipment and capitalized software (net of accumulated depreciation of $246,406 and $375,656 as of June 30, 2018 and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December 31, 2017, respectively)</w:t>
            </w:r>
          </w:p>
        </w:tc>
        <w:tc>
          <w:tcPr>
            <w:tcW w:w="1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129,242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137,018</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836,583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844,883</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w w:val="93"/>
              </w:rPr>
              <w:t>Intangibles (net of accumulated amortization of $137,084 and $123,408 as of June 30, 2018 and December 31, 2017, respectively)</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97,549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111,224</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Deferred tax assets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181,359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125,760</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Assets of business held for sale</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55,070</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assets ($43,186 and $98,364, at fair value, as of June 30, 2018 and December 31, 2017,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219,023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357,352</w:t>
            </w:r>
          </w:p>
        </w:tc>
      </w:tr>
      <w:tr>
        <w:trPr>
          <w:trHeight w:val="276"/>
        </w:trPr>
        <w:tc>
          <w:tcPr>
            <w:tcW w:w="8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7,171,163</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7,320,006</w:t>
            </w:r>
          </w:p>
        </w:tc>
      </w:tr>
      <w:tr>
        <w:trPr>
          <w:trHeight w:val="262"/>
        </w:trPr>
        <w:tc>
          <w:tcPr>
            <w:tcW w:w="8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44,006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27,883</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loaned</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788,843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754,687</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Securities sold under agreements to repurchase</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279,760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390,642</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Payables to broker dealers and clearing organizations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747,613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716,205</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Trading liabilities, at fair value: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2,406,364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2,384,598</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Tax receivable agreement obligations</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211,623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147,040</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 and 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235,580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358,825</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Long-term borrowings</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1,015,748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1,388,548</w:t>
            </w: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8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5,729,537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6,168,428</w:t>
            </w:r>
          </w:p>
        </w:tc>
      </w:tr>
      <w:tr>
        <w:trPr>
          <w:trHeight w:val="276"/>
        </w:trPr>
        <w:tc>
          <w:tcPr>
            <w:tcW w:w="8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6"/>
        </w:trPr>
        <w:tc>
          <w:tcPr>
            <w:tcW w:w="8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3"/>
        </w:trPr>
        <w:tc>
          <w:tcPr>
            <w:tcW w:w="8820" w:type="dxa"/>
            <w:vAlign w:val="bottom"/>
            <w:gridSpan w:val="2"/>
          </w:tcPr>
          <w:p>
            <w:pPr>
              <w:ind w:left="160"/>
              <w:spacing w:after="0"/>
              <w:rPr>
                <w:sz w:val="20"/>
                <w:szCs w:val="20"/>
                <w:color w:val="auto"/>
              </w:rPr>
            </w:pPr>
            <w:r>
              <w:rPr>
                <w:rFonts w:ascii="Arial" w:cs="Arial" w:eastAsia="Arial" w:hAnsi="Arial"/>
                <w:sz w:val="16"/>
                <w:szCs w:val="16"/>
                <w:color w:val="auto"/>
                <w:w w:val="94"/>
              </w:rPr>
              <w:t>Class A common stock (par value $0.00001), Authorized — 1,000,000,000 and 1,000,000,000 shares, Issued — 109,086,092 and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820" w:type="dxa"/>
            <w:vAlign w:val="bottom"/>
            <w:gridSpan w:val="2"/>
          </w:tcPr>
          <w:p>
            <w:pPr>
              <w:ind w:left="160"/>
              <w:spacing w:after="0"/>
              <w:rPr>
                <w:sz w:val="20"/>
                <w:szCs w:val="20"/>
                <w:color w:val="auto"/>
              </w:rPr>
            </w:pPr>
            <w:r>
              <w:rPr>
                <w:rFonts w:ascii="Arial" w:cs="Arial" w:eastAsia="Arial" w:hAnsi="Arial"/>
                <w:sz w:val="16"/>
                <w:szCs w:val="16"/>
                <w:color w:val="auto"/>
                <w:w w:val="95"/>
              </w:rPr>
              <w:t>90,415,532 shares, Outstanding — 106,907,321 and 89,798,609 shares at June 30, 2018 and December 31, 2017, respectively</w:t>
            </w:r>
          </w:p>
        </w:tc>
        <w:tc>
          <w:tcPr>
            <w:tcW w:w="1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1"/>
              </w:rPr>
              <w:t>Class B common stock (par value $0.00001), Authorized — 175,000,000 and 175,000,000 shares, Issued and Outstanding — 0 and 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shares at June 30, 2018 and December 31, 2017,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13"/>
        </w:trPr>
        <w:tc>
          <w:tcPr>
            <w:tcW w:w="8820" w:type="dxa"/>
            <w:vAlign w:val="bottom"/>
            <w:gridSpan w:val="2"/>
          </w:tcPr>
          <w:p>
            <w:pPr>
              <w:ind w:left="160"/>
              <w:spacing w:after="0"/>
              <w:rPr>
                <w:sz w:val="20"/>
                <w:szCs w:val="20"/>
                <w:color w:val="auto"/>
              </w:rPr>
            </w:pPr>
            <w:r>
              <w:rPr>
                <w:rFonts w:ascii="Arial" w:cs="Arial" w:eastAsia="Arial" w:hAnsi="Arial"/>
                <w:sz w:val="16"/>
                <w:szCs w:val="16"/>
                <w:color w:val="auto"/>
                <w:w w:val="90"/>
              </w:rPr>
              <w:t>Class C common stock (par value $0.00001), Authorized — 90,000,000 and 90,000,000 shares, Issued and Outstanding — 14,331,267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and 17,880,239 shares at June 30, 2018 and December 31, 2017, respectively</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7"/>
              </w:rPr>
              <w:t>Class D common stock (par value $0.00001), Authorized — 175,000,000 and 175,000,000 shares, Issued and Outstanding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69,091,740 and 79,610,490 shares at June 30, 2018 and December 31, 2017,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Treasury stock, at cost, 2,178,771 and 616,923 shares at June 30, 2018 and December 31, 2017, respectively</w:t>
            </w:r>
          </w:p>
        </w:tc>
        <w:tc>
          <w:tcPr>
            <w:tcW w:w="10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(55,005)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(11,041)</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995,084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900,746</w:t>
            </w:r>
          </w:p>
        </w:tc>
      </w:tr>
      <w:tr>
        <w:trPr>
          <w:trHeight w:val="230"/>
        </w:trPr>
        <w:tc>
          <w:tcPr>
            <w:tcW w:w="8820" w:type="dxa"/>
            <w:vAlign w:val="bottom"/>
            <w:gridSpan w:val="2"/>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0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89,521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(62,129)</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2,991</w:t>
            </w:r>
          </w:p>
        </w:tc>
      </w:tr>
      <w:tr>
        <w:trPr>
          <w:trHeight w:val="210"/>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1,030,699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830,569</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8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410,927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321,009</w:t>
            </w:r>
          </w:p>
        </w:tc>
      </w:tr>
      <w:tr>
        <w:trPr>
          <w:trHeight w:val="210"/>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1,441,626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1,151,578</w:t>
            </w: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8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7,171,163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7,320,006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5645150</wp:posOffset>
            </wp:positionH>
            <wp:positionV relativeFrom="paragraph">
              <wp:posOffset>12700</wp:posOffset>
            </wp:positionV>
            <wp:extent cx="156654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6545" cy="24765"/>
                    </a:xfrm>
                    <a:prstGeom prst="rect">
                      <a:avLst/>
                    </a:prstGeom>
                    <a:noFill/>
                  </pic:spPr>
                </pic:pic>
              </a:graphicData>
            </a:graphic>
          </wp:anchor>
        </w:drawing>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360"/>
          </w:cols>
          <w:pgMar w:left="240" w:top="127" w:right="299" w:bottom="1440" w:gutter="0" w:footer="0" w:header="0"/>
        </w:sect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60"/>
          </w:cols>
          <w:pgMar w:left="240" w:top="127" w:right="29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7"/>
                <w:szCs w:val="17"/>
                <w:color w:val="auto"/>
              </w:rPr>
            </w:pPr>
          </w:p>
        </w:tc>
        <w:tc>
          <w:tcPr>
            <w:tcW w:w="2220" w:type="dxa"/>
            <w:vAlign w:val="bottom"/>
            <w:gridSpan w:val="4"/>
          </w:tcPr>
          <w:p>
            <w:pPr>
              <w:jc w:val="right"/>
              <w:ind w:right="221"/>
              <w:spacing w:after="0"/>
              <w:rPr>
                <w:sz w:val="20"/>
                <w:szCs w:val="20"/>
                <w:color w:val="auto"/>
              </w:rPr>
            </w:pPr>
            <w:r>
              <w:rPr>
                <w:rFonts w:ascii="Arial" w:cs="Arial" w:eastAsia="Arial" w:hAnsi="Arial"/>
                <w:sz w:val="16"/>
                <w:szCs w:val="16"/>
                <w:b w:val="1"/>
                <w:bCs w:val="1"/>
                <w:color w:val="auto"/>
                <w:w w:val="96"/>
              </w:rPr>
              <w:t>For the Six Months Ended</w:t>
            </w:r>
          </w:p>
        </w:tc>
      </w:tr>
      <w:tr>
        <w:trPr>
          <w:trHeight w:val="262"/>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3"/>
          </w:tcPr>
          <w:p>
            <w:pPr>
              <w:jc w:val="right"/>
              <w:ind w:right="1"/>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60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60" w:type="dxa"/>
            <w:vAlign w:val="bottom"/>
          </w:tcPr>
          <w:p>
            <w:pPr>
              <w:spacing w:after="0"/>
              <w:rPr>
                <w:sz w:val="19"/>
                <w:szCs w:val="19"/>
                <w:color w:val="auto"/>
              </w:rPr>
            </w:pPr>
          </w:p>
        </w:tc>
        <w:tc>
          <w:tcPr>
            <w:tcW w:w="9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21"/>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2017</w:t>
            </w:r>
          </w:p>
        </w:tc>
      </w:tr>
      <w:tr>
        <w:trPr>
          <w:trHeight w:val="33"/>
        </w:trPr>
        <w:tc>
          <w:tcPr>
            <w:tcW w:w="5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606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Trading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258,593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136,163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664,755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275,737</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Interest and dividends income</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21,937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5,629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39,886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10,503</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46,565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100,409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5,886</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338,129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49</w:t>
            </w:r>
          </w:p>
        </w:tc>
      </w:tr>
      <w:tr>
        <w:trPr>
          <w:trHeight w:val="33"/>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328,126</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144,888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1,143,179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292,175</w:t>
            </w:r>
          </w:p>
        </w:tc>
      </w:tr>
      <w:tr>
        <w:trPr>
          <w:trHeight w:val="276"/>
        </w:trPr>
        <w:tc>
          <w:tcPr>
            <w:tcW w:w="5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73,318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52,899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161,141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105,669</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Communication and data processing</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48,791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18,985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98,277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37,192</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41,226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17,365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105,896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38,712</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Payments for order flow</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15,842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Interest and dividends expense</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35,009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14,934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68,633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27,214</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Operations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16,610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36,416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11,616</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16,194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6,798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31,546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13,555</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6,838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Termination of office leases</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21,860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Debt issue cost related to debt refinancing</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8,380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4,482</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1,750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8,511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9,246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8,643</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Charges related to share based compensation at IPO</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364</w:t>
            </w: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18,780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8,720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37,827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15,548</w:t>
            </w:r>
          </w:p>
        </w:tc>
      </w:tr>
      <w:tr>
        <w:trPr>
          <w:trHeight w:val="33"/>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278,504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139,696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263,101</w:t>
            </w:r>
          </w:p>
        </w:tc>
      </w:tr>
      <w:tr>
        <w:trPr>
          <w:trHeight w:val="21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Income before income taxes and noncontrolling interest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49,622</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5,192</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518,160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29,074</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61,515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3,587</w:t>
            </w:r>
          </w:p>
        </w:tc>
      </w:tr>
      <w:tr>
        <w:trPr>
          <w:trHeight w:val="210"/>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46,622</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4,413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456,645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25,487</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(21,413)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(20,006)</w:t>
            </w:r>
          </w:p>
        </w:tc>
      </w:tr>
      <w:tr>
        <w:trPr>
          <w:trHeight w:val="269"/>
        </w:trPr>
        <w:tc>
          <w:tcPr>
            <w:tcW w:w="5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88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900" w:type="dxa"/>
            <w:vAlign w:val="bottom"/>
            <w:tcBorders>
              <w:top w:val="single" w:sz="8" w:color="auto"/>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spacing w:after="0"/>
              <w:rPr>
                <w:sz w:val="23"/>
                <w:szCs w:val="23"/>
                <w:color w:val="auto"/>
              </w:rPr>
            </w:pPr>
          </w:p>
        </w:tc>
      </w:tr>
      <w:tr>
        <w:trPr>
          <w:trHeight w:val="236"/>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25,209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199,961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5,481</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2"/>
        </w:trPr>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0.25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0.11</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0.11</w:t>
            </w:r>
          </w:p>
        </w:tc>
      </w:tr>
      <w:tr>
        <w:trPr>
          <w:trHeight w:val="276"/>
        </w:trPr>
        <w:tc>
          <w:tcPr>
            <w:tcW w:w="5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0"/>
        </w:trPr>
        <w:tc>
          <w:tcPr>
            <w:tcW w:w="6060" w:type="dxa"/>
            <w:vAlign w:val="bottom"/>
            <w:gridSpan w:val="2"/>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99,542,659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w w:val="92"/>
              </w:rPr>
              <w:t>40,814,214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7"/>
              </w:rPr>
              <w:t>95,124,675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40,607,791</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101,619,651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2"/>
              </w:rPr>
              <w:t>40,814,214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97,155,104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40,607,791</w:t>
            </w:r>
          </w:p>
        </w:tc>
      </w:tr>
      <w:tr>
        <w:trPr>
          <w:trHeight w:val="276"/>
        </w:trPr>
        <w:tc>
          <w:tcPr>
            <w:tcW w:w="5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46,622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456,645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25,487</w:t>
            </w: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0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Foreign exchange translation adjustment, net of taxes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(5,576)</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4,852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5,637</w:t>
            </w:r>
          </w:p>
        </w:tc>
      </w:tr>
      <w:tr>
        <w:trPr>
          <w:trHeight w:val="210"/>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41,046</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9,265</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453,598</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31,124</w:t>
            </w:r>
          </w:p>
        </w:tc>
      </w:tr>
      <w:tr>
        <w:trPr>
          <w:trHeight w:val="3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(18,972)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(23,945)</w:t>
            </w:r>
          </w:p>
        </w:tc>
      </w:tr>
      <w:tr>
        <w:trPr>
          <w:trHeight w:val="236"/>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22,074</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2,364</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198,067</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7,179</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300"/>
          </w:cols>
          <w:pgMar w:left="240" w:top="127" w:right="359" w:bottom="1440" w:gutter="0" w:footer="0" w:header="0"/>
        </w:sect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240" w:top="127" w:right="359" w:bottom="1440" w:gutter="0" w:footer="0" w:header="0"/>
          <w:type w:val="continuous"/>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5"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Six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18"/>
        </w:trPr>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 Virtu</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1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w:t>
            </w: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Paid-in</w:t>
            </w: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9"/>
        </w:trPr>
        <w:tc>
          <w:tcPr>
            <w:tcW w:w="11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Accumulated</w:t>
            </w:r>
          </w:p>
        </w:tc>
        <w:tc>
          <w:tcPr>
            <w:tcW w:w="7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Financial</w:t>
            </w: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180" w:type="dxa"/>
            <w:vAlign w:val="bottom"/>
            <w:vMerge w:val="restart"/>
          </w:tcPr>
          <w:p>
            <w:pPr>
              <w:spacing w:after="0"/>
              <w:rPr>
                <w:sz w:val="20"/>
                <w:szCs w:val="20"/>
                <w:color w:val="auto"/>
              </w:rPr>
            </w:pPr>
            <w:r>
              <w:rPr>
                <w:rFonts w:ascii="Arial" w:cs="Arial" w:eastAsia="Arial" w:hAnsi="Arial"/>
                <w:sz w:val="10"/>
                <w:szCs w:val="10"/>
                <w:b w:val="1"/>
                <w:bCs w:val="1"/>
                <w:color w:val="auto"/>
              </w:rPr>
              <w:t>share and interest data)</w:t>
            </w: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7"/>
              </w:rPr>
              <w:t>Class A Common Stock</w:t>
            </w:r>
          </w:p>
        </w:tc>
        <w:tc>
          <w:tcPr>
            <w:tcW w:w="126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7"/>
              </w:rPr>
              <w:t>Class C Common Stock</w:t>
            </w:r>
          </w:p>
        </w:tc>
        <w:tc>
          <w:tcPr>
            <w:tcW w:w="130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Class D Common Stock</w:t>
            </w:r>
          </w:p>
        </w:tc>
        <w:tc>
          <w:tcPr>
            <w:tcW w:w="128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rPr>
              <w:t>Treasury Stock</w:t>
            </w: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Capital</w:t>
            </w:r>
          </w:p>
        </w:tc>
        <w:tc>
          <w:tcPr>
            <w:tcW w:w="84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18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3"/>
              </w:rPr>
              <w:t>Earnings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Other</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2"/>
              </w:rPr>
              <w:t>Inc.</w:t>
            </w:r>
          </w:p>
        </w:tc>
        <w:tc>
          <w:tcPr>
            <w:tcW w:w="72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Non-</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40" w:type="dxa"/>
            <w:vAlign w:val="bottom"/>
          </w:tcPr>
          <w:p>
            <w:pPr>
              <w:jc w:val="center"/>
              <w:ind w:left="28"/>
              <w:spacing w:after="0" w:line="98" w:lineRule="exact"/>
              <w:rPr>
                <w:sz w:val="20"/>
                <w:szCs w:val="20"/>
                <w:color w:val="auto"/>
              </w:rPr>
            </w:pPr>
            <w:r>
              <w:rPr>
                <w:rFonts w:ascii="Arial" w:cs="Arial" w:eastAsia="Arial" w:hAnsi="Arial"/>
                <w:sz w:val="10"/>
                <w:szCs w:val="10"/>
                <w:b w:val="1"/>
                <w:bCs w:val="1"/>
                <w:color w:val="auto"/>
                <w:w w:val="96"/>
              </w:rPr>
              <w:t>(Accumulated</w:t>
            </w:r>
          </w:p>
        </w:tc>
        <w:tc>
          <w:tcPr>
            <w:tcW w:w="8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3"/>
              </w:rPr>
              <w:t>Comprehensive</w:t>
            </w:r>
          </w:p>
        </w:tc>
        <w:tc>
          <w:tcPr>
            <w:tcW w:w="74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4"/>
              </w:rPr>
              <w:t>Stockholders'</w:t>
            </w:r>
          </w:p>
        </w:tc>
        <w:tc>
          <w:tcPr>
            <w:tcW w:w="72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7"/>
              </w:rPr>
              <w:t>Controlling</w:t>
            </w:r>
          </w:p>
        </w:tc>
        <w:tc>
          <w:tcPr>
            <w:tcW w:w="440" w:type="dxa"/>
            <w:vAlign w:val="bottom"/>
          </w:tcPr>
          <w:p>
            <w:pPr>
              <w:jc w:val="center"/>
              <w:ind w:left="88"/>
              <w:spacing w:after="0" w:line="98"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580" w:type="dxa"/>
            <w:vAlign w:val="bottom"/>
          </w:tcPr>
          <w:p>
            <w:pPr>
              <w:ind w:left="140"/>
              <w:spacing w:after="0"/>
              <w:rPr>
                <w:sz w:val="20"/>
                <w:szCs w:val="20"/>
                <w:color w:val="auto"/>
              </w:rPr>
            </w:pPr>
            <w:r>
              <w:rPr>
                <w:rFonts w:ascii="Arial" w:cs="Arial" w:eastAsia="Arial" w:hAnsi="Arial"/>
                <w:sz w:val="10"/>
                <w:szCs w:val="10"/>
                <w:b w:val="1"/>
                <w:bCs w:val="1"/>
                <w:color w:val="auto"/>
              </w:rPr>
              <w:t>Shares</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560" w:type="dxa"/>
            <w:vAlign w:val="bottom"/>
          </w:tcPr>
          <w:p>
            <w:pPr>
              <w:ind w:left="140"/>
              <w:spacing w:after="0"/>
              <w:rPr>
                <w:sz w:val="20"/>
                <w:szCs w:val="20"/>
                <w:color w:val="auto"/>
              </w:rPr>
            </w:pPr>
            <w:r>
              <w:rPr>
                <w:rFonts w:ascii="Arial" w:cs="Arial" w:eastAsia="Arial" w:hAnsi="Arial"/>
                <w:sz w:val="10"/>
                <w:szCs w:val="10"/>
                <w:b w:val="1"/>
                <w:bCs w:val="1"/>
                <w:color w:val="auto"/>
              </w:rPr>
              <w:t>Shares</w:t>
            </w:r>
          </w:p>
        </w:tc>
        <w:tc>
          <w:tcPr>
            <w:tcW w:w="7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600" w:type="dxa"/>
            <w:vAlign w:val="bottom"/>
          </w:tcPr>
          <w:p>
            <w:pPr>
              <w:ind w:left="160"/>
              <w:spacing w:after="0"/>
              <w:rPr>
                <w:sz w:val="20"/>
                <w:szCs w:val="20"/>
                <w:color w:val="auto"/>
              </w:rPr>
            </w:pPr>
            <w:r>
              <w:rPr>
                <w:rFonts w:ascii="Arial" w:cs="Arial" w:eastAsia="Arial" w:hAnsi="Arial"/>
                <w:sz w:val="10"/>
                <w:szCs w:val="10"/>
                <w:b w:val="1"/>
                <w:bCs w:val="1"/>
                <w:color w:val="auto"/>
              </w:rPr>
              <w:t>Shares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Amounts</w:t>
            </w:r>
          </w:p>
        </w:tc>
        <w:tc>
          <w:tcPr>
            <w:tcW w:w="580" w:type="dxa"/>
            <w:vAlign w:val="bottom"/>
          </w:tcPr>
          <w:p>
            <w:pPr>
              <w:ind w:left="120"/>
              <w:spacing w:after="0"/>
              <w:rPr>
                <w:sz w:val="20"/>
                <w:szCs w:val="20"/>
                <w:color w:val="auto"/>
              </w:rPr>
            </w:pPr>
            <w:r>
              <w:rPr>
                <w:rFonts w:ascii="Arial" w:cs="Arial" w:eastAsia="Arial" w:hAnsi="Arial"/>
                <w:sz w:val="10"/>
                <w:szCs w:val="10"/>
                <w:b w:val="1"/>
                <w:bCs w:val="1"/>
                <w:color w:val="auto"/>
              </w:rPr>
              <w:t>Shares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Amounts</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6"/>
              </w:rPr>
              <w:t>Amounts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4"/>
              </w:rPr>
              <w:t>Deficit)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4"/>
              </w:rPr>
              <w:t>Income (Loss)</w:t>
            </w: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720" w:type="dxa"/>
            <w:vAlign w:val="bottom"/>
          </w:tcPr>
          <w:p>
            <w:pPr>
              <w:jc w:val="center"/>
              <w:ind w:right="8"/>
              <w:spacing w:after="0"/>
              <w:rPr>
                <w:sz w:val="20"/>
                <w:szCs w:val="20"/>
                <w:color w:val="auto"/>
              </w:rPr>
            </w:pPr>
            <w:r>
              <w:rPr>
                <w:rFonts w:ascii="Arial" w:cs="Arial" w:eastAsia="Arial" w:hAnsi="Arial"/>
                <w:sz w:val="10"/>
                <w:szCs w:val="10"/>
                <w:b w:val="1"/>
                <w:bCs w:val="1"/>
                <w:color w:val="auto"/>
                <w:w w:val="93"/>
              </w:rPr>
              <w:t>Interest</w:t>
            </w:r>
          </w:p>
        </w:tc>
        <w:tc>
          <w:tcPr>
            <w:tcW w:w="440" w:type="dxa"/>
            <w:vAlign w:val="bottom"/>
          </w:tcPr>
          <w:p>
            <w:pPr>
              <w:jc w:val="center"/>
              <w:ind w:left="8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13970</wp:posOffset>
            </wp:positionV>
            <wp:extent cx="6717030" cy="200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7030" cy="200025"/>
                    </a:xfrm>
                    <a:prstGeom prst="rect">
                      <a:avLst/>
                    </a:prstGeom>
                    <a:noFill/>
                  </pic:spPr>
                </pic:pic>
              </a:graphicData>
            </a:graphic>
          </wp:anchor>
        </w:drawing>
      </w:r>
    </w:p>
    <w:p>
      <w:pPr>
        <w:spacing w:after="0" w:line="15"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Balance at December</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220" w:type="dxa"/>
            <w:vAlign w:val="bottom"/>
          </w:tcPr>
          <w:p>
            <w:pPr>
              <w:ind w:left="40"/>
              <w:spacing w:after="0"/>
              <w:rPr>
                <w:sz w:val="20"/>
                <w:szCs w:val="20"/>
                <w:color w:val="auto"/>
              </w:rPr>
            </w:pPr>
            <w:r>
              <w:rPr>
                <w:rFonts w:ascii="Arial" w:cs="Arial" w:eastAsia="Arial" w:hAnsi="Arial"/>
                <w:sz w:val="12"/>
                <w:szCs w:val="12"/>
                <w:color w:val="auto"/>
              </w:rPr>
              <w:t>31, 2017</w:t>
            </w:r>
          </w:p>
        </w:tc>
        <w:tc>
          <w:tcPr>
            <w:tcW w:w="560" w:type="dxa"/>
            <w:vAlign w:val="bottom"/>
          </w:tcPr>
          <w:p>
            <w:pPr>
              <w:jc w:val="right"/>
              <w:spacing w:after="0"/>
              <w:rPr>
                <w:sz w:val="20"/>
                <w:szCs w:val="20"/>
                <w:color w:val="auto"/>
              </w:rPr>
            </w:pPr>
            <w:r>
              <w:rPr>
                <w:rFonts w:ascii="Arial" w:cs="Arial" w:eastAsia="Arial" w:hAnsi="Arial"/>
                <w:sz w:val="10"/>
                <w:szCs w:val="10"/>
                <w:color w:val="auto"/>
              </w:rPr>
              <w:t>90,415,532</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w w:val="95"/>
              </w:rPr>
              <w:t>17,880,239</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79,610,490</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(616,923)</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8"/>
              <w:spacing w:after="0"/>
              <w:rPr>
                <w:sz w:val="20"/>
                <w:szCs w:val="20"/>
                <w:color w:val="auto"/>
              </w:rPr>
            </w:pPr>
            <w:r>
              <w:rPr>
                <w:rFonts w:ascii="Arial" w:cs="Arial" w:eastAsia="Arial" w:hAnsi="Arial"/>
                <w:sz w:val="10"/>
                <w:szCs w:val="10"/>
                <w:color w:val="auto"/>
                <w:w w:val="91"/>
              </w:rPr>
              <w:t>(11,041)</w:t>
            </w:r>
          </w:p>
        </w:tc>
        <w:tc>
          <w:tcPr>
            <w:tcW w:w="10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$ 900,746</w:t>
            </w:r>
          </w:p>
        </w:tc>
        <w:tc>
          <w:tcPr>
            <w:tcW w:w="120" w:type="dxa"/>
            <w:vAlign w:val="bottom"/>
          </w:tcPr>
          <w:p>
            <w:pPr>
              <w:spacing w:after="0"/>
              <w:rPr>
                <w:sz w:val="13"/>
                <w:szCs w:val="13"/>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(62,129)</w:t>
            </w:r>
          </w:p>
        </w:tc>
        <w:tc>
          <w:tcPr>
            <w:tcW w:w="100" w:type="dxa"/>
            <w:vAlign w:val="bottom"/>
          </w:tcPr>
          <w:p>
            <w:pPr>
              <w:spacing w:after="0"/>
              <w:rPr>
                <w:sz w:val="13"/>
                <w:szCs w:val="13"/>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2,991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830,569</w:t>
            </w:r>
          </w:p>
        </w:tc>
        <w:tc>
          <w:tcPr>
            <w:tcW w:w="10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$ 321,009</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28"/>
              <w:spacing w:after="0"/>
              <w:rPr>
                <w:sz w:val="20"/>
                <w:szCs w:val="20"/>
                <w:color w:val="auto"/>
              </w:rPr>
            </w:pPr>
            <w:r>
              <w:rPr>
                <w:rFonts w:ascii="Arial" w:cs="Arial" w:eastAsia="Arial" w:hAnsi="Arial"/>
                <w:sz w:val="10"/>
                <w:szCs w:val="10"/>
                <w:color w:val="auto"/>
                <w:w w:val="89"/>
              </w:rPr>
              <w:t>1,151,578</w:t>
            </w:r>
          </w:p>
        </w:tc>
      </w:tr>
      <w:tr>
        <w:trPr>
          <w:trHeight w:val="150"/>
        </w:trPr>
        <w:tc>
          <w:tcPr>
            <w:tcW w:w="1220" w:type="dxa"/>
            <w:vAlign w:val="bottom"/>
          </w:tcPr>
          <w:p>
            <w:pPr>
              <w:ind w:left="160"/>
              <w:spacing w:after="0"/>
              <w:rPr>
                <w:sz w:val="20"/>
                <w:szCs w:val="20"/>
                <w:color w:val="auto"/>
              </w:rPr>
            </w:pPr>
            <w:r>
              <w:rPr>
                <w:rFonts w:ascii="Arial" w:cs="Arial" w:eastAsia="Arial" w:hAnsi="Arial"/>
                <w:sz w:val="12"/>
                <w:szCs w:val="12"/>
                <w:color w:val="auto"/>
              </w:rPr>
              <w:t>Share based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560" w:type="dxa"/>
            <w:vAlign w:val="bottom"/>
          </w:tcPr>
          <w:p>
            <w:pPr>
              <w:jc w:val="right"/>
              <w:spacing w:after="0"/>
              <w:rPr>
                <w:sz w:val="20"/>
                <w:szCs w:val="20"/>
                <w:color w:val="auto"/>
              </w:rPr>
            </w:pPr>
            <w:r>
              <w:rPr>
                <w:rFonts w:ascii="Arial" w:cs="Arial" w:eastAsia="Arial" w:hAnsi="Arial"/>
                <w:sz w:val="10"/>
                <w:szCs w:val="10"/>
                <w:color w:val="auto"/>
              </w:rPr>
              <w:t>594,536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22,643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22,643</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22,643</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Class C common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(40,755)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(1,088)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(1,088)</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(1,088)</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Treasury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purchases</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7"/>
              </w:rPr>
              <w:t>(1,561,848)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Arial" w:cs="Arial" w:eastAsia="Arial" w:hAnsi="Arial"/>
                <w:sz w:val="10"/>
                <w:szCs w:val="10"/>
                <w:color w:val="auto"/>
                <w:w w:val="91"/>
              </w:rPr>
              <w:t>(43,964)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(43,964)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(43,964)</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 option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exercised</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4,049,057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76,932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76,932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76,932</w:t>
            </w:r>
          </w:p>
        </w:tc>
      </w:tr>
      <w:tr>
        <w:trPr>
          <w:trHeight w:val="254"/>
        </w:trPr>
        <w:tc>
          <w:tcPr>
            <w:tcW w:w="122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520" w:type="dxa"/>
            <w:vAlign w:val="bottom"/>
          </w:tcPr>
          <w:p>
            <w:pPr>
              <w:jc w:val="right"/>
              <w:ind w:right="68"/>
              <w:spacing w:after="0"/>
              <w:rPr>
                <w:sz w:val="20"/>
                <w:szCs w:val="20"/>
                <w:color w:val="auto"/>
              </w:rPr>
            </w:pPr>
            <w:r>
              <w:rPr>
                <w:rFonts w:ascii="Arial" w:cs="Arial" w:eastAsia="Arial" w:hAnsi="Arial"/>
                <w:sz w:val="10"/>
                <w:szCs w:val="10"/>
                <w:color w:val="auto"/>
              </w:rPr>
              <w:t>199,961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2"/>
                <w:szCs w:val="22"/>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199,961</w:t>
            </w:r>
          </w:p>
        </w:tc>
        <w:tc>
          <w:tcPr>
            <w:tcW w:w="10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256,684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456,645</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exchange</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translation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(1,894)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(1,894)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(1,153)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(3,047)</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Distribution from</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Virtu Financial to</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non-controlling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interest</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(165,613)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(165,613)</w:t>
            </w:r>
          </w:p>
        </w:tc>
      </w:tr>
      <w:tr>
        <w:trPr>
          <w:trHeight w:val="271"/>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Dividends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(48,311)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(48,311)</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(48,311)</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Issuance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560" w:type="dxa"/>
            <w:vAlign w:val="bottom"/>
          </w:tcPr>
          <w:p>
            <w:pPr>
              <w:jc w:val="right"/>
              <w:spacing w:after="0"/>
              <w:rPr>
                <w:sz w:val="20"/>
                <w:szCs w:val="20"/>
                <w:color w:val="auto"/>
              </w:rPr>
            </w:pPr>
            <w:r>
              <w:rPr>
                <w:rFonts w:ascii="Arial" w:cs="Arial" w:eastAsia="Arial" w:hAnsi="Arial"/>
                <w:sz w:val="10"/>
                <w:szCs w:val="10"/>
                <w:color w:val="auto"/>
              </w:rPr>
              <w:t>3,508,217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secondary</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offering, net of</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offering costs</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10,518,750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5"/>
              </w:rPr>
              <w:t>(10,518,750)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(710)</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(710)</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Repurchase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Virtu Financial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Units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corresponding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number of Class C</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w w:val="97"/>
              </w:rPr>
              <w:t>(3,508,217)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 tax</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receivable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agreements in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exchange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(3,439)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(3,439)</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(3,439)</w:t>
            </w:r>
          </w:p>
        </w:tc>
      </w:tr>
      <w:tr>
        <w:trPr>
          <w:trHeight w:val="123"/>
        </w:trPr>
        <w:tc>
          <w:tcPr>
            <w:tcW w:w="1220" w:type="dxa"/>
            <w:vAlign w:val="bottom"/>
          </w:tcPr>
          <w:p>
            <w:pPr>
              <w:ind w:left="40"/>
              <w:spacing w:after="0" w:line="124" w:lineRule="exact"/>
              <w:rPr>
                <w:sz w:val="20"/>
                <w:szCs w:val="20"/>
                <w:color w:val="auto"/>
              </w:rPr>
            </w:pPr>
            <w:r>
              <w:rPr>
                <w:rFonts w:ascii="Arial" w:cs="Arial" w:eastAsia="Arial" w:hAnsi="Arial"/>
                <w:sz w:val="12"/>
                <w:szCs w:val="12"/>
                <w:color w:val="auto"/>
              </w:rPr>
              <w:t>Balance at June 30,</w:t>
            </w: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r>
      <w:tr>
        <w:trPr>
          <w:trHeight w:val="197"/>
        </w:trPr>
        <w:tc>
          <w:tcPr>
            <w:tcW w:w="1220" w:type="dxa"/>
            <w:vAlign w:val="bottom"/>
          </w:tcPr>
          <w:p>
            <w:pPr>
              <w:ind w:left="40"/>
              <w:spacing w:after="0"/>
              <w:rPr>
                <w:sz w:val="20"/>
                <w:szCs w:val="20"/>
                <w:color w:val="auto"/>
              </w:rPr>
            </w:pPr>
            <w:r>
              <w:rPr>
                <w:rFonts w:ascii="Arial" w:cs="Arial" w:eastAsia="Arial" w:hAnsi="Arial"/>
                <w:sz w:val="12"/>
                <w:szCs w:val="12"/>
                <w:color w:val="auto"/>
              </w:rPr>
              <w:t>2018</w:t>
            </w:r>
          </w:p>
        </w:tc>
        <w:tc>
          <w:tcPr>
            <w:tcW w:w="560" w:type="dxa"/>
            <w:vAlign w:val="bottom"/>
          </w:tcPr>
          <w:p>
            <w:pPr>
              <w:jc w:val="right"/>
              <w:spacing w:after="0"/>
              <w:rPr>
                <w:sz w:val="20"/>
                <w:szCs w:val="20"/>
                <w:color w:val="auto"/>
              </w:rPr>
            </w:pPr>
            <w:r>
              <w:rPr>
                <w:rFonts w:ascii="Arial" w:cs="Arial" w:eastAsia="Arial" w:hAnsi="Arial"/>
                <w:sz w:val="10"/>
                <w:szCs w:val="10"/>
                <w:color w:val="auto"/>
                <w:w w:val="97"/>
              </w:rPr>
              <w:t>109,086,092</w:t>
            </w:r>
          </w:p>
        </w:tc>
        <w:tc>
          <w:tcPr>
            <w:tcW w:w="120" w:type="dxa"/>
            <w:vAlign w:val="bottom"/>
          </w:tcPr>
          <w:p>
            <w:pPr>
              <w:spacing w:after="0"/>
              <w:rPr>
                <w:sz w:val="17"/>
                <w:szCs w:val="17"/>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w w:val="95"/>
              </w:rPr>
              <w:t>14,331,267</w:t>
            </w:r>
          </w:p>
        </w:tc>
        <w:tc>
          <w:tcPr>
            <w:tcW w:w="120" w:type="dxa"/>
            <w:vAlign w:val="bottom"/>
          </w:tcPr>
          <w:p>
            <w:pPr>
              <w:spacing w:after="0"/>
              <w:rPr>
                <w:sz w:val="17"/>
                <w:szCs w:val="17"/>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69,091,740</w:t>
            </w:r>
          </w:p>
        </w:tc>
        <w:tc>
          <w:tcPr>
            <w:tcW w:w="120" w:type="dxa"/>
            <w:vAlign w:val="bottom"/>
          </w:tcPr>
          <w:p>
            <w:pPr>
              <w:spacing w:after="0"/>
              <w:rPr>
                <w:sz w:val="17"/>
                <w:szCs w:val="17"/>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w w:val="97"/>
              </w:rPr>
              <w:t>(2,178,771)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8"/>
              <w:spacing w:after="0"/>
              <w:rPr>
                <w:sz w:val="20"/>
                <w:szCs w:val="20"/>
                <w:color w:val="auto"/>
              </w:rPr>
            </w:pPr>
            <w:r>
              <w:rPr>
                <w:rFonts w:ascii="Arial" w:cs="Arial" w:eastAsia="Arial" w:hAnsi="Arial"/>
                <w:sz w:val="10"/>
                <w:szCs w:val="10"/>
                <w:color w:val="auto"/>
                <w:w w:val="91"/>
              </w:rPr>
              <w:t>(55,005)</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$ 995,084</w:t>
            </w:r>
          </w:p>
        </w:tc>
        <w:tc>
          <w:tcPr>
            <w:tcW w:w="120" w:type="dxa"/>
            <w:vAlign w:val="bottom"/>
          </w:tcPr>
          <w:p>
            <w:pPr>
              <w:spacing w:after="0"/>
              <w:rPr>
                <w:sz w:val="17"/>
                <w:szCs w:val="17"/>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68"/>
              <w:spacing w:after="0"/>
              <w:rPr>
                <w:sz w:val="20"/>
                <w:szCs w:val="20"/>
                <w:color w:val="auto"/>
              </w:rPr>
            </w:pPr>
            <w:r>
              <w:rPr>
                <w:rFonts w:ascii="Arial" w:cs="Arial" w:eastAsia="Arial" w:hAnsi="Arial"/>
                <w:sz w:val="10"/>
                <w:szCs w:val="10"/>
                <w:color w:val="auto"/>
              </w:rPr>
              <w:t>89,521</w:t>
            </w:r>
          </w:p>
        </w:tc>
        <w:tc>
          <w:tcPr>
            <w:tcW w:w="100" w:type="dxa"/>
            <w:vAlign w:val="bottom"/>
          </w:tcPr>
          <w:p>
            <w:pPr>
              <w:spacing w:after="0"/>
              <w:rPr>
                <w:sz w:val="17"/>
                <w:szCs w:val="17"/>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1,097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w w:val="94"/>
              </w:rPr>
              <w:t>1,030,699</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$ 410,927</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28"/>
              <w:spacing w:after="0"/>
              <w:rPr>
                <w:sz w:val="20"/>
                <w:szCs w:val="20"/>
                <w:color w:val="auto"/>
              </w:rPr>
            </w:pPr>
            <w:r>
              <w:rPr>
                <w:rFonts w:ascii="Arial" w:cs="Arial" w:eastAsia="Arial" w:hAnsi="Arial"/>
                <w:sz w:val="10"/>
                <w:szCs w:val="10"/>
                <w:color w:val="auto"/>
                <w:w w:val="89"/>
              </w:rPr>
              <w:t>1,441,626</w:t>
            </w:r>
          </w:p>
        </w:tc>
      </w:tr>
      <w:tr>
        <w:trPr>
          <w:trHeight w:val="204"/>
        </w:trPr>
        <w:tc>
          <w:tcPr>
            <w:tcW w:w="1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315"/>
        </w:trPr>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43"/>
        </w:trPr>
        <w:tc>
          <w:tcPr>
            <w:tcW w:w="1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at December</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72"/>
        </w:trPr>
        <w:tc>
          <w:tcPr>
            <w:tcW w:w="1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40,436,580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95"/>
              </w:rPr>
              <w:t>19,810,707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79,610,490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(453,066)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(8,358)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94"/>
              </w:rPr>
              <w:t>$ 155,536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(1,254)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145,673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94"/>
              </w:rPr>
              <w:t>$ 388,739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534,412</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Share based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(12,721)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8,536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8,536</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8,536</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Class C common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(32,789)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Treasury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purchases</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8"/>
              <w:spacing w:after="0"/>
              <w:rPr>
                <w:sz w:val="20"/>
                <w:szCs w:val="20"/>
                <w:color w:val="auto"/>
              </w:rPr>
            </w:pPr>
            <w:r>
              <w:rPr>
                <w:rFonts w:ascii="Arial" w:cs="Arial" w:eastAsia="Arial" w:hAnsi="Arial"/>
                <w:sz w:val="10"/>
                <w:szCs w:val="10"/>
                <w:color w:val="auto"/>
              </w:rPr>
              <w:t>(441)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(441)</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(441)</w:t>
            </w:r>
          </w:p>
        </w:tc>
      </w:tr>
      <w:tr>
        <w:trPr>
          <w:trHeight w:val="271"/>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5,481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5,481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20,006</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25,487</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Foreign exchange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translation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adjustment</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1,698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1,698</w:t>
            </w:r>
          </w:p>
        </w:tc>
        <w:tc>
          <w:tcPr>
            <w:tcW w:w="10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3,939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5,637</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Distribution from</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Virtu Financial to</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non-controlling</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interest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(37,076)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(37,076)</w:t>
            </w:r>
          </w:p>
        </w:tc>
      </w:tr>
      <w:tr>
        <w:trPr>
          <w:trHeight w:val="254"/>
        </w:trPr>
        <w:tc>
          <w:tcPr>
            <w:tcW w:w="1220" w:type="dxa"/>
            <w:vAlign w:val="bottom"/>
          </w:tcPr>
          <w:p>
            <w:pPr>
              <w:ind w:left="160"/>
              <w:spacing w:after="0"/>
              <w:rPr>
                <w:sz w:val="20"/>
                <w:szCs w:val="20"/>
                <w:color w:val="auto"/>
              </w:rPr>
            </w:pPr>
            <w:r>
              <w:rPr>
                <w:rFonts w:ascii="Arial" w:cs="Arial" w:eastAsia="Arial" w:hAnsi="Arial"/>
                <w:sz w:val="12"/>
                <w:szCs w:val="12"/>
                <w:color w:val="auto"/>
              </w:rPr>
              <w:t>Dividends</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(20,278)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(20,278)</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(20,278)</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exchanges</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991,306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w:t>
            </w: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Repurchase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Virtu Financial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Units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corresponding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number of Class C</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(991,306)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w:t>
            </w: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Issuance of tax</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receivable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agreements in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employee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exchange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1,204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rPr>
              <w:t>1,204</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rPr>
              <w:t>1,204</w:t>
            </w:r>
          </w:p>
        </w:tc>
      </w:tr>
      <w:tr>
        <w:trPr>
          <w:trHeight w:val="123"/>
        </w:trPr>
        <w:tc>
          <w:tcPr>
            <w:tcW w:w="1220" w:type="dxa"/>
            <w:vAlign w:val="bottom"/>
          </w:tcPr>
          <w:p>
            <w:pPr>
              <w:ind w:left="40"/>
              <w:spacing w:after="0" w:line="124" w:lineRule="exact"/>
              <w:rPr>
                <w:sz w:val="20"/>
                <w:szCs w:val="20"/>
                <w:color w:val="auto"/>
              </w:rPr>
            </w:pPr>
            <w:r>
              <w:rPr>
                <w:rFonts w:ascii="Arial" w:cs="Arial" w:eastAsia="Arial" w:hAnsi="Arial"/>
                <w:sz w:val="12"/>
                <w:szCs w:val="12"/>
                <w:color w:val="auto"/>
              </w:rPr>
              <w:t>Balance at June 30,</w:t>
            </w: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r>
      <w:tr>
        <w:trPr>
          <w:trHeight w:val="157"/>
        </w:trPr>
        <w:tc>
          <w:tcPr>
            <w:tcW w:w="1220" w:type="dxa"/>
            <w:vAlign w:val="bottom"/>
          </w:tcPr>
          <w:p>
            <w:pPr>
              <w:ind w:left="40"/>
              <w:spacing w:after="0"/>
              <w:rPr>
                <w:sz w:val="20"/>
                <w:szCs w:val="20"/>
                <w:color w:val="auto"/>
              </w:rPr>
            </w:pPr>
            <w:r>
              <w:rPr>
                <w:rFonts w:ascii="Arial" w:cs="Arial" w:eastAsia="Arial" w:hAnsi="Arial"/>
                <w:sz w:val="12"/>
                <w:szCs w:val="12"/>
                <w:color w:val="auto"/>
              </w:rPr>
              <w:t>2017</w:t>
            </w:r>
          </w:p>
        </w:tc>
        <w:tc>
          <w:tcPr>
            <w:tcW w:w="560" w:type="dxa"/>
            <w:vAlign w:val="bottom"/>
          </w:tcPr>
          <w:p>
            <w:pPr>
              <w:jc w:val="right"/>
              <w:spacing w:after="0"/>
              <w:rPr>
                <w:sz w:val="20"/>
                <w:szCs w:val="20"/>
                <w:color w:val="auto"/>
              </w:rPr>
            </w:pPr>
            <w:r>
              <w:rPr>
                <w:rFonts w:ascii="Arial" w:cs="Arial" w:eastAsia="Arial" w:hAnsi="Arial"/>
                <w:sz w:val="10"/>
                <w:szCs w:val="10"/>
                <w:color w:val="auto"/>
              </w:rPr>
              <w:t>41,427,886</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8"/>
              <w:spacing w:after="0"/>
              <w:rPr>
                <w:sz w:val="20"/>
                <w:szCs w:val="20"/>
                <w:color w:val="auto"/>
              </w:rPr>
            </w:pPr>
            <w:r>
              <w:rPr>
                <w:rFonts w:ascii="Arial" w:cs="Arial" w:eastAsia="Arial" w:hAnsi="Arial"/>
                <w:sz w:val="10"/>
                <w:szCs w:val="10"/>
                <w:color w:val="auto"/>
                <w:w w:val="95"/>
              </w:rPr>
              <w:t>18,773,891</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79,610,490</w:t>
            </w:r>
          </w:p>
        </w:tc>
        <w:tc>
          <w:tcPr>
            <w:tcW w:w="120" w:type="dxa"/>
            <w:vAlign w:val="bottom"/>
          </w:tcPr>
          <w:p>
            <w:pPr>
              <w:spacing w:after="0"/>
              <w:rPr>
                <w:sz w:val="13"/>
                <w:szCs w:val="13"/>
                <w:color w:val="auto"/>
              </w:rPr>
            </w:pP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6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(453,066)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8"/>
              <w:spacing w:after="0"/>
              <w:rPr>
                <w:sz w:val="20"/>
                <w:szCs w:val="20"/>
                <w:color w:val="auto"/>
              </w:rPr>
            </w:pPr>
            <w:r>
              <w:rPr>
                <w:rFonts w:ascii="Arial" w:cs="Arial" w:eastAsia="Arial" w:hAnsi="Arial"/>
                <w:sz w:val="10"/>
                <w:szCs w:val="10"/>
                <w:color w:val="auto"/>
              </w:rPr>
              <w:t>(8,358)</w:t>
            </w:r>
          </w:p>
        </w:tc>
        <w:tc>
          <w:tcPr>
            <w:tcW w:w="10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$ 164,835</w:t>
            </w:r>
          </w:p>
        </w:tc>
        <w:tc>
          <w:tcPr>
            <w:tcW w:w="120" w:type="dxa"/>
            <w:vAlign w:val="bottom"/>
          </w:tcPr>
          <w:p>
            <w:pPr>
              <w:spacing w:after="0"/>
              <w:rPr>
                <w:sz w:val="13"/>
                <w:szCs w:val="13"/>
                <w:color w:val="auto"/>
              </w:rPr>
            </w:pPr>
          </w:p>
        </w:tc>
        <w:tc>
          <w:tcPr>
            <w:tcW w:w="14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520" w:type="dxa"/>
            <w:vAlign w:val="bottom"/>
          </w:tcPr>
          <w:p>
            <w:pPr>
              <w:jc w:val="right"/>
              <w:ind w:right="28"/>
              <w:spacing w:after="0"/>
              <w:rPr>
                <w:sz w:val="20"/>
                <w:szCs w:val="20"/>
                <w:color w:val="auto"/>
              </w:rPr>
            </w:pPr>
            <w:r>
              <w:rPr>
                <w:rFonts w:ascii="Arial" w:cs="Arial" w:eastAsia="Arial" w:hAnsi="Arial"/>
                <w:sz w:val="10"/>
                <w:szCs w:val="10"/>
                <w:color w:val="auto"/>
              </w:rPr>
              <w:t>(16,051)</w:t>
            </w:r>
          </w:p>
        </w:tc>
        <w:tc>
          <w:tcPr>
            <w:tcW w:w="100" w:type="dxa"/>
            <w:vAlign w:val="bottom"/>
          </w:tcPr>
          <w:p>
            <w:pPr>
              <w:spacing w:after="0"/>
              <w:rPr>
                <w:sz w:val="13"/>
                <w:szCs w:val="13"/>
                <w:color w:val="auto"/>
              </w:rPr>
            </w:pPr>
          </w:p>
        </w:tc>
        <w:tc>
          <w:tcPr>
            <w:tcW w:w="20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1,446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141,873</w:t>
            </w:r>
          </w:p>
        </w:tc>
        <w:tc>
          <w:tcPr>
            <w:tcW w:w="10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$ 375,608</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28"/>
              <w:spacing w:after="0"/>
              <w:rPr>
                <w:sz w:val="20"/>
                <w:szCs w:val="20"/>
                <w:color w:val="auto"/>
              </w:rPr>
            </w:pPr>
            <w:r>
              <w:rPr>
                <w:rFonts w:ascii="Arial" w:cs="Arial" w:eastAsia="Arial" w:hAnsi="Arial"/>
                <w:sz w:val="10"/>
                <w:szCs w:val="10"/>
                <w:color w:val="auto"/>
              </w:rPr>
              <w:t>517,481</w:t>
            </w:r>
          </w:p>
        </w:tc>
      </w:tr>
      <w:tr>
        <w:trPr>
          <w:trHeight w:val="20"/>
        </w:trPr>
        <w:tc>
          <w:tcPr>
            <w:tcW w:w="1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See accompanying notes to the condensed consolidated financial statements.</w:t>
      </w:r>
    </w:p>
    <w:p>
      <w:pPr>
        <w:sectPr>
          <w:pgSz w:w="11900" w:h="16838" w:orient="portrait"/>
          <w:cols w:equalWidth="0" w:num="1">
            <w:col w:w="10620"/>
          </w:cols>
          <w:pgMar w:left="620" w:top="127" w:right="65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127" w:right="1440"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8"/>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456,645</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25,487</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31,546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13,555</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13,675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106</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4,482</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Amortization of debt issuance costs and deferred financing fees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5,427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653</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21,860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Share based compensation</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14,751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7,249</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Reserve for legal matters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Write-down of assets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544</w:t>
            </w:r>
          </w:p>
        </w:tc>
      </w:tr>
      <w:tr>
        <w:trPr>
          <w:trHeight w:val="215"/>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Deferred taxes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5,546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4,028</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Gain on sale of BondPoint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(564)</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254,000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(65,214)</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Receivables from broker dealers and clearing organizations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(79,904)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63,360</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Trading assets, at fair value</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(60,461)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437,295</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136,833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(1,291)</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loaned</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34,156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122,981</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Securities sold under agreements to repurchase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(110,882)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Payables to broker dealers and clearing organizations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31,408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(298,074)</w:t>
            </w:r>
          </w:p>
        </w:tc>
      </w:tr>
      <w:tr>
        <w:trPr>
          <w:trHeight w:val="257"/>
        </w:trPr>
        <w:tc>
          <w:tcPr>
            <w:tcW w:w="8860" w:type="dxa"/>
            <w:vAlign w:val="bottom"/>
            <w:gridSpan w:val="2"/>
          </w:tcPr>
          <w:p>
            <w:pPr>
              <w:ind w:left="260"/>
              <w:spacing w:after="0"/>
              <w:rPr>
                <w:sz w:val="20"/>
                <w:szCs w:val="20"/>
                <w:color w:val="auto"/>
              </w:rPr>
            </w:pPr>
            <w:r>
              <w:rPr>
                <w:rFonts w:ascii="Arial" w:cs="Arial" w:eastAsia="Arial" w:hAnsi="Arial"/>
                <w:sz w:val="14"/>
                <w:szCs w:val="14"/>
                <w:color w:val="auto"/>
              </w:rPr>
              <w:t>Trading liabilities, at fair value</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21,766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(240,145)</w:t>
            </w:r>
          </w:p>
        </w:tc>
      </w:tr>
      <w:tr>
        <w:trPr>
          <w:trHeight w:val="262"/>
        </w:trPr>
        <w:tc>
          <w:tcPr>
            <w:tcW w:w="88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Accounts payable and accrued expenses and other liabilities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(142,660)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10,117</w:t>
            </w:r>
          </w:p>
        </w:tc>
      </w:tr>
      <w:tr>
        <w:trPr>
          <w:trHeight w:val="242"/>
        </w:trPr>
        <w:tc>
          <w:tcPr>
            <w:tcW w:w="8860" w:type="dxa"/>
            <w:vAlign w:val="bottom"/>
            <w:gridSpan w:val="2"/>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310,297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82,393</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Development of capitalized software</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Acquisition of property and equipment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(6,997)</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sale of BondPoint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400,192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Acquisition of Teza Technologies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(5,704)</w:t>
            </w:r>
          </w:p>
        </w:tc>
      </w:tr>
      <w:tr>
        <w:trPr>
          <w:trHeight w:val="248"/>
        </w:trPr>
        <w:tc>
          <w:tcPr>
            <w:tcW w:w="886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373,708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(15,874)</w:t>
            </w:r>
          </w:p>
        </w:tc>
      </w:tr>
      <w:tr>
        <w:trPr>
          <w:trHeight w:val="262"/>
        </w:trPr>
        <w:tc>
          <w:tcPr>
            <w:tcW w:w="8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(165,612)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(37,076)</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(20,278)</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Repurchase of Class C common stock</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(43,964)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Stock option exercised</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76,932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Short-term borrowings, net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Proceeds from long-term borrowings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1,115,036</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Payments on repurchase of non-voting common interest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Repayment of senior secured credit facility</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(6,473)</w:t>
            </w:r>
          </w:p>
        </w:tc>
      </w:tr>
      <w:tr>
        <w:trPr>
          <w:trHeight w:val="268"/>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 receivable agreement obligations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w:t>
            </w:r>
          </w:p>
        </w:tc>
      </w:tr>
      <w:tr>
        <w:trPr>
          <w:trHeight w:val="257"/>
        </w:trPr>
        <w:tc>
          <w:tcPr>
            <w:tcW w:w="8860" w:type="dxa"/>
            <w:vAlign w:val="bottom"/>
            <w:gridSpan w:val="2"/>
          </w:tcPr>
          <w:p>
            <w:pPr>
              <w:ind w:left="160"/>
              <w:spacing w:after="0"/>
              <w:rPr>
                <w:sz w:val="20"/>
                <w:szCs w:val="20"/>
                <w:color w:val="auto"/>
              </w:rPr>
            </w:pPr>
            <w:r>
              <w:rPr>
                <w:rFonts w:ascii="Arial" w:cs="Arial" w:eastAsia="Arial" w:hAnsi="Arial"/>
                <w:sz w:val="14"/>
                <w:szCs w:val="14"/>
                <w:color w:val="auto"/>
              </w:rPr>
              <w:t>Debt issuance costs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2"/>
        </w:trPr>
        <w:tc>
          <w:tcPr>
            <w:tcW w:w="8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8860" w:type="dxa"/>
            <w:vAlign w:val="bottom"/>
            <w:gridSpan w:val="2"/>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(553,778)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1,030,723</w:t>
            </w:r>
          </w:p>
        </w:tc>
      </w:tr>
      <w:tr>
        <w:trPr>
          <w:trHeight w:val="268"/>
        </w:trPr>
        <w:tc>
          <w:tcPr>
            <w:tcW w:w="86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5,637</w:t>
            </w:r>
          </w:p>
        </w:tc>
      </w:tr>
      <w:tr>
        <w:trPr>
          <w:trHeight w:val="261"/>
        </w:trPr>
        <w:tc>
          <w:tcPr>
            <w:tcW w:w="8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60" w:type="dxa"/>
            <w:vAlign w:val="bottom"/>
            <w:gridSpan w:val="2"/>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127,180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1,102,879</w:t>
            </w:r>
          </w:p>
        </w:tc>
      </w:tr>
      <w:tr>
        <w:trPr>
          <w:trHeight w:val="262"/>
        </w:trPr>
        <w:tc>
          <w:tcPr>
            <w:tcW w:w="88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532,887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181,415</w:t>
            </w:r>
          </w:p>
        </w:tc>
      </w:tr>
    </w:tbl>
    <w:p>
      <w:pPr>
        <w:spacing w:after="0" w:line="200"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7" w:right="239" w:bottom="0"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5594985</wp:posOffset>
            </wp:positionH>
            <wp:positionV relativeFrom="paragraph">
              <wp:posOffset>250190</wp:posOffset>
            </wp:positionV>
            <wp:extent cx="1658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660,067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1,284,294</w:t>
            </w:r>
          </w:p>
        </w:tc>
      </w:tr>
      <w:tr>
        <w:trPr>
          <w:trHeight w:val="242"/>
        </w:trPr>
        <w:tc>
          <w:tcPr>
            <w:tcW w:w="88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57"/>
        </w:trPr>
        <w:tc>
          <w:tcPr>
            <w:tcW w:w="8820" w:type="dxa"/>
            <w:vAlign w:val="bottom"/>
          </w:tcPr>
          <w:p>
            <w:pPr>
              <w:ind w:left="4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65,063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35,418</w:t>
            </w:r>
          </w:p>
        </w:tc>
      </w:tr>
      <w:tr>
        <w:trPr>
          <w:trHeight w:val="257"/>
        </w:trPr>
        <w:tc>
          <w:tcPr>
            <w:tcW w:w="8820" w:type="dxa"/>
            <w:vAlign w:val="bottom"/>
          </w:tcPr>
          <w:p>
            <w:pPr>
              <w:ind w:left="160"/>
              <w:spacing w:after="0"/>
              <w:rPr>
                <w:sz w:val="20"/>
                <w:szCs w:val="20"/>
                <w:color w:val="auto"/>
              </w:rPr>
            </w:pPr>
            <w:r>
              <w:rPr>
                <w:rFonts w:ascii="Arial" w:cs="Arial" w:eastAsia="Arial" w:hAnsi="Arial"/>
                <w:sz w:val="14"/>
                <w:szCs w:val="14"/>
                <w:color w:val="auto"/>
              </w:rPr>
              <w:t>Cash paid for taxes</w:t>
            </w:r>
          </w:p>
        </w:tc>
        <w:tc>
          <w:tcPr>
            <w:tcW w:w="38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77,021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4,584</w:t>
            </w:r>
          </w:p>
        </w:tc>
      </w:tr>
      <w:tr>
        <w:trPr>
          <w:trHeight w:val="268"/>
        </w:trPr>
        <w:tc>
          <w:tcPr>
            <w:tcW w:w="8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57"/>
        </w:trPr>
        <w:tc>
          <w:tcPr>
            <w:tcW w:w="8820" w:type="dxa"/>
            <w:vAlign w:val="bottom"/>
          </w:tcPr>
          <w:p>
            <w:pPr>
              <w:ind w:left="40"/>
              <w:spacing w:after="0"/>
              <w:rPr>
                <w:sz w:val="20"/>
                <w:szCs w:val="20"/>
                <w:color w:val="auto"/>
              </w:rPr>
            </w:pPr>
            <w:r>
              <w:rPr>
                <w:rFonts w:ascii="Arial" w:cs="Arial" w:eastAsia="Arial" w:hAnsi="Arial"/>
                <w:sz w:val="14"/>
                <w:szCs w:val="14"/>
                <w:b w:val="1"/>
                <w:bCs w:val="1"/>
                <w:color w:val="auto"/>
              </w:rPr>
              <w:t>Non-cash investing activities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1,328</w:t>
            </w:r>
          </w:p>
        </w:tc>
      </w:tr>
      <w:tr>
        <w:trPr>
          <w:trHeight w:val="257"/>
        </w:trPr>
        <w:tc>
          <w:tcPr>
            <w:tcW w:w="8820" w:type="dxa"/>
            <w:vAlign w:val="bottom"/>
          </w:tcPr>
          <w:p>
            <w:pPr>
              <w:ind w:left="40"/>
              <w:spacing w:after="0"/>
              <w:rPr>
                <w:sz w:val="20"/>
                <w:szCs w:val="20"/>
                <w:color w:val="auto"/>
              </w:rPr>
            </w:pPr>
            <w:r>
              <w:rPr>
                <w:rFonts w:ascii="Arial" w:cs="Arial" w:eastAsia="Arial" w:hAnsi="Arial"/>
                <w:sz w:val="14"/>
                <w:szCs w:val="14"/>
                <w:b w:val="1"/>
                <w:bCs w:val="1"/>
                <w:color w:val="auto"/>
              </w:rPr>
              <w:t>Non-cash financing activities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8"/>
        </w:trPr>
        <w:tc>
          <w:tcPr>
            <w:tcW w:w="8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2"/>
        </w:trPr>
        <w:tc>
          <w:tcPr>
            <w:tcW w:w="8820" w:type="dxa"/>
            <w:vAlign w:val="bottom"/>
          </w:tcPr>
          <w:p>
            <w:pPr>
              <w:ind w:left="160"/>
              <w:spacing w:after="0"/>
              <w:rPr>
                <w:sz w:val="20"/>
                <w:szCs w:val="20"/>
                <w:color w:val="auto"/>
              </w:rPr>
            </w:pPr>
            <w:r>
              <w:rPr>
                <w:rFonts w:ascii="Arial" w:cs="Arial" w:eastAsia="Arial" w:hAnsi="Arial"/>
                <w:sz w:val="14"/>
                <w:szCs w:val="14"/>
                <w:color w:val="auto"/>
              </w:rPr>
              <w:t>Secondary offerings described in Note 16</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r>
    </w:tbl>
    <w:p>
      <w:pPr>
        <w:spacing w:after="0" w:line="156"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24"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The accompanying condensed consolidated financial statements include the accounts and operations of Virtu Financial, Inc. (“VFI” or, collectively with its wholly owned or controlled subsidiaries, the “Company”) beginning with its initial public offering (“IPO”) in April of 2015, along with the historical accounts and operations of Virtu Financial LLC (“Virtu Financial”) prior to the Company’s IPO. VFI is a Delaware corporation whose primary asset is its ownership interest in Virtu Financial, which it acquired pursuant to and subsequent to certain reorganization transactions (the “Reorganization Transactions”) consummated in connection with its IPO. As of June 30, 2018, VFI owned approximately 56.6% of the membership interests of Virtu Financial. VFI is the sole managing member of Virtu Financial and operates and controls all of the businesses and affairs of Virtu Financial and, through Virtu Financial and its subsidiaries (the “Group”), continues to conduct the business now conducted by such subsidiaries.</w:t>
      </w:r>
    </w:p>
    <w:p>
      <w:pPr>
        <w:spacing w:after="0" w:line="180"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has broad diversification, in combination with its proprietary technology platform and low-cost structure, which enables the Company to facilitate risk transfer between global capital markets participants by supplying competitive liquidity and execution services while at the same time earning attractive margins and returns.</w:t>
      </w:r>
    </w:p>
    <w:p>
      <w:pPr>
        <w:spacing w:after="0" w:line="177"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color w:val="auto"/>
        </w:rPr>
        <w:t>On July 20, 2017 (the “Closing Date”), the Company completed the all-cash acquisition of KCG Holdings, Inc. (“KCG”) (the “Acquisition of KCG”) .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 See Note 3 “Acquisition of KCG Holdings Inc.” for further details.</w:t>
      </w:r>
    </w:p>
    <w:p>
      <w:pPr>
        <w:spacing w:after="0" w:line="181" w:lineRule="exact"/>
        <w:rPr>
          <w:sz w:val="20"/>
          <w:szCs w:val="20"/>
          <w:color w:val="auto"/>
        </w:rPr>
      </w:pPr>
    </w:p>
    <w:p>
      <w:pPr>
        <w:ind w:right="120" w:firstLine="315"/>
        <w:spacing w:after="0" w:line="265" w:lineRule="auto"/>
        <w:rPr>
          <w:sz w:val="20"/>
          <w:szCs w:val="20"/>
          <w:color w:val="auto"/>
        </w:rPr>
      </w:pPr>
      <w:r>
        <w:rPr>
          <w:rFonts w:ascii="Arial" w:cs="Arial" w:eastAsia="Arial" w:hAnsi="Arial"/>
          <w:sz w:val="17"/>
          <w:szCs w:val="17"/>
          <w:color w:val="auto"/>
        </w:rPr>
        <w:t>Virtu Financial’s principal subsidiaries include Virtu Financial BD LLC (“VFBD”), Virtu Americas LLC (“VAL”), and Virtu Financial Capital Markets LLC (“VFCM”, collectively with VFBD and VAL, the "broker-dealers"), which are self-clearing U.S. broker-dealers. Other principal subsidiaries include Virtu Financial Global Markets LLC (“VFGM”), a U.S. trading entity focused on futures and currencies; Virtu Financial Ireland Limited (“VFIL”), formed in Ireland; Virtu Financial Asia Pty Ltd (“VFAP”), formed in Australia; and Virtu Financial Singapore Pte. Ltd. (“VFSing”), formed in Singapore, each of which are trading entities focused on asset classes in their respective geographic regions.</w:t>
      </w:r>
    </w:p>
    <w:p>
      <w:pPr>
        <w:spacing w:after="0" w:line="181"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On January 2, 2018, the Company completed the sale of its fixed income trading venue, BondPoint, to Intercontinental Exchange (“ICE”) for total gross proceeds of $400.2 million. See Note 4 "Sale of BondPoint" for further details.</w:t>
      </w:r>
    </w:p>
    <w:p>
      <w:pPr>
        <w:spacing w:after="0" w:line="158"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Prior to the Acquisition of KCG, the Company was managed and operated as one business, under one operating segment. As a result of the Acquisition of KCG, beginning in the third quarter of 2017 the Company has three operating segments: (i) Market Making; (ii) Execution Services; and (iii) Corporate. See Note 19 "Geographic Information and Business Segments" for a further discussion of the Company’s segments.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24"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in the Financial Accounting Standards Board (“FASB”) Accounting Standards Codification (“ASC” or the “Codification”), and reflect all adjustments that, in the opinion of management, are normal and recurring, and that are necessary for a fair statement of the results for the periods presented. The condensed consolidated financial statements are unaudited and should be read in conjunction with the audited consolidated financial statements included in the Company’s Annual Report on Form 10-K for the year ended December 31, 2017 (the “2017 Form 10-K”).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7"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320" w:firstLine="315"/>
        <w:spacing w:after="0" w:line="274"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condensed consolidated net income available to common stockholders.</w:t>
      </w:r>
    </w:p>
    <w:p>
      <w:pPr>
        <w:spacing w:after="0" w:line="170" w:lineRule="exact"/>
        <w:rPr>
          <w:sz w:val="20"/>
          <w:szCs w:val="20"/>
          <w:color w:val="auto"/>
        </w:rPr>
      </w:pPr>
    </w:p>
    <w:p>
      <w:pPr>
        <w:jc w:val="both"/>
        <w:ind w:right="260" w:firstLine="315"/>
        <w:spacing w:after="0" w:line="268" w:lineRule="auto"/>
        <w:rPr>
          <w:sz w:val="20"/>
          <w:szCs w:val="20"/>
          <w:color w:val="auto"/>
        </w:rPr>
      </w:pPr>
      <w:r>
        <w:rPr>
          <w:rFonts w:ascii="Arial" w:cs="Arial" w:eastAsia="Arial" w:hAnsi="Arial"/>
          <w:sz w:val="17"/>
          <w:szCs w:val="17"/>
          <w:color w:val="auto"/>
        </w:rPr>
        <w:t>The condensed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77"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As discussed in Note 3 “Acquisition of KCG Holdings Inc.”, the Company has accounted for the acquisition of KCG under the acquisition method of accounting. Under the acquisition method of accounting, the assets and liabilities of KCG, as of July 20, 2017, were recorded at their respective fair values and added to the carrying value of the Company's existing assets and liabilities. The reported financial condition, results of operations and cash flows of the Company for the periods following the Acquisition reflect KCG's and the Company's balances, and reflect the impact of purchase accounting adjustments. The financial results for the three and six months ended June 30, 2017 comprise solely the results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24"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1" w:lineRule="exact"/>
        <w:rPr>
          <w:sz w:val="20"/>
          <w:szCs w:val="20"/>
          <w:color w:val="auto"/>
        </w:rPr>
      </w:pPr>
    </w:p>
    <w:p>
      <w:pPr>
        <w:ind w:right="500" w:firstLine="315"/>
        <w:spacing w:after="0" w:line="286" w:lineRule="auto"/>
        <w:rPr>
          <w:sz w:val="20"/>
          <w:szCs w:val="20"/>
          <w:color w:val="auto"/>
        </w:rPr>
      </w:pPr>
      <w:r>
        <w:rPr>
          <w:rFonts w:ascii="Arial" w:cs="Arial" w:eastAsia="Arial" w:hAnsi="Arial"/>
          <w:sz w:val="16"/>
          <w:szCs w:val="16"/>
          <w:color w:val="auto"/>
        </w:rPr>
        <w:t>The Company grants restricted stock units (“RSUs”),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color w:val="auto"/>
        </w:rPr>
        <w:t>Cash and cash equivalents include money market accounts, which are payable on demand, and short-term investments with an original maturity of less than 90 days.</w:t>
      </w:r>
    </w:p>
    <w:p>
      <w:pPr>
        <w:spacing w:after="0" w:line="158"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The Company maintains cash in bank deposit accounts that, at times, may exceed federally insured limits. The Company manages this risk by selecting financial institutions deemed highly creditworthy to minimize the risk.</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40" w:top="127" w:right="31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Borrowed and Securities Loaned</w:t>
      </w:r>
    </w:p>
    <w:p>
      <w:pPr>
        <w:spacing w:after="0" w:line="224" w:lineRule="exact"/>
        <w:rPr>
          <w:sz w:val="20"/>
          <w:szCs w:val="20"/>
          <w:color w:val="auto"/>
        </w:rPr>
      </w:pPr>
    </w:p>
    <w:p>
      <w:pPr>
        <w:ind w:firstLine="315"/>
        <w:spacing w:after="0" w:line="303"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Purchased Under Agreements to Resell and Securities Sold Under Agreements to Repurchase</w:t>
      </w:r>
    </w:p>
    <w:p>
      <w:pPr>
        <w:spacing w:after="0" w:line="22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Company has also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from/Payables to Broker-dealers and Clearing Organizations</w:t>
      </w:r>
    </w:p>
    <w:p>
      <w:pPr>
        <w:spacing w:after="0" w:line="224" w:lineRule="exact"/>
        <w:rPr>
          <w:sz w:val="20"/>
          <w:szCs w:val="20"/>
          <w:color w:val="auto"/>
        </w:rPr>
      </w:pPr>
    </w:p>
    <w:p>
      <w:pPr>
        <w:ind w:right="240" w:firstLine="315"/>
        <w:spacing w:after="0" w:line="264"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As of June 30, 2018 and December 31, 2017, receivables from and payables to broker-dealers and clearing organizations primarily represented amounts due for unsettled trades, open equity in futures transactions, securities failed to deliver or failed to receive, deposits with clearing organizations or exchanges and balances due from or due to prime brokers in relation to the Company’s trading. The Company presents its balances, including outstanding principal balances on all credit facilities, on a net by counterparty basis within receivables from and payables to broker-dealers and clearing organizations when the criteria for offsetting are met.</w:t>
      </w:r>
    </w:p>
    <w:p>
      <w:pPr>
        <w:spacing w:after="0" w:line="180" w:lineRule="exact"/>
        <w:rPr>
          <w:sz w:val="20"/>
          <w:szCs w:val="20"/>
          <w:color w:val="auto"/>
        </w:rPr>
      </w:pPr>
    </w:p>
    <w:p>
      <w:pPr>
        <w:ind w:right="280" w:firstLine="315"/>
        <w:spacing w:after="0" w:line="298" w:lineRule="auto"/>
        <w:rPr>
          <w:sz w:val="20"/>
          <w:szCs w:val="20"/>
          <w:color w:val="auto"/>
        </w:rPr>
      </w:pPr>
      <w:r>
        <w:rPr>
          <w:rFonts w:ascii="Arial" w:cs="Arial" w:eastAsia="Arial" w:hAnsi="Arial"/>
          <w:sz w:val="16"/>
          <w:szCs w:val="16"/>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 Owned Including Those Pledged as Collateral and Financial Instruments Sold, Not Yet Purchased</w:t>
      </w:r>
    </w:p>
    <w:p>
      <w:pPr>
        <w:spacing w:after="0" w:line="224"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440" w:firstLine="315"/>
        <w:spacing w:after="0" w:line="274" w:lineRule="auto"/>
        <w:rPr>
          <w:sz w:val="20"/>
          <w:szCs w:val="20"/>
          <w:color w:val="auto"/>
        </w:rPr>
      </w:pPr>
      <w:r>
        <w:rPr>
          <w:rFonts w:ascii="Arial" w:cs="Arial" w:eastAsia="Arial" w:hAnsi="Arial"/>
          <w:sz w:val="17"/>
          <w:szCs w:val="17"/>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right="20" w:firstLine="315"/>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24" w:lineRule="exact"/>
        <w:rPr>
          <w:sz w:val="20"/>
          <w:szCs w:val="20"/>
          <w:color w:val="auto"/>
        </w:rPr>
      </w:pPr>
    </w:p>
    <w:p>
      <w:pPr>
        <w:ind w:left="320" w:right="16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Transfers in or out of levels are recognized based on the beginning fair value of the period in which they occurred.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224" w:lineRule="exact"/>
        <w:rPr>
          <w:sz w:val="20"/>
          <w:szCs w:val="20"/>
          <w:color w:val="auto"/>
        </w:rPr>
      </w:pPr>
    </w:p>
    <w:p>
      <w:pPr>
        <w:jc w:val="both"/>
        <w:ind w:right="440" w:firstLine="315"/>
        <w:spacing w:after="0" w:line="268"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24"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Equipment and Occupancy</w:t>
      </w:r>
    </w:p>
    <w:p>
      <w:pPr>
        <w:spacing w:after="0" w:line="224" w:lineRule="exact"/>
        <w:rPr>
          <w:sz w:val="20"/>
          <w:szCs w:val="20"/>
          <w:color w:val="auto"/>
        </w:rPr>
      </w:pPr>
    </w:p>
    <w:p>
      <w:pPr>
        <w:ind w:right="100" w:firstLine="315"/>
        <w:spacing w:after="0" w:line="282"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67" w:lineRule="exact"/>
        <w:rPr>
          <w:sz w:val="20"/>
          <w:szCs w:val="20"/>
          <w:color w:val="auto"/>
        </w:rPr>
      </w:pPr>
    </w:p>
    <w:p>
      <w:pPr>
        <w:ind w:right="220" w:firstLine="315"/>
        <w:spacing w:after="0" w:line="323" w:lineRule="auto"/>
        <w:rPr>
          <w:sz w:val="20"/>
          <w:szCs w:val="20"/>
          <w:color w:val="auto"/>
        </w:rPr>
      </w:pPr>
      <w:r>
        <w:rPr>
          <w:rFonts w:ascii="Arial" w:cs="Arial" w:eastAsia="Arial" w:hAnsi="Arial"/>
          <w:sz w:val="16"/>
          <w:szCs w:val="16"/>
          <w:color w:val="auto"/>
        </w:rPr>
        <w:t>The Company recognizes rent expense under operating leases with fixed rent escalations, lease incentives and free rent periods on a straight-line basis over the lease term beginning on the date the Company takes possession of or controls the use of the space, including during free rent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27"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Loss Accrual</w:t>
      </w:r>
    </w:p>
    <w:p>
      <w:pPr>
        <w:spacing w:after="0" w:line="224"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Company’s policy is to identify excess real estate capacity and where applicable, accrue for related future costs, net of projected sub-lease income upon the date the Company ceases to use the excess real estate, which is recorded under operating and administrative in the condensed consolidated statements of comprehensive income. Such accrual is adjusted to the extent the actual terms of sub-leased property differ from the previous assumptions used in the calculation of the accrual.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during the preliminary project and post-implementation stages are charged to expense.</w:t>
      </w:r>
    </w:p>
    <w:p>
      <w:pPr>
        <w:spacing w:after="0" w:line="213" w:lineRule="exact"/>
        <w:rPr>
          <w:sz w:val="20"/>
          <w:szCs w:val="20"/>
          <w:color w:val="auto"/>
        </w:rPr>
      </w:pPr>
    </w:p>
    <w:p>
      <w:pPr>
        <w:ind w:right="360" w:firstLine="315"/>
        <w:spacing w:after="0" w:line="290"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8" w:lineRule="exact"/>
        <w:rPr>
          <w:sz w:val="20"/>
          <w:szCs w:val="20"/>
          <w:color w:val="auto"/>
        </w:rPr>
      </w:pPr>
    </w:p>
    <w:p>
      <w:pPr>
        <w:ind w:right="80" w:firstLine="315"/>
        <w:spacing w:after="0" w:line="274" w:lineRule="auto"/>
        <w:rPr>
          <w:sz w:val="20"/>
          <w:szCs w:val="20"/>
          <w:color w:val="auto"/>
        </w:rPr>
      </w:pPr>
      <w:r>
        <w:rPr>
          <w:rFonts w:ascii="Arial" w:cs="Arial" w:eastAsia="Arial" w:hAnsi="Arial"/>
          <w:sz w:val="17"/>
          <w:szCs w:val="17"/>
          <w:color w:val="auto"/>
        </w:rPr>
        <w:t>Capitalized software development costs and related accumulated amortization are included in property, equipment and capitalized software in the accompanying condensed consolidated statements of financial condition and are amortized over a period of 1.5 to 2.5 years, which represents the estimated useful lives of the underlying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4" w:lineRule="exact"/>
        <w:rPr>
          <w:sz w:val="20"/>
          <w:szCs w:val="20"/>
          <w:color w:val="auto"/>
        </w:rPr>
      </w:pPr>
    </w:p>
    <w:p>
      <w:pPr>
        <w:ind w:right="40" w:firstLine="315"/>
        <w:spacing w:after="0" w:line="326"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the Company’s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37" w:lineRule="exact"/>
        <w:rPr>
          <w:sz w:val="20"/>
          <w:szCs w:val="20"/>
          <w:color w:val="auto"/>
        </w:rPr>
      </w:pPr>
    </w:p>
    <w:p>
      <w:pPr>
        <w:ind w:right="360" w:firstLine="315"/>
        <w:spacing w:after="0" w:line="268"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or circumstances exist. In the impairment test as of July 1, 2017, the primary valuation method used to estimate the fair value of the Company’s reporting unit was the market capitalization approach based on the market price of its Class A common stock, which the Company’s management believes to be an appropriate indicator of its fair value. Following the Acquisition, our impairment testing is performed for each reporting unit.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4"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Memberships and Stock</w:t>
      </w:r>
    </w:p>
    <w:p>
      <w:pPr>
        <w:spacing w:after="0" w:line="224"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Exchange memberships are recorded at cost or, if any other than temporary impairment in value has occurred, at a value that reflects management’s estimate of fair value. Exchange memberships acquired in connection with the Acquisition were recorded at their fair value on the date of acquisition. Exchange stock includes shares that entitle the Company to certain trading privileges. The Company’s exchange memberships and stock are included in intangibles in the condensed consolidated statements of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Income, net</w:t>
      </w:r>
    </w:p>
    <w:p>
      <w:pPr>
        <w:spacing w:after="0" w:line="224"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 The Company recognizes the related revenue when the third party research services are rendered and payments are made.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Commissions, net and Technology Services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condensed consolidated statements of comprehensive income.</w:t>
      </w:r>
    </w:p>
    <w:p>
      <w:pPr>
        <w:spacing w:after="0" w:line="177" w:lineRule="exact"/>
        <w:rPr>
          <w:sz w:val="20"/>
          <w:szCs w:val="20"/>
          <w:color w:val="auto"/>
        </w:rPr>
      </w:pPr>
    </w:p>
    <w:p>
      <w:pPr>
        <w:ind w:right="140" w:firstLine="315"/>
        <w:spacing w:after="0" w:line="294" w:lineRule="auto"/>
        <w:rPr>
          <w:sz w:val="20"/>
          <w:szCs w:val="20"/>
          <w:color w:val="auto"/>
        </w:rPr>
      </w:pPr>
      <w:r>
        <w:rPr>
          <w:rFonts w:ascii="Arial" w:cs="Arial" w:eastAsia="Arial" w:hAnsi="Arial"/>
          <w:sz w:val="15"/>
          <w:szCs w:val="15"/>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w:t>
      </w:r>
    </w:p>
    <w:p>
      <w:pPr>
        <w:spacing w:after="0" w:line="4"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 significant reversal of cumulative revenue recognized will not occur. Recurring fees, which exclude variable consideration, are billed and collected on a quarterly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Dividends Income/Interest and Dividends Expense</w:t>
      </w:r>
    </w:p>
    <w:p>
      <w:pPr>
        <w:spacing w:after="0" w:line="224"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Brokerage, Exchange and Clearance Fees, Net</w:t>
      </w:r>
    </w:p>
    <w:p>
      <w:pPr>
        <w:spacing w:after="0" w:line="224"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for Order Flow</w:t>
      </w:r>
    </w:p>
    <w:p>
      <w:pPr>
        <w:spacing w:after="0" w:line="224" w:lineRule="exact"/>
        <w:rPr>
          <w:sz w:val="20"/>
          <w:szCs w:val="20"/>
          <w:color w:val="auto"/>
        </w:rPr>
      </w:pPr>
    </w:p>
    <w:p>
      <w:pPr>
        <w:ind w:right="320" w:firstLine="315"/>
        <w:spacing w:after="0" w:line="323" w:lineRule="auto"/>
        <w:rPr>
          <w:sz w:val="20"/>
          <w:szCs w:val="20"/>
          <w:color w:val="auto"/>
        </w:rPr>
      </w:pPr>
      <w:r>
        <w:rPr>
          <w:rFonts w:ascii="Arial" w:cs="Arial" w:eastAsia="Arial" w:hAnsi="Arial"/>
          <w:sz w:val="16"/>
          <w:szCs w:val="16"/>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right="380" w:firstLine="315"/>
        <w:spacing w:after="0" w:line="315" w:lineRule="auto"/>
        <w:rPr>
          <w:sz w:val="20"/>
          <w:szCs w:val="20"/>
          <w:color w:val="auto"/>
        </w:rPr>
      </w:pPr>
      <w:r>
        <w:rPr>
          <w:rFonts w:ascii="Arial" w:cs="Arial" w:eastAsia="Arial" w:hAnsi="Arial"/>
          <w:sz w:val="15"/>
          <w:szCs w:val="15"/>
          <w:color w:val="auto"/>
        </w:rPr>
        <w:t>Subsequent to consummation of the Reorganization Transactions and the IPO, the Company is subject to U.S. federal, state and local income taxes on its taxable income. The Company's subsidiaries are subject to income taxes in the respective jurisdictions (including foreign jurisdictions) in which they operate. Prior to the consummation of the Reorganization Transactions and the IPO, no provision for United States federal, state and local income tax was required, as Virtu Financial is a limited liability company and is treated as a pass-through entity for United States federal, state, and local income tax purposes.</w:t>
      </w:r>
    </w:p>
    <w:p>
      <w:pPr>
        <w:spacing w:after="0" w:line="144"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0" w:lineRule="exact"/>
        <w:rPr>
          <w:sz w:val="20"/>
          <w:szCs w:val="20"/>
          <w:color w:val="auto"/>
        </w:rPr>
      </w:pPr>
    </w:p>
    <w:p>
      <w:pPr>
        <w:ind w:right="80" w:firstLine="315"/>
        <w:spacing w:after="0" w:line="263"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Public Law No. 115-97, commonly referred to as The Tax Cuts and Jobs Act (the “2017 Tax Act”) was signed into law on December 22, 2017. The 2017 Tax Act significantly changes how the U.S. federal government taxes corporations and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Based on our analysis of the 2017 Tax Act, which includes collecting and preparing necessary data, and interpreting any additional guidance, we may make adjustments to provisional amounts that we have recorded that may materially impact our provision for income taxes in the period in which the adjustments are made. See Note 14 “Income Taxes”.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and Foreign Currency Translation</w:t>
      </w:r>
    </w:p>
    <w:p>
      <w:pPr>
        <w:spacing w:after="0" w:line="224"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61" w:lineRule="exact"/>
        <w:rPr>
          <w:sz w:val="20"/>
          <w:szCs w:val="20"/>
          <w:color w:val="auto"/>
        </w:rPr>
      </w:pPr>
    </w:p>
    <w:p>
      <w:pPr>
        <w:ind w:right="380" w:firstLine="315"/>
        <w:spacing w:after="0" w:line="323" w:lineRule="auto"/>
        <w:rPr>
          <w:sz w:val="20"/>
          <w:szCs w:val="20"/>
          <w:color w:val="auto"/>
        </w:rPr>
      </w:pPr>
      <w:r>
        <w:rPr>
          <w:rFonts w:ascii="Arial" w:cs="Arial" w:eastAsia="Arial" w:hAnsi="Arial"/>
          <w:sz w:val="16"/>
          <w:szCs w:val="16"/>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utilizes the Euro as the functional currency.</w:t>
      </w:r>
    </w:p>
    <w:p>
      <w:pPr>
        <w:spacing w:after="0" w:line="135"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investment income and other, net on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20"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58" w:lineRule="exact"/>
        <w:rPr>
          <w:sz w:val="20"/>
          <w:szCs w:val="20"/>
          <w:color w:val="auto"/>
        </w:rPr>
      </w:pPr>
    </w:p>
    <w:p>
      <w:pPr>
        <w:ind w:right="80" w:firstLine="315"/>
        <w:spacing w:after="0" w:line="282"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the VFI 2015 Management Incentive Plan (as amended, the “2015 Amended and Restated Management Incentive Plan”) were in the form of stock options, Class A common stock and RSUs.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 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224"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70"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Merger, KCG was required to relinquish their ownership in the JV. As of June 30, 2018, each of the remaining parties owns approximately 11% of the voting shares and 11% of the equity of this JV. In addition, 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The JVs meet the criteria to be considered VIEs.</w:t>
      </w:r>
    </w:p>
    <w:p>
      <w:pPr>
        <w:spacing w:after="0" w:line="180"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80"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VIEs at June 30,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Carrying Amount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Maximum Exposure to</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Asset</w:t>
            </w:r>
          </w:p>
        </w:tc>
        <w:tc>
          <w:tcPr>
            <w:tcW w:w="120" w:type="dxa"/>
            <w:vAlign w:val="bottom"/>
            <w:vMerge w:val="restart"/>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18,472</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49,834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VIEs at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Carrying Amount</w:t>
            </w:r>
          </w:p>
        </w:tc>
        <w:tc>
          <w:tcPr>
            <w:tcW w:w="320" w:type="dxa"/>
            <w:vAlign w:val="bottom"/>
          </w:tcPr>
          <w:p>
            <w:pPr>
              <w:spacing w:after="0"/>
              <w:rPr>
                <w:sz w:val="15"/>
                <w:szCs w:val="15"/>
                <w:color w:val="auto"/>
              </w:rPr>
            </w:pPr>
          </w:p>
        </w:tc>
        <w:tc>
          <w:tcPr>
            <w:tcW w:w="1620" w:type="dxa"/>
            <w:vAlign w:val="bottom"/>
            <w:gridSpan w:val="2"/>
            <w:vMerge w:val="restart"/>
          </w:tcPr>
          <w:p>
            <w:pPr>
              <w:jc w:val="center"/>
              <w:ind w:left="10"/>
              <w:spacing w:after="0"/>
              <w:rPr>
                <w:sz w:val="20"/>
                <w:szCs w:val="20"/>
                <w:color w:val="auto"/>
              </w:rPr>
            </w:pPr>
            <w:r>
              <w:rPr>
                <w:rFonts w:ascii="Arial" w:cs="Arial" w:eastAsia="Arial" w:hAnsi="Arial"/>
                <w:sz w:val="14"/>
                <w:szCs w:val="14"/>
                <w:b w:val="1"/>
                <w:bCs w:val="1"/>
                <w:color w:val="auto"/>
                <w:w w:val="92"/>
              </w:rPr>
              <w:t>Maximum Exposure to</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restart"/>
          </w:tcPr>
          <w:p>
            <w:pPr>
              <w:jc w:val="right"/>
              <w:ind w:right="410"/>
              <w:spacing w:after="0"/>
              <w:rPr>
                <w:sz w:val="20"/>
                <w:szCs w:val="20"/>
                <w:color w:val="auto"/>
              </w:rPr>
            </w:pPr>
            <w:r>
              <w:rPr>
                <w:rFonts w:ascii="Arial" w:cs="Arial" w:eastAsia="Arial" w:hAnsi="Arial"/>
                <w:sz w:val="14"/>
                <w:szCs w:val="14"/>
                <w:b w:val="1"/>
                <w:bCs w:val="1"/>
                <w:color w:val="auto"/>
              </w:rPr>
              <w:t>Asset</w:t>
            </w:r>
          </w:p>
        </w:tc>
        <w:tc>
          <w:tcPr>
            <w:tcW w:w="120" w:type="dxa"/>
            <w:vAlign w:val="bottom"/>
            <w:vMerge w:val="restart"/>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center"/>
              <w:ind w:right="330"/>
              <w:spacing w:after="0"/>
              <w:rPr>
                <w:sz w:val="20"/>
                <w:szCs w:val="20"/>
                <w:color w:val="auto"/>
              </w:rPr>
            </w:pPr>
            <w:r>
              <w:rPr>
                <w:rFonts w:ascii="Arial" w:cs="Arial" w:eastAsia="Arial" w:hAnsi="Arial"/>
                <w:sz w:val="14"/>
                <w:szCs w:val="14"/>
                <w:b w:val="1"/>
                <w:bCs w:val="1"/>
                <w:color w:val="auto"/>
                <w:w w:val="78"/>
              </w:rPr>
              <w:t>loss</w:t>
            </w:r>
          </w:p>
        </w:tc>
        <w:tc>
          <w:tcPr>
            <w:tcW w:w="3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18,799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18,799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30"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In May 2014, the FASB issued Accounting Standard Update (“ASU”) 2014-9,</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comprehensive new revenue recognition model that requires a company to recognize revenue to depict the transfer of goods or services to a customer at an amount that reflects the consideration it expects to receive in exchange for those goods or services. ASU 2014-9 also requires additional disclosure about the nature, amount, timing and uncertainty of revenue and cash flows arising from customer contracts, including significant judgments and changes in judgments and assets recognized from costs incurred to obtain or fulfill a contract.</w:t>
      </w:r>
    </w:p>
    <w:p>
      <w:pPr>
        <w:spacing w:after="0" w:line="181"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Company adopted the new revenue standard on January 1, 2018 by applying the modified retrospective method, which did not result in a transition adjustment. The new standard does not apply to revenue associated with financial instruments that are accounted for under other U.S. GAAP, and as a result, did not have a material impact on the Company’s condensed consolidated financial statements, which are most closely associated with financial instruments, including trading income, net, and interest and dividends income. The new revenue standard primarily impacts revenues from technology services, commissions and soft-dollar arrangements generated by execution services. The additional disclosures required by the new standard have been included in Note 13 "Revenues from Contracts with Customers".</w:t>
      </w:r>
    </w:p>
    <w:p>
      <w:pPr>
        <w:spacing w:after="0" w:line="180"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b w:val="1"/>
          <w:bCs w:val="1"/>
          <w:i w:val="1"/>
          <w:iCs w:val="1"/>
          <w:color w:val="auto"/>
        </w:rPr>
        <w:t xml:space="preserve">Financial Assets and Liabilities </w:t>
      </w:r>
      <w:r>
        <w:rPr>
          <w:rFonts w:ascii="Arial" w:cs="Arial" w:eastAsia="Arial" w:hAnsi="Arial"/>
          <w:sz w:val="17"/>
          <w:szCs w:val="17"/>
          <w:color w:val="auto"/>
        </w:rPr>
        <w:t>— In January 2016, the FASB issued ASU 2016-01,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The ASU affects the accounting for equity investments, financial liabilities under fair value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requirements of financial instruments. The new ASU affects all entities that hold financial assets or owe financial liabilities and is effective for annual reporting periods (including interim periods) beginning after December 15, 2017. The Company does not currently classify any equity securities as available for sale, and it does not apply the fair value option to its own debt issuances.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Company has adopted this ASU as of January 1, 2018, and it did not have a material impact on its condensed consolidated financial statements.</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October 2016, the FASB issued ASU 2016-16,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749): Intra-Entity Transfers of Assets Other Than Inventory</w:t>
      </w:r>
      <w:r>
        <w:rPr>
          <w:rFonts w:ascii="Arial" w:cs="Arial" w:eastAsia="Arial" w:hAnsi="Arial"/>
          <w:sz w:val="17"/>
          <w:szCs w:val="17"/>
          <w:color w:val="auto"/>
        </w:rPr>
        <w:t>. The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the reporting entity to recognize the tax expense from the sale of an asset in the seller’s tax jurisdiction when the transfer occurs, even though the pre-tax effects of the transactions are eliminated in consolidation. Any deferred tax asset that arises in the buyer’s jurisdiction would also be recognized at the time of the transfer. The ASU is effective for reporting periods beginning after December 15, 2017. The Company adopted this ASU on January 1, 2018, and it did not have a material impact on its condensed consolidated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 In January 2017, the FASB issued ASU 2017-1,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Combinations (Topic 805), Clarifying the Definition of a</w:t>
      </w:r>
    </w:p>
    <w:p>
      <w:pPr>
        <w:spacing w:after="0" w:line="26"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i w:val="1"/>
          <w:iCs w:val="1"/>
          <w:color w:val="auto"/>
        </w:rPr>
        <w:t>Business</w:t>
      </w:r>
      <w:r>
        <w:rPr>
          <w:rFonts w:ascii="Arial" w:cs="Arial" w:eastAsia="Arial" w:hAnsi="Arial"/>
          <w:sz w:val="17"/>
          <w:szCs w:val="17"/>
          <w:color w:val="auto"/>
        </w:rPr>
        <w:t>, to amend the definition of a business with the objective of adding guidance to assist entities with evaluating whether transactions should be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as acquisitions (or disposals) of assets or businesses. The ASU is effective for reporting periods beginning after December 15, 2017. The Company adopted this ASU on January 1, 2018.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June 30, 2018</w:t>
      </w:r>
    </w:p>
    <w:p>
      <w:pPr>
        <w:spacing w:after="0" w:line="230" w:lineRule="exact"/>
        <w:rPr>
          <w:sz w:val="20"/>
          <w:szCs w:val="20"/>
          <w:color w:val="auto"/>
        </w:rPr>
      </w:pPr>
    </w:p>
    <w:p>
      <w:pPr>
        <w:ind w:right="20" w:firstLine="315"/>
        <w:spacing w:after="0" w:line="279"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 In February 2016, the FASB issued ASU 2016-02,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the new ASU, a lessee will be required to recognize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leases with lease terms of more than 12 months. The liability will be equal to the present value of the future lease payments. The asset, referred to as a “right-of-use asset” will be based on the liability, subject to adjustment, such as for initial direct costs. For income statement purposes, leases will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but without explicit bright lines. The Company's implementation effort is ongoing, and it will adopt this ASU on January 1, 2019. The Company is not anticipating recognizing lease assets and lease liabilities for leases with a determined lease term of twelve months or less. Upon adoption of this ASU, the Company expects to report grossed up assets and liabilities on its condensed consolidated statement of financial condition as a result of recognizing right-of-use assets and lease liabilities related to certain equipment under non-cancelable operating lease agreements and long-term occupancy operating leases, which currently are not reflected in its condensed consolidated statement of financial condition.</w:t>
      </w:r>
    </w:p>
    <w:p>
      <w:pPr>
        <w:spacing w:after="0" w:line="171" w:lineRule="exact"/>
        <w:rPr>
          <w:sz w:val="20"/>
          <w:szCs w:val="20"/>
          <w:color w:val="auto"/>
        </w:rPr>
      </w:pPr>
    </w:p>
    <w:p>
      <w:pPr>
        <w:ind w:right="60" w:firstLine="315"/>
        <w:spacing w:after="0" w:line="278"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 In January, 2017, the FASB issued ASU 2017-4,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simplify the subsequent measurement of goodwill, this ASU eliminated Step 2 from the goodwill impairment test. In computing the implied 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Early adoption is permitted for interim or annual goodwill impairment tests performed on testing dates after January 1, 2017. The Company does not expect the adoption of this ASU to have a material impact on its condensed consolidated financial statements.</w:t>
      </w:r>
    </w:p>
    <w:p>
      <w:pPr>
        <w:spacing w:after="0" w:line="176" w:lineRule="exact"/>
        <w:rPr>
          <w:sz w:val="20"/>
          <w:szCs w:val="20"/>
          <w:color w:val="auto"/>
        </w:rPr>
      </w:pPr>
    </w:p>
    <w:p>
      <w:pPr>
        <w:ind w:right="40" w:firstLine="315"/>
        <w:spacing w:after="0" w:line="282" w:lineRule="auto"/>
        <w:rPr>
          <w:sz w:val="20"/>
          <w:szCs w:val="20"/>
          <w:color w:val="auto"/>
        </w:rPr>
      </w:pPr>
      <w:r>
        <w:rPr>
          <w:rFonts w:ascii="Arial" w:cs="Arial" w:eastAsia="Arial" w:hAnsi="Arial"/>
          <w:sz w:val="16"/>
          <w:szCs w:val="16"/>
          <w:b w:val="1"/>
          <w:bCs w:val="1"/>
          <w:i w:val="1"/>
          <w:iCs w:val="1"/>
          <w:color w:val="auto"/>
        </w:rPr>
        <w:t xml:space="preserve">Stock Compensation </w:t>
      </w:r>
      <w:r>
        <w:rPr>
          <w:rFonts w:ascii="Arial" w:cs="Arial" w:eastAsia="Arial" w:hAnsi="Arial"/>
          <w:sz w:val="16"/>
          <w:szCs w:val="16"/>
          <w:color w:val="auto"/>
        </w:rPr>
        <w:t>- 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Compensation, Stock Compensation (Topic 718): Improvements to Nonemployee Share-Based Payment Accounting</w:t>
      </w:r>
      <w:r>
        <w:rPr>
          <w:rFonts w:ascii="Arial" w:cs="Arial" w:eastAsia="Arial" w:hAnsi="Arial"/>
          <w:sz w:val="16"/>
          <w:szCs w:val="16"/>
          <w:color w:val="auto"/>
        </w:rPr>
        <w:t>, with the objective of conforming the accounting for share-based awards to non-employees to the accounting for awards granted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Previously, non-employee awards were measured at the vesting date, rather than the grant date, which effectively required the awards to be marked to market until the award vested. Under the new ASU, companies will be required to measure non-employee awards at the fair value of the instruments issued at the grant date. Entities will also be able to consider the probability of the recipient satisfying any performance conditions. The ASU is effective for periods beginning after December 15, 2018, including interim periods within that fiscal year. The Company does not currently make share-based awards to non-employees, and does not expect the adoption of this ASU to have a material impact on its condensed consolidated financial statements.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of KCG Holdings, Inc.</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80" w:firstLine="315"/>
        <w:spacing w:after="0" w:line="290" w:lineRule="auto"/>
        <w:rPr>
          <w:sz w:val="20"/>
          <w:szCs w:val="20"/>
          <w:color w:val="auto"/>
        </w:rPr>
      </w:pPr>
      <w:r>
        <w:rPr>
          <w:rFonts w:ascii="Arial" w:cs="Arial" w:eastAsia="Arial" w:hAnsi="Arial"/>
          <w:sz w:val="17"/>
          <w:szCs w:val="17"/>
          <w:color w:val="auto"/>
        </w:rPr>
        <w:t>As of the Closing Date of the Acquisition of KCG, each of KCG’s issued and outstanding shares of Class A common stock, par value $0.01 per share was cancelled and extinguished and converted into the right to receive $20.00 in cash, without interest, less any applicable withholding taxes.</w:t>
      </w:r>
    </w:p>
    <w:p>
      <w:pPr>
        <w:spacing w:after="0" w:line="236"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of KCG, as described in Note 10 "Borrowings", the Company issued to Aranda Investments Pte. Ltd. (“Aranda”), an affiliate of Temasek Holdings (Private) Limited (“Temasek”), 6,346,155 shares of the Company’s Class A common stock, pursuant to the investment agreement with Aranda (as amended, the “Aranda Investment Agreement”) for an aggregate purchase price of approximately $99.0 million. On August 10, 2017, the Company issued an additional 1,666,666 shares of its Class A common stock for an aggregate purchase price of $26.0 million (collectively, the “Temasek Investment”).</w:t>
      </w:r>
    </w:p>
    <w:p>
      <w:pPr>
        <w:spacing w:after="0" w:line="259" w:lineRule="exact"/>
        <w:rPr>
          <w:sz w:val="20"/>
          <w:szCs w:val="20"/>
          <w:color w:val="auto"/>
        </w:rPr>
      </w:pPr>
    </w:p>
    <w:p>
      <w:pPr>
        <w:ind w:right="12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of KCG, the Company issued to North Island Holdings I, LP (“NIH”) 39,725,979 shares of the Company’s Class A common stock for an aggregate purchase price of approximately $613.5 million. On August 10, 2017 the Company issued an additional 338,124 shares of its Class A common stock for an aggregate purchase price of $5.2 million (collectively, the “NIH Investment”). In connection with the Temasek Investment and NIH Investment, the Company incurred approximately $7.8 million in fees which were recorded as a reduction to additional paid-in capital.</w:t>
      </w:r>
    </w:p>
    <w:p>
      <w:pPr>
        <w:spacing w:after="0" w:line="259" w:lineRule="exact"/>
        <w:rPr>
          <w:sz w:val="20"/>
          <w:szCs w:val="20"/>
          <w:color w:val="auto"/>
        </w:rPr>
      </w:pPr>
    </w:p>
    <w:p>
      <w:pPr>
        <w:ind w:right="300" w:firstLine="315"/>
        <w:spacing w:after="0" w:line="290"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$465.0 million principal amount, plus accrued and unpaid interest. The redemption was pursuant to the indenture, dated as of March 13, 2015 (as amended, restated, supplemented or otherwise modified), by and among KCG, the subsidiary guarantors party thereto and The Bank of New York Mellon, as trustee and collateral agent. See "Fourth Amended and Restated Credit Agreement" and "Senior Secured Second Lien Notes" in Note 10 "Borrowings".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treatment of the Acquisition</w:t>
      </w:r>
    </w:p>
    <w:p>
      <w:pPr>
        <w:spacing w:after="0" w:line="303"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color w:val="auto"/>
        </w:rPr>
        <w:t xml:space="preserve">The Acquisition has been accounted for as a purchase of KCG by the Company, pursuant to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the assets and liabilities of KCG, as of July 20, 2017, were recorded at their respective fair values and added to the carrying value of the Company's existing assets and liabilities. These fair values were determined with the assistance of third party valuation professionals. The reported financial condition, results of operations and cash flows of the Company for the periods following the Acquisition reflect KCG’s and the Company's balances and reflect the impact of purchase accounting adjustments.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and goodwill</w:t>
      </w:r>
    </w:p>
    <w:p>
      <w:pPr>
        <w:spacing w:after="0" w:line="303" w:lineRule="exact"/>
        <w:rPr>
          <w:sz w:val="20"/>
          <w:szCs w:val="20"/>
          <w:color w:val="auto"/>
        </w:rPr>
      </w:pPr>
    </w:p>
    <w:p>
      <w:pPr>
        <w:ind w:firstLine="315"/>
        <w:spacing w:after="0" w:line="360" w:lineRule="auto"/>
        <w:rPr>
          <w:sz w:val="20"/>
          <w:szCs w:val="20"/>
          <w:color w:val="auto"/>
        </w:rPr>
      </w:pPr>
      <w:r>
        <w:rPr>
          <w:rFonts w:ascii="Arial" w:cs="Arial" w:eastAsia="Arial" w:hAnsi="Arial"/>
          <w:sz w:val="15"/>
          <w:szCs w:val="15"/>
          <w:color w:val="auto"/>
        </w:rPr>
        <w:t>The aggregate cash purchase price of $1.4 billion was determined as the sum of the fair value, at $20.00 per share, of KCG shares and warrants outstanding to former KCG stockholders at closing and the fair value of KCG employee stock based awards that were outstanding, and which vested at the Closing Date.</w:t>
      </w:r>
    </w:p>
    <w:p>
      <w:pPr>
        <w:spacing w:after="0" w:line="191"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purchase price has been allocated to the assets acquired and liabilities assumed using their estimated fair values at the Closing Date of the Acquisition. Although the Company has substantially completed its analysis to record the allocation of the purchase price to the KCG acquired assets and liabilities, the allocation of the purchase price may be modified over the measurement period, which does not exceed twelve months from the Closing Date, as more information is obtained about the fair values of assets acquired and liabilities assumed. Adjustments to the provisional values during the measurement period were recorded in the reporting period in which the adjustment amounts were determined. No further adjustments to the provisional values remain. The Company engaged third party specialists for the purchase price allocation.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127"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allocated to intangible assets, the amortization period and goodwill were as follows:</w:t>
      </w:r>
    </w:p>
    <w:p>
      <w:pPr>
        <w:spacing w:after="0" w:line="249" w:lineRule="exact"/>
        <w:rPr>
          <w:sz w:val="20"/>
          <w:szCs w:val="20"/>
          <w:color w:val="auto"/>
        </w:rPr>
      </w:pPr>
    </w:p>
    <w:tbl>
      <w:tblPr>
        <w:tblLayout w:type="fixed"/>
        <w:tblInd w:w="216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Amortization</w:t>
            </w:r>
          </w:p>
        </w:tc>
      </w:tr>
      <w:tr>
        <w:trPr>
          <w:trHeight w:val="23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Amount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2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67,700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6"/>
              </w:rPr>
              <w:t>1-6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94,000</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13 - 17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7"/>
              </w:rPr>
              <w:t>10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Favorable leases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5,895</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2-15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 memberships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95"/>
              </w:rPr>
              <w:t>Indefinite</w:t>
            </w:r>
          </w:p>
        </w:tc>
      </w:tr>
      <w:tr>
        <w:trPr>
          <w:trHeight w:val="210"/>
        </w:trPr>
        <w:tc>
          <w:tcPr>
            <w:tcW w:w="368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174,995</w:t>
            </w:r>
          </w:p>
        </w:tc>
        <w:tc>
          <w:tcPr>
            <w:tcW w:w="192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128,286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36"/>
        </w:trPr>
        <w:tc>
          <w:tcPr>
            <w:tcW w:w="3680" w:type="dxa"/>
            <w:vAlign w:val="bottom"/>
          </w:tcPr>
          <w:p>
            <w:pPr>
              <w:ind w:left="16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303,281</w:t>
            </w:r>
          </w:p>
        </w:tc>
        <w:tc>
          <w:tcPr>
            <w:tcW w:w="192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6"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Of the total Goodwill of $128.3 million, $96.2 million has been assigned to the Market Making segment and $32.1 million has been assigned to the Execution Services segment. Such goodwill is attributable to the expansion of products offerings and expected synergies of the combined workforce, products and technologies of the Company and KCG.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treatment of the Acquisition</w:t>
      </w:r>
    </w:p>
    <w:p>
      <w:pPr>
        <w:spacing w:after="0" w:line="303"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The Company believes that the Acquisition will be treated as a tax-free transaction to the Company that does not result in a step up in tax basis in the acquired assets and, therefore, KCG’s tax basis in its assets and liabilities generally carries over to the Company following the Acquisition. None of the goodwill is expected to be deductible for tax purposes.</w:t>
      </w:r>
    </w:p>
    <w:p>
      <w:pPr>
        <w:spacing w:after="0" w:line="249" w:lineRule="exact"/>
        <w:rPr>
          <w:sz w:val="20"/>
          <w:szCs w:val="20"/>
          <w:color w:val="auto"/>
        </w:rPr>
      </w:pPr>
    </w:p>
    <w:p>
      <w:pPr>
        <w:ind w:right="580" w:firstLine="315"/>
        <w:spacing w:after="0" w:line="274" w:lineRule="auto"/>
        <w:rPr>
          <w:sz w:val="20"/>
          <w:szCs w:val="20"/>
          <w:color w:val="auto"/>
        </w:rPr>
      </w:pPr>
      <w:r>
        <w:rPr>
          <w:rFonts w:ascii="Arial" w:cs="Arial" w:eastAsia="Arial" w:hAnsi="Arial"/>
          <w:sz w:val="17"/>
          <w:szCs w:val="17"/>
          <w:color w:val="auto"/>
        </w:rPr>
        <w:t>The Company recorded net deferred tax assets of $23.9 million with respect to recording KCG’s assets and liabilities under the purchase method of accounting as described above as well as recording the value of other tax attributes acquired as a result of the Acquisition of KCG, as described in Note 14 "Income Taxes".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BondPoint</w:t>
      </w:r>
    </w:p>
    <w:p>
      <w:pPr>
        <w:spacing w:after="0" w:line="230" w:lineRule="exact"/>
        <w:rPr>
          <w:sz w:val="20"/>
          <w:szCs w:val="20"/>
          <w:color w:val="auto"/>
        </w:rPr>
      </w:pPr>
    </w:p>
    <w:p>
      <w:pPr>
        <w:ind w:firstLine="315"/>
        <w:spacing w:after="0" w:line="298" w:lineRule="auto"/>
        <w:rPr>
          <w:sz w:val="20"/>
          <w:szCs w:val="20"/>
          <w:color w:val="auto"/>
        </w:rPr>
      </w:pPr>
      <w:r>
        <w:rPr>
          <w:rFonts w:ascii="Arial" w:cs="Arial" w:eastAsia="Arial" w:hAnsi="Arial"/>
          <w:sz w:val="16"/>
          <w:szCs w:val="16"/>
          <w:color w:val="auto"/>
        </w:rPr>
        <w:t>In October 2017, the Company entered into an Asset Purchase Agreement (the “BondPoint Agreement”) with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233" w:lineRule="exact"/>
        <w:rPr>
          <w:sz w:val="20"/>
          <w:szCs w:val="20"/>
          <w:color w:val="auto"/>
        </w:rPr>
      </w:pPr>
    </w:p>
    <w:p>
      <w:pPr>
        <w:ind w:right="220" w:firstLine="315"/>
        <w:spacing w:after="0" w:line="283" w:lineRule="auto"/>
        <w:rPr>
          <w:sz w:val="20"/>
          <w:szCs w:val="20"/>
          <w:color w:val="auto"/>
        </w:rPr>
      </w:pPr>
      <w:r>
        <w:rPr>
          <w:rFonts w:ascii="Arial" w:cs="Arial" w:eastAsia="Arial" w:hAnsi="Arial"/>
          <w:sz w:val="16"/>
          <w:szCs w:val="16"/>
          <w:color w:val="auto"/>
        </w:rPr>
        <w:t>As of December 31, 2017, the Company transferred the carrying value of BondPoint to assets held for sale; refer to Note 4 “Business held for sale” in the 2017 Form 10-K. On January 2, 2018, the Company completed the sale of BondPoint to Intercontinental Exchange for total gross proceeds of $400.2 million in cash. The Company incurred one-time transaction costs of $8.5 million, which include professional fees of $7.1 million related to the sale and $1.4 million of compensation expense, which is recorded in Transaction advisory fees and expenses and Employee compensation and payroll taxes, respectively, on the condensed consolidated statement of comprehensive income. The Company recognized a gain on sale of $337.6 million, which is recorded in Other, net on the condensed consolidated statement of comprehensive income for the six months ended June 30, 2018.</w:t>
      </w:r>
    </w:p>
    <w:p>
      <w:pPr>
        <w:spacing w:after="0" w:line="2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carrying value of BondPoint and gain on sale of BondPoint is as follows:</w:t>
      </w:r>
    </w:p>
    <w:p>
      <w:pPr>
        <w:spacing w:after="0" w:line="398"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(in thousand)</w:t>
      </w:r>
    </w:p>
    <w:p>
      <w:pPr>
        <w:spacing w:after="0" w:line="29" w:lineRule="exact"/>
        <w:rPr>
          <w:sz w:val="20"/>
          <w:szCs w:val="20"/>
          <w:color w:val="auto"/>
        </w:rPr>
      </w:pPr>
    </w:p>
    <w:tbl>
      <w:tblPr>
        <w:tblLayout w:type="fixed"/>
        <w:tblInd w:w="2100" w:type="dxa"/>
        <w:tblCellMar>
          <w:top w:w="0" w:type="dxa"/>
          <w:left w:w="0" w:type="dxa"/>
          <w:bottom w:w="0" w:type="dxa"/>
          <w:right w:w="0" w:type="dxa"/>
        </w:tblCellMar>
      </w:tblPr>
      <w:tr>
        <w:trPr>
          <w:trHeight w:val="256"/>
        </w:trPr>
        <w:tc>
          <w:tcPr>
            <w:tcW w:w="5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top w:val="single" w:sz="8" w:color="auto"/>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400,192</w:t>
            </w:r>
          </w:p>
        </w:tc>
      </w:tr>
      <w:tr>
        <w:trPr>
          <w:trHeight w:val="230"/>
        </w:trPr>
        <w:tc>
          <w:tcPr>
            <w:tcW w:w="5840" w:type="dxa"/>
            <w:vAlign w:val="bottom"/>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3,383</w:t>
            </w:r>
          </w:p>
        </w:tc>
      </w:tr>
      <w:tr>
        <w:trPr>
          <w:trHeight w:val="230"/>
        </w:trPr>
        <w:tc>
          <w:tcPr>
            <w:tcW w:w="5840" w:type="dxa"/>
            <w:vAlign w:val="bottom"/>
          </w:tcPr>
          <w:p>
            <w:pPr>
              <w:ind w:left="14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51,687</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54,342</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8,300</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337,550</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8,568</w:t>
            </w:r>
          </w:p>
        </w:tc>
      </w:tr>
      <w:tr>
        <w:trPr>
          <w:trHeight w:val="236"/>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328,982</w:t>
            </w:r>
          </w:p>
        </w:tc>
      </w:tr>
      <w:tr>
        <w:trPr>
          <w:trHeight w:val="20"/>
        </w:trPr>
        <w:tc>
          <w:tcPr>
            <w:tcW w:w="5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contains a reconciliation of net income before noncontrolling interest to net income available for common stockholders: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520" w:type="dxa"/>
            <w:vAlign w:val="bottom"/>
            <w:gridSpan w:val="3"/>
          </w:tcPr>
          <w:p>
            <w:pPr>
              <w:jc w:val="right"/>
              <w:ind w:right="363"/>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r>
      <w:tr>
        <w:trPr>
          <w:trHeight w:val="248"/>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49,622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5,192</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518,160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29,074</w:t>
            </w:r>
          </w:p>
        </w:tc>
      </w:tr>
      <w:tr>
        <w:trPr>
          <w:trHeight w:val="257"/>
        </w:trPr>
        <w:tc>
          <w:tcPr>
            <w:tcW w:w="5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61,515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3,587</w:t>
            </w:r>
          </w:p>
        </w:tc>
      </w:tr>
      <w:tr>
        <w:trPr>
          <w:trHeight w:val="248"/>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46,622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4,413</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456,645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25,487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175260</wp:posOffset>
            </wp:positionV>
            <wp:extent cx="70751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48260"/>
                    </a:xfrm>
                    <a:prstGeom prst="rect">
                      <a:avLst/>
                    </a:prstGeom>
                    <a:noFill/>
                  </pic:spPr>
                </pic:pic>
              </a:graphicData>
            </a:graphic>
          </wp:anchor>
        </w:drawing>
      </w:r>
    </w:p>
    <w:p>
      <w:pPr>
        <w:sectPr>
          <w:pgSz w:w="11900" w:h="16838" w:orient="portrait"/>
          <w:cols w:equalWidth="0" w:num="1">
            <w:col w:w="11400"/>
          </w:cols>
          <w:pgMar w:left="240" w:top="127" w:right="25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62"/>
        </w:trPr>
        <w:tc>
          <w:tcPr>
            <w:tcW w:w="59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r>
        <w:trPr>
          <w:trHeight w:val="242"/>
        </w:trPr>
        <w:tc>
          <w:tcPr>
            <w:tcW w:w="5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25,209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199,961</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w:t>
            </w:r>
          </w:p>
        </w:tc>
        <w:tc>
          <w:tcPr>
            <w:tcW w:w="120" w:type="dxa"/>
            <w:vAlign w:val="bottom"/>
            <w:shd w:val="clear" w:color="auto" w:fill="CCEEFF"/>
          </w:tcPr>
          <w:p>
            <w:pPr>
              <w:spacing w:after="0"/>
              <w:rPr>
                <w:sz w:val="21"/>
                <w:szCs w:val="2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calculation of basic and diluted earnings per share is presented below:</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160"/>
          </w:cols>
          <w:pgMar w:left="380" w:top="140" w:right="35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257"/>
        </w:trPr>
        <w:tc>
          <w:tcPr>
            <w:tcW w:w="120" w:type="dxa"/>
            <w:vAlign w:val="bottom"/>
          </w:tcPr>
          <w:p>
            <w:pPr>
              <w:spacing w:after="0"/>
              <w:rPr>
                <w:sz w:val="22"/>
                <w:szCs w:val="22"/>
                <w:color w:val="auto"/>
              </w:rPr>
            </w:pP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120" w:type="dxa"/>
            <w:vAlign w:val="bottom"/>
          </w:tcPr>
          <w:p>
            <w:pPr>
              <w:spacing w:after="0"/>
              <w:rPr>
                <w:sz w:val="22"/>
                <w:szCs w:val="22"/>
                <w:color w:val="auto"/>
              </w:rPr>
            </w:pPr>
          </w:p>
        </w:tc>
        <w:tc>
          <w:tcPr>
            <w:tcW w:w="5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120" w:type="dxa"/>
            <w:vAlign w:val="bottom"/>
          </w:tcPr>
          <w:p>
            <w:pPr>
              <w:spacing w:after="0"/>
              <w:rPr>
                <w:sz w:val="22"/>
                <w:szCs w:val="22"/>
                <w:color w:val="auto"/>
              </w:rPr>
            </w:pPr>
          </w:p>
        </w:tc>
        <w:tc>
          <w:tcPr>
            <w:tcW w:w="5940" w:type="dxa"/>
            <w:vAlign w:val="bottom"/>
            <w:gridSpan w:val="3"/>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25,209</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199,961</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5,481</w:t>
            </w:r>
          </w:p>
        </w:tc>
      </w:tr>
      <w:tr>
        <w:trPr>
          <w:trHeight w:val="268"/>
        </w:trPr>
        <w:tc>
          <w:tcPr>
            <w:tcW w:w="120" w:type="dxa"/>
            <w:vAlign w:val="bottom"/>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120" w:type="dxa"/>
            <w:vAlign w:val="bottom"/>
          </w:tcPr>
          <w:p>
            <w:pPr>
              <w:spacing w:after="0"/>
              <w:rPr>
                <w:sz w:val="22"/>
                <w:szCs w:val="22"/>
                <w:color w:val="auto"/>
              </w:rPr>
            </w:pPr>
          </w:p>
        </w:tc>
        <w:tc>
          <w:tcPr>
            <w:tcW w:w="59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r>
      <w:tr>
        <w:trPr>
          <w:trHeight w:val="137"/>
        </w:trPr>
        <w:tc>
          <w:tcPr>
            <w:tcW w:w="120" w:type="dxa"/>
            <w:vAlign w:val="bottom"/>
          </w:tcPr>
          <w:p>
            <w:pPr>
              <w:spacing w:after="0"/>
              <w:rPr>
                <w:sz w:val="11"/>
                <w:szCs w:val="11"/>
                <w:color w:val="auto"/>
              </w:rPr>
            </w:pPr>
          </w:p>
        </w:tc>
        <w:tc>
          <w:tcPr>
            <w:tcW w:w="5940" w:type="dxa"/>
            <w:vAlign w:val="bottom"/>
            <w:gridSpan w:val="3"/>
            <w:shd w:val="clear" w:color="auto" w:fill="CCEEFF"/>
          </w:tcPr>
          <w:p>
            <w:pPr>
              <w:ind w:left="20"/>
              <w:spacing w:after="0" w:line="137" w:lineRule="exact"/>
              <w:rPr>
                <w:sz w:val="20"/>
                <w:szCs w:val="20"/>
                <w:color w:val="auto"/>
              </w:rPr>
            </w:pPr>
            <w:r>
              <w:rPr>
                <w:rFonts w:ascii="Arial" w:cs="Arial" w:eastAsia="Arial" w:hAnsi="Arial"/>
                <w:sz w:val="14"/>
                <w:szCs w:val="14"/>
                <w:color w:val="auto"/>
                <w:w w:val="94"/>
              </w:rPr>
              <w:t>Net income available for common stockholders, net of dividends and undistributed earnings allocated</w:t>
            </w: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89"/>
        </w:trPr>
        <w:tc>
          <w:tcPr>
            <w:tcW w:w="120" w:type="dxa"/>
            <w:vAlign w:val="bottom"/>
          </w:tcPr>
          <w:p>
            <w:pPr>
              <w:spacing w:after="0"/>
              <w:rPr>
                <w:sz w:val="16"/>
                <w:szCs w:val="16"/>
                <w:color w:val="auto"/>
              </w:rPr>
            </w:pPr>
          </w:p>
        </w:tc>
        <w:tc>
          <w:tcPr>
            <w:tcW w:w="5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 participating securities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24,766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196,350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4,798</w:t>
            </w:r>
          </w:p>
        </w:tc>
      </w:tr>
      <w:tr>
        <w:trPr>
          <w:trHeight w:val="262"/>
        </w:trPr>
        <w:tc>
          <w:tcPr>
            <w:tcW w:w="1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120" w:type="dxa"/>
            <w:vAlign w:val="bottom"/>
          </w:tcPr>
          <w:p>
            <w:pPr>
              <w:spacing w:after="0"/>
              <w:rPr>
                <w:sz w:val="22"/>
                <w:szCs w:val="22"/>
                <w:color w:val="auto"/>
              </w:rPr>
            </w:pPr>
          </w:p>
        </w:tc>
        <w:tc>
          <w:tcPr>
            <w:tcW w:w="5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120" w:type="dxa"/>
            <w:vAlign w:val="bottom"/>
          </w:tcPr>
          <w:p>
            <w:pPr>
              <w:spacing w:after="0"/>
              <w:rPr>
                <w:sz w:val="22"/>
                <w:szCs w:val="22"/>
                <w:color w:val="auto"/>
              </w:rPr>
            </w:pPr>
          </w:p>
        </w:tc>
        <w:tc>
          <w:tcPr>
            <w:tcW w:w="5940" w:type="dxa"/>
            <w:vAlign w:val="bottom"/>
            <w:gridSpan w:val="3"/>
          </w:tcPr>
          <w:p>
            <w:pPr>
              <w:ind w:left="260"/>
              <w:spacing w:after="0"/>
              <w:rPr>
                <w:sz w:val="20"/>
                <w:szCs w:val="20"/>
                <w:color w:val="auto"/>
              </w:rPr>
            </w:pPr>
            <w:r>
              <w:rPr>
                <w:rFonts w:ascii="Arial" w:cs="Arial" w:eastAsia="Arial" w:hAnsi="Arial"/>
                <w:sz w:val="14"/>
                <w:szCs w:val="14"/>
                <w:color w:val="auto"/>
              </w:rPr>
              <w:t>Class A</w:t>
            </w:r>
          </w:p>
        </w:tc>
        <w:tc>
          <w:tcPr>
            <w:tcW w:w="2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99,542,659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40,814,214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95,124,675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40,607,791</w:t>
            </w:r>
          </w:p>
        </w:tc>
      </w:tr>
      <w:tr>
        <w:trPr>
          <w:trHeight w:val="268"/>
        </w:trPr>
        <w:tc>
          <w:tcPr>
            <w:tcW w:w="120" w:type="dxa"/>
            <w:vAlign w:val="bottom"/>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4"/>
        </w:trPr>
        <w:tc>
          <w:tcPr>
            <w:tcW w:w="120" w:type="dxa"/>
            <w:vAlign w:val="bottom"/>
          </w:tcPr>
          <w:p>
            <w:pPr>
              <w:spacing w:after="0"/>
              <w:rPr>
                <w:sz w:val="21"/>
                <w:szCs w:val="21"/>
                <w:color w:val="auto"/>
              </w:rPr>
            </w:pPr>
          </w:p>
        </w:tc>
        <w:tc>
          <w:tcPr>
            <w:tcW w:w="5940" w:type="dxa"/>
            <w:vAlign w:val="bottom"/>
            <w:gridSpan w:val="3"/>
          </w:tcPr>
          <w:p>
            <w:pPr>
              <w:ind w:left="20"/>
              <w:spacing w:after="0"/>
              <w:rPr>
                <w:sz w:val="20"/>
                <w:szCs w:val="20"/>
                <w:color w:val="auto"/>
              </w:rPr>
            </w:pPr>
            <w:r>
              <w:rPr>
                <w:rFonts w:ascii="Arial" w:cs="Arial" w:eastAsia="Arial" w:hAnsi="Arial"/>
                <w:sz w:val="14"/>
                <w:szCs w:val="14"/>
                <w:color w:val="auto"/>
              </w:rPr>
              <w:t>Basic Earnings per share</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0.11</w:t>
            </w:r>
          </w:p>
        </w:tc>
      </w:tr>
      <w:tr>
        <w:trPr>
          <w:trHeight w:val="20"/>
        </w:trPr>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2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257"/>
        </w:trPr>
        <w:tc>
          <w:tcPr>
            <w:tcW w:w="120" w:type="dxa"/>
            <w:vAlign w:val="bottom"/>
          </w:tcPr>
          <w:p>
            <w:pPr>
              <w:spacing w:after="0"/>
              <w:rPr>
                <w:sz w:val="22"/>
                <w:szCs w:val="22"/>
                <w:color w:val="auto"/>
              </w:rPr>
            </w:pPr>
          </w:p>
        </w:tc>
        <w:tc>
          <w:tcPr>
            <w:tcW w:w="5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120" w:type="dxa"/>
            <w:vAlign w:val="bottom"/>
            <w:tcBorders>
              <w:right w:val="single" w:sz="8" w:color="CCEEFF"/>
            </w:tcBorders>
          </w:tcPr>
          <w:p>
            <w:pPr>
              <w:spacing w:after="0"/>
              <w:rPr>
                <w:sz w:val="22"/>
                <w:szCs w:val="22"/>
                <w:color w:val="auto"/>
              </w:rPr>
            </w:pPr>
          </w:p>
        </w:tc>
        <w:tc>
          <w:tcPr>
            <w:tcW w:w="59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152"/>
        </w:trPr>
        <w:tc>
          <w:tcPr>
            <w:tcW w:w="120" w:type="dxa"/>
            <w:vAlign w:val="bottom"/>
          </w:tcPr>
          <w:p>
            <w:pPr>
              <w:spacing w:after="0"/>
              <w:rPr>
                <w:sz w:val="13"/>
                <w:szCs w:val="13"/>
                <w:color w:val="auto"/>
              </w:rPr>
            </w:pPr>
          </w:p>
        </w:tc>
        <w:tc>
          <w:tcPr>
            <w:tcW w:w="5940" w:type="dxa"/>
            <w:vAlign w:val="bottom"/>
            <w:gridSpan w:val="3"/>
          </w:tcPr>
          <w:p>
            <w:pPr>
              <w:ind w:left="20"/>
              <w:spacing w:after="0" w:line="152" w:lineRule="exact"/>
              <w:rPr>
                <w:sz w:val="20"/>
                <w:szCs w:val="20"/>
                <w:color w:val="auto"/>
              </w:rPr>
            </w:pPr>
            <w:r>
              <w:rPr>
                <w:rFonts w:ascii="Arial" w:cs="Arial" w:eastAsia="Arial" w:hAnsi="Arial"/>
                <w:sz w:val="14"/>
                <w:szCs w:val="14"/>
                <w:color w:val="auto"/>
                <w:w w:val="94"/>
              </w:rPr>
              <w:t>Net income available for common stockholders, net of dividends and undistributed earnings allocated</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120" w:type="dxa"/>
            <w:vAlign w:val="bottom"/>
          </w:tcPr>
          <w:p>
            <w:pPr>
              <w:spacing w:after="0"/>
              <w:rPr>
                <w:sz w:val="15"/>
                <w:szCs w:val="15"/>
                <w:color w:val="auto"/>
              </w:rPr>
            </w:pPr>
          </w:p>
        </w:tc>
        <w:tc>
          <w:tcPr>
            <w:tcW w:w="5940" w:type="dxa"/>
            <w:vAlign w:val="bottom"/>
            <w:gridSpan w:val="3"/>
          </w:tcPr>
          <w:p>
            <w:pPr>
              <w:ind w:left="20"/>
              <w:spacing w:after="0"/>
              <w:rPr>
                <w:sz w:val="20"/>
                <w:szCs w:val="20"/>
                <w:color w:val="auto"/>
              </w:rPr>
            </w:pPr>
            <w:r>
              <w:rPr>
                <w:rFonts w:ascii="Arial" w:cs="Arial" w:eastAsia="Arial" w:hAnsi="Arial"/>
                <w:sz w:val="14"/>
                <w:szCs w:val="14"/>
                <w:color w:val="auto"/>
              </w:rPr>
              <w:t>to participating securities</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24,766</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196,350</w:t>
            </w:r>
          </w:p>
        </w:tc>
        <w:tc>
          <w:tcPr>
            <w:tcW w:w="12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4,798</w:t>
            </w:r>
          </w:p>
        </w:tc>
      </w:tr>
      <w:tr>
        <w:trPr>
          <w:trHeight w:val="268"/>
        </w:trPr>
        <w:tc>
          <w:tcPr>
            <w:tcW w:w="120" w:type="dxa"/>
            <w:vAlign w:val="bottom"/>
            <w:tcBorders>
              <w:right w:val="single" w:sz="8" w:color="CCEEFF"/>
            </w:tcBorders>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58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120" w:type="dxa"/>
            <w:vAlign w:val="bottom"/>
          </w:tcPr>
          <w:p>
            <w:pPr>
              <w:spacing w:after="0"/>
              <w:rPr>
                <w:sz w:val="22"/>
                <w:szCs w:val="22"/>
                <w:color w:val="auto"/>
              </w:rPr>
            </w:pPr>
          </w:p>
        </w:tc>
        <w:tc>
          <w:tcPr>
            <w:tcW w:w="594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8"/>
        </w:trPr>
        <w:tc>
          <w:tcPr>
            <w:tcW w:w="120" w:type="dxa"/>
            <w:vAlign w:val="bottom"/>
            <w:tcBorders>
              <w:right w:val="single" w:sz="8" w:color="CCEEFF"/>
            </w:tcBorders>
          </w:tcPr>
          <w:p>
            <w:pPr>
              <w:spacing w:after="0"/>
              <w:rPr>
                <w:sz w:val="21"/>
                <w:szCs w:val="21"/>
                <w:color w:val="auto"/>
              </w:rPr>
            </w:pPr>
          </w:p>
        </w:tc>
        <w:tc>
          <w:tcPr>
            <w:tcW w:w="59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Class 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7"/>
        </w:trPr>
        <w:tc>
          <w:tcPr>
            <w:tcW w:w="120" w:type="dxa"/>
            <w:vAlign w:val="bottom"/>
          </w:tcPr>
          <w:p>
            <w:pPr>
              <w:spacing w:after="0"/>
              <w:rPr>
                <w:sz w:val="22"/>
                <w:szCs w:val="22"/>
                <w:color w:val="auto"/>
              </w:rPr>
            </w:pPr>
          </w:p>
        </w:tc>
        <w:tc>
          <w:tcPr>
            <w:tcW w:w="5940" w:type="dxa"/>
            <w:vAlign w:val="bottom"/>
            <w:gridSpan w:val="3"/>
          </w:tcPr>
          <w:p>
            <w:pPr>
              <w:ind w:left="360"/>
              <w:spacing w:after="0"/>
              <w:rPr>
                <w:sz w:val="20"/>
                <w:szCs w:val="20"/>
                <w:color w:val="auto"/>
              </w:rPr>
            </w:pPr>
            <w:r>
              <w:rPr>
                <w:rFonts w:ascii="Arial" w:cs="Arial" w:eastAsia="Arial" w:hAnsi="Arial"/>
                <w:sz w:val="14"/>
                <w:szCs w:val="14"/>
                <w:color w:val="auto"/>
              </w:rPr>
              <w:t>Issued and outstanding</w:t>
            </w:r>
          </w:p>
        </w:tc>
        <w:tc>
          <w:tcPr>
            <w:tcW w:w="26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99,542,659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40,814,214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95,124,675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40,607,791</w:t>
            </w:r>
          </w:p>
        </w:tc>
      </w:tr>
      <w:tr>
        <w:trPr>
          <w:trHeight w:val="262"/>
        </w:trPr>
        <w:tc>
          <w:tcPr>
            <w:tcW w:w="120" w:type="dxa"/>
            <w:vAlign w:val="bottom"/>
            <w:tcBorders>
              <w:right w:val="single" w:sz="8" w:color="CCEEFF"/>
            </w:tcBorders>
          </w:tcPr>
          <w:p>
            <w:pPr>
              <w:spacing w:after="0"/>
              <w:rPr>
                <w:sz w:val="22"/>
                <w:szCs w:val="22"/>
                <w:color w:val="auto"/>
              </w:rPr>
            </w:pPr>
          </w:p>
        </w:tc>
        <w:tc>
          <w:tcPr>
            <w:tcW w:w="59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Issuable pursuant to 2015 Management Incentive Plan (1)</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2,076,992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2,030,429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101,619,651</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40,814,214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97,155,104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40,607,791</w:t>
            </w:r>
          </w:p>
        </w:tc>
      </w:tr>
      <w:tr>
        <w:trPr>
          <w:trHeight w:val="268"/>
        </w:trPr>
        <w:tc>
          <w:tcPr>
            <w:tcW w:w="120" w:type="dxa"/>
            <w:vAlign w:val="bottom"/>
            <w:tcBorders>
              <w:right w:val="single" w:sz="8" w:color="CCEEFF"/>
            </w:tcBorders>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2580" w:type="dxa"/>
            <w:vAlign w:val="bottom"/>
            <w:gridSpan w:val="2"/>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4"/>
        </w:trPr>
        <w:tc>
          <w:tcPr>
            <w:tcW w:w="120" w:type="dxa"/>
            <w:vAlign w:val="bottom"/>
          </w:tcPr>
          <w:p>
            <w:pPr>
              <w:spacing w:after="0"/>
              <w:rPr>
                <w:sz w:val="21"/>
                <w:szCs w:val="21"/>
                <w:color w:val="auto"/>
              </w:rPr>
            </w:pPr>
          </w:p>
        </w:tc>
        <w:tc>
          <w:tcPr>
            <w:tcW w:w="5940" w:type="dxa"/>
            <w:vAlign w:val="bottom"/>
            <w:gridSpan w:val="3"/>
          </w:tcPr>
          <w:p>
            <w:pPr>
              <w:ind w:left="20"/>
              <w:spacing w:after="0"/>
              <w:rPr>
                <w:sz w:val="20"/>
                <w:szCs w:val="20"/>
                <w:color w:val="auto"/>
              </w:rPr>
            </w:pPr>
            <w:r>
              <w:rPr>
                <w:rFonts w:ascii="Arial" w:cs="Arial" w:eastAsia="Arial" w:hAnsi="Arial"/>
                <w:sz w:val="14"/>
                <w:szCs w:val="14"/>
                <w:color w:val="auto"/>
              </w:rPr>
              <w:t>Diluted Earnings per share</w:t>
            </w: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0.11</w:t>
            </w:r>
          </w:p>
        </w:tc>
      </w:tr>
      <w:tr>
        <w:trPr>
          <w:trHeight w:val="20"/>
        </w:trPr>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16"/>
        </w:trPr>
        <w:tc>
          <w:tcPr>
            <w:tcW w:w="12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r>
    </w:tbl>
    <w:p>
      <w:pPr>
        <w:spacing w:after="0" w:line="205"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dilutive impact of unexercised stock options excludes from the computation of EPS 1,047,193 and 912,157 options for the three and six months ended June 30, 2017,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Tax Receivable Agreements</w:t>
      </w:r>
    </w:p>
    <w:p>
      <w:pPr>
        <w:spacing w:after="0" w:line="309" w:lineRule="exact"/>
        <w:rPr>
          <w:sz w:val="20"/>
          <w:szCs w:val="20"/>
          <w:color w:val="auto"/>
        </w:rPr>
      </w:pPr>
    </w:p>
    <w:p>
      <w:pPr>
        <w:ind w:right="60" w:firstLine="315"/>
        <w:spacing w:after="0" w:line="279"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Virtu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w:t>
      </w:r>
    </w:p>
    <w:p>
      <w:pPr>
        <w:spacing w:after="0" w:line="266" w:lineRule="auto"/>
        <w:rPr>
          <w:sz w:val="20"/>
          <w:szCs w:val="20"/>
          <w:color w:val="auto"/>
        </w:rPr>
      </w:pPr>
      <w:r>
        <w:rPr>
          <w:rFonts w:ascii="Arial" w:cs="Arial" w:eastAsia="Arial" w:hAnsi="Arial"/>
          <w:sz w:val="17"/>
          <w:szCs w:val="17"/>
          <w:color w:val="auto"/>
        </w:rPr>
        <w:t>membership interests for Class A common stock or Class B common stock and payments made under the tax receivable agreements. Payments will occur only after the filing of the U.S. federal and state income tax returns and realization of the cash tax savings from the favorable tax attributes. The Company made its first payment of $7.0 million in February 2017.</w:t>
      </w:r>
    </w:p>
    <w:p>
      <w:pPr>
        <w:spacing w:after="0" w:line="126" w:lineRule="exact"/>
        <w:rPr>
          <w:sz w:val="20"/>
          <w:szCs w:val="20"/>
          <w:color w:val="auto"/>
        </w:rPr>
      </w:pPr>
    </w:p>
    <w:p>
      <w:pPr>
        <w:ind w:firstLine="349"/>
        <w:spacing w:after="0" w:line="262" w:lineRule="auto"/>
        <w:rPr>
          <w:sz w:val="20"/>
          <w:szCs w:val="20"/>
          <w:color w:val="auto"/>
        </w:rPr>
      </w:pPr>
      <w:r>
        <w:rPr>
          <w:rFonts w:ascii="Arial" w:cs="Arial" w:eastAsia="Arial" w:hAnsi="Arial"/>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September 2016, November 2015, and May 2018 (the “Secondary Offerings”). Payments to certain Virtu Members in respect of the purchases are expected to range from approximately $3.6 million to $16.0 million per year over the next 15 years. The corresponding deduction to additional paid-in capital was approximately $16.4 million for the difference between the tax receivable agreements liability and the related deferred tax asset.</w:t>
      </w:r>
    </w:p>
    <w:p>
      <w:pPr>
        <w:spacing w:after="0" w:line="130" w:lineRule="exact"/>
        <w:rPr>
          <w:sz w:val="20"/>
          <w:szCs w:val="20"/>
          <w:color w:val="auto"/>
        </w:rPr>
      </w:pPr>
    </w:p>
    <w:p>
      <w:pPr>
        <w:ind w:right="180" w:firstLine="315"/>
        <w:spacing w:after="0" w:line="274" w:lineRule="auto"/>
        <w:rPr>
          <w:sz w:val="20"/>
          <w:szCs w:val="20"/>
          <w:color w:val="auto"/>
        </w:rPr>
      </w:pPr>
      <w:r>
        <w:rPr>
          <w:rFonts w:ascii="Arial" w:cs="Arial" w:eastAsia="Arial" w:hAnsi="Arial"/>
          <w:sz w:val="17"/>
          <w:szCs w:val="17"/>
          <w:color w:val="auto"/>
        </w:rPr>
        <w:t>In connection with the May 2018 secondary offering, as described in Note 16 "Capital Structure", the Company recorded an additional deferred tax asset of $61.1 million and payment liability pursuant to the tax receivable agreements of $64.6 million, with the $3.5 million difference recorded as a decrease to additional paid-in capital.</w:t>
      </w:r>
    </w:p>
    <w:p>
      <w:pPr>
        <w:spacing w:after="0" w:line="118" w:lineRule="exact"/>
        <w:rPr>
          <w:sz w:val="20"/>
          <w:szCs w:val="20"/>
          <w:color w:val="auto"/>
        </w:rPr>
      </w:pPr>
    </w:p>
    <w:p>
      <w:pPr>
        <w:ind w:firstLine="349"/>
        <w:spacing w:after="0" w:line="290" w:lineRule="auto"/>
        <w:rPr>
          <w:sz w:val="20"/>
          <w:szCs w:val="20"/>
          <w:color w:val="auto"/>
        </w:rPr>
      </w:pPr>
      <w:r>
        <w:rPr>
          <w:rFonts w:ascii="Arial" w:cs="Arial" w:eastAsia="Arial" w:hAnsi="Arial"/>
          <w:sz w:val="17"/>
          <w:szCs w:val="17"/>
          <w:color w:val="auto"/>
        </w:rPr>
        <w:t>As a result of the reduction in the U.S. corporate income tax rate as described below, the aforementioned deferred tax asset and related payment liability were subsequently reduced as described below. The amounts recorded as of June 30, 2018 are</w:t>
      </w:r>
    </w:p>
    <w:p>
      <w:pPr>
        <w:sectPr>
          <w:pgSz w:w="11900" w:h="16838" w:orient="portrait"/>
          <w:cols w:equalWidth="0" w:num="1">
            <w:col w:w="11380"/>
          </w:cols>
          <w:pgMar w:left="240" w:top="127" w:right="279" w:bottom="1440" w:gutter="0" w:footer="0" w:header="0"/>
        </w:sect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80"/>
          </w:cols>
          <w:pgMar w:left="240" w:top="127" w:right="27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based on best estimates available at the respective dates and may be subject to change after the filing of the Company’s U.S. federal and state income tax returns for the years in which tax savings were realized.</w:t>
      </w:r>
    </w:p>
    <w:p>
      <w:pPr>
        <w:spacing w:after="0" w:line="26" w:lineRule="exact"/>
        <w:rPr>
          <w:sz w:val="20"/>
          <w:szCs w:val="20"/>
          <w:color w:val="auto"/>
        </w:rPr>
      </w:pPr>
    </w:p>
    <w:p>
      <w:pPr>
        <w:ind w:right="120" w:firstLine="315"/>
        <w:spacing w:after="0" w:line="264" w:lineRule="auto"/>
        <w:rPr>
          <w:sz w:val="20"/>
          <w:szCs w:val="20"/>
          <w:color w:val="auto"/>
        </w:rPr>
      </w:pPr>
      <w:r>
        <w:rPr>
          <w:rFonts w:ascii="Arial" w:cs="Arial" w:eastAsia="Arial" w:hAnsi="Arial"/>
          <w:sz w:val="17"/>
          <w:szCs w:val="17"/>
          <w:color w:val="auto"/>
        </w:rPr>
        <w:t>The 2017 Tax Act includes, among other items, a permanent reduction to the U.S. corporate income tax rate from 35% to 21% effective January 1, 2018 as further described in Note 14 "Income Taxes". As a result, at December 31, 2017, the Company recorded a reduction of its tax receivable agreement obligation of $86.6 million. As further described in Note 14 "Income Taxes", the Company also recorded a reduction of its deferred tax assets, including deferred tax assets relating to the deferred tax assets described above. At June 30, 2018 and December 31, 2017, the Company’s remaining deferred tax assets were approximately $157.1 million and $101.6 million, respectively, and the Company’s liabilities over the next 15 years pursuant to the tax receivable agreements are approximately $211.6 million and $147.0 million, respectively.</w:t>
      </w:r>
    </w:p>
    <w:p>
      <w:pPr>
        <w:spacing w:after="0" w:line="49" w:lineRule="exact"/>
        <w:rPr>
          <w:sz w:val="20"/>
          <w:szCs w:val="20"/>
          <w:color w:val="auto"/>
        </w:rPr>
      </w:pPr>
    </w:p>
    <w:p>
      <w:pPr>
        <w:ind w:right="100" w:firstLine="315"/>
        <w:spacing w:after="0" w:line="28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99"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Prior to the Acquisition, the Company was managed and operated as one business, and accordingly, operated under one operating segment. As a result of the acquisition of KCG, beginning in the third quarter of 2017 the Company has three operating segments: (i) Market Making; (ii) Execution Services; and (iii) Corporate. The Company allocated goodwill to the new reporting units using a relative fair value approach. In addition, the Company performed an assessment of potential goodwill impairment for all reporting units immediately prior to the reallocation and determined that no impairment was indicated.</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details of goodwill by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8"/>
              </w:rPr>
              <w:t>Market Making</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1"/>
              </w:rPr>
              <w:t>Execution Services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48"/>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89,591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844,883</w:t>
            </w:r>
          </w:p>
        </w:tc>
      </w:tr>
      <w:tr>
        <w:trPr>
          <w:trHeight w:val="257"/>
        </w:trPr>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Goodwill adjustment allocated to BondPoint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(8,300)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w:t>
            </w:r>
          </w:p>
        </w:tc>
      </w:tr>
      <w:tr>
        <w:trPr>
          <w:trHeight w:val="235"/>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as of June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81,291</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836,583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315"/>
        <w:spacing w:after="0" w:line="274" w:lineRule="auto"/>
        <w:rPr>
          <w:sz w:val="20"/>
          <w:szCs w:val="20"/>
          <w:color w:val="auto"/>
        </w:rPr>
      </w:pPr>
      <w:r>
        <w:rPr>
          <w:rFonts w:ascii="Arial" w:cs="Arial" w:eastAsia="Arial" w:hAnsi="Arial"/>
          <w:sz w:val="17"/>
          <w:szCs w:val="17"/>
          <w:color w:val="auto"/>
        </w:rPr>
        <w:t>As of June 30, 2018 and December 31, 2017, the Company’s total amount of goodwill recorded was $836.6 million and $844.9 million, respectively. As described in Note 4 "Sale of BondPoint", the Company allocated $8.3 million of goodwill to BondPoint as part of the sale. No goodwill impairment was recognized in the six months ended June 30, 2018 and 2017.</w:t>
      </w:r>
    </w:p>
    <w:p>
      <w:pPr>
        <w:spacing w:after="0" w:line="3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Acquired intangible assets consisted of the following as of June 30, 2018 and December 31, 2017:</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As of June 30, 2018</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2"/>
                <w:szCs w:val="12"/>
                <w:color w:val="auto"/>
              </w:rPr>
            </w:pPr>
          </w:p>
        </w:tc>
        <w:tc>
          <w:tcPr>
            <w:tcW w:w="128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left="270"/>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338</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1,103</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FCC licenses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20,450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39,550</w:t>
            </w:r>
          </w:p>
        </w:tc>
        <w:tc>
          <w:tcPr>
            <w:tcW w:w="600" w:type="dxa"/>
            <w:vAlign w:val="bottom"/>
            <w:gridSpan w:val="2"/>
          </w:tcPr>
          <w:p>
            <w:pPr>
              <w:jc w:val="center"/>
              <w:ind w:left="27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45,136</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5,079</w:t>
            </w:r>
          </w:p>
        </w:tc>
        <w:tc>
          <w:tcPr>
            <w:tcW w:w="600" w:type="dxa"/>
            <w:vAlign w:val="bottom"/>
            <w:gridSpan w:val="2"/>
          </w:tcPr>
          <w:p>
            <w:pPr>
              <w:jc w:val="center"/>
              <w:ind w:left="270"/>
              <w:spacing w:after="0"/>
              <w:rPr>
                <w:sz w:val="20"/>
                <w:szCs w:val="20"/>
                <w:color w:val="auto"/>
              </w:rPr>
            </w:pPr>
            <w:r>
              <w:rPr>
                <w:rFonts w:ascii="Arial" w:cs="Arial" w:eastAsia="Arial" w:hAnsi="Arial"/>
                <w:sz w:val="14"/>
                <w:szCs w:val="14"/>
                <w:color w:val="auto"/>
                <w:w w:val="76"/>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137,084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97,549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2"/>
                <w:szCs w:val="12"/>
                <w:color w:val="auto"/>
              </w:rPr>
            </w:pPr>
          </w:p>
        </w:tc>
        <w:tc>
          <w:tcPr>
            <w:tcW w:w="12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120" w:type="dxa"/>
            <w:vAlign w:val="bottom"/>
          </w:tcPr>
          <w:p>
            <w:pPr>
              <w:jc w:val="right"/>
              <w:ind w:right="170"/>
              <w:spacing w:after="0" w:line="147" w:lineRule="exact"/>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Useful Lives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left="270"/>
              <w:spacing w:after="0"/>
              <w:rPr>
                <w:sz w:val="20"/>
                <w:szCs w:val="20"/>
                <w:color w:val="auto"/>
              </w:rPr>
            </w:pPr>
            <w:r>
              <w:rPr>
                <w:rFonts w:ascii="Arial" w:cs="Arial" w:eastAsia="Arial" w:hAnsi="Arial"/>
                <w:sz w:val="14"/>
                <w:szCs w:val="14"/>
                <w:color w:val="auto"/>
                <w:w w:val="81"/>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42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1"/>
              </w:rPr>
              <w:t>2.5</w:t>
            </w: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391</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1,403</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FCC licenses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181</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9,644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50,356</w:t>
            </w:r>
          </w:p>
        </w:tc>
        <w:tc>
          <w:tcPr>
            <w:tcW w:w="620" w:type="dxa"/>
            <w:vAlign w:val="bottom"/>
            <w:gridSpan w:val="2"/>
          </w:tcPr>
          <w:p>
            <w:pPr>
              <w:jc w:val="center"/>
              <w:ind w:left="270"/>
              <w:spacing w:after="0"/>
              <w:rPr>
                <w:sz w:val="20"/>
                <w:szCs w:val="20"/>
                <w:color w:val="auto"/>
              </w:rPr>
            </w:pPr>
            <w:r>
              <w:rPr>
                <w:rFonts w:ascii="Arial" w:cs="Arial" w:eastAsia="Arial" w:hAnsi="Arial"/>
                <w:sz w:val="14"/>
                <w:szCs w:val="14"/>
                <w:color w:val="auto"/>
              </w:rPr>
              <w:t>1</w:t>
            </w:r>
          </w:p>
        </w:tc>
        <w:tc>
          <w:tcPr>
            <w:tcW w:w="800" w:type="dxa"/>
            <w:vAlign w:val="bottom"/>
          </w:tcPr>
          <w:p>
            <w:pPr>
              <w:jc w:val="center"/>
              <w:spacing w:after="0"/>
              <w:rPr>
                <w:sz w:val="20"/>
                <w:szCs w:val="20"/>
                <w:color w:val="auto"/>
              </w:rPr>
            </w:pPr>
            <w:r>
              <w:rPr>
                <w:rFonts w:ascii="Arial" w:cs="Arial" w:eastAsia="Arial" w:hAnsi="Arial"/>
                <w:sz w:val="14"/>
                <w:szCs w:val="14"/>
                <w:color w:val="auto"/>
              </w:rPr>
              <w:t>to</w:t>
            </w:r>
          </w:p>
        </w:tc>
        <w:tc>
          <w:tcPr>
            <w:tcW w:w="420" w:type="dxa"/>
            <w:vAlign w:val="bottom"/>
          </w:tcPr>
          <w:p>
            <w:pPr>
              <w:jc w:val="center"/>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47,178</w:t>
            </w: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5,487</w:t>
            </w:r>
          </w:p>
        </w:tc>
        <w:tc>
          <w:tcPr>
            <w:tcW w:w="620" w:type="dxa"/>
            <w:vAlign w:val="bottom"/>
            <w:gridSpan w:val="2"/>
          </w:tcPr>
          <w:p>
            <w:pPr>
              <w:jc w:val="center"/>
              <w:ind w:left="270"/>
              <w:spacing w:after="0"/>
              <w:rPr>
                <w:sz w:val="20"/>
                <w:szCs w:val="20"/>
                <w:color w:val="auto"/>
              </w:rPr>
            </w:pPr>
            <w:r>
              <w:rPr>
                <w:rFonts w:ascii="Arial" w:cs="Arial" w:eastAsia="Arial" w:hAnsi="Arial"/>
                <w:sz w:val="14"/>
                <w:szCs w:val="14"/>
                <w:color w:val="auto"/>
              </w:rPr>
              <w:t>3</w:t>
            </w:r>
          </w:p>
        </w:tc>
        <w:tc>
          <w:tcPr>
            <w:tcW w:w="800" w:type="dxa"/>
            <w:vAlign w:val="bottom"/>
          </w:tcPr>
          <w:p>
            <w:pPr>
              <w:jc w:val="center"/>
              <w:spacing w:after="0"/>
              <w:rPr>
                <w:sz w:val="20"/>
                <w:szCs w:val="20"/>
                <w:color w:val="auto"/>
              </w:rPr>
            </w:pPr>
            <w:r>
              <w:rPr>
                <w:rFonts w:ascii="Arial" w:cs="Arial" w:eastAsia="Arial" w:hAnsi="Arial"/>
                <w:sz w:val="14"/>
                <w:szCs w:val="14"/>
                <w:color w:val="auto"/>
              </w:rPr>
              <w:t>to</w:t>
            </w:r>
          </w:p>
        </w:tc>
        <w:tc>
          <w:tcPr>
            <w:tcW w:w="420" w:type="dxa"/>
            <w:vAlign w:val="bottom"/>
          </w:tcPr>
          <w:p>
            <w:pPr>
              <w:jc w:val="center"/>
              <w:ind w:right="9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123,408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111,224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both"/>
        <w:ind w:right="240" w:firstLine="315"/>
        <w:spacing w:after="0" w:line="298" w:lineRule="auto"/>
        <w:rPr>
          <w:sz w:val="20"/>
          <w:szCs w:val="20"/>
          <w:color w:val="auto"/>
        </w:rPr>
      </w:pPr>
      <w:r>
        <w:rPr>
          <w:rFonts w:ascii="Arial" w:cs="Arial" w:eastAsia="Arial" w:hAnsi="Arial"/>
          <w:sz w:val="16"/>
          <w:szCs w:val="16"/>
          <w:color w:val="auto"/>
        </w:rPr>
        <w:t>Amortization expense relating to finite-lived intangible assets was approximately $6.8 million and $0.05 million for the three months ended June 30, 2018, and 2017, respectively, and approximately $13.7 million and $0.1 million for the six months ended June 30, 2018 and 2017. This is included in amortization of purchased intangibles and acquired capitalized software in the accompanying condensed consolidated statements of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Receivables from/Payables to Broker-Dealers and Clearing Organizations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274320</wp:posOffset>
            </wp:positionV>
            <wp:extent cx="6933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356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December 31, 2017</w:t>
            </w:r>
          </w:p>
        </w:tc>
      </w:tr>
      <w:tr>
        <w:trPr>
          <w:trHeight w:val="261"/>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50"/>
              <w:spacing w:after="0"/>
              <w:rPr>
                <w:sz w:val="20"/>
                <w:szCs w:val="20"/>
                <w:color w:val="auto"/>
              </w:rPr>
            </w:pPr>
            <w:r>
              <w:rPr>
                <w:rFonts w:ascii="Arial" w:cs="Arial" w:eastAsia="Arial" w:hAnsi="Arial"/>
                <w:sz w:val="14"/>
                <w:szCs w:val="14"/>
                <w:color w:val="auto"/>
              </w:rPr>
              <w:t>379,881</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219,573</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114,200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112,847</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20" w:type="dxa"/>
            <w:vAlign w:val="bottom"/>
          </w:tcPr>
          <w:p>
            <w:pPr>
              <w:spacing w:after="0"/>
              <w:rPr>
                <w:sz w:val="22"/>
                <w:szCs w:val="22"/>
                <w:color w:val="auto"/>
              </w:rPr>
            </w:pPr>
          </w:p>
        </w:tc>
        <w:tc>
          <w:tcPr>
            <w:tcW w:w="1560" w:type="dxa"/>
            <w:vAlign w:val="bottom"/>
          </w:tcPr>
          <w:p>
            <w:pPr>
              <w:jc w:val="right"/>
              <w:ind w:right="50"/>
              <w:spacing w:after="0"/>
              <w:rPr>
                <w:sz w:val="20"/>
                <w:szCs w:val="20"/>
                <w:color w:val="auto"/>
              </w:rPr>
            </w:pPr>
            <w:r>
              <w:rPr>
                <w:rFonts w:ascii="Arial" w:cs="Arial" w:eastAsia="Arial" w:hAnsi="Arial"/>
                <w:sz w:val="14"/>
                <w:szCs w:val="14"/>
                <w:color w:val="auto"/>
              </w:rPr>
              <w:t>222,831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203,711</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173,931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173,778</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320" w:type="dxa"/>
            <w:vAlign w:val="bottom"/>
          </w:tcPr>
          <w:p>
            <w:pPr>
              <w:spacing w:after="0"/>
              <w:rPr>
                <w:sz w:val="22"/>
                <w:szCs w:val="22"/>
                <w:color w:val="auto"/>
              </w:rPr>
            </w:pPr>
          </w:p>
        </w:tc>
        <w:tc>
          <w:tcPr>
            <w:tcW w:w="1560" w:type="dxa"/>
            <w:vAlign w:val="bottom"/>
          </w:tcPr>
          <w:p>
            <w:pPr>
              <w:jc w:val="right"/>
              <w:ind w:right="50"/>
              <w:spacing w:after="0"/>
              <w:rPr>
                <w:sz w:val="20"/>
                <w:szCs w:val="20"/>
                <w:color w:val="auto"/>
              </w:rPr>
            </w:pPr>
            <w:r>
              <w:rPr>
                <w:rFonts w:ascii="Arial" w:cs="Arial" w:eastAsia="Arial" w:hAnsi="Arial"/>
                <w:sz w:val="14"/>
                <w:szCs w:val="14"/>
                <w:color w:val="auto"/>
              </w:rPr>
              <w:t>152,226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248,088</w:t>
            </w:r>
          </w:p>
        </w:tc>
      </w:tr>
      <w:tr>
        <w:trPr>
          <w:trHeight w:val="26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3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8,853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14,021</w:t>
            </w:r>
          </w:p>
        </w:tc>
      </w:tr>
      <w:tr>
        <w:trPr>
          <w:trHeight w:val="275"/>
        </w:trPr>
        <w:tc>
          <w:tcPr>
            <w:tcW w:w="7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1,051,922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972,018</w:t>
            </w:r>
          </w:p>
        </w:tc>
      </w:tr>
      <w:tr>
        <w:trPr>
          <w:trHeight w:val="24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to prime brokers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50"/>
              <w:spacing w:after="0"/>
              <w:rPr>
                <w:sz w:val="20"/>
                <w:szCs w:val="20"/>
                <w:color w:val="auto"/>
              </w:rPr>
            </w:pPr>
            <w:r>
              <w:rPr>
                <w:rFonts w:ascii="Arial" w:cs="Arial" w:eastAsia="Arial" w:hAnsi="Arial"/>
                <w:sz w:val="14"/>
                <w:szCs w:val="14"/>
                <w:color w:val="auto"/>
              </w:rPr>
              <w:t>285,387</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197,439</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36,118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44,526</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320" w:type="dxa"/>
            <w:vAlign w:val="bottom"/>
          </w:tcPr>
          <w:p>
            <w:pPr>
              <w:spacing w:after="0"/>
              <w:rPr>
                <w:sz w:val="22"/>
                <w:szCs w:val="22"/>
                <w:color w:val="auto"/>
              </w:rPr>
            </w:pPr>
          </w:p>
        </w:tc>
        <w:tc>
          <w:tcPr>
            <w:tcW w:w="1560" w:type="dxa"/>
            <w:vAlign w:val="bottom"/>
          </w:tcPr>
          <w:p>
            <w:pPr>
              <w:jc w:val="right"/>
              <w:ind w:right="50"/>
              <w:spacing w:after="0"/>
              <w:rPr>
                <w:sz w:val="20"/>
                <w:szCs w:val="20"/>
                <w:color w:val="auto"/>
              </w:rPr>
            </w:pPr>
            <w:r>
              <w:rPr>
                <w:rFonts w:ascii="Arial" w:cs="Arial" w:eastAsia="Arial" w:hAnsi="Arial"/>
                <w:sz w:val="14"/>
                <w:szCs w:val="14"/>
                <w:color w:val="auto"/>
              </w:rPr>
              <w:t>419,639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420,029</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failed to receive</w:t>
            </w: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51,143</w:t>
            </w:r>
          </w:p>
        </w:tc>
      </w:tr>
      <w:tr>
        <w:trPr>
          <w:trHeight w:val="257"/>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Commissions and fees</w:t>
            </w: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3,068</w:t>
            </w:r>
          </w:p>
        </w:tc>
      </w:tr>
      <w:tr>
        <w:trPr>
          <w:trHeight w:val="235"/>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747,613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716,205</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10 "Borrowings") of approximately $119.8 million and $205.7 million as of June 30, 2018 and December 31, 2017,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Collateralized Transactions</w:t>
      </w:r>
    </w:p>
    <w:p>
      <w:pPr>
        <w:spacing w:after="0" w:line="230" w:lineRule="exact"/>
        <w:rPr>
          <w:sz w:val="20"/>
          <w:szCs w:val="20"/>
          <w:color w:val="auto"/>
        </w:rPr>
      </w:pPr>
    </w:p>
    <w:p>
      <w:pPr>
        <w:ind w:right="240" w:firstLine="315"/>
        <w:spacing w:after="0" w:line="290"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27"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cover short positions. At June 30, 2018 and December 31, 2017, substantially all of the securities received as collateral have been repledged. The fair value of the collateralized transactions at June 30, 2018 and December 31, 2017 are summarized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5"/>
              </w:rPr>
              <w:t>December 31, 2017</w:t>
            </w:r>
          </w:p>
        </w:tc>
      </w:tr>
      <w:tr>
        <w:trPr>
          <w:trHeight w:val="261"/>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Securities received as collateral:</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7"/>
        </w:trPr>
        <w:tc>
          <w:tcPr>
            <w:tcW w:w="790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1,166,539</w:t>
            </w:r>
          </w:p>
        </w:tc>
        <w:tc>
          <w:tcPr>
            <w:tcW w:w="10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1,415,793</w:t>
            </w:r>
          </w:p>
        </w:tc>
      </w:tr>
      <w:tr>
        <w:trPr>
          <w:trHeight w:val="262"/>
        </w:trPr>
        <w:tc>
          <w:tcPr>
            <w:tcW w:w="7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5,163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29"/>
        </w:trPr>
        <w:tc>
          <w:tcPr>
            <w:tcW w:w="7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1,171,702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1,415,793</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the normal course of business, the Company pledges qualified securities with clearing organizations to satisfy daily margin and clearing fund requirements.</w:t>
      </w:r>
    </w:p>
    <w:p>
      <w:pPr>
        <w:spacing w:after="0" w:line="247" w:lineRule="exact"/>
        <w:rPr>
          <w:sz w:val="20"/>
          <w:szCs w:val="20"/>
          <w:color w:val="auto"/>
        </w:rPr>
      </w:pPr>
    </w:p>
    <w:p>
      <w:pPr>
        <w:ind w:right="660" w:firstLine="315"/>
        <w:spacing w:after="0" w:line="290" w:lineRule="auto"/>
        <w:rPr>
          <w:sz w:val="20"/>
          <w:szCs w:val="20"/>
          <w:color w:val="auto"/>
        </w:rPr>
      </w:pPr>
      <w:r>
        <w:rPr>
          <w:rFonts w:ascii="Arial" w:cs="Arial" w:eastAsia="Arial" w:hAnsi="Arial"/>
          <w:sz w:val="17"/>
          <w:szCs w:val="17"/>
          <w:color w:val="auto"/>
        </w:rPr>
        <w:t>Financial instruments owned and pledged, where the counterparty has the right to repledge, at June 30, 2018 and December 31, 2017 consisted of the following:</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3"/>
              </w:rPr>
              <w:t>December 31, 2017</w:t>
            </w:r>
          </w:p>
        </w:tc>
      </w:tr>
      <w:tr>
        <w:trPr>
          <w:trHeight w:val="248"/>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511,520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r>
      <w:tr>
        <w:trPr>
          <w:trHeight w:val="257"/>
        </w:trPr>
        <w:tc>
          <w:tcPr>
            <w:tcW w:w="7760" w:type="dxa"/>
            <w:vAlign w:val="bottom"/>
            <w:gridSpan w:val="2"/>
          </w:tcPr>
          <w:p>
            <w:pPr>
              <w:ind w:left="40"/>
              <w:spacing w:after="0"/>
              <w:rPr>
                <w:sz w:val="20"/>
                <w:szCs w:val="20"/>
                <w:color w:val="auto"/>
              </w:rPr>
            </w:pPr>
            <w:r>
              <w:rPr>
                <w:rFonts w:ascii="Arial" w:cs="Arial" w:eastAsia="Arial" w:hAnsi="Arial"/>
                <w:sz w:val="14"/>
                <w:szCs w:val="14"/>
                <w:color w:val="auto"/>
              </w:rPr>
              <w:t>U.S. and Non-U.S. government obligations</w:t>
            </w:r>
          </w:p>
        </w:tc>
        <w:tc>
          <w:tcPr>
            <w:tcW w:w="26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4"/>
                <w:szCs w:val="14"/>
                <w:color w:val="auto"/>
              </w:rPr>
              <w:t>7,014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99</w:t>
            </w:r>
          </w:p>
        </w:tc>
      </w:tr>
      <w:tr>
        <w:trPr>
          <w:trHeight w:val="262"/>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Exchange traded notes</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29,664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r>
      <w:tr>
        <w:trPr>
          <w:trHeight w:val="229"/>
        </w:trPr>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548,198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595,043</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Broker-Dealer Credit Facilities</w:t>
      </w:r>
    </w:p>
    <w:p>
      <w:pPr>
        <w:spacing w:after="0" w:line="224"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collateralized by one of the Company’s broker-dealer subsidiaries trading and deposit account with the financial institution.</w:t>
      </w:r>
    </w:p>
    <w:p>
      <w:pPr>
        <w:spacing w:after="0" w:line="170" w:lineRule="exact"/>
        <w:rPr>
          <w:sz w:val="20"/>
          <w:szCs w:val="20"/>
          <w:color w:val="auto"/>
        </w:rPr>
      </w:pPr>
    </w:p>
    <w:p>
      <w:pPr>
        <w:ind w:right="80" w:firstLine="315"/>
        <w:spacing w:after="0" w:line="283" w:lineRule="auto"/>
        <w:rPr>
          <w:sz w:val="20"/>
          <w:szCs w:val="20"/>
          <w:color w:val="auto"/>
        </w:rPr>
      </w:pPr>
      <w:r>
        <w:rPr>
          <w:rFonts w:ascii="Arial" w:cs="Arial" w:eastAsia="Arial" w:hAnsi="Arial"/>
          <w:sz w:val="16"/>
          <w:szCs w:val="16"/>
          <w:color w:val="auto"/>
        </w:rPr>
        <w:t>On November 3, 2017, the Company entered the second credit facility (“Revolving Credit Facility”) with the same financial institution for an aggregated borrowing limit of $500.0 million. The Revolving Credit Facility consists two borrowing bases: Borrowing Base A Loan is to be used to finance the purchase and settlement of securities; Borrowing Base B Loan is to be used to fund margin deposit with the NSCC. Each of the three broker-dealers has a sublimit under Borrowing Base A Loan, from $25 million to $500 million, which bears interest at the adjusted LIBOR or base rate plus 1.25% per annum. Two out of the three broker-dealers have a sublimit under Borrowing Base B Loan, from $40 million to $100 million, which bears interest at the adjusted LIBOR or base rate plus 2.50% per annum. A commitment fee of 0.50% per annum on the average daily unused portion of this facility is payable quarterly in arrears.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broker-dealer credit facilities' carrying values, net of unamortized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At June 30,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right"/>
              <w:ind w:right="630"/>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right"/>
              <w:ind w:right="490"/>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38,670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44,006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650,000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780" w:firstLine="315"/>
        <w:spacing w:after="0" w:line="290"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1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89"/>
              </w:rPr>
              <w:t>Six Months Ended June 30,</w:t>
            </w:r>
          </w:p>
        </w:tc>
      </w:tr>
      <w:tr>
        <w:trPr>
          <w:trHeight w:val="256"/>
        </w:trPr>
        <w:tc>
          <w:tcPr>
            <w:tcW w:w="940" w:type="dxa"/>
            <w:vAlign w:val="bottom"/>
          </w:tcPr>
          <w:p>
            <w:pPr>
              <w:spacing w:after="0"/>
              <w:rPr>
                <w:sz w:val="22"/>
                <w:szCs w:val="22"/>
                <w:color w:val="auto"/>
              </w:rPr>
            </w:pPr>
          </w:p>
        </w:tc>
        <w:tc>
          <w:tcPr>
            <w:tcW w:w="5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2017</w:t>
            </w:r>
          </w:p>
        </w:tc>
      </w:tr>
      <w:tr>
        <w:trPr>
          <w:trHeight w:val="261"/>
        </w:trPr>
        <w:tc>
          <w:tcPr>
            <w:tcW w:w="940" w:type="dxa"/>
            <w:vAlign w:val="bottom"/>
          </w:tcPr>
          <w:p>
            <w:pPr>
              <w:spacing w:after="0"/>
              <w:rPr>
                <w:sz w:val="22"/>
                <w:szCs w:val="22"/>
                <w:color w:val="auto"/>
              </w:rPr>
            </w:pPr>
          </w:p>
        </w:tc>
        <w:tc>
          <w:tcPr>
            <w:tcW w:w="56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57"/>
        </w:trPr>
        <w:tc>
          <w:tcPr>
            <w:tcW w:w="940" w:type="dxa"/>
            <w:vAlign w:val="bottom"/>
          </w:tcPr>
          <w:p>
            <w:pPr>
              <w:spacing w:after="0"/>
              <w:rPr>
                <w:sz w:val="22"/>
                <w:szCs w:val="22"/>
                <w:color w:val="auto"/>
              </w:rPr>
            </w:pPr>
          </w:p>
        </w:tc>
        <w:tc>
          <w:tcPr>
            <w:tcW w:w="5620" w:type="dxa"/>
            <w:vAlign w:val="bottom"/>
            <w:gridSpan w:val="3"/>
          </w:tcPr>
          <w:p>
            <w:pPr>
              <w:ind w:left="160"/>
              <w:spacing w:after="0"/>
              <w:rPr>
                <w:sz w:val="20"/>
                <w:szCs w:val="20"/>
                <w:color w:val="auto"/>
              </w:rPr>
            </w:pPr>
            <w:r>
              <w:rPr>
                <w:rFonts w:ascii="Arial" w:cs="Arial" w:eastAsia="Arial" w:hAnsi="Arial"/>
                <w:sz w:val="14"/>
                <w:szCs w:val="14"/>
                <w:color w:val="auto"/>
              </w:rPr>
              <w:t>Uncommitted facility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930</w:t>
            </w:r>
          </w:p>
        </w:tc>
      </w:tr>
      <w:tr>
        <w:trPr>
          <w:trHeight w:val="268"/>
        </w:trPr>
        <w:tc>
          <w:tcPr>
            <w:tcW w:w="940" w:type="dxa"/>
            <w:vAlign w:val="bottom"/>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Committed facility (1)</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w:t>
            </w:r>
          </w:p>
        </w:tc>
      </w:tr>
      <w:tr>
        <w:trPr>
          <w:trHeight w:val="257"/>
        </w:trPr>
        <w:tc>
          <w:tcPr>
            <w:tcW w:w="940" w:type="dxa"/>
            <w:vAlign w:val="bottom"/>
          </w:tcPr>
          <w:p>
            <w:pPr>
              <w:spacing w:after="0"/>
              <w:rPr>
                <w:sz w:val="22"/>
                <w:szCs w:val="22"/>
                <w:color w:val="auto"/>
              </w:rPr>
            </w:pPr>
          </w:p>
        </w:tc>
        <w:tc>
          <w:tcPr>
            <w:tcW w:w="5620" w:type="dxa"/>
            <w:vAlign w:val="bottom"/>
            <w:gridSpan w:val="3"/>
          </w:tcPr>
          <w:p>
            <w:pPr>
              <w:ind w:left="160"/>
              <w:spacing w:after="0"/>
              <w:rPr>
                <w:sz w:val="20"/>
                <w:szCs w:val="20"/>
                <w:color w:val="auto"/>
              </w:rPr>
            </w:pPr>
            <w:r>
              <w:rPr>
                <w:rFonts w:ascii="Arial" w:cs="Arial" w:eastAsia="Arial" w:hAnsi="Arial"/>
                <w:sz w:val="14"/>
                <w:szCs w:val="14"/>
                <w:color w:val="auto"/>
              </w:rPr>
              <w:t>Revolving credit facility</w:t>
            </w:r>
          </w:p>
        </w:tc>
        <w:tc>
          <w:tcPr>
            <w:tcW w:w="10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29"/>
        </w:trPr>
        <w:tc>
          <w:tcPr>
            <w:tcW w:w="940" w:type="dxa"/>
            <w:vAlign w:val="bottom"/>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961</w:t>
            </w:r>
          </w:p>
        </w:tc>
      </w:tr>
      <w:tr>
        <w:trPr>
          <w:trHeight w:val="20"/>
        </w:trPr>
        <w:tc>
          <w:tcPr>
            <w:tcW w:w="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6"/>
        </w:trPr>
        <w:tc>
          <w:tcPr>
            <w:tcW w:w="9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  Facility was terminated in July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Credit Facilities</w:t>
      </w:r>
    </w:p>
    <w:p>
      <w:pPr>
        <w:spacing w:after="0" w:line="224" w:lineRule="exact"/>
        <w:rPr>
          <w:sz w:val="20"/>
          <w:szCs w:val="20"/>
          <w:color w:val="auto"/>
        </w:rPr>
      </w:pPr>
    </w:p>
    <w:p>
      <w:pPr>
        <w:jc w:val="both"/>
        <w:ind w:right="260" w:firstLine="315"/>
        <w:spacing w:after="0" w:line="274" w:lineRule="auto"/>
        <w:rPr>
          <w:sz w:val="20"/>
          <w:szCs w:val="20"/>
          <w:color w:val="auto"/>
        </w:rPr>
      </w:pPr>
      <w:r>
        <w:rPr>
          <w:rFonts w:ascii="Arial" w:cs="Arial" w:eastAsia="Arial" w:hAnsi="Arial"/>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b w:val="1"/>
                <w:bCs w:val="1"/>
                <w:color w:val="auto"/>
              </w:rPr>
              <w:t>At June 30,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4200" w:type="dxa"/>
            <w:vAlign w:val="bottom"/>
          </w:tcPr>
          <w:p>
            <w:pPr>
              <w:spacing w:after="0"/>
              <w:rPr>
                <w:sz w:val="12"/>
                <w:szCs w:val="12"/>
                <w:color w:val="auto"/>
              </w:rPr>
            </w:pPr>
          </w:p>
        </w:tc>
        <w:tc>
          <w:tcPr>
            <w:tcW w:w="27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20" w:type="dxa"/>
            <w:vAlign w:val="bottom"/>
          </w:tcPr>
          <w:p>
            <w:pPr>
              <w:spacing w:after="0"/>
              <w:rPr>
                <w:sz w:val="12"/>
                <w:szCs w:val="12"/>
                <w:color w:val="auto"/>
              </w:rPr>
            </w:pPr>
          </w:p>
        </w:tc>
        <w:tc>
          <w:tcPr>
            <w:tcW w:w="1960" w:type="dxa"/>
            <w:vAlign w:val="bottom"/>
            <w:gridSpan w:val="2"/>
          </w:tcPr>
          <w:p>
            <w:pPr>
              <w:jc w:val="right"/>
              <w:ind w:right="840"/>
              <w:spacing w:after="0" w:line="147" w:lineRule="exact"/>
              <w:rPr>
                <w:sz w:val="20"/>
                <w:szCs w:val="20"/>
                <w:color w:val="auto"/>
              </w:rPr>
            </w:pPr>
            <w:r>
              <w:rPr>
                <w:rFonts w:ascii="Arial" w:cs="Arial" w:eastAsia="Arial" w:hAnsi="Arial"/>
                <w:sz w:val="14"/>
                <w:szCs w:val="14"/>
                <w:b w:val="1"/>
                <w:bCs w:val="1"/>
                <w:color w:val="auto"/>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420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w:t>
            </w:r>
          </w:p>
        </w:tc>
        <w:tc>
          <w:tcPr>
            <w:tcW w:w="220" w:type="dxa"/>
            <w:vAlign w:val="bottom"/>
          </w:tcPr>
          <w:p>
            <w:pPr>
              <w:spacing w:after="0"/>
              <w:rPr>
                <w:sz w:val="16"/>
                <w:szCs w:val="16"/>
                <w:color w:val="auto"/>
              </w:rPr>
            </w:pPr>
          </w:p>
        </w:tc>
        <w:tc>
          <w:tcPr>
            <w:tcW w:w="1960" w:type="dxa"/>
            <w:vAlign w:val="bottom"/>
            <w:gridSpan w:val="2"/>
          </w:tcPr>
          <w:p>
            <w:pPr>
              <w:ind w:left="540"/>
              <w:spacing w:after="0"/>
              <w:rPr>
                <w:sz w:val="20"/>
                <w:szCs w:val="20"/>
                <w:color w:val="auto"/>
              </w:rPr>
            </w:pPr>
            <w:r>
              <w:rPr>
                <w:rFonts w:ascii="Arial" w:cs="Arial" w:eastAsia="Arial" w:hAnsi="Arial"/>
                <w:sz w:val="14"/>
                <w:szCs w:val="14"/>
                <w:b w:val="1"/>
                <w:bCs w:val="1"/>
                <w:color w:val="auto"/>
              </w:rPr>
              <w:t>Available</w:t>
            </w:r>
          </w:p>
        </w:tc>
        <w:tc>
          <w:tcPr>
            <w:tcW w:w="420" w:type="dxa"/>
            <w:vAlign w:val="bottom"/>
          </w:tcPr>
          <w:p>
            <w:pPr>
              <w:spacing w:after="0"/>
              <w:rPr>
                <w:sz w:val="16"/>
                <w:szCs w:val="16"/>
                <w:color w:val="auto"/>
              </w:rPr>
            </w:pPr>
          </w:p>
        </w:tc>
        <w:tc>
          <w:tcPr>
            <w:tcW w:w="1820" w:type="dxa"/>
            <w:vAlign w:val="bottom"/>
          </w:tcPr>
          <w:p>
            <w:pPr>
              <w:jc w:val="right"/>
              <w:ind w:right="690"/>
              <w:spacing w:after="0"/>
              <w:rPr>
                <w:sz w:val="20"/>
                <w:szCs w:val="20"/>
                <w:color w:val="auto"/>
              </w:rPr>
            </w:pPr>
            <w:r>
              <w:rPr>
                <w:rFonts w:ascii="Arial" w:cs="Arial" w:eastAsia="Arial" w:hAnsi="Arial"/>
                <w:sz w:val="14"/>
                <w:szCs w:val="14"/>
                <w:b w:val="1"/>
                <w:bCs w:val="1"/>
                <w:color w:val="auto"/>
              </w:rPr>
              <w:t>Outstanding</w:t>
            </w:r>
          </w:p>
        </w:tc>
      </w:tr>
      <w:tr>
        <w:trPr>
          <w:trHeight w:val="248"/>
        </w:trPr>
        <w:tc>
          <w:tcPr>
            <w:tcW w:w="4200" w:type="dxa"/>
            <w:vAlign w:val="bottom"/>
            <w:tcBorders>
              <w:top w:val="single" w:sz="8" w:color="CCEEFF"/>
            </w:tcBorders>
            <w:shd w:val="clear" w:color="auto" w:fill="CCEEFF"/>
          </w:tcPr>
          <w:p>
            <w:pPr>
              <w:jc w:val="right"/>
              <w:ind w:right="2370"/>
              <w:spacing w:after="0"/>
              <w:rPr>
                <w:sz w:val="20"/>
                <w:szCs w:val="20"/>
                <w:color w:val="auto"/>
              </w:rPr>
            </w:pPr>
            <w:r>
              <w:rPr>
                <w:rFonts w:ascii="Arial" w:cs="Arial" w:eastAsia="Arial" w:hAnsi="Arial"/>
                <w:sz w:val="14"/>
                <w:szCs w:val="14"/>
                <w:b w:val="1"/>
                <w:bCs w:val="1"/>
                <w:color w:val="auto"/>
                <w:w w:val="92"/>
              </w:rPr>
              <w:t>Short-Term Credit Facilities:</w:t>
            </w:r>
          </w:p>
        </w:tc>
        <w:tc>
          <w:tcPr>
            <w:tcW w:w="2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57"/>
        </w:trPr>
        <w:tc>
          <w:tcPr>
            <w:tcW w:w="4200" w:type="dxa"/>
            <w:vAlign w:val="bottom"/>
            <w:tcBorders>
              <w:bottom w:val="single" w:sz="8" w:color="CCEEFF"/>
            </w:tcBorders>
          </w:tcPr>
          <w:p>
            <w:pPr>
              <w:jc w:val="right"/>
              <w:ind w:right="2370"/>
              <w:spacing w:after="0"/>
              <w:rPr>
                <w:sz w:val="20"/>
                <w:szCs w:val="20"/>
                <w:color w:val="auto"/>
              </w:rPr>
            </w:pPr>
            <w:r>
              <w:rPr>
                <w:rFonts w:ascii="Arial" w:cs="Arial" w:eastAsia="Arial" w:hAnsi="Arial"/>
                <w:sz w:val="14"/>
                <w:szCs w:val="14"/>
                <w:color w:val="auto"/>
                <w:w w:val="97"/>
              </w:rPr>
              <w:t>Short-term credit facilities (2)</w:t>
            </w:r>
          </w:p>
        </w:tc>
        <w:tc>
          <w:tcPr>
            <w:tcW w:w="26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4.62%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119,849</w:t>
            </w:r>
          </w:p>
        </w:tc>
      </w:tr>
      <w:tr>
        <w:trPr>
          <w:trHeight w:val="229"/>
        </w:trPr>
        <w:tc>
          <w:tcPr>
            <w:tcW w:w="42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119,849</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December 31, 2017</w:t>
            </w: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2"/>
                <w:szCs w:val="12"/>
                <w:color w:val="auto"/>
              </w:rPr>
            </w:pPr>
          </w:p>
        </w:tc>
        <w:tc>
          <w:tcPr>
            <w:tcW w:w="2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Financing</w:t>
            </w:r>
          </w:p>
        </w:tc>
        <w:tc>
          <w:tcPr>
            <w:tcW w:w="44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2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18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440" w:type="dxa"/>
            <w:vAlign w:val="bottom"/>
          </w:tcPr>
          <w:p>
            <w:pPr>
              <w:spacing w:after="0"/>
              <w:rPr>
                <w:sz w:val="16"/>
                <w:szCs w:val="16"/>
                <w:color w:val="auto"/>
              </w:rPr>
            </w:pPr>
          </w:p>
        </w:tc>
        <w:tc>
          <w:tcPr>
            <w:tcW w:w="1820" w:type="dxa"/>
            <w:vAlign w:val="bottom"/>
          </w:tcPr>
          <w:p>
            <w:pPr>
              <w:jc w:val="right"/>
              <w:ind w:right="690"/>
              <w:spacing w:after="0"/>
              <w:rPr>
                <w:sz w:val="20"/>
                <w:szCs w:val="20"/>
                <w:color w:val="auto"/>
              </w:rPr>
            </w:pPr>
            <w:r>
              <w:rPr>
                <w:rFonts w:ascii="Arial" w:cs="Arial" w:eastAsia="Arial" w:hAnsi="Arial"/>
                <w:sz w:val="14"/>
                <w:szCs w:val="14"/>
                <w:b w:val="1"/>
                <w:bCs w:val="1"/>
                <w:color w:val="auto"/>
              </w:rPr>
              <w:t>Outstanding</w:t>
            </w:r>
          </w:p>
        </w:tc>
      </w:tr>
      <w:tr>
        <w:trPr>
          <w:trHeight w:val="274"/>
        </w:trPr>
        <w:tc>
          <w:tcPr>
            <w:tcW w:w="4340" w:type="dxa"/>
            <w:vAlign w:val="bottom"/>
            <w:tcBorders>
              <w:top w:val="single" w:sz="8" w:color="CCEEFF"/>
            </w:tcBorders>
            <w:gridSpan w:val="2"/>
            <w:shd w:val="clear" w:color="auto" w:fill="CCEEFF"/>
          </w:tcPr>
          <w:p>
            <w:pPr>
              <w:jc w:val="right"/>
              <w:ind w:right="2560"/>
              <w:spacing w:after="0"/>
              <w:rPr>
                <w:sz w:val="20"/>
                <w:szCs w:val="20"/>
                <w:color w:val="auto"/>
              </w:rPr>
            </w:pPr>
            <w:r>
              <w:rPr>
                <w:rFonts w:ascii="Arial" w:cs="Arial" w:eastAsia="Arial" w:hAnsi="Arial"/>
                <w:sz w:val="14"/>
                <w:szCs w:val="14"/>
                <w:b w:val="1"/>
                <w:bCs w:val="1"/>
                <w:color w:val="auto"/>
                <w:w w:val="93"/>
              </w:rPr>
              <w:t>Short-Term Credit Facilities:</w:t>
            </w:r>
          </w:p>
        </w:tc>
        <w:tc>
          <w:tcPr>
            <w:tcW w:w="2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57"/>
        </w:trPr>
        <w:tc>
          <w:tcPr>
            <w:tcW w:w="4340" w:type="dxa"/>
            <w:vAlign w:val="bottom"/>
            <w:tcBorders>
              <w:bottom w:val="single" w:sz="8" w:color="CCEEFF"/>
            </w:tcBorders>
            <w:gridSpan w:val="2"/>
          </w:tcPr>
          <w:p>
            <w:pPr>
              <w:jc w:val="right"/>
              <w:ind w:right="2560"/>
              <w:spacing w:after="0"/>
              <w:rPr>
                <w:sz w:val="20"/>
                <w:szCs w:val="20"/>
                <w:color w:val="auto"/>
              </w:rPr>
            </w:pPr>
            <w:r>
              <w:rPr>
                <w:rFonts w:ascii="Arial" w:cs="Arial" w:eastAsia="Arial" w:hAnsi="Arial"/>
                <w:sz w:val="14"/>
                <w:szCs w:val="14"/>
                <w:color w:val="auto"/>
                <w:w w:val="98"/>
              </w:rPr>
              <w:t>Short-term credit facilities (2)</w:t>
            </w:r>
          </w:p>
        </w:tc>
        <w:tc>
          <w:tcPr>
            <w:tcW w:w="2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3.86%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543,000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205,677</w:t>
            </w: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543,000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205,677</w:t>
            </w:r>
          </w:p>
        </w:tc>
      </w:tr>
      <w:tr>
        <w:trPr>
          <w:trHeight w:val="20"/>
        </w:trPr>
        <w:tc>
          <w:tcPr>
            <w:tcW w:w="2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296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6" w:lineRule="exact"/>
        <w:rPr>
          <w:sz w:val="20"/>
          <w:szCs w:val="20"/>
          <w:color w:val="auto"/>
        </w:rPr>
      </w:pPr>
    </w:p>
    <w:p>
      <w:pPr>
        <w:ind w:left="320" w:right="720" w:hanging="315"/>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Outstanding borrowings were included with receivable from/ payable to broker-dealers and clearing organization within the condensed consolidated statements of financial condition.</w:t>
      </w:r>
    </w:p>
    <w:p>
      <w:pPr>
        <w:spacing w:after="0" w:line="158"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Interest expense in relation to the facilities was approximately $1.9 million and $1.7 million for the three months ended June 30, 2018 and 2017, respectively, and $3.4 million and $3.4 million for the six months ended June 30, 2018, and 2017.</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4"/>
              </w:rPr>
              <w:t>At June 30, 2018</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0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2"/>
                <w:szCs w:val="12"/>
                <w:color w:val="auto"/>
              </w:rPr>
            </w:pPr>
          </w:p>
        </w:tc>
        <w:tc>
          <w:tcPr>
            <w:tcW w:w="1200" w:type="dxa"/>
            <w:vAlign w:val="bottom"/>
          </w:tcPr>
          <w:p>
            <w:pPr>
              <w:jc w:val="right"/>
              <w:ind w:right="23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5.56%</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515,154</w:t>
            </w:r>
          </w:p>
        </w:tc>
        <w:tc>
          <w:tcPr>
            <w:tcW w:w="12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(10,084)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504,570</w:t>
            </w:r>
          </w:p>
        </w:tc>
        <w:tc>
          <w:tcPr>
            <w:tcW w:w="0" w:type="dxa"/>
            <w:vAlign w:val="bottom"/>
          </w:tcPr>
          <w:p>
            <w:pPr>
              <w:spacing w:after="0"/>
              <w:rPr>
                <w:sz w:val="1"/>
                <w:szCs w:val="1"/>
                <w:color w:val="auto"/>
              </w:rPr>
            </w:pPr>
          </w:p>
        </w:tc>
      </w:tr>
      <w:tr>
        <w:trPr>
          <w:trHeight w:val="268"/>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479,614</w:t>
            </w: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31,600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31,564</w:t>
            </w:r>
          </w:p>
        </w:tc>
        <w:tc>
          <w:tcPr>
            <w:tcW w:w="0" w:type="dxa"/>
            <w:vAlign w:val="bottom"/>
          </w:tcPr>
          <w:p>
            <w:pPr>
              <w:spacing w:after="0"/>
              <w:rPr>
                <w:sz w:val="1"/>
                <w:szCs w:val="1"/>
                <w:color w:val="auto"/>
              </w:rPr>
            </w:pPr>
          </w:p>
        </w:tc>
      </w:tr>
      <w:tr>
        <w:trPr>
          <w:trHeight w:val="229"/>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1,046,754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1,015,748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At December 31, 2017</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2"/>
                <w:szCs w:val="12"/>
                <w:color w:val="auto"/>
              </w:rPr>
            </w:pPr>
          </w:p>
        </w:tc>
        <w:tc>
          <w:tcPr>
            <w:tcW w:w="1200" w:type="dxa"/>
            <w:vAlign w:val="bottom"/>
          </w:tcPr>
          <w:p>
            <w:pPr>
              <w:jc w:val="right"/>
              <w:ind w:right="23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27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5.13%</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(18,504)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880,497</w:t>
            </w:r>
          </w:p>
        </w:tc>
        <w:tc>
          <w:tcPr>
            <w:tcW w:w="0" w:type="dxa"/>
            <w:vAlign w:val="bottom"/>
          </w:tcPr>
          <w:p>
            <w:pPr>
              <w:spacing w:after="0"/>
              <w:rPr>
                <w:sz w:val="1"/>
                <w:szCs w:val="1"/>
                <w:color w:val="auto"/>
              </w:rPr>
            </w:pPr>
          </w:p>
        </w:tc>
      </w:tr>
      <w:tr>
        <w:trPr>
          <w:trHeight w:val="268"/>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477,039</w:t>
            </w: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31,059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31,012</w:t>
            </w:r>
          </w:p>
        </w:tc>
        <w:tc>
          <w:tcPr>
            <w:tcW w:w="0" w:type="dxa"/>
            <w:vAlign w:val="bottom"/>
          </w:tcPr>
          <w:p>
            <w:pPr>
              <w:spacing w:after="0"/>
              <w:rPr>
                <w:sz w:val="1"/>
                <w:szCs w:val="1"/>
                <w:color w:val="auto"/>
              </w:rPr>
            </w:pPr>
          </w:p>
        </w:tc>
      </w:tr>
      <w:tr>
        <w:trPr>
          <w:trHeight w:val="242"/>
        </w:trPr>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1,431,059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1,388,548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Fourth Amended and Restated Credit Agreement</w:t>
      </w:r>
    </w:p>
    <w:p>
      <w:pPr>
        <w:spacing w:after="0" w:line="93"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To finance the Acquisition, on June 30, 2017, Virtu Financial and VFH Parent LLC (“VFH”) entered into a fourth amended and restated credit agreement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“Term Loan Facility”).</w:t>
      </w:r>
    </w:p>
    <w:p>
      <w:pPr>
        <w:spacing w:after="0" w:line="124" w:lineRule="exact"/>
        <w:rPr>
          <w:sz w:val="20"/>
          <w:szCs w:val="20"/>
          <w:color w:val="auto"/>
        </w:rPr>
      </w:pPr>
    </w:p>
    <w:p>
      <w:pPr>
        <w:ind w:right="200" w:firstLine="315"/>
        <w:spacing w:after="0" w:line="264" w:lineRule="auto"/>
        <w:rPr>
          <w:sz w:val="20"/>
          <w:szCs w:val="20"/>
          <w:color w:val="auto"/>
        </w:rPr>
      </w:pPr>
      <w:r>
        <w:rPr>
          <w:rFonts w:ascii="Arial" w:cs="Arial" w:eastAsia="Arial" w:hAnsi="Arial"/>
          <w:sz w:val="17"/>
          <w:szCs w:val="17"/>
          <w:color w:val="auto"/>
        </w:rPr>
        <w:t>For the six months ended June 30, 2018, $384.8 million of prepayments were made under the Fourth Amended and Restated Credit Agreement, for an aggregate total of $634.8 million of principal prepayments under the Term Loan Facility since its closing. VFH also entered into a repricing transaction during January 2018 to reprice the senior secured term loans under the Fourth Amended and Restated Credit Agreement at LIBOR plus 3.25%. In connection with the debt refinancing and the debt prepayment, the Company accelerated approximately $8.4 million for unamortized financing costs incurred that were scheduled to be amortized over the term of the loan, including original issue discount and underwriting and legal fees, which is included within debt issue cost related to debt refinancing in the consolidated statements of comprehensive income.</w:t>
      </w:r>
    </w:p>
    <w:p>
      <w:pPr>
        <w:spacing w:after="0" w:line="127"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The Fourth Amended and Restated Credit Agreement contains certain customary covenants and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Second Lien Notes</w:t>
      </w:r>
    </w:p>
    <w:p>
      <w:pPr>
        <w:spacing w:after="0" w:line="172"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To finance the Acquisition, on June 16, 2017, the Escrow Issuer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Associations, as trustee and collateral agent.</w:t>
      </w:r>
    </w:p>
    <w:p>
      <w:pPr>
        <w:spacing w:after="0" w:line="118" w:lineRule="exact"/>
        <w:rPr>
          <w:sz w:val="20"/>
          <w:szCs w:val="20"/>
          <w:color w:val="auto"/>
        </w:rPr>
      </w:pPr>
    </w:p>
    <w:p>
      <w:pPr>
        <w:ind w:right="240" w:firstLine="315"/>
        <w:spacing w:after="0" w:line="323"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guarantees the Fourth Amended and Restated Credit Agreement.</w:t>
      </w:r>
    </w:p>
    <w:p>
      <w:pPr>
        <w:spacing w:after="0" w:line="3"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Indenture imposes certain limitations on the Company, and contains certain customary events of default, including, among others, payment defaults related to the failure to pay principal or interest on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 the Closing Date and were used to finance, in part, the Acquisition, and to repay certain indebtedness of the Company and KCG. (See Note 3 “Acquisition of KCG Holdings, Inc.”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24"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($31.6 million) as of June 30, 2018 and ¥3.5 billion ($31.0 million) as of December 31, 2017. The Company recorded a gain of $1.4 million and a loss of $0.5 million due to the change in currency rates during the three and six months ended June 30, 2018, and losses of $1.5 million and $1.2 million during the three and six months ended June 30, 2017,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Aggregate future required minimum principal payments based on the terms of the long-term borrowings were as follows: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9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640" w:type="dxa"/>
            <w:vAlign w:val="bottom"/>
          </w:tcPr>
          <w:p>
            <w:pPr>
              <w:jc w:val="right"/>
              <w:ind w:right="523"/>
              <w:spacing w:after="0"/>
              <w:rPr>
                <w:sz w:val="20"/>
                <w:szCs w:val="20"/>
                <w:color w:val="auto"/>
              </w:rPr>
            </w:pPr>
            <w:r>
              <w:rPr>
                <w:rFonts w:ascii="Arial" w:cs="Arial" w:eastAsia="Arial" w:hAnsi="Arial"/>
                <w:sz w:val="14"/>
                <w:szCs w:val="14"/>
                <w:b w:val="1"/>
                <w:bCs w:val="1"/>
                <w:color w:val="auto"/>
              </w:rPr>
              <w:t>June 30, 2018</w:t>
            </w:r>
          </w:p>
        </w:tc>
      </w:tr>
      <w:tr>
        <w:trPr>
          <w:trHeight w:val="248"/>
        </w:trPr>
        <w:tc>
          <w:tcPr>
            <w:tcW w:w="8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r>
      <w:tr>
        <w:trPr>
          <w:trHeight w:val="257"/>
        </w:trPr>
        <w:tc>
          <w:tcPr>
            <w:tcW w:w="890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8"/>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31,600</w:t>
            </w:r>
          </w:p>
        </w:tc>
      </w:tr>
      <w:tr>
        <w:trPr>
          <w:trHeight w:val="257"/>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2021 and thereafter</w:t>
            </w:r>
          </w:p>
        </w:tc>
        <w:tc>
          <w:tcPr>
            <w:tcW w:w="3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1,015,154</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principal of long-term borrowings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1,046,754</w:t>
            </w:r>
          </w:p>
        </w:tc>
      </w:tr>
      <w:tr>
        <w:trPr>
          <w:trHeight w:val="20"/>
        </w:trPr>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24"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 fair value of equities, options, on the 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broadly distributed bank and broker 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As of June 30, 2017, the Company began pricing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 The Company concluded that this is a change in accounting estimate and no retrospective adjustments were necessary.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transfers of financial instruments between levels during the three and six months ended June 30, 2018 and 2017.</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June 30, 2018:</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80"/>
          </w:cols>
          <w:pgMar w:left="240" w:top="127" w:right="27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87"/>
              </w:rPr>
              <w:t>June 30, 2018</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740,499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1,292,836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2,033,335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38,328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29,931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68,259</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49,603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49,603</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23,382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46,875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70,257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2,738,534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802,832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4,157,779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2,224,885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375,382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136,138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511,520</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7,014</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19,986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9,678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29,664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402,382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145,816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548,198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41,093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41,093</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2,093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41,093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43,186</w:t>
            </w:r>
          </w:p>
        </w:tc>
        <w:tc>
          <w:tcPr>
            <w:tcW w:w="0" w:type="dxa"/>
            <w:vAlign w:val="bottom"/>
          </w:tcPr>
          <w:p>
            <w:pPr>
              <w:spacing w:after="0"/>
              <w:rPr>
                <w:sz w:val="1"/>
                <w:szCs w:val="1"/>
                <w:color w:val="auto"/>
              </w:rPr>
            </w:pPr>
          </w:p>
        </w:tc>
      </w:tr>
      <w:tr>
        <w:trPr>
          <w:trHeight w:val="247"/>
        </w:trPr>
        <w:tc>
          <w:tcPr>
            <w:tcW w:w="4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1,196,052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1,048,977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2,245,029</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35,874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23,861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59,735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36,503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36,503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47,078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48,028</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2,729,850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(2,713,346)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16,504</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1,233,441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3,886,269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(2,713,346)</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2,406,364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2017:</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758,596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1,167,995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1,926,591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5,968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16,815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22,783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68,819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82,395</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2,045,487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785,185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3,360,091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2,117,579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410,670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175,581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8,611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410,851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184,192</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595,043</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86"/>
        </w:trPr>
        <w:tc>
          <w:tcPr>
            <w:tcW w:w="4340" w:type="dxa"/>
            <w:vAlign w:val="bottom"/>
            <w:gridSpan w:val="2"/>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(1)</w:t>
            </w:r>
          </w:p>
        </w:tc>
        <w:tc>
          <w:tcPr>
            <w:tcW w:w="120" w:type="dxa"/>
            <w:vAlign w:val="bottom"/>
          </w:tcPr>
          <w:p>
            <w:pPr>
              <w:spacing w:after="0"/>
              <w:rPr>
                <w:sz w:val="16"/>
                <w:szCs w:val="16"/>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0" w:type="dxa"/>
            <w:vAlign w:val="bottom"/>
          </w:tcPr>
          <w:p>
            <w:pPr>
              <w:spacing w:after="0"/>
              <w:rPr>
                <w:sz w:val="1"/>
                <w:szCs w:val="1"/>
                <w:color w:val="auto"/>
              </w:rPr>
            </w:pPr>
          </w:p>
        </w:tc>
      </w:tr>
      <w:tr>
        <w:trPr>
          <w:trHeight w:val="150"/>
        </w:trPr>
        <w:tc>
          <w:tcPr>
            <w:tcW w:w="4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55,824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98,364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847,816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1,355,616</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2,203,432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54,248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55,762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2,032,017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874,109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3,535,480</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2,384,598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6350</wp:posOffset>
            </wp:positionV>
            <wp:extent cx="449199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1990" cy="24765"/>
                    </a:xfrm>
                    <a:prstGeom prst="rect">
                      <a:avLst/>
                    </a:prstGeom>
                    <a:noFill/>
                  </pic:spPr>
                </pic:pic>
              </a:graphicData>
            </a:graphic>
          </wp:anchor>
        </w:drawing>
      </w:r>
    </w:p>
    <w:p>
      <w:pPr>
        <w:spacing w:after="0" w:line="33" w:lineRule="exact"/>
        <w:rPr>
          <w:sz w:val="20"/>
          <w:szCs w:val="20"/>
          <w:color w:val="auto"/>
        </w:rPr>
      </w:pPr>
    </w:p>
    <w:p>
      <w:pPr>
        <w:ind w:left="560" w:hanging="240"/>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6"/>
          <w:szCs w:val="16"/>
          <w:color w:val="auto"/>
        </w:rPr>
        <w:t>Other primarily consists of a $55.8 million receivable from Bats related to the sale of KCG Hotspot.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Investment</w:t>
      </w:r>
    </w:p>
    <w:p>
      <w:pPr>
        <w:spacing w:after="0" w:line="224" w:lineRule="exact"/>
        <w:rPr>
          <w:sz w:val="20"/>
          <w:szCs w:val="20"/>
          <w:color w:val="auto"/>
        </w:rPr>
      </w:pPr>
    </w:p>
    <w:p>
      <w:pPr>
        <w:ind w:right="120" w:firstLine="315"/>
        <w:spacing w:after="0" w:line="303" w:lineRule="auto"/>
        <w:rPr>
          <w:sz w:val="20"/>
          <w:szCs w:val="20"/>
          <w:color w:val="auto"/>
        </w:rPr>
      </w:pPr>
      <w:r>
        <w:rPr>
          <w:rFonts w:ascii="Arial" w:cs="Arial" w:eastAsia="Arial" w:hAnsi="Arial"/>
          <w:sz w:val="15"/>
          <w:szCs w:val="15"/>
          <w:color w:val="auto"/>
        </w:rPr>
        <w:t>As of June 30, 2018, the fair value of SBI Investment was determined using the discounted cash flow method, an income approach, with the discount rate of 15.0% applied to the cash flow forecasts. The Company also used a market approach based on 14x average price/earnings multiples of comparable companies to corroborate the income approach. The fair value of the SBI Investment at June 30, 2018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Receivable from Bats Global Markets, Inc. (“Bats”)</w:t>
      </w:r>
    </w:p>
    <w:p>
      <w:pPr>
        <w:spacing w:after="0" w:line="224" w:lineRule="exact"/>
        <w:rPr>
          <w:sz w:val="20"/>
          <w:szCs w:val="20"/>
          <w:color w:val="auto"/>
        </w:rPr>
      </w:pPr>
    </w:p>
    <w:p>
      <w:pPr>
        <w:ind w:right="220" w:firstLine="315"/>
        <w:spacing w:after="0" w:line="274" w:lineRule="auto"/>
        <w:rPr>
          <w:sz w:val="20"/>
          <w:szCs w:val="20"/>
          <w:color w:val="auto"/>
        </w:rPr>
      </w:pPr>
      <w:r>
        <w:rPr>
          <w:rFonts w:ascii="Arial" w:cs="Arial" w:eastAsia="Arial" w:hAnsi="Arial"/>
          <w:sz w:val="17"/>
          <w:szCs w:val="17"/>
          <w:color w:val="auto"/>
        </w:rPr>
        <w:t>In March 2015, KCG sold KCG Hotspot, an institutional spot foreign exchange electronic communications networks (“ECN”), to Bats, which is now a subsidiary of CBOE Holdings, Inc. KCG and Bats agreed to share certain tax benefits, which comprise a $50.0 million payment and an annual payment of up to $6.6 million, both of which were paid to the Company in April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24" w:lineRule="exact"/>
        <w:rPr>
          <w:sz w:val="20"/>
          <w:szCs w:val="20"/>
          <w:color w:val="auto"/>
        </w:rPr>
      </w:pPr>
    </w:p>
    <w:p>
      <w:pPr>
        <w:ind w:right="80" w:firstLine="315"/>
        <w:spacing w:after="0" w:line="274"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w:t>
      </w:r>
    </w:p>
    <w:p>
      <w:pPr>
        <w:sectPr>
          <w:pgSz w:w="11900" w:h="16838" w:orient="portrait"/>
          <w:cols w:equalWidth="0" w:num="1">
            <w:col w:w="11420"/>
          </w:cols>
          <w:pgMar w:left="240" w:top="12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7" w:right="239" w:bottom="1440" w:gutter="0" w:footer="0" w:header="0"/>
          <w:type w:val="continuous"/>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value hierarchy as Level 1 and Level 2 approximates fair value due to the relatively short-term nature of the underlying assets. The fair value of the Company’s long-term borrowings is categorized as Level 2 in the fair value hierarchy, which is based on quoted prices from the market.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June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6"/>
        </w:trPr>
        <w:tc>
          <w:tcPr>
            <w:tcW w:w="4580" w:type="dxa"/>
            <w:vAlign w:val="bottom"/>
          </w:tcPr>
          <w:p>
            <w:pPr>
              <w:spacing w:after="0"/>
              <w:rPr>
                <w:sz w:val="23"/>
                <w:szCs w:val="23"/>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660,067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660,067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660,067</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1,217,172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1,217,172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1,217,172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1,051,922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1,051,922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136,150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915,772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2,934,324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2,934,324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796,217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2,138,107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44,006</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44,006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44,006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1,015,747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1,068,577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1,068,577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788,843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788,843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788,843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279,760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279,760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279,760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747,613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747,613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261,652</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485,961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2,875,969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2,928,799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261,652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2,667,147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8"/>
        </w:trPr>
        <w:tc>
          <w:tcPr>
            <w:tcW w:w="4580" w:type="dxa"/>
            <w:vAlign w:val="bottom"/>
          </w:tcPr>
          <w:p>
            <w:pPr>
              <w:spacing w:after="0"/>
              <w:rPr>
                <w:sz w:val="23"/>
                <w:szCs w:val="23"/>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borrowed</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36,513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935,505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569,400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2,406,677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1,388,548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713,280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3,277,965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3,354,906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3,351,981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41,093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3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41,093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2017</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2"/>
              </w:rPr>
              <w:t>June 30, 2017</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held at June 30,</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4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37,297</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35"/>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42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tcPr>
          <w:p>
            <w:pPr>
              <w:spacing w:after="0"/>
              <w:rPr>
                <w:sz w:val="20"/>
                <w:szCs w:val="20"/>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37,297</w:t>
            </w:r>
          </w:p>
        </w:tc>
        <w:tc>
          <w:tcPr>
            <w:tcW w:w="12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24" w:lineRule="exact"/>
        <w:rPr>
          <w:sz w:val="20"/>
          <w:szCs w:val="20"/>
          <w:color w:val="auto"/>
        </w:rPr>
      </w:pPr>
    </w:p>
    <w:p>
      <w:pPr>
        <w:ind w:right="100" w:firstLine="315"/>
        <w:spacing w:after="0" w:line="28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tables set forth the gross and net presentation of certain financial assets and financial liabilities as of June 30, 2018 and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6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ind w:left="100"/>
              <w:spacing w:after="0" w:line="145" w:lineRule="exact"/>
              <w:rPr>
                <w:sz w:val="20"/>
                <w:szCs w:val="20"/>
                <w:color w:val="auto"/>
              </w:rPr>
            </w:pPr>
            <w:r>
              <w:rPr>
                <w:rFonts w:ascii="Arial" w:cs="Arial" w:eastAsia="Arial" w:hAnsi="Arial"/>
                <w:sz w:val="14"/>
                <w:szCs w:val="14"/>
                <w:b w:val="1"/>
                <w:bCs w:val="1"/>
                <w:color w:val="auto"/>
              </w:rPr>
              <w:t>Consolidated Statement of Financial</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20" w:type="dxa"/>
            <w:vAlign w:val="bottom"/>
          </w:tcPr>
          <w:p>
            <w:pPr>
              <w:spacing w:after="0"/>
              <w:rPr>
                <w:sz w:val="6"/>
                <w:szCs w:val="6"/>
                <w:color w:val="auto"/>
              </w:rPr>
            </w:pPr>
          </w:p>
        </w:tc>
        <w:tc>
          <w:tcPr>
            <w:tcW w:w="162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80" w:type="dxa"/>
            <w:vAlign w:val="bottom"/>
          </w:tcPr>
          <w:p>
            <w:pPr>
              <w:spacing w:after="0"/>
              <w:rPr>
                <w:sz w:val="6"/>
                <w:szCs w:val="6"/>
                <w:color w:val="auto"/>
              </w:rPr>
            </w:pPr>
          </w:p>
        </w:tc>
        <w:tc>
          <w:tcPr>
            <w:tcW w:w="26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970"/>
              <w:spacing w:after="0"/>
              <w:rPr>
                <w:sz w:val="20"/>
                <w:szCs w:val="20"/>
                <w:color w:val="auto"/>
              </w:rPr>
            </w:pPr>
            <w:r>
              <w:rPr>
                <w:rFonts w:ascii="Arial" w:cs="Arial" w:eastAsia="Arial" w:hAnsi="Arial"/>
                <w:sz w:val="14"/>
                <w:szCs w:val="14"/>
                <w:b w:val="1"/>
                <w:bCs w:val="1"/>
                <w:color w:val="auto"/>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7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Condensed Consolidated</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85"/>
              </w:rPr>
              <w:t>Recognized Assets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2"/>
              </w:rPr>
              <w:t>of Financial Condition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Received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1,217,172</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1,217,172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(1,169,881)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39,449</w:t>
            </w:r>
          </w:p>
        </w:tc>
        <w:tc>
          <w:tcPr>
            <w:tcW w:w="0" w:type="dxa"/>
            <w:vAlign w:val="bottom"/>
          </w:tcPr>
          <w:p>
            <w:pPr>
              <w:spacing w:after="0"/>
              <w:rPr>
                <w:sz w:val="1"/>
                <w:szCs w:val="1"/>
                <w:color w:val="auto"/>
              </w:rPr>
            </w:pPr>
          </w:p>
        </w:tc>
      </w:tr>
      <w:tr>
        <w:trPr>
          <w:trHeight w:val="157"/>
        </w:trPr>
        <w:tc>
          <w:tcPr>
            <w:tcW w:w="26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2,738,534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(2,735,726)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2,808</w:t>
            </w:r>
          </w:p>
        </w:tc>
        <w:tc>
          <w:tcPr>
            <w:tcW w:w="0" w:type="dxa"/>
            <w:vAlign w:val="bottom"/>
          </w:tcPr>
          <w:p>
            <w:pPr>
              <w:spacing w:after="0"/>
              <w:rPr>
                <w:sz w:val="1"/>
                <w:szCs w:val="1"/>
                <w:color w:val="auto"/>
              </w:rPr>
            </w:pPr>
          </w:p>
        </w:tc>
      </w:tr>
      <w:tr>
        <w:trPr>
          <w:trHeight w:val="257"/>
        </w:trPr>
        <w:tc>
          <w:tcPr>
            <w:tcW w:w="2640" w:type="dxa"/>
            <w:vAlign w:val="bottom"/>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3,961,492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(2,735,726)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1,225,766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42,309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Gross Amounts Not Offset In the Condensed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12"/>
                <w:szCs w:val="12"/>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180" w:type="dxa"/>
            <w:vAlign w:val="bottom"/>
          </w:tcPr>
          <w:p>
            <w:pPr>
              <w:spacing w:after="0"/>
              <w:rPr>
                <w:sz w:val="12"/>
                <w:szCs w:val="12"/>
                <w:color w:val="auto"/>
              </w:rPr>
            </w:pPr>
          </w:p>
        </w:tc>
        <w:tc>
          <w:tcPr>
            <w:tcW w:w="2620" w:type="dxa"/>
            <w:vAlign w:val="bottom"/>
            <w:gridSpan w:val="5"/>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6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Amounts of</w:t>
            </w:r>
          </w:p>
        </w:tc>
        <w:tc>
          <w:tcPr>
            <w:tcW w:w="17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6"/>
              </w:rPr>
              <w:t>Offset in the Consolidated</w:t>
            </w:r>
          </w:p>
        </w:tc>
        <w:tc>
          <w:tcPr>
            <w:tcW w:w="100" w:type="dxa"/>
            <w:vAlign w:val="bottom"/>
          </w:tcPr>
          <w:p>
            <w:pPr>
              <w:spacing w:after="0"/>
              <w:rPr>
                <w:sz w:val="12"/>
                <w:szCs w:val="12"/>
                <w:color w:val="auto"/>
              </w:rPr>
            </w:pPr>
          </w:p>
        </w:tc>
        <w:tc>
          <w:tcPr>
            <w:tcW w:w="16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18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ind w:left="220"/>
              <w:spacing w:after="0" w:line="145"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788,843</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788,843</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(776,465)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(6,886)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5,492</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279,760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279,760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2,729,850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(2,713,346)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16,504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16,504</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3,799,018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1,085,672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22,082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w w:val="88"/>
              </w:rPr>
              <w:t>December 31, 2017</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(1,418,672)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39,182</w:t>
            </w: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2,045,487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17,790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62"/>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3,523,704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1,496,007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(1,418,717)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63,972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80" w:type="dxa"/>
            <w:vAlign w:val="bottom"/>
          </w:tcPr>
          <w:p>
            <w:pPr>
              <w:spacing w:after="0"/>
              <w:rPr>
                <w:sz w:val="12"/>
                <w:szCs w:val="12"/>
                <w:color w:val="auto"/>
              </w:rPr>
            </w:pPr>
          </w:p>
        </w:tc>
        <w:tc>
          <w:tcPr>
            <w:tcW w:w="128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8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(737,731)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6,180</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2,032,017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3,183,185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1,158,194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18,989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firstLine="315"/>
        <w:spacing w:after="0" w:line="290"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94"/>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Less than 30 days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50"/>
              <w:spacing w:after="0" w:line="147" w:lineRule="exact"/>
              <w:rPr>
                <w:sz w:val="20"/>
                <w:szCs w:val="20"/>
                <w:color w:val="auto"/>
              </w:rPr>
            </w:pPr>
            <w:r>
              <w:rPr>
                <w:rFonts w:ascii="Arial" w:cs="Arial" w:eastAsia="Arial" w:hAnsi="Arial"/>
                <w:sz w:val="14"/>
                <w:szCs w:val="14"/>
                <w:b w:val="1"/>
                <w:bCs w:val="1"/>
                <w:color w:val="auto"/>
                <w:w w:val="91"/>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Continuous</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4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ind w:left="40"/>
              <w:spacing w:after="0"/>
              <w:rPr>
                <w:sz w:val="20"/>
                <w:szCs w:val="20"/>
                <w:color w:val="auto"/>
              </w:rPr>
            </w:pPr>
            <w:r>
              <w:rPr>
                <w:rFonts w:ascii="Arial" w:cs="Arial" w:eastAsia="Arial" w:hAnsi="Arial"/>
                <w:sz w:val="14"/>
                <w:szCs w:val="14"/>
                <w:color w:val="auto"/>
              </w:rPr>
              <w:t>Repurchase agreements: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29,760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29,760</w:t>
            </w:r>
          </w:p>
        </w:tc>
        <w:tc>
          <w:tcPr>
            <w:tcW w:w="0" w:type="dxa"/>
            <w:vAlign w:val="bottom"/>
          </w:tcPr>
          <w:p>
            <w:pPr>
              <w:spacing w:after="0"/>
              <w:rPr>
                <w:sz w:val="1"/>
                <w:szCs w:val="1"/>
                <w:color w:val="auto"/>
              </w:rPr>
            </w:pPr>
          </w:p>
        </w:tc>
      </w:tr>
      <w:tr>
        <w:trPr>
          <w:trHeight w:val="248"/>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29,760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279,760</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lending transactions: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788,843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788,843</w:t>
            </w:r>
          </w:p>
        </w:tc>
        <w:tc>
          <w:tcPr>
            <w:tcW w:w="0" w:type="dxa"/>
            <w:vAlign w:val="bottom"/>
          </w:tcPr>
          <w:p>
            <w:pPr>
              <w:spacing w:after="0"/>
              <w:rPr>
                <w:sz w:val="1"/>
                <w:szCs w:val="1"/>
                <w:color w:val="auto"/>
              </w:rPr>
            </w:pPr>
          </w:p>
        </w:tc>
      </w:tr>
      <w:tr>
        <w:trPr>
          <w:trHeight w:val="235"/>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788,843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788,843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left="250"/>
              <w:spacing w:after="0"/>
              <w:rPr>
                <w:sz w:val="20"/>
                <w:szCs w:val="20"/>
                <w:color w:val="auto"/>
              </w:rPr>
            </w:pPr>
            <w:r>
              <w:rPr>
                <w:rFonts w:ascii="Arial" w:cs="Arial" w:eastAsia="Arial" w:hAnsi="Arial"/>
                <w:sz w:val="14"/>
                <w:szCs w:val="14"/>
                <w:b w:val="1"/>
                <w:bCs w:val="1"/>
                <w:color w:val="auto"/>
                <w:w w:val="88"/>
              </w:rPr>
              <w:t>December 31, 2017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94"/>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Less than 30 days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50"/>
              <w:spacing w:after="0" w:line="147" w:lineRule="exact"/>
              <w:rPr>
                <w:sz w:val="20"/>
                <w:szCs w:val="20"/>
                <w:color w:val="auto"/>
              </w:rPr>
            </w:pPr>
            <w:r>
              <w:rPr>
                <w:rFonts w:ascii="Arial" w:cs="Arial" w:eastAsia="Arial" w:hAnsi="Arial"/>
                <w:sz w:val="14"/>
                <w:szCs w:val="14"/>
                <w:b w:val="1"/>
                <w:bCs w:val="1"/>
                <w:color w:val="auto"/>
                <w:w w:val="91"/>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Continuous</w:t>
            </w: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4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ind w:left="40"/>
              <w:spacing w:after="0"/>
              <w:rPr>
                <w:sz w:val="20"/>
                <w:szCs w:val="20"/>
                <w:color w:val="auto"/>
              </w:rPr>
            </w:pPr>
            <w:r>
              <w:rPr>
                <w:rFonts w:ascii="Arial" w:cs="Arial" w:eastAsia="Arial" w:hAnsi="Arial"/>
                <w:sz w:val="14"/>
                <w:szCs w:val="14"/>
                <w:color w:val="auto"/>
              </w:rPr>
              <w:t>Repurchase agreements: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35"/>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lending transactions: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35"/>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 Instruments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June 30, 2018 and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tcPr>
          <w:p>
            <w:pPr>
              <w:spacing w:after="0"/>
              <w:rPr>
                <w:sz w:val="22"/>
                <w:szCs w:val="22"/>
                <w:color w:val="auto"/>
              </w:rPr>
            </w:pPr>
          </w:p>
        </w:tc>
        <w:tc>
          <w:tcPr>
            <w:tcW w:w="36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w w:val="89"/>
              </w:rPr>
              <w:t>Notional</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(5,833)</w:t>
            </w:r>
          </w:p>
        </w:tc>
        <w:tc>
          <w:tcPr>
            <w:tcW w:w="1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1,830,217</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1,985,770</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161,214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14,952,832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21,231,001</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7,786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2,266,166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26,548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3,994,412</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Fixed income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8,457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44,395</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59,868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682,369</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2,738,528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w w:val="97"/>
              </w:rPr>
              <w:t>186,016,409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2,045,487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124,000,221</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Liabilities</w:t>
            </w:r>
          </w:p>
        </w:tc>
        <w:tc>
          <w:tcPr>
            <w:tcW w:w="120" w:type="dxa"/>
            <w:vAlign w:val="bottom"/>
          </w:tcPr>
          <w:p>
            <w:pPr>
              <w:spacing w:after="0"/>
              <w:rPr>
                <w:sz w:val="16"/>
                <w:szCs w:val="16"/>
                <w:color w:val="auto"/>
              </w:rPr>
            </w:pPr>
          </w:p>
        </w:tc>
        <w:tc>
          <w:tcPr>
            <w:tcW w:w="31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8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4,824</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91,663</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142,658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16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160" w:type="dxa"/>
            <w:vAlign w:val="bottom"/>
            <w:vMerge w:val="restart"/>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(265,915)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6,489,029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130,042</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Payables to broker dealers and clearing organizations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1,742,179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7,756,958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16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46"/>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jc w:val="right"/>
              <w:ind w:right="81"/>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tcPr>
          <w:p>
            <w:pPr>
              <w:ind w:left="40"/>
              <w:spacing w:after="0"/>
              <w:rPr>
                <w:sz w:val="20"/>
                <w:szCs w:val="20"/>
                <w:color w:val="auto"/>
              </w:rPr>
            </w:pPr>
            <w:r>
              <w:rPr>
                <w:rFonts w:ascii="Arial" w:cs="Arial" w:eastAsia="Arial" w:hAnsi="Arial"/>
                <w:sz w:val="14"/>
                <w:szCs w:val="14"/>
                <w:color w:val="auto"/>
              </w:rPr>
              <w:t>Fixed income futures</w:t>
            </w:r>
          </w:p>
        </w:tc>
        <w:tc>
          <w:tcPr>
            <w:tcW w:w="3800" w:type="dxa"/>
            <w:vAlign w:val="bottom"/>
            <w:vMerge w:val="restart"/>
          </w:tcPr>
          <w:p>
            <w:pPr>
              <w:ind w:left="120"/>
              <w:spacing w:after="0"/>
              <w:rPr>
                <w:sz w:val="20"/>
                <w:szCs w:val="20"/>
                <w:color w:val="auto"/>
              </w:rPr>
            </w:pPr>
            <w:r>
              <w:rPr>
                <w:rFonts w:ascii="Arial" w:cs="Arial" w:eastAsia="Arial" w:hAnsi="Arial"/>
                <w:sz w:val="14"/>
                <w:szCs w:val="14"/>
                <w:color w:val="auto"/>
              </w:rPr>
              <w:t>Payables to broker dealers and clearing organizations</w:t>
            </w:r>
          </w:p>
        </w:tc>
        <w:tc>
          <w:tcPr>
            <w:tcW w:w="1600" w:type="dxa"/>
            <w:vAlign w:val="bottom"/>
            <w:vMerge w:val="restart"/>
          </w:tcPr>
          <w:p>
            <w:pPr>
              <w:jc w:val="right"/>
              <w:ind w:right="250"/>
              <w:spacing w:after="0"/>
              <w:rPr>
                <w:sz w:val="20"/>
                <w:szCs w:val="20"/>
                <w:color w:val="auto"/>
              </w:rPr>
            </w:pPr>
            <w:r>
              <w:rPr>
                <w:rFonts w:ascii="Arial" w:cs="Arial" w:eastAsia="Arial" w:hAnsi="Arial"/>
                <w:sz w:val="14"/>
                <w:szCs w:val="14"/>
                <w:color w:val="auto"/>
              </w:rPr>
              <w:t>(55)</w:t>
            </w:r>
          </w:p>
        </w:tc>
        <w:tc>
          <w:tcPr>
            <w:tcW w:w="1420" w:type="dxa"/>
            <w:vAlign w:val="bottom"/>
            <w:vMerge w:val="restart"/>
          </w:tcPr>
          <w:p>
            <w:pPr>
              <w:jc w:val="right"/>
              <w:ind w:right="330"/>
              <w:spacing w:after="0"/>
              <w:rPr>
                <w:sz w:val="20"/>
                <w:szCs w:val="20"/>
                <w:color w:val="auto"/>
              </w:rPr>
            </w:pPr>
            <w:r>
              <w:rPr>
                <w:rFonts w:ascii="Arial" w:cs="Arial" w:eastAsia="Arial" w:hAnsi="Arial"/>
                <w:sz w:val="14"/>
                <w:szCs w:val="14"/>
                <w:color w:val="auto"/>
              </w:rPr>
              <w:t>45,646</w:t>
            </w:r>
          </w:p>
        </w:tc>
        <w:tc>
          <w:tcPr>
            <w:tcW w:w="1300" w:type="dxa"/>
            <w:vAlign w:val="bottom"/>
            <w:vMerge w:val="restart"/>
          </w:tcPr>
          <w:p>
            <w:pPr>
              <w:jc w:val="right"/>
              <w:ind w:right="230"/>
              <w:spacing w:after="0"/>
              <w:rPr>
                <w:sz w:val="20"/>
                <w:szCs w:val="20"/>
                <w:color w:val="auto"/>
              </w:rPr>
            </w:pPr>
            <w:r>
              <w:rPr>
                <w:rFonts w:ascii="Arial" w:cs="Arial" w:eastAsia="Arial" w:hAnsi="Arial"/>
                <w:sz w:val="14"/>
                <w:szCs w:val="14"/>
                <w:color w:val="auto"/>
              </w:rPr>
              <w:t>(1)</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1"/>
        </w:trPr>
        <w:tc>
          <w:tcPr>
            <w:tcW w:w="2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60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565</w:t>
            </w:r>
          </w:p>
        </w:tc>
        <w:tc>
          <w:tcPr>
            <w:tcW w:w="1420" w:type="dxa"/>
            <w:vAlign w:val="bottom"/>
            <w:vMerge w:val="restart"/>
            <w:shd w:val="clear" w:color="auto" w:fill="CCEEFF"/>
          </w:tcPr>
          <w:p>
            <w:pPr>
              <w:jc w:val="right"/>
              <w:ind w:right="330"/>
              <w:spacing w:after="0"/>
              <w:rPr>
                <w:sz w:val="20"/>
                <w:szCs w:val="20"/>
                <w:color w:val="auto"/>
              </w:rPr>
            </w:pPr>
            <w:r>
              <w:rPr>
                <w:rFonts w:ascii="Arial" w:cs="Arial" w:eastAsia="Arial" w:hAnsi="Arial"/>
                <w:sz w:val="14"/>
                <w:szCs w:val="14"/>
                <w:color w:val="auto"/>
              </w:rPr>
              <w:t>57,021</w:t>
            </w:r>
          </w:p>
        </w:tc>
        <w:tc>
          <w:tcPr>
            <w:tcW w:w="130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5,839</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681,147</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00" w:type="dxa"/>
            <w:vAlign w:val="bottom"/>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600" w:type="dxa"/>
            <w:vAlign w:val="bottom"/>
            <w:vMerge w:val="restart"/>
          </w:tcPr>
          <w:p>
            <w:pPr>
              <w:jc w:val="right"/>
              <w:ind w:right="290"/>
              <w:spacing w:after="0"/>
              <w:rPr>
                <w:sz w:val="20"/>
                <w:szCs w:val="20"/>
                <w:color w:val="auto"/>
              </w:rPr>
            </w:pPr>
            <w:r>
              <w:rPr>
                <w:rFonts w:ascii="Arial" w:cs="Arial" w:eastAsia="Arial" w:hAnsi="Arial"/>
                <w:sz w:val="14"/>
                <w:szCs w:val="14"/>
                <w:color w:val="auto"/>
              </w:rPr>
              <w:t>2,729,850</w:t>
            </w:r>
          </w:p>
        </w:tc>
        <w:tc>
          <w:tcPr>
            <w:tcW w:w="1420" w:type="dxa"/>
            <w:vAlign w:val="bottom"/>
            <w:vMerge w:val="restart"/>
          </w:tcPr>
          <w:p>
            <w:pPr>
              <w:jc w:val="right"/>
              <w:ind w:right="330"/>
              <w:spacing w:after="0"/>
              <w:rPr>
                <w:sz w:val="20"/>
                <w:szCs w:val="20"/>
                <w:color w:val="auto"/>
              </w:rPr>
            </w:pPr>
            <w:r>
              <w:rPr>
                <w:rFonts w:ascii="Arial" w:cs="Arial" w:eastAsia="Arial" w:hAnsi="Arial"/>
                <w:sz w:val="14"/>
                <w:szCs w:val="14"/>
                <w:color w:val="auto"/>
              </w:rPr>
              <w:t>186,012,070</w:t>
            </w:r>
          </w:p>
        </w:tc>
        <w:tc>
          <w:tcPr>
            <w:tcW w:w="1300" w:type="dxa"/>
            <w:vAlign w:val="bottom"/>
            <w:vMerge w:val="restart"/>
          </w:tcPr>
          <w:p>
            <w:pPr>
              <w:jc w:val="right"/>
              <w:ind w:right="270"/>
              <w:spacing w:after="0"/>
              <w:rPr>
                <w:sz w:val="20"/>
                <w:szCs w:val="20"/>
                <w:color w:val="auto"/>
              </w:rPr>
            </w:pPr>
            <w:r>
              <w:rPr>
                <w:rFonts w:ascii="Arial" w:cs="Arial" w:eastAsia="Arial" w:hAnsi="Arial"/>
                <w:sz w:val="14"/>
                <w:szCs w:val="14"/>
                <w:color w:val="auto"/>
              </w:rPr>
              <w:t>2,032,017</w:t>
            </w: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123,993,234</w:t>
            </w:r>
          </w:p>
        </w:tc>
        <w:tc>
          <w:tcPr>
            <w:tcW w:w="0" w:type="dxa"/>
            <w:vAlign w:val="bottom"/>
          </w:tcPr>
          <w:p>
            <w:pPr>
              <w:spacing w:after="0"/>
              <w:rPr>
                <w:sz w:val="1"/>
                <w:szCs w:val="1"/>
                <w:color w:val="auto"/>
              </w:rPr>
            </w:pPr>
          </w:p>
        </w:tc>
      </w:tr>
      <w:tr>
        <w:trPr>
          <w:trHeight w:val="71"/>
        </w:trPr>
        <w:tc>
          <w:tcPr>
            <w:tcW w:w="2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40"/>
              <w:spacing w:after="0" w:line="148" w:lineRule="exact"/>
              <w:rPr>
                <w:sz w:val="20"/>
                <w:szCs w:val="20"/>
                <w:color w:val="auto"/>
              </w:rPr>
            </w:pPr>
            <w:r>
              <w:rPr>
                <w:rFonts w:ascii="Arial" w:cs="Arial" w:eastAsia="Arial" w:hAnsi="Arial"/>
                <w:sz w:val="14"/>
                <w:szCs w:val="14"/>
                <w:b w:val="1"/>
                <w:bCs w:val="1"/>
                <w:color w:val="auto"/>
                <w:w w:val="93"/>
              </w:rPr>
              <w:t>Derivative instruments designated</w:t>
            </w: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forwards</w:t>
            </w: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Financial instruments sold, not yet purchased</w:t>
            </w:r>
          </w:p>
        </w:tc>
        <w:tc>
          <w:tcPr>
            <w:tcW w:w="1600" w:type="dxa"/>
            <w:vAlign w:val="bottom"/>
            <w:vMerge w:val="restart"/>
            <w:shd w:val="clear" w:color="auto" w:fill="CCEEFF"/>
          </w:tcPr>
          <w:p>
            <w:pPr>
              <w:jc w:val="right"/>
              <w:ind w:right="290"/>
              <w:spacing w:after="0"/>
              <w:rPr>
                <w:sz w:val="20"/>
                <w:szCs w:val="20"/>
                <w:color w:val="auto"/>
              </w:rPr>
            </w:pPr>
            <w:r>
              <w:rPr>
                <w:rFonts w:ascii="Arial" w:cs="Arial" w:eastAsia="Arial" w:hAnsi="Arial"/>
                <w:sz w:val="14"/>
                <w:szCs w:val="14"/>
                <w:color w:val="auto"/>
              </w:rPr>
              <w:t>6</w:t>
            </w:r>
          </w:p>
        </w:tc>
        <w:tc>
          <w:tcPr>
            <w:tcW w:w="1420" w:type="dxa"/>
            <w:vAlign w:val="bottom"/>
            <w:vMerge w:val="restart"/>
            <w:shd w:val="clear" w:color="auto" w:fill="CCEEFF"/>
          </w:tcPr>
          <w:p>
            <w:pPr>
              <w:jc w:val="right"/>
              <w:ind w:right="330"/>
              <w:spacing w:after="0"/>
              <w:rPr>
                <w:sz w:val="20"/>
                <w:szCs w:val="20"/>
                <w:color w:val="auto"/>
              </w:rPr>
            </w:pPr>
            <w:r>
              <w:rPr>
                <w:rFonts w:ascii="Arial" w:cs="Arial" w:eastAsia="Arial" w:hAnsi="Arial"/>
                <w:sz w:val="14"/>
                <w:szCs w:val="14"/>
                <w:color w:val="auto"/>
              </w:rPr>
              <w:t>13,994</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4"/>
                <w:szCs w:val="14"/>
                <w:color w:val="auto"/>
              </w:rPr>
              <w:t>(514)</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16,115</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3800" w:type="dxa"/>
            <w:vAlign w:val="bottom"/>
            <w:vMerge w:val="continue"/>
            <w:shd w:val="clear" w:color="auto" w:fill="CCEEFF"/>
          </w:tcPr>
          <w:p>
            <w:pPr>
              <w:spacing w:after="0"/>
              <w:rPr>
                <w:sz w:val="6"/>
                <w:szCs w:val="6"/>
                <w:color w:val="auto"/>
              </w:rPr>
            </w:pPr>
          </w:p>
        </w:tc>
        <w:tc>
          <w:tcPr>
            <w:tcW w:w="160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w:t>
      </w:r>
    </w:p>
    <w:p>
      <w:pPr>
        <w:spacing w:after="0" w:line="158" w:lineRule="exact"/>
        <w:rPr>
          <w:sz w:val="20"/>
          <w:szCs w:val="20"/>
          <w:color w:val="auto"/>
        </w:rPr>
      </w:pPr>
    </w:p>
    <w:p>
      <w:pPr>
        <w:ind w:firstLine="315"/>
        <w:spacing w:after="0" w:line="298" w:lineRule="auto"/>
        <w:rPr>
          <w:sz w:val="20"/>
          <w:szCs w:val="20"/>
          <w:color w:val="auto"/>
        </w:rPr>
      </w:pPr>
      <w:r>
        <w:rPr>
          <w:rFonts w:ascii="Arial" w:cs="Arial" w:eastAsia="Arial" w:hAnsi="Arial"/>
          <w:sz w:val="16"/>
          <w:szCs w:val="16"/>
          <w:color w:val="auto"/>
        </w:rPr>
        <w:t>The following table summarizes the net gain from derivative instruments not designated as hedging instruments under ASC 815, which are recorded in trading income, net, and from those designated as hedging instrument under ASC 815, which are recorded in accumulated other comprehensive income in the accompanying condensed consolidated statements of comprehensive income for the three and six months ended June 30,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56"/>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6"/>
        </w:trPr>
        <w:tc>
          <w:tcPr>
            <w:tcW w:w="3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 designated as hedging</w:t>
            </w: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Futures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49,188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214,777</w:t>
            </w:r>
          </w:p>
        </w:tc>
        <w:tc>
          <w:tcPr>
            <w:tcW w:w="0" w:type="dxa"/>
            <w:vAlign w:val="bottom"/>
          </w:tcPr>
          <w:p>
            <w:pPr>
              <w:spacing w:after="0"/>
              <w:rPr>
                <w:sz w:val="1"/>
                <w:szCs w:val="1"/>
                <w:color w:val="auto"/>
              </w:rPr>
            </w:pPr>
          </w:p>
        </w:tc>
      </w:tr>
      <w:tr>
        <w:trPr>
          <w:trHeight w:val="257"/>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110,828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45,565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196,588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(5,816)</w:t>
            </w:r>
          </w:p>
        </w:tc>
        <w:tc>
          <w:tcPr>
            <w:tcW w:w="0" w:type="dxa"/>
            <w:vAlign w:val="bottom"/>
          </w:tcPr>
          <w:p>
            <w:pPr>
              <w:spacing w:after="0"/>
              <w:rPr>
                <w:sz w:val="1"/>
                <w:szCs w:val="1"/>
                <w:color w:val="auto"/>
              </w:rPr>
            </w:pPr>
          </w:p>
        </w:tc>
      </w:tr>
      <w:tr>
        <w:trPr>
          <w:trHeight w:val="262"/>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(9,837)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107,900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94,751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(241,654)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208,960</w:t>
            </w:r>
          </w:p>
        </w:tc>
        <w:tc>
          <w:tcPr>
            <w:tcW w:w="0" w:type="dxa"/>
            <w:vAlign w:val="bottom"/>
          </w:tcPr>
          <w:p>
            <w:pPr>
              <w:spacing w:after="0"/>
              <w:rPr>
                <w:sz w:val="1"/>
                <w:szCs w:val="1"/>
                <w:color w:val="auto"/>
              </w:rPr>
            </w:pPr>
          </w:p>
        </w:tc>
      </w:tr>
      <w:tr>
        <w:trPr>
          <w:trHeight w:val="247"/>
        </w:trPr>
        <w:tc>
          <w:tcPr>
            <w:tcW w:w="3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Derivative instruments designated as hedging instruments:</w:t>
            </w: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exchange - forward contract</w:t>
            </w:r>
          </w:p>
        </w:tc>
        <w:tc>
          <w:tcPr>
            <w:tcW w:w="34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3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40" w:type="dxa"/>
            <w:vAlign w:val="bottom"/>
            <w:gridSpan w:val="2"/>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8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w:t>
      </w:r>
    </w:p>
    <w:p>
      <w:pPr>
        <w:spacing w:after="0" w:line="14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new revenue guidance does not apply to revenue associated with financial instruments, including loans and securities that are accounted for under other U.S. GAAP, and as a result, did not have an impact on the elements of the Company’s condensed consolidated statement of comprehensive income most closely associated with financial instruments, including trading income, net and interest and dividend income. The new standard primarily impacts the presentation of the following revenue streams:</w:t>
      </w:r>
    </w:p>
    <w:p>
      <w:pPr>
        <w:spacing w:after="0" w:line="137" w:lineRule="exact"/>
        <w:rPr>
          <w:sz w:val="20"/>
          <w:szCs w:val="20"/>
          <w:color w:val="auto"/>
        </w:rPr>
      </w:pPr>
    </w:p>
    <w:p>
      <w:pPr>
        <w:ind w:left="640" w:right="140" w:hanging="320"/>
        <w:spacing w:after="0" w:line="26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Commissions, net. The Company earns commission revenue by acting as an agent on behalf of customers. The Company’s performance obligations 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condensed consolidated statements of comprehensive income.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640" w:hanging="320"/>
        <w:spacing w:after="0" w:line="300" w:lineRule="auto"/>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Technology services. The Company’s 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 dealers and clearing organizations.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24"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The following tables present the Company’s revenue from contracts with customers disaggregated by the services described above, by timing of revenue recognition, reconciled to the Company’s reportable segments, as well as disaggregation of the Company’s revenues by services and geographic region, for the three and six months ended June 30, 2018:</w:t>
      </w:r>
    </w:p>
    <w:p>
      <w:pPr>
        <w:spacing w:after="0" w:line="344" w:lineRule="exact"/>
        <w:rPr>
          <w:sz w:val="20"/>
          <w:szCs w:val="20"/>
          <w:color w:val="auto"/>
        </w:rPr>
      </w:pPr>
    </w:p>
    <w:tbl>
      <w:tblPr>
        <w:tblLayout w:type="fixed"/>
        <w:tblInd w:w="680" w:type="dxa"/>
        <w:tblCellMar>
          <w:top w:w="0" w:type="dxa"/>
          <w:left w:w="0" w:type="dxa"/>
          <w:bottom w:w="0" w:type="dxa"/>
          <w:right w:w="0" w:type="dxa"/>
        </w:tblCellMar>
      </w:tblPr>
      <w:tr>
        <w:trPr>
          <w:trHeight w:val="199"/>
        </w:trPr>
        <w:tc>
          <w:tcPr>
            <w:tcW w:w="4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 2018</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 with Customers: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6,798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37,447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44,245</w:t>
            </w:r>
          </w:p>
        </w:tc>
      </w:tr>
      <w:tr>
        <w:trPr>
          <w:trHeight w:val="257"/>
        </w:trPr>
        <w:tc>
          <w:tcPr>
            <w:tcW w:w="4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Technology services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2,320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2,320</w:t>
            </w:r>
          </w:p>
        </w:tc>
      </w:tr>
      <w:tr>
        <w:trPr>
          <w:trHeight w:val="24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revenue from contract with customers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6,798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39,767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46,565</w:t>
            </w:r>
          </w:p>
        </w:tc>
      </w:tr>
      <w:tr>
        <w:trPr>
          <w:trHeight w:val="31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280,897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281,561</w:t>
            </w:r>
          </w:p>
        </w:tc>
      </w:tr>
      <w:tr>
        <w:trPr>
          <w:trHeight w:val="315"/>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4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287,695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40,774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328,126</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287,695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38,454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325,806</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2,320</w:t>
            </w:r>
          </w:p>
        </w:tc>
      </w:tr>
      <w:tr>
        <w:trPr>
          <w:trHeight w:val="235"/>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287,695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40,774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328,126</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680" w:type="dxa"/>
        <w:tblCellMar>
          <w:top w:w="0" w:type="dxa"/>
          <w:left w:w="0" w:type="dxa"/>
          <w:bottom w:w="0" w:type="dxa"/>
          <w:right w:w="0" w:type="dxa"/>
        </w:tblCellMar>
      </w:tblPr>
      <w:tr>
        <w:trPr>
          <w:trHeight w:val="199"/>
        </w:trPr>
        <w:tc>
          <w:tcPr>
            <w:tcW w:w="4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Six Months Ended June 30, 2018</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 from contract with Customers: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15,299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80,454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95,753</w:t>
            </w:r>
          </w:p>
        </w:tc>
      </w:tr>
      <w:tr>
        <w:trPr>
          <w:trHeight w:val="257"/>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Technology services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4,656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4,656</w:t>
            </w:r>
          </w:p>
        </w:tc>
      </w:tr>
      <w:tr>
        <w:trPr>
          <w:trHeight w:val="24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 from contract with customers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15,299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85,110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100,409</w:t>
            </w:r>
          </w:p>
        </w:tc>
      </w:tr>
      <w:tr>
        <w:trPr>
          <w:trHeight w:val="31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704,932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339,443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1,042,770</w:t>
            </w:r>
          </w:p>
        </w:tc>
      </w:tr>
      <w:tr>
        <w:trPr>
          <w:trHeight w:val="315"/>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720,231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424,553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1,143,179</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720,231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419,897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1,138,523</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4,656</w:t>
            </w:r>
          </w:p>
        </w:tc>
      </w:tr>
      <w:tr>
        <w:trPr>
          <w:trHeight w:val="235"/>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720,231</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424,553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1,143,179</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7" w:right="319" w:bottom="1440" w:gutter="0" w:footer="0" w:header="0"/>
        </w:sectPr>
      </w:pP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40"/>
          </w:cols>
          <w:pgMar w:left="240" w:top="127" w:right="319" w:bottom="1440" w:gutter="0" w:footer="0" w:header="0"/>
          <w:type w:val="continuous"/>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on Remaining Performance Obligations and Revenue Recognized</w:t>
      </w:r>
    </w:p>
    <w:p>
      <w:pPr>
        <w:spacing w:after="0" w:line="185"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As of June 30, 2018, the aggregate amount of the transaction price allocated to the performance obligations relating to Technology Services revenues that are unsatisfied (or partially unsatisfied) was not material.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185"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We had receivables related to revenues from contracts with customers of $3.9 million and $7.1 million as of June 30, 2018 and December 31, 2017, respectively.</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30" w:lineRule="exact"/>
        <w:rPr>
          <w:sz w:val="20"/>
          <w:szCs w:val="20"/>
          <w:color w:val="auto"/>
        </w:rPr>
      </w:pPr>
    </w:p>
    <w:p>
      <w:pPr>
        <w:ind w:right="20" w:firstLine="315"/>
        <w:spacing w:after="0" w:line="303" w:lineRule="auto"/>
        <w:rPr>
          <w:sz w:val="20"/>
          <w:szCs w:val="20"/>
          <w:color w:val="auto"/>
        </w:rPr>
      </w:pPr>
      <w:r>
        <w:rPr>
          <w:rFonts w:ascii="Arial" w:cs="Arial" w:eastAsia="Arial" w:hAnsi="Arial"/>
          <w:sz w:val="15"/>
          <w:szCs w:val="15"/>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six months ended June 30, 2018 and 2017,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income taxes and effective tax rates were $3.0 million and 6.0%, and $0.8 million and 15.0% for the three months ended June 30, 2018 and 2017, respectively, and $61.5 million and 13.1%, and $3.6 million and 12.3% for the six months ended June 30, 2018 and 2017, respectively. Income tax expense is also affected by the differing effective tax rates in foreign, state and local jurisdictions where certain of the Company’s subsidiaries are subject to corporate taxation.</w:t>
      </w:r>
    </w:p>
    <w:p>
      <w:pPr>
        <w:spacing w:after="0" w:line="116"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Included in Other assets on the condensed consolidated statements of financial condition at June 30, 2018 and December 31, 2017 are current income tax receivables of $40.9 million and $115.2 million, respectively. The balance at June 30, 2018 primarily comprises income taxes due to the Company from federal, state and local, and foreign tax jurisdictions based on income before taxes, and the balance at December 31, 2017 primarily comprises the income tax benefit of KCG net operating losses that were generated prior to the Acquisition and are eligible to be carried back by the Company. Included in Accounts payable and accrued expenses and other liabilities on the condensed consolidated statements of financial condition at June 30, 2018 and December 31, 2017 are current tax liabilities of $8.3 million and $7.6 million, respectively. The balances primarily comprise income taxes owed to federal, state and local, and foreign tax jurisdictions based on income before taxes.</w:t>
      </w:r>
    </w:p>
    <w:p>
      <w:pPr>
        <w:spacing w:after="0" w:line="312" w:lineRule="exact"/>
        <w:rPr>
          <w:sz w:val="20"/>
          <w:szCs w:val="20"/>
          <w:color w:val="auto"/>
        </w:rPr>
      </w:pPr>
    </w:p>
    <w:p>
      <w:pPr>
        <w:jc w:val="both"/>
        <w:ind w:firstLine="630"/>
        <w:spacing w:after="0" w:line="326"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(Note 6 "Tax Receivable Agreements") and the Acquisition of KCG (Note 3 "Acquisition of KCG Holdings, Inc."), differences in the valuation of financial assets and liabilities, and other temporary differences arising from the deductibility of compensation and depreciation expenses in different time periods for book and income tax return purposes.</w:t>
      </w:r>
    </w:p>
    <w:p>
      <w:pPr>
        <w:spacing w:after="0" w:line="268"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color w:val="auto"/>
        </w:rPr>
        <w:t>There are no expiration dates on the deferred tax assets. The Company’s deferred tax asset at June 30, 2018 and December 31, 2017 includes an alternative minimum tax credit carryforward of $0.6 million and $0.6 million, respectively, which can be either refunded over a period of years or applied against future income tax liability pursuant to the 2017 Tax Act.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June 30, 2018 and December 31, 2017 of $231.8 million and $231.8 million, respectively, and has recorded a related deferred tax asset of $43.5 million and $43.5 million, respectively. A full valuation allowance was also recorded against this deferred tax asset at June 30, 2018 and December 31, 2017 as it is more likely than not that this deferred tax asset will not be realized. No valuation allowance against the remaining deferred taxes was recorded as of June 30, 2018 and December 31, 2017 because it is more likely than not that these deferred tax assets will be fully realized.</w:t>
      </w:r>
    </w:p>
    <w:p>
      <w:pPr>
        <w:spacing w:after="0" w:line="302" w:lineRule="exact"/>
        <w:rPr>
          <w:sz w:val="20"/>
          <w:szCs w:val="20"/>
          <w:color w:val="auto"/>
        </w:rPr>
      </w:pPr>
    </w:p>
    <w:p>
      <w:pPr>
        <w:ind w:right="80" w:firstLine="630"/>
        <w:spacing w:after="0" w:line="290" w:lineRule="auto"/>
        <w:rPr>
          <w:sz w:val="20"/>
          <w:szCs w:val="20"/>
          <w:color w:val="auto"/>
        </w:rPr>
      </w:pPr>
      <w:r>
        <w:rPr>
          <w:rFonts w:ascii="Arial" w:cs="Arial" w:eastAsia="Arial" w:hAnsi="Arial"/>
          <w:sz w:val="17"/>
          <w:szCs w:val="17"/>
          <w:color w:val="auto"/>
        </w:rPr>
        <w:t>The Company is subject to taxation in U.S. federal, state, local and foreign jurisdictions. As of June 30, 2018, the Company’s tax years for 2013 through 2017 and 2010 through 2017 are subject to examination by U.S. and non-U.S. tax</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127" w:right="27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authorities, respectively. As a result of the Acquisition of KCG, the Company has assumed any KCG tax exposures. KCG is currently subject to U.S. federal income tax examinations for 2013 through 2017, and to non-U.S. income tax examinations for the tax years 2007 through 2017. In addition, the Company is subject to state and local income tax examinations in various jurisdictions for the tax years 2007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312"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color w:val="auto"/>
        </w:rPr>
        <w:t>The 2017 Tax Act was signed into law on December 22, 2017 and significantly revises the U.S. corporate income tax by, among other things, lowering the statutory corporate tax rate from 35% to 21%, and eliminating certain deductions. The Company has not completed its determination of the accounting implications of the 2017 Tax Act on its tax accruals. However, the Company has reasonably estimated the effects of the 2017 Tax Act and recorded provisional amounts in our financial statements as of December 31, 2017. The Company recorded a provisional deferred tax expense for the impact of the 2017 Tax Act of approximately $90.6 million, which is primarily composed of the remeasurement of federal net deferred tax assets as a result of the permanent reduction in the U.S. statutory corporate tax rate from 35% to 21%. During the first quarter of 2018, the Company did not make any adjustments due to the 2017 Tax Act. The Company expects to complete its analysis of the 2017 Tax Act by the third quarter of 2018, which is within the one-year measurement period prescribed by SEC Staff Accounting Bulletin No. 118. As the Company completes its analysis, collects and prepares necessary data, and interprets any additional guidance issued by the U.S. Treasury Department, the IRS, and other standard-setting bodies, it may make adjustments to the provisional amounts. Those adjustments may materially impact the Company’s provision for income taxes in the period in which the adjustments are made.</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60"/>
          </w:cols>
          <w:pgMar w:left="240" w:top="127" w:right="29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Contingencies and Guarantees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4" w:lineRule="exact"/>
        <w:rPr>
          <w:sz w:val="20"/>
          <w:szCs w:val="20"/>
          <w:color w:val="auto"/>
        </w:rPr>
      </w:pPr>
    </w:p>
    <w:p>
      <w:pPr>
        <w:ind w:right="140" w:firstLine="315"/>
        <w:spacing w:after="0" w:line="278"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for potential claims, including securities actions, against the Company and its respective directors and officers.</w:t>
      </w:r>
    </w:p>
    <w:p>
      <w:pPr>
        <w:spacing w:after="0" w:line="176" w:lineRule="exact"/>
        <w:rPr>
          <w:sz w:val="20"/>
          <w:szCs w:val="20"/>
          <w:color w:val="auto"/>
        </w:rPr>
      </w:pPr>
    </w:p>
    <w:p>
      <w:pPr>
        <w:ind w:right="140" w:firstLine="315"/>
        <w:spacing w:after="0" w:line="263" w:lineRule="auto"/>
        <w:rPr>
          <w:sz w:val="20"/>
          <w:szCs w:val="20"/>
          <w:color w:val="auto"/>
        </w:rPr>
      </w:pPr>
      <w:r>
        <w:rPr>
          <w:rFonts w:ascii="Arial" w:cs="Arial" w:eastAsia="Arial" w:hAnsi="Arial"/>
          <w:sz w:val="17"/>
          <w:szCs w:val="17"/>
          <w:color w:val="auto"/>
        </w:rPr>
        <w:t xml:space="preserve">In connection with the Acquisition of KCG, a previously filed complaint, which was initially captioned </w:t>
      </w:r>
      <w:r>
        <w:rPr>
          <w:rFonts w:ascii="Arial" w:cs="Arial" w:eastAsia="Arial" w:hAnsi="Arial"/>
          <w:sz w:val="17"/>
          <w:szCs w:val="17"/>
          <w:i w:val="1"/>
          <w:iCs w:val="1"/>
          <w:color w:val="auto"/>
        </w:rPr>
        <w:t>Greenway v. KCG Holdings, Inc., et al., Case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2017-421-JTL </w:t>
      </w:r>
      <w:r>
        <w:rPr>
          <w:rFonts w:ascii="Arial" w:cs="Arial" w:eastAsia="Arial" w:hAnsi="Arial"/>
          <w:sz w:val="17"/>
          <w:szCs w:val="17"/>
          <w:color w:val="auto"/>
        </w:rPr>
        <w:t>and filed on behalf of a putative class in Delaware Chancery Court, was recaptioned</w:t>
      </w:r>
      <w:r>
        <w:rPr>
          <w:rFonts w:ascii="Arial" w:cs="Arial" w:eastAsia="Arial" w:hAnsi="Arial"/>
          <w:sz w:val="17"/>
          <w:szCs w:val="17"/>
          <w:i w:val="1"/>
          <w:iCs w:val="1"/>
          <w:color w:val="auto"/>
        </w:rPr>
        <w:t xml:space="preserve"> Chester County Employees’ Retirement Fund v. KCG Holdings, Inc., et al.</w:t>
      </w:r>
      <w:r>
        <w:rPr>
          <w:rFonts w:ascii="Arial" w:cs="Arial" w:eastAsia="Arial" w:hAnsi="Arial"/>
          <w:sz w:val="17"/>
          <w:szCs w:val="17"/>
          <w:color w:val="auto"/>
        </w:rPr>
        <w:t>, amended and refiled on February 14, 2018 to include claims for the alleged breach of fiduciary duties against former KCG board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claims against each of Virtu and Jefferies for allegedly aiding and abetting the KCG board members’ alleged breaches of fiduciary duty and a claim against Virtu and Jefferies for alleged civil conspiracy. The amended complaint was again amended on July 16, 2018 with the filing of the Verified Second Amended Class Action Complaint (the “Second Amended Complaint”) to include additional factual allegations. No amount of damages is stated in the Second Amended Complaint, against which Virtu intends to defend vigorously.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24" w:lineRule="exact"/>
        <w:rPr>
          <w:sz w:val="20"/>
          <w:szCs w:val="20"/>
          <w:color w:val="auto"/>
        </w:rPr>
      </w:pPr>
    </w:p>
    <w:p>
      <w:pPr>
        <w:ind w:firstLine="315"/>
        <w:spacing w:after="0" w:line="260" w:lineRule="auto"/>
        <w:rPr>
          <w:sz w:val="20"/>
          <w:szCs w:val="20"/>
          <w:color w:val="auto"/>
        </w:rPr>
      </w:pPr>
      <w:r>
        <w:rPr>
          <w:rFonts w:ascii="Arial" w:cs="Arial" w:eastAsia="Arial" w:hAnsi="Arial"/>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The Company has received information requests from various authorities, including the SEC, requesting, among other items, information regarding these market structure matters, to which the Company has responded or is in the process of responding.</w:t>
      </w:r>
    </w:p>
    <w:p>
      <w:pPr>
        <w:spacing w:after="0" w:line="187"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Company is currently the subject of various regulatory reviews and investigations by federal, state and foreign regulators and SROs, including the SEC and the Financial Industry Regulatory Authority. In some instances, these matters may rise to a disciplinary action and/or a civil or administrative action. For example,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The Company has fully reserved for the monetary penalty as of June 30, 2018 and anticipates paying the fine during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8"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Capital Structure</w:t>
      </w:r>
    </w:p>
    <w:p>
      <w:pPr>
        <w:spacing w:after="0" w:line="230"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For details related to the Company's IPO and Reorganization Transactions and other public offerings, refer to Note 15 "Capital Structure" in the Company's 2017 Form 10-K.</w:t>
      </w:r>
    </w:p>
    <w:p>
      <w:pPr>
        <w:spacing w:after="0" w:line="177" w:lineRule="exact"/>
        <w:rPr>
          <w:sz w:val="20"/>
          <w:szCs w:val="20"/>
          <w:color w:val="auto"/>
        </w:rPr>
      </w:pPr>
    </w:p>
    <w:p>
      <w:pPr>
        <w:ind w:right="100" w:firstLine="315"/>
        <w:spacing w:after="0" w:line="309" w:lineRule="auto"/>
        <w:rPr>
          <w:sz w:val="20"/>
          <w:szCs w:val="20"/>
          <w:color w:val="auto"/>
        </w:rPr>
      </w:pPr>
      <w:r>
        <w:rPr>
          <w:rFonts w:ascii="Arial" w:cs="Arial" w:eastAsia="Arial" w:hAnsi="Arial"/>
          <w:sz w:val="15"/>
          <w:szCs w:val="15"/>
          <w:color w:val="auto"/>
        </w:rPr>
        <w:t>During the period prior to the Reorganization Transactions and IPO, Class A-2 profits interests and Class B interests were issued to Employee Holdco (as defined below) on behalf of certain key employees and stakeholders. In connection with the Reorganization Transactions, all Class A-2 profits interests and Class B interests were reclassified into non-voting common interest units. As of June 30, 2018 and December 31, 2017, respectively, there were 9,342,136 and 12,301,067 non-voting common interest units outstanding, respectively, and 2,958,931 and 1,036,816 non-voting common interest units and corresponding Class C common stock were exchanged into Class A common stock, forfeited or repurchased during the six months ended June 30, 2018 and 2017,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85"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of KCG, the Company issued 6,346,155 shares of the Company’s Class A common stock to Aranda for an aggregate purchase price of approximately $99.0 million and 39,725,979 shares of the Company Class A Common Stock to NIH for an aggregate purchase price of approximately $613.5 million. On August 10, 2017, the Company issued an additional 1,666,666 shares of its Class A Common Stock for an aggregate purchase price of $26.0 million and an additional 338,124 shares of its Class A Common Stock for an aggregate purchase price of $5.2 million. See Note 3 "Acquisition of KCG Holdings, Inc."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In February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June 30, 2018, the Company had repurchased 1,378,764 shares of its Class A common stock at an average price of $29.39 per share, or $40.5 million.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200" w:firstLine="315"/>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its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its Class A common stock in the offering, the net proceeds of which were used to purchase an equivalent number of common interest units in Virtu Financial LLC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24" w:lineRule="exact"/>
        <w:rPr>
          <w:sz w:val="20"/>
          <w:szCs w:val="20"/>
          <w:color w:val="auto"/>
        </w:rPr>
      </w:pPr>
    </w:p>
    <w:p>
      <w:pPr>
        <w:ind w:right="160" w:firstLine="315"/>
        <w:spacing w:after="0" w:line="298" w:lineRule="auto"/>
        <w:rPr>
          <w:sz w:val="20"/>
          <w:szCs w:val="20"/>
          <w:color w:val="auto"/>
        </w:rPr>
      </w:pPr>
      <w:r>
        <w:rPr>
          <w:rFonts w:ascii="Arial" w:cs="Arial" w:eastAsia="Arial" w:hAnsi="Arial"/>
          <w:sz w:val="16"/>
          <w:szCs w:val="16"/>
          <w:color w:val="auto"/>
        </w:rPr>
        <w:t>During the six months ended June 30, 2018 and 2017, respectively, pursuant to the exchange agreement by and among the Company, Virtu Financial and holders of Virtu Financial common units, certain current and former employees elected to exchange 3,508,217 and 991,306 units, in Virtu Financial held directly or on their behalf by Virtu Employee Holdco LLC (“Employee Holdco”) on a one-for-one basis for shares of Class A common stock.</w:t>
      </w:r>
    </w:p>
    <w:p>
      <w:pPr>
        <w:spacing w:after="0" w:line="155" w:lineRule="exact"/>
        <w:rPr>
          <w:sz w:val="20"/>
          <w:szCs w:val="20"/>
          <w:color w:val="auto"/>
        </w:rPr>
      </w:pPr>
    </w:p>
    <w:p>
      <w:pPr>
        <w:ind w:right="800" w:firstLine="315"/>
        <w:spacing w:after="0" w:line="290"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the Company holds approximately 56.6% interest in Virtu Financial at June 30, 2018.</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Share-based Compensation</w:t>
      </w:r>
    </w:p>
    <w:p>
      <w:pPr>
        <w:spacing w:after="0" w:line="230" w:lineRule="exact"/>
        <w:rPr>
          <w:sz w:val="20"/>
          <w:szCs w:val="20"/>
          <w:color w:val="auto"/>
        </w:rPr>
      </w:pPr>
    </w:p>
    <w:p>
      <w:pPr>
        <w:ind w:right="360" w:firstLine="354"/>
        <w:spacing w:after="0" w:line="274" w:lineRule="auto"/>
        <w:rPr>
          <w:sz w:val="20"/>
          <w:szCs w:val="20"/>
          <w:color w:val="auto"/>
        </w:rPr>
      </w:pPr>
      <w:r>
        <w:rPr>
          <w:rFonts w:ascii="Arial" w:cs="Arial" w:eastAsia="Arial" w:hAnsi="Arial"/>
          <w:sz w:val="17"/>
          <w:szCs w:val="17"/>
          <w:color w:val="auto"/>
        </w:rPr>
        <w:t>Pursuant to 2015 Management Incentive Plan as described in Note 16 "Capital Structure", and in connection with the IPO, non-qualified stock options to purchase shares of Class A common stock were granted, each of which vests in equal annual installments over a period of the four years from grant date and expires not later than 10 years from the date of grant.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stock options for the six months ended June 30,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Options Outstanding</w:t>
            </w: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0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Remaining Contractual</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Exercise Price Per Share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8,234,000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June 30, 2017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7,969,000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3,984,500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7,783,000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(4,049,058)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(4,049,058)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June 30, 2018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3,650,192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1,779,442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0"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color w:val="auto"/>
        </w:rPr>
        <w:t>The Company recognized $1.5 million and $1.4 million for the three months ended June 30, 2018, and 2017, respectively, and $2.9 million and $2.8 million for the six months ended June 30, 2018, and 2017, respectively, of compensation expense in relation to the stock options issued and outstanding. As of June 30, 2018 and December 31, 2017, total unrecognized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based compensation expense related to unvested stock options was $4.5 million and $7.5 million, respectively, and these amounts are to be recognized over a weighted average period of 1.1 and 1.3 years,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and Restricted Stock Units</w:t>
      </w:r>
    </w:p>
    <w:p>
      <w:pPr>
        <w:spacing w:after="0" w:line="224" w:lineRule="exact"/>
        <w:rPr>
          <w:sz w:val="20"/>
          <w:szCs w:val="20"/>
          <w:color w:val="auto"/>
        </w:rPr>
      </w:pPr>
    </w:p>
    <w:p>
      <w:pPr>
        <w:ind w:right="40" w:firstLine="315"/>
        <w:spacing w:after="0" w:line="280" w:lineRule="auto"/>
        <w:rPr>
          <w:sz w:val="20"/>
          <w:szCs w:val="20"/>
          <w:color w:val="auto"/>
        </w:rPr>
      </w:pPr>
      <w:r>
        <w:rPr>
          <w:rFonts w:ascii="Arial" w:cs="Arial" w:eastAsia="Arial" w:hAnsi="Arial"/>
          <w:sz w:val="16"/>
          <w:szCs w:val="16"/>
          <w:color w:val="auto"/>
        </w:rPr>
        <w:t>Pursuant to the 2015 Management Incentive Plan as described in Note 16 "Capital Structure", subsequent to the IPO, shares of immediately vested Class A common stock and restricted stock units were granted, the latter which vest over a period of up to 4 years. The fair value of the Class A common stock and RSUs was determined based on a volume weighted average price and is being recognized on a straight line basis over the vesting period. For the three and six months ended June 30, 2018, there were 594,536 shares of immediately vested Class A common stock granted as part of 2017 year-end compensation, with a fair value of $11.3 million which was recorded as an increase to the condensed consolidated statements of changes in equity. In addition, the Company accrued compensation expense of $0.8 million and $4.7 million for the three months ended June 30, 2018 and 2017, respectively, and $4.7 million and $9.4 million for the six months ended June 30, 2018 and 2017, respectively, related to immediately vested Class A common stock expected to be awarded as part of year-end incentive compensation, which was included in employee compensation and payroll taxes on the condensed consolidated statements of comprehensive income and accounts payable and accrued expenses and other liabilities on the condensed consolidated statements of financial condition.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the RSUs: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7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1"/>
              </w:rPr>
              <w:t>Average Fair Value</w:t>
            </w:r>
          </w:p>
        </w:tc>
        <w:tc>
          <w:tcPr>
            <w:tcW w:w="0" w:type="dxa"/>
            <w:vAlign w:val="bottom"/>
          </w:tcPr>
          <w:p>
            <w:pPr>
              <w:spacing w:after="0"/>
              <w:rPr>
                <w:sz w:val="1"/>
                <w:szCs w:val="1"/>
                <w:color w:val="auto"/>
              </w:rPr>
            </w:pPr>
          </w:p>
        </w:tc>
      </w:tr>
      <w:tr>
        <w:trPr>
          <w:trHeight w:val="24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June 30, 2017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1,405,299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853,047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1,070,917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June 30, 2018</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1,796,471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15"/>
        <w:spacing w:after="0" w:line="268" w:lineRule="auto"/>
        <w:rPr>
          <w:sz w:val="20"/>
          <w:szCs w:val="20"/>
          <w:color w:val="auto"/>
        </w:rPr>
      </w:pPr>
      <w:r>
        <w:rPr>
          <w:rFonts w:ascii="Arial" w:cs="Arial" w:eastAsia="Arial" w:hAnsi="Arial"/>
          <w:sz w:val="17"/>
          <w:szCs w:val="17"/>
          <w:color w:val="auto"/>
        </w:rPr>
        <w:t>The Company recognized $4.5 million and $2.3 million for the three months ended June 30, 2018 and 2017, respectively, and $8.4 million and $5.0 million for the six months ended June 30, 2018 and 2017, respectively, of compensation expense in relation to the restricted stock units. As of June 30, 2018 and December 31, 2017, total unrecognized share-based compensation expense related to unvested RSUs was $29.4 million and $14.3 million, respectively, and this amount is to be recognized over a weighted average period of 1.3 and 1.5 years,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Regulatory Requirement</w:t>
      </w:r>
    </w:p>
    <w:p>
      <w:pPr>
        <w:spacing w:after="0" w:line="204"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As of June 30, 2018 and December 31, 2017, broker-dealer subsidiaries of the Company are subject to the SEC Uniform Net Capital Rule 15c3-1, which requires the maintenance of minimum net capital of $1.0 million for each of the three broker-dealers. Pursuant to NYSE and NYSE MKT (formerly NYSE Amex) rules, Virtu Financial Capital Markets LLC was also required to maintain $3.6 million and $4.1 million of capital in connection with the operation of its designated market maker (“DMM”) business as of June 30, 2018 and December 31, 2017, respectively. The required amount is determined under the exchange rules as the greater of $1 million or 15% of the market value of 60 trading units for each symbol in which the broker-dealer subsidiary is registered as the DMM.</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June 30, 2018 was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416,343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415,343</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80,552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79,552</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8,735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December 31, 2017 was as follows: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5"/>
              </w:rPr>
              <w:t>Regulatory Capital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Arial" w:cs="Arial" w:eastAsia="Arial" w:hAnsi="Arial"/>
                <w:sz w:val="14"/>
                <w:szCs w:val="14"/>
                <w:b w:val="1"/>
                <w:bCs w:val="1"/>
                <w:color w:val="auto"/>
                <w:w w:val="92"/>
              </w:rPr>
              <w:t>Excess Regulatory</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48"/>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379,875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378,875</w:t>
            </w:r>
          </w:p>
        </w:tc>
        <w:tc>
          <w:tcPr>
            <w:tcW w:w="0" w:type="dxa"/>
            <w:vAlign w:val="bottom"/>
          </w:tcPr>
          <w:p>
            <w:pPr>
              <w:spacing w:after="0"/>
              <w:rPr>
                <w:sz w:val="1"/>
                <w:szCs w:val="1"/>
                <w:color w:val="auto"/>
              </w:rPr>
            </w:pPr>
          </w:p>
        </w:tc>
      </w:tr>
      <w:tr>
        <w:trPr>
          <w:trHeight w:val="257"/>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40,683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45"/>
              <w:spacing w:after="0"/>
              <w:rPr>
                <w:sz w:val="20"/>
                <w:szCs w:val="20"/>
                <w:color w:val="auto"/>
              </w:rPr>
            </w:pPr>
            <w:r>
              <w:rPr>
                <w:rFonts w:ascii="Arial" w:cs="Arial" w:eastAsia="Arial" w:hAnsi="Arial"/>
                <w:sz w:val="16"/>
                <w:szCs w:val="16"/>
                <w:color w:val="auto"/>
              </w:rPr>
              <w:t>39,683</w:t>
            </w:r>
          </w:p>
        </w:tc>
        <w:tc>
          <w:tcPr>
            <w:tcW w:w="0" w:type="dxa"/>
            <w:vAlign w:val="bottom"/>
          </w:tcPr>
          <w:p>
            <w:pPr>
              <w:spacing w:after="0"/>
              <w:rPr>
                <w:sz w:val="1"/>
                <w:szCs w:val="1"/>
                <w:color w:val="auto"/>
              </w:rPr>
            </w:pPr>
          </w:p>
        </w:tc>
      </w:tr>
      <w:tr>
        <w:trPr>
          <w:trHeight w:val="268"/>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Geographic Information and Business Segments</w:t>
      </w:r>
    </w:p>
    <w:p>
      <w:pPr>
        <w:spacing w:after="0" w:line="204" w:lineRule="exact"/>
        <w:rPr>
          <w:sz w:val="20"/>
          <w:szCs w:val="20"/>
          <w:color w:val="auto"/>
        </w:rPr>
      </w:pPr>
    </w:p>
    <w:p>
      <w:pPr>
        <w:ind w:right="140" w:firstLine="315"/>
        <w:spacing w:after="0" w:line="305" w:lineRule="auto"/>
        <w:rPr>
          <w:sz w:val="20"/>
          <w:szCs w:val="20"/>
          <w:color w:val="auto"/>
        </w:rPr>
      </w:pPr>
      <w:r>
        <w:rPr>
          <w:rFonts w:ascii="Arial" w:cs="Arial" w:eastAsia="Arial" w:hAnsi="Arial"/>
          <w:sz w:val="15"/>
          <w:szCs w:val="15"/>
          <w:color w:val="auto"/>
        </w:rPr>
        <w:t>The Company operates its business in the U.S. and internationally, primarily in Europe and Asia. Significant transactions and balances between geographic regions occur primarily as a result of certain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2018 and 2017</w:t>
      </w:r>
      <w:r>
        <w:rPr>
          <w:rFonts w:ascii="Arial" w:cs="Arial" w:eastAsia="Arial" w:hAnsi="Arial"/>
          <w:sz w:val="13"/>
          <w:szCs w:val="13"/>
          <w:color w:val="auto"/>
        </w:rPr>
        <w:t>:</w:t>
      </w:r>
    </w:p>
    <w:p>
      <w:pPr>
        <w:spacing w:after="0" w:line="158"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5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277,263</w:t>
            </w:r>
          </w:p>
        </w:tc>
        <w:tc>
          <w:tcPr>
            <w:tcW w:w="100" w:type="dxa"/>
            <w:vAlign w:val="bottom"/>
          </w:tcPr>
          <w:p>
            <w:pPr>
              <w:spacing w:after="0"/>
              <w:rPr>
                <w:sz w:val="22"/>
                <w:szCs w:val="22"/>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89,331</w:t>
            </w:r>
          </w:p>
        </w:tc>
        <w:tc>
          <w:tcPr>
            <w:tcW w:w="100" w:type="dxa"/>
            <w:vAlign w:val="bottom"/>
          </w:tcPr>
          <w:p>
            <w:pPr>
              <w:spacing w:after="0"/>
              <w:rPr>
                <w:sz w:val="22"/>
                <w:szCs w:val="22"/>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1,020,414</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181,317</w:t>
            </w:r>
          </w:p>
        </w:tc>
      </w:tr>
      <w:tr>
        <w:trPr>
          <w:trHeight w:val="268"/>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Ireland</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24,601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38,624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61,255</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4"/>
                <w:szCs w:val="14"/>
                <w:color w:val="auto"/>
              </w:rPr>
              <w:t>United Kingdom</w:t>
            </w: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14,845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Singapore</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22,626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22,602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68,837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49,609</w:t>
            </w:r>
          </w:p>
        </w:tc>
      </w:tr>
      <w:tr>
        <w:trPr>
          <w:trHeight w:val="257"/>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Others</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3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328,126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144,888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1,143,179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292,175</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Prior to the Acquisition,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w:t>
      </w:r>
    </w:p>
    <w:p>
      <w:pPr>
        <w:spacing w:after="0" w:line="170"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 dealers, banks and institutions. The Company engages in principal trading in the Market Making segment direct to clients as well as in a supplemental capacity on exchanges,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Bulletin Board marketplaces operated by the OTC Markets Group Inc. and the AIM.</w:t>
      </w:r>
    </w:p>
    <w:p>
      <w:pPr>
        <w:spacing w:after="0" w:line="168"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The Execution Services segment comprises agency-based trading and trading venues, offering execution services in global equities, options, futures and fixed income on behalf of institutions, banks and broker 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executing program, block and riskless principal trades in global equities and ETFs; (iii) a fixed income ECN that also offers trading applications; and (iv) an ATS for U.S. equities. Technology licensing fees are earned from third parties for licensing of the Company’s proprietary risk management and trading infrastructure technology and the provision of associated management and hosting services.</w:t>
      </w:r>
    </w:p>
    <w:p>
      <w:pPr>
        <w:spacing w:after="0" w:line="167"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58" w:lineRule="exact"/>
        <w:rPr>
          <w:sz w:val="20"/>
          <w:szCs w:val="20"/>
          <w:color w:val="auto"/>
        </w:rPr>
      </w:pPr>
    </w:p>
    <w:p>
      <w:pPr>
        <w:ind w:right="140" w:firstLine="315"/>
        <w:spacing w:after="0" w:line="290"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income before income taxes and noncontrolling interest (“Pre-tax earnings”) by segment for the three months ended June 30, 2018 and 2017 are summarized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287,695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40,774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328,126</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60,003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49,622</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141,792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3,107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144,888</w:t>
            </w:r>
          </w:p>
        </w:tc>
        <w:tc>
          <w:tcPr>
            <w:tcW w:w="0" w:type="dxa"/>
            <w:vAlign w:val="bottom"/>
          </w:tcPr>
          <w:p>
            <w:pPr>
              <w:spacing w:after="0"/>
              <w:rPr>
                <w:sz w:val="1"/>
                <w:szCs w:val="1"/>
                <w:color w:val="auto"/>
              </w:rPr>
            </w:pPr>
          </w:p>
        </w:tc>
      </w:tr>
      <w:tr>
        <w:trPr>
          <w:trHeight w:val="252"/>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13,160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125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250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26" w:lineRule="exact"/>
        <w:rPr>
          <w:sz w:val="20"/>
          <w:szCs w:val="20"/>
          <w:color w:val="auto"/>
        </w:rPr>
      </w:pPr>
    </w:p>
    <w:p>
      <w:pPr>
        <w:ind w:right="40" w:firstLine="315"/>
        <w:spacing w:after="0" w:line="290" w:lineRule="auto"/>
        <w:rPr>
          <w:sz w:val="20"/>
          <w:szCs w:val="20"/>
          <w:color w:val="auto"/>
        </w:rPr>
      </w:pPr>
      <w:r>
        <w:rPr>
          <w:rFonts w:ascii="Arial" w:cs="Arial" w:eastAsia="Arial" w:hAnsi="Arial"/>
          <w:sz w:val="17"/>
          <w:szCs w:val="17"/>
          <w:color w:val="auto"/>
        </w:rPr>
        <w:t>The Company's total revenues and income before income taxes and noncontrolling interest (“Pre-tax earnings”) by segment for the six months ended June 30, 2018 and 2017 are summarized in the following table:</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60" w:type="dxa"/>
            <w:vAlign w:val="bottom"/>
          </w:tcPr>
          <w:p>
            <w:pPr>
              <w:jc w:val="right"/>
              <w:ind w:right="48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720,231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424,553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1,143,179</w:t>
            </w:r>
          </w:p>
        </w:tc>
        <w:tc>
          <w:tcPr>
            <w:tcW w:w="0" w:type="dxa"/>
            <w:vAlign w:val="bottom"/>
          </w:tcPr>
          <w:p>
            <w:pPr>
              <w:spacing w:after="0"/>
              <w:rPr>
                <w:sz w:val="1"/>
                <w:szCs w:val="1"/>
                <w:color w:val="auto"/>
              </w:rPr>
            </w:pPr>
          </w:p>
        </w:tc>
      </w:tr>
      <w:tr>
        <w:trPr>
          <w:trHeight w:val="257"/>
        </w:trPr>
        <w:tc>
          <w:tcPr>
            <w:tcW w:w="6020" w:type="dxa"/>
            <w:vAlign w:val="bottom"/>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24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223,166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331,574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(36,580)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518,160</w:t>
            </w:r>
          </w:p>
        </w:tc>
        <w:tc>
          <w:tcPr>
            <w:tcW w:w="0" w:type="dxa"/>
            <w:vAlign w:val="bottom"/>
          </w:tcPr>
          <w:p>
            <w:pPr>
              <w:spacing w:after="0"/>
              <w:rPr>
                <w:sz w:val="1"/>
                <w:szCs w:val="1"/>
                <w:color w:val="auto"/>
              </w:rPr>
            </w:pPr>
          </w:p>
        </w:tc>
      </w:tr>
      <w:tr>
        <w:trPr>
          <w:trHeight w:val="281"/>
        </w:trPr>
        <w:tc>
          <w:tcPr>
            <w:tcW w:w="6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286,240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5,886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292,175</w:t>
            </w:r>
          </w:p>
        </w:tc>
        <w:tc>
          <w:tcPr>
            <w:tcW w:w="0" w:type="dxa"/>
            <w:vAlign w:val="bottom"/>
          </w:tcPr>
          <w:p>
            <w:pPr>
              <w:spacing w:after="0"/>
              <w:rPr>
                <w:sz w:val="1"/>
                <w:szCs w:val="1"/>
                <w:color w:val="auto"/>
              </w:rPr>
            </w:pPr>
          </w:p>
        </w:tc>
      </w:tr>
      <w:tr>
        <w:trPr>
          <w:trHeight w:val="252"/>
        </w:trPr>
        <w:tc>
          <w:tcPr>
            <w:tcW w:w="60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24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36,625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(8,593)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29,074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7217410" cy="125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1250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Related Party Transactions</w:t>
      </w:r>
    </w:p>
    <w:p>
      <w:pPr>
        <w:spacing w:after="0" w:line="204" w:lineRule="exact"/>
        <w:rPr>
          <w:sz w:val="20"/>
          <w:szCs w:val="20"/>
          <w:color w:val="auto"/>
        </w:rPr>
      </w:pPr>
    </w:p>
    <w:p>
      <w:pPr>
        <w:ind w:right="160" w:firstLine="315"/>
        <w:spacing w:after="0" w:line="290"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June 30, 2018, and December 31, 2017 the Company had a payable of $1.0 million and a receivable of $0.1 million to its affiliates, respectively.</w:t>
      </w:r>
    </w:p>
    <w:p>
      <w:pPr>
        <w:spacing w:after="0" w:line="158" w:lineRule="exact"/>
        <w:rPr>
          <w:sz w:val="20"/>
          <w:szCs w:val="20"/>
          <w:color w:val="auto"/>
        </w:rPr>
      </w:pPr>
    </w:p>
    <w:p>
      <w:pPr>
        <w:jc w:val="both"/>
        <w:ind w:firstLine="315"/>
        <w:spacing w:after="0" w:line="274" w:lineRule="auto"/>
        <w:rPr>
          <w:sz w:val="20"/>
          <w:szCs w:val="20"/>
          <w:color w:val="auto"/>
        </w:rPr>
      </w:pPr>
      <w:r>
        <w:rPr>
          <w:rFonts w:ascii="Arial" w:cs="Arial" w:eastAsia="Arial" w:hAnsi="Arial"/>
          <w:sz w:val="17"/>
          <w:szCs w:val="17"/>
          <w:color w:val="auto"/>
        </w:rPr>
        <w:t>The Company conducts securities lending transactions with Industrial and Commercial Bank of China (“ICBC”), which is partially owned by Temasek and its affiliates. As of June 30, 2018, the Company had a securities loaned contract of $0.6 million with ICBC. The Company had a securities borrowed contract of $23.1 million and a securities loaned contract of $1.1 million outstanding with ICBC as of December 31, 2017.</w:t>
      </w:r>
    </w:p>
    <w:p>
      <w:pPr>
        <w:spacing w:after="0" w:line="170" w:lineRule="exact"/>
        <w:rPr>
          <w:sz w:val="20"/>
          <w:szCs w:val="20"/>
          <w:color w:val="auto"/>
        </w:rPr>
      </w:pPr>
    </w:p>
    <w:p>
      <w:pPr>
        <w:ind w:right="60" w:firstLine="315"/>
        <w:spacing w:after="0" w:line="274"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The Company paid $0.8 million and $0.4 million for the three months ended June 30, 2018 and 2017, respectively, and $1.5 million and $1.1 million for the six months ended June 30, 2018 and 2017, respectively, to Level 3 for these services.</w:t>
      </w:r>
    </w:p>
    <w:p>
      <w:pPr>
        <w:spacing w:after="0" w:line="131" w:lineRule="exact"/>
        <w:rPr>
          <w:sz w:val="20"/>
          <w:szCs w:val="20"/>
          <w:color w:val="auto"/>
        </w:rPr>
      </w:pPr>
    </w:p>
    <w:p>
      <w:pPr>
        <w:ind w:right="60" w:firstLine="315"/>
        <w:spacing w:after="0" w:line="298" w:lineRule="auto"/>
        <w:rPr>
          <w:sz w:val="20"/>
          <w:szCs w:val="20"/>
          <w:color w:val="auto"/>
        </w:rPr>
      </w:pPr>
      <w:r>
        <w:rPr>
          <w:rFonts w:ascii="Arial" w:cs="Arial" w:eastAsia="Arial" w:hAnsi="Arial"/>
          <w:sz w:val="16"/>
          <w:szCs w:val="16"/>
          <w:color w:val="auto"/>
        </w:rPr>
        <w:t>The Company purchases and leases computer equipment and maintenance and support from affiliates of Dell Inc. (“Dell”). Temasek and its affiliates have a significant ownership interest in Dell. The Company paid $0.3 million and $0.6 million for the three months ended June 30, 2018 and 2017, respectively, and $0.8 million and $1.4 million for the six months ended June 30, 2018 and 2017, respectively, to Dell for these purchases and leases.</w:t>
      </w:r>
    </w:p>
    <w:p>
      <w:pPr>
        <w:spacing w:after="0" w:line="155" w:lineRule="exact"/>
        <w:rPr>
          <w:sz w:val="20"/>
          <w:szCs w:val="20"/>
          <w:color w:val="auto"/>
        </w:rPr>
      </w:pPr>
    </w:p>
    <w:p>
      <w:pPr>
        <w:jc w:val="both"/>
        <w:ind w:right="280" w:firstLine="315"/>
        <w:spacing w:after="0" w:line="298" w:lineRule="auto"/>
        <w:rPr>
          <w:sz w:val="20"/>
          <w:szCs w:val="20"/>
          <w:color w:val="auto"/>
        </w:rPr>
      </w:pPr>
      <w:r>
        <w:rPr>
          <w:rFonts w:ascii="Arial" w:cs="Arial" w:eastAsia="Arial" w:hAnsi="Arial"/>
          <w:sz w:val="16"/>
          <w:szCs w:val="16"/>
          <w:color w:val="auto"/>
        </w:rPr>
        <w:t>The Company purchases market data and software licenses from affiliates of Markit Group Holdings Limited (“MarkIt”). Temasek and its affiliates have a significant ownership interest in MarkIt. For the three and six months ended June 30, 2018, the amounts paid to MarkIt for these services were immaterial and $0.4 million, respectively. The amount paid to MarkIt was immaterial for the three and six months ended June 30, 2017.</w:t>
      </w:r>
    </w:p>
    <w:p>
      <w:pPr>
        <w:spacing w:after="0" w:line="155" w:lineRule="exact"/>
        <w:rPr>
          <w:sz w:val="20"/>
          <w:szCs w:val="20"/>
          <w:color w:val="auto"/>
        </w:rPr>
      </w:pPr>
    </w:p>
    <w:p>
      <w:pPr>
        <w:ind w:right="240" w:firstLine="315"/>
        <w:spacing w:after="0" w:line="290" w:lineRule="auto"/>
        <w:rPr>
          <w:sz w:val="20"/>
          <w:szCs w:val="20"/>
          <w:color w:val="auto"/>
        </w:rPr>
      </w:pPr>
      <w:r>
        <w:rPr>
          <w:rFonts w:ascii="Arial" w:cs="Arial" w:eastAsia="Arial" w:hAnsi="Arial"/>
          <w:sz w:val="17"/>
          <w:szCs w:val="17"/>
          <w:color w:val="auto"/>
        </w:rPr>
        <w:t>The Company has held a minority interest in SBI since 2016 (See Note 11 "Financial Assets and Liabilities"). The Company pays exchange fees to SBI for the trading activities conducted on its proprietary trading system. The Company paid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$2.3 million and $1.2 million for the three months ended June 30, 2018 and 2017, respectively, and $4.6 million and $2.7 million for the six months ended June 30, 2018 and 2017, respectively, to SBI for these trading activities.</w:t>
      </w:r>
    </w:p>
    <w:p>
      <w:pPr>
        <w:spacing w:after="0" w:line="158"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$4.4 million and $0.2 million to the JVs for the three months ended June 30, 2018 and 2017, respectively, and $10.1 million and $0.3 million for the six months ended June 30, 2018 and 2017, respectively.</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Subsequent Events</w:t>
      </w:r>
    </w:p>
    <w:p>
      <w:pPr>
        <w:spacing w:after="0" w:line="204" w:lineRule="exact"/>
        <w:rPr>
          <w:sz w:val="20"/>
          <w:szCs w:val="20"/>
          <w:color w:val="auto"/>
        </w:rPr>
      </w:pPr>
    </w:p>
    <w:p>
      <w:pPr>
        <w:ind w:right="400" w:firstLine="315"/>
        <w:spacing w:after="0" w:line="274"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0" w:lineRule="exact"/>
        <w:rPr>
          <w:sz w:val="20"/>
          <w:szCs w:val="20"/>
          <w:color w:val="auto"/>
        </w:rPr>
      </w:pPr>
    </w:p>
    <w:p>
      <w:pPr>
        <w:ind w:right="20" w:firstLine="315"/>
        <w:spacing w:after="0" w:line="290" w:lineRule="auto"/>
        <w:rPr>
          <w:sz w:val="20"/>
          <w:szCs w:val="20"/>
          <w:color w:val="auto"/>
        </w:rPr>
      </w:pPr>
      <w:r>
        <w:rPr>
          <w:rFonts w:ascii="Arial" w:cs="Arial" w:eastAsia="Arial" w:hAnsi="Arial"/>
          <w:sz w:val="17"/>
          <w:szCs w:val="17"/>
          <w:color w:val="auto"/>
        </w:rPr>
        <w:t>On July 10, 2018, the Company prepaid $41.2 million of principal under its Fourth Amended and Restated Credit Agreement, as amended. The total principal outstanding under the senior secured facility is $474.0 million.</w:t>
      </w:r>
    </w:p>
    <w:p>
      <w:pPr>
        <w:spacing w:after="0" w:line="158" w:lineRule="exact"/>
        <w:rPr>
          <w:sz w:val="20"/>
          <w:szCs w:val="20"/>
          <w:color w:val="auto"/>
        </w:rPr>
      </w:pPr>
    </w:p>
    <w:p>
      <w:pPr>
        <w:ind w:right="360" w:firstLine="315"/>
        <w:spacing w:after="0" w:line="290" w:lineRule="auto"/>
        <w:rPr>
          <w:sz w:val="20"/>
          <w:szCs w:val="20"/>
          <w:color w:val="auto"/>
        </w:rPr>
      </w:pPr>
      <w:r>
        <w:rPr>
          <w:rFonts w:ascii="Arial" w:cs="Arial" w:eastAsia="Arial" w:hAnsi="Arial"/>
          <w:sz w:val="17"/>
          <w:szCs w:val="17"/>
          <w:color w:val="auto"/>
        </w:rPr>
        <w:t>On July 27, 2018, the Company’s board of directors declared a dividend of $0.24 per share of Class A common stock and Class B common stock and per Restricted Stock Unit that will be paid on September 14, 2018 to holders of record as of August 31, 2018.</w:t>
      </w:r>
    </w:p>
    <w:p>
      <w:pPr>
        <w:spacing w:after="0" w:line="158" w:lineRule="exact"/>
        <w:rPr>
          <w:sz w:val="20"/>
          <w:szCs w:val="20"/>
          <w:color w:val="auto"/>
        </w:rPr>
      </w:pPr>
    </w:p>
    <w:p>
      <w:pPr>
        <w:ind w:firstLine="315"/>
        <w:spacing w:after="0" w:line="315" w:lineRule="auto"/>
        <w:rPr>
          <w:sz w:val="20"/>
          <w:szCs w:val="20"/>
          <w:color w:val="auto"/>
        </w:rPr>
      </w:pPr>
      <w:r>
        <w:rPr>
          <w:rFonts w:ascii="Arial" w:cs="Arial" w:eastAsia="Arial" w:hAnsi="Arial"/>
          <w:sz w:val="15"/>
          <w:szCs w:val="15"/>
          <w:color w:val="auto"/>
        </w:rPr>
        <w:t>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1.38 million shares of Class A common stock and common units for approximately $40.5 million. The Company now has approximately $59.5 million remaining capacity for future purchases of shares of Class A common stock and common units under the program.</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July 27, 2018, Virtu Financial made distributions to its members, including the Company, in the amount of $20.0 million.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27"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i w:val="1"/>
          <w:iCs w:val="1"/>
          <w:color w:val="auto"/>
        </w:rPr>
        <w:t>The following management’s discussion and analysis covers the three and six months ended June 30, 2018 and 2017 and should be read in conjunction with the condensed consolidated financial statements of Virtu Financial, Inc. (the "Company") for the three and six months ended June 30, 2018 and 2017.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91" w:lineRule="exact"/>
        <w:rPr>
          <w:sz w:val="20"/>
          <w:szCs w:val="20"/>
          <w:color w:val="auto"/>
        </w:rPr>
      </w:pPr>
    </w:p>
    <w:p>
      <w:pPr>
        <w:ind w:firstLine="315"/>
        <w:spacing w:after="0" w:line="27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2017 Form 10-K as filed with the Securities and Exchange Commission (“SEC”) on March 13, 2018, could affect our actual financial results or results of operations and cash flows, and could cause actual results to differ materially from those in such forward-looking statements, including but not limited to:</w:t>
      </w:r>
    </w:p>
    <w:p>
      <w:pPr>
        <w:spacing w:after="0" w:line="133" w:lineRule="exact"/>
        <w:rPr>
          <w:sz w:val="20"/>
          <w:szCs w:val="20"/>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laws and regulations, including those specific to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international operations;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maintain system security or otherwise maintain confidential and proprietary information;</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 of the Acquisition of KCG on existing business relationships, operating results, and ongoing business operations generally;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27" w:right="25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960" w:right="22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incurred in connection with the Acquisition of KCG, and the integration of KCG into our business;</w:t>
      </w:r>
    </w:p>
    <w:p>
      <w:pPr>
        <w:spacing w:after="0" w:line="52" w:lineRule="exact"/>
        <w:rPr>
          <w:rFonts w:ascii="Arial" w:cs="Arial" w:eastAsia="Arial" w:hAnsi="Arial"/>
          <w:sz w:val="17"/>
          <w:szCs w:val="17"/>
          <w:color w:val="auto"/>
        </w:rPr>
      </w:pPr>
    </w:p>
    <w:p>
      <w:pPr>
        <w:ind w:left="960" w:right="220" w:hanging="168"/>
        <w:spacing w:after="0" w:line="290"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two businesses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assumption of potential liabilities relating to KCG’s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74"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5"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120"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w:t>
      </w:r>
    </w:p>
    <w:p>
      <w:pPr>
        <w:spacing w:after="0" w:line="191"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color w:val="auto"/>
        </w:rPr>
        <w:t>Our condensed consolidated financial statements for the three and six months ended June 30, 2018 reflect our operations and those of our consolidated subsidiaries. As discussed in Note 1 "Organization and Basis of Presentation" and in Note 3 “Acquisition of KCG Holdings Inc.” of Part I Item 1 “Condensed Consolidated Financial Statements (Unaudited)” of this quarterly report on Form 10-Q, we are accounting for the acquisition of KCG Holdings, Inc. ("Acquisition of KCG") under the acquisition method of accounting. Under the acquisition method of accounting, the assets and liabilities of KCG, as of July 20, 2017 (the "Closing Date"), were recorded at their respective fair values and added to the carrying value of our existing assets and liabilities. Our reported financial condition, results of operations and cash flows for the periods following the Acquisition of KCG reflect KCG's and our balances and reflect the impact of purchase accounting adjustments, including revised amortization and depreciation expense for acquired assets. As we are the accounting acquirer, the financial results for the three and six months ended June 30, 2018 comprise our results and the results of KCG for the three and six months ended June 30, 2018. All periods prior to the Closing Date comprise solely our results.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right="240" w:firstLine="315"/>
        <w:spacing w:after="0" w:line="268"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and execution services while at the same time earning attractive margins and returns.</w:t>
      </w:r>
    </w:p>
    <w:p>
      <w:pPr>
        <w:spacing w:after="0" w:line="177" w:lineRule="exact"/>
        <w:rPr>
          <w:sz w:val="20"/>
          <w:szCs w:val="20"/>
          <w:color w:val="auto"/>
        </w:rPr>
      </w:pPr>
    </w:p>
    <w:p>
      <w:pPr>
        <w:jc w:val="both"/>
        <w:ind w:right="200" w:firstLine="315"/>
        <w:spacing w:after="0" w:line="274" w:lineRule="auto"/>
        <w:rPr>
          <w:sz w:val="20"/>
          <w:szCs w:val="20"/>
          <w:color w:val="auto"/>
        </w:rPr>
      </w:pPr>
      <w:r>
        <w:rPr>
          <w:rFonts w:ascii="Arial" w:cs="Arial" w:eastAsia="Arial" w:hAnsi="Arial"/>
          <w:sz w:val="17"/>
          <w:szCs w:val="17"/>
          <w:color w:val="auto"/>
        </w:rPr>
        <w:t>Technology and operational efficiency are at the core of our business, and our focus on market making technology is a key element of our success. We have developed a proprietary, multi-asset, multi-currency technology platform that is highly reliable, scalable and modular, and we integrate directly with exchanges and other liquidity centers. Our market data, order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 party licensing or processing fees.</w:t>
      </w:r>
    </w:p>
    <w:p>
      <w:pPr>
        <w:spacing w:after="0" w:line="170" w:lineRule="exact"/>
        <w:rPr>
          <w:sz w:val="20"/>
          <w:szCs w:val="20"/>
          <w:color w:val="auto"/>
        </w:rPr>
      </w:pPr>
    </w:p>
    <w:p>
      <w:pPr>
        <w:ind w:right="280" w:firstLine="315"/>
        <w:spacing w:after="0" w:line="298" w:lineRule="auto"/>
        <w:rPr>
          <w:sz w:val="20"/>
          <w:szCs w:val="20"/>
          <w:color w:val="auto"/>
        </w:rPr>
      </w:pPr>
      <w:r>
        <w:rPr>
          <w:rFonts w:ascii="Arial" w:cs="Arial" w:eastAsia="Arial" w:hAnsi="Arial"/>
          <w:sz w:val="16"/>
          <w:szCs w:val="16"/>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execution certainty that Virtu provides.</w:t>
      </w:r>
    </w:p>
    <w:p>
      <w:pPr>
        <w:spacing w:after="0" w:line="155"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As described in “Acquisition of KCG” below, on the Closing Date, we completed the Acquisition of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exchange-based electronic market making. KCG offered multiple access points to trade global equities, options, futures, fixed income, currencies and commodities available via voice or electronically.</w:t>
      </w:r>
    </w:p>
    <w:p>
      <w:pPr>
        <w:spacing w:after="0" w:line="181" w:lineRule="exact"/>
        <w:rPr>
          <w:sz w:val="20"/>
          <w:szCs w:val="20"/>
          <w:color w:val="auto"/>
        </w:rPr>
      </w:pPr>
    </w:p>
    <w:p>
      <w:pPr>
        <w:jc w:val="both"/>
        <w:ind w:right="120" w:firstLine="315"/>
        <w:spacing w:after="0" w:line="274" w:lineRule="auto"/>
        <w:rPr>
          <w:sz w:val="20"/>
          <w:szCs w:val="20"/>
          <w:color w:val="auto"/>
        </w:rPr>
      </w:pPr>
      <w:r>
        <w:rPr>
          <w:rFonts w:ascii="Arial" w:cs="Arial" w:eastAsia="Arial" w:hAnsi="Arial"/>
          <w:sz w:val="17"/>
          <w:szCs w:val="17"/>
          <w:color w:val="auto"/>
        </w:rPr>
        <w:t>Prior to the Acquisition of KCG, Virtu operated as a single operating business segment. As a result of the Acquisition of KCG, beginning in the third quarter of 2017, Virtu has three operating segments: Market Making, Execution Services, and Corporate. Our management allocates resources, assesses performance and manages our business according to these segments.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most relevant asset class distinctions and venues for the markets we serve include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Classes</w:t>
            </w:r>
          </w:p>
        </w:tc>
        <w:tc>
          <w:tcPr>
            <w:tcW w:w="460" w:type="dxa"/>
            <w:vAlign w:val="bottom"/>
            <w:tcBorders>
              <w:bottom w:val="single" w:sz="8" w:color="CCEEFF"/>
            </w:tcBorders>
          </w:tcPr>
          <w:p>
            <w:pPr>
              <w:spacing w:after="0"/>
              <w:rPr>
                <w:sz w:val="16"/>
                <w:szCs w:val="16"/>
                <w:color w:val="auto"/>
              </w:rPr>
            </w:pPr>
          </w:p>
        </w:tc>
        <w:tc>
          <w:tcPr>
            <w:tcW w:w="730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Selected Venues in Which We Make Markets</w:t>
            </w:r>
          </w:p>
        </w:tc>
      </w:tr>
      <w:tr>
        <w:trPr>
          <w:trHeight w:val="222"/>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Americas Equities</w:t>
            </w: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BATS, BM&amp;F Bovespa, CHX, CME, MexDer, NASDAQ, NYSE, NYSE Arca, NYSE American,</w:t>
            </w:r>
          </w:p>
        </w:tc>
      </w:tr>
      <w:tr>
        <w:trPr>
          <w:trHeight w:val="229"/>
        </w:trPr>
        <w:tc>
          <w:tcPr>
            <w:tcW w:w="3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TSX, major private liquidity pools</w:t>
            </w: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7"/>
                <w:szCs w:val="17"/>
                <w:color w:val="auto"/>
              </w:rPr>
              <w:t>Rest of World ("ROW") Equities</w:t>
            </w:r>
          </w:p>
        </w:tc>
        <w:tc>
          <w:tcPr>
            <w:tcW w:w="7300" w:type="dxa"/>
            <w:vAlign w:val="bottom"/>
          </w:tcPr>
          <w:p>
            <w:pPr>
              <w:ind w:left="40"/>
              <w:spacing w:after="0"/>
              <w:rPr>
                <w:sz w:val="20"/>
                <w:szCs w:val="20"/>
                <w:color w:val="auto"/>
              </w:rPr>
            </w:pPr>
            <w:r>
              <w:rPr>
                <w:rFonts w:ascii="Arial" w:cs="Arial" w:eastAsia="Arial" w:hAnsi="Arial"/>
                <w:sz w:val="17"/>
                <w:szCs w:val="17"/>
                <w:color w:val="auto"/>
                <w:w w:val="95"/>
              </w:rPr>
              <w:t>Amsterdam, Aquis, ASX, BATS Europe, Bolsa de Madrid, Borsa Italiana, Brussels, EUREX, Euronext</w:t>
            </w:r>
          </w:p>
        </w:tc>
      </w:tr>
      <w:tr>
        <w:trPr>
          <w:trHeight w:val="210"/>
        </w:trPr>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w w:val="94"/>
              </w:rPr>
              <w:t>-Paris, ICE Futures Europe, Johannesburg Stock Exchange, Lisbon, LSE, OSE, SBI Japannext, SGX,</w:t>
            </w:r>
          </w:p>
        </w:tc>
      </w:tr>
      <w:tr>
        <w:trPr>
          <w:trHeight w:val="222"/>
        </w:trPr>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SIX Swiss Exchange, TOCOM, TSE</w:t>
            </w: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4"/>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Global FICC, Options, and Other</w:t>
            </w: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BOX, BrokerTec, CME, Currenex, EBS, eSpeed, Hotspot, ICE, ICE Futures Europe, LMAX,</w:t>
            </w:r>
          </w:p>
        </w:tc>
      </w:tr>
      <w:tr>
        <w:trPr>
          <w:trHeight w:val="222"/>
        </w:trPr>
        <w:tc>
          <w:tcPr>
            <w:tcW w:w="3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NASDAQ Energy Exchange, NYSE Arca Options, PHLX, Reuters/Fxall, SGX, TOCOM</w:t>
            </w:r>
          </w:p>
        </w:tc>
      </w:tr>
      <w:tr>
        <w:trPr>
          <w:trHeight w:val="27"/>
        </w:trPr>
        <w:tc>
          <w:tcPr>
            <w:tcW w:w="3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24"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execution technology enables us to provide competitive bids and offers in over 25,000 securities, at over 235 venues, in 36 countries worldwide.</w:t>
      </w:r>
    </w:p>
    <w:p>
      <w:pPr>
        <w:spacing w:after="0" w:line="177"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24"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We offer agency execution services and trading venues that provide transparent trading in global equities, ETFs, futures and fixed income to institutions, banks and broker dealers. We generally earn commissions as an agent between principals for transactions. Agency 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MatchIt (our ATS for U.S. equities). We also earn technology services revenues by providing our proprietary technology and infrastructure to select third parties for a service fee.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24" w:lineRule="exact"/>
        <w:rPr>
          <w:sz w:val="20"/>
          <w:szCs w:val="20"/>
          <w:color w:val="auto"/>
        </w:rPr>
      </w:pPr>
    </w:p>
    <w:p>
      <w:pPr>
        <w:ind w:right="60" w:firstLine="315"/>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right="100" w:firstLine="315"/>
        <w:spacing w:after="0" w:line="274" w:lineRule="auto"/>
        <w:rPr>
          <w:sz w:val="20"/>
          <w:szCs w:val="20"/>
          <w:color w:val="auto"/>
        </w:rPr>
      </w:pPr>
      <w:r>
        <w:rPr>
          <w:rFonts w:ascii="Arial" w:cs="Arial" w:eastAsia="Arial" w:hAnsi="Arial"/>
          <w:sz w:val="17"/>
          <w:szCs w:val="17"/>
          <w:color w:val="auto"/>
        </w:rPr>
        <w:t>On the Closing Date,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w:t>
      </w:r>
    </w:p>
    <w:p>
      <w:pPr>
        <w:spacing w:after="0" w:line="170"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connection with the financing of the Acquisition of KCG, on the Closing Date, the Company issued to (i) Aranda Investments Pte. Ltd. (“Aranda”), an affiliate of Temasek Holding (Private) Limited ("Temasek"), 6,346,155 shares of the Company’s Class A common stock, par value $0.00001 per share (the "Class A Common Stock") for an aggregate purchase price of approximately $99.0 million and (ii) North Island Holdings I, LP (“NIH”) 39,725,979 shares of Class A Common Stock for an aggregate purchase price of approximately $613.5 million. On August 10, 2017, the Company issued additional 1,666,666 shares and 338,124 shares of Class A Common Stock to Aranda and NIH respectively, for an aggregate additional purchase price of approximately $26.0 million and $5.2 million, respectively.</w:t>
      </w:r>
    </w:p>
    <w:p>
      <w:pPr>
        <w:spacing w:after="0" w:line="18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 xml:space="preserve">Also in connection with the financing of the Acquisition of KCG, on June 16, 2017, Orchestra Borrower LLC (the "Escrow Issuer") a wholly owned subsidiary of Virtu Financial LLC (“Virtu Financial”) and Orchestra Co-Issuer, Inc. (the “Co-Issuer”) completed the offering of $500 million aggregate principal amount of 6.750% Senior Secured Second Lien Notes due 2022 (the “Notes”) as more fully described under - </w:t>
      </w:r>
      <w:r>
        <w:rPr>
          <w:rFonts w:ascii="Arial" w:cs="Arial" w:eastAsia="Arial" w:hAnsi="Arial"/>
          <w:sz w:val="16"/>
          <w:szCs w:val="16"/>
          <w:i w:val="1"/>
          <w:iCs w:val="1"/>
          <w:color w:val="auto"/>
        </w:rPr>
        <w:t>Senior Secured Second Lien Notes</w:t>
      </w:r>
      <w:r>
        <w:rPr>
          <w:rFonts w:ascii="Arial" w:cs="Arial" w:eastAsia="Arial" w:hAnsi="Arial"/>
          <w:sz w:val="16"/>
          <w:szCs w:val="16"/>
          <w:color w:val="auto"/>
        </w:rPr>
        <w:t>. On July 20, 2017, VFH Parent LLC ("VFH") assumed all of the obligations of the Escrow Issuer under the Notes and the indenture governing the Notes.</w:t>
      </w:r>
    </w:p>
    <w:p>
      <w:pPr>
        <w:spacing w:after="0" w:line="161" w:lineRule="exact"/>
        <w:rPr>
          <w:sz w:val="20"/>
          <w:szCs w:val="20"/>
          <w:color w:val="auto"/>
        </w:rPr>
      </w:pPr>
    </w:p>
    <w:p>
      <w:pPr>
        <w:ind w:right="420" w:firstLine="315"/>
        <w:spacing w:after="0" w:line="274" w:lineRule="auto"/>
        <w:rPr>
          <w:sz w:val="20"/>
          <w:szCs w:val="20"/>
          <w:color w:val="auto"/>
        </w:rPr>
      </w:pPr>
      <w:r>
        <w:rPr>
          <w:rFonts w:ascii="Arial" w:cs="Arial" w:eastAsia="Arial" w:hAnsi="Arial"/>
          <w:sz w:val="17"/>
          <w:szCs w:val="17"/>
          <w:color w:val="auto"/>
        </w:rPr>
        <w:t>On June 30, 2017, Virtu Financial and VFH entered into a fourth amended and restated credit agreement (the “Fourth Amended and Restated Credit Agreement”) for $1.15 billion first lien secured term loans with the lenders party thereto and JPMorgan Chase Bank, N.A., as administrative agent, sole lead arranger and bookrunner, which amended and restated in its entirety VFH’s existing credit agreement.</w:t>
      </w:r>
    </w:p>
    <w:p>
      <w:pPr>
        <w:spacing w:after="0" w:line="170" w:lineRule="exact"/>
        <w:rPr>
          <w:sz w:val="20"/>
          <w:szCs w:val="20"/>
          <w:color w:val="auto"/>
        </w:rPr>
      </w:pPr>
    </w:p>
    <w:p>
      <w:pPr>
        <w:ind w:right="300" w:firstLine="315"/>
        <w:spacing w:after="0" w:line="298"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principal amount, plus accrued and unpaid interest, pursuant to the indenture, dated as of March 13, 2015 (as amended, restated, supplemented or otherwise modified), by and among KCG, the subsidiary guarantors party thereto and The Bank of New York Mellon, as trustee and collateral agent.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98"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initial public offering in April 2015 (the "IPO") (the "2015 Management Incentive Plan"). The 2015 Management Incentive Plan, which was amended and restated in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54" w:lineRule="exact"/>
        <w:rPr>
          <w:sz w:val="20"/>
          <w:szCs w:val="20"/>
          <w:color w:val="auto"/>
        </w:rPr>
      </w:pPr>
    </w:p>
    <w:p>
      <w:pPr>
        <w:ind w:right="240" w:firstLine="315"/>
        <w:spacing w:after="0" w:line="280" w:lineRule="auto"/>
        <w:rPr>
          <w:sz w:val="20"/>
          <w:szCs w:val="20"/>
          <w:color w:val="auto"/>
        </w:rPr>
      </w:pPr>
      <w:r>
        <w:rPr>
          <w:rFonts w:ascii="Arial" w:cs="Arial" w:eastAsia="Arial" w:hAnsi="Arial"/>
          <w:sz w:val="16"/>
          <w:szCs w:val="16"/>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June 30, 2018, options to purchase 1,528,750 shares in the aggregate were forfeited and 4,049,058 options were exercised. The fair value of the stock option grants was determined through the application of the Black-Scholes-Merton model and will be recognized on a straight 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will be recognized on a straight line basis over the vesting period.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127"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There are no material differences between our condensed consolidated financial statements and the financial statements of Virtu Financial LLC (“Virtu Financial”) except as follows: (i) cash and cash equivalents reflected on our Condensed Consolidated Statement of Financial Condition in the amount of $64.7 million; (ii) deferred tax assets reflected on our Condensed Consolidated Statement of Financial Condition in the amount of $180.2 million and tax receivable agreement obligation in the amount of $211.6 million, in each case as described in greater detail in Note 6 "Tax Receivable Agreements" of Part I "Financial Information" of this quarterly report on Form 10-Q; (iii) a portion of the member's equity of Virtu Financial is represented as non-controlling interest on our Condensed Consolidated Statement of Financial Condition; and (iv) provision for corporate income tax in the amount of $3.9 million and $56.1 million reflected on our Condensed Consolidated Statements of Comprehensive Income for the three and six months ended June 30, 2018,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04"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The following tables show the total revenues and Adjusted Net Trading Income by operating segment for the three and six months ended June 30, 2018 and 2017:</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60"/>
          </w:cols>
          <w:pgMar w:left="240" w:top="127" w:right="39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42"/>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287,695</w:t>
            </w:r>
          </w:p>
        </w:tc>
        <w:tc>
          <w:tcPr>
            <w:tcW w:w="120" w:type="dxa"/>
            <w:vAlign w:val="bottom"/>
          </w:tcPr>
          <w:p>
            <w:pPr>
              <w:spacing w:after="0"/>
              <w:rPr>
                <w:sz w:val="21"/>
                <w:szCs w:val="21"/>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141,792</w:t>
            </w:r>
          </w:p>
        </w:tc>
        <w:tc>
          <w:tcPr>
            <w:tcW w:w="200" w:type="dxa"/>
            <w:vAlign w:val="bottom"/>
          </w:tcPr>
          <w:p>
            <w:pPr>
              <w:spacing w:after="0"/>
              <w:rPr>
                <w:sz w:val="21"/>
                <w:szCs w:val="21"/>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720,231</w:t>
            </w:r>
          </w:p>
        </w:tc>
        <w:tc>
          <w:tcPr>
            <w:tcW w:w="100" w:type="dxa"/>
            <w:vAlign w:val="bottom"/>
          </w:tcPr>
          <w:p>
            <w:pPr>
              <w:spacing w:after="0"/>
              <w:rPr>
                <w:sz w:val="21"/>
                <w:szCs w:val="21"/>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286,240</w:t>
            </w:r>
          </w:p>
        </w:tc>
      </w:tr>
      <w:tr>
        <w:trPr>
          <w:trHeight w:val="262"/>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227,692</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128,632</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497,065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249,615</w:t>
            </w:r>
          </w:p>
        </w:tc>
      </w:tr>
      <w:tr>
        <w:trPr>
          <w:trHeight w:val="242"/>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60,003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13,160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223,166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36,625</w:t>
            </w:r>
          </w:p>
        </w:tc>
      </w:tr>
      <w:tr>
        <w:trPr>
          <w:trHeight w:val="268"/>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57"/>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40,774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3,107</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424,553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5,886</w:t>
            </w:r>
          </w:p>
        </w:tc>
      </w:tr>
      <w:tr>
        <w:trPr>
          <w:trHeight w:val="262"/>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40,385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2,554</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92,979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4,844</w:t>
            </w:r>
          </w:p>
        </w:tc>
      </w:tr>
      <w:tr>
        <w:trPr>
          <w:trHeight w:val="242"/>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553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331,574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1,042</w:t>
            </w:r>
          </w:p>
        </w:tc>
      </w:tr>
      <w:tr>
        <w:trPr>
          <w:trHeight w:val="268"/>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57"/>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49</w:t>
            </w:r>
          </w:p>
        </w:tc>
      </w:tr>
      <w:tr>
        <w:trPr>
          <w:trHeight w:val="262"/>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10,427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8,510</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34,975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8,642</w:t>
            </w:r>
          </w:p>
        </w:tc>
      </w:tr>
      <w:tr>
        <w:trPr>
          <w:trHeight w:val="242"/>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(10,770)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(8,521)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(8,593)</w:t>
            </w:r>
          </w:p>
        </w:tc>
      </w:tr>
      <w:tr>
        <w:trPr>
          <w:trHeight w:val="268"/>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57"/>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328,126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144,888</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1,143,179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292,175</w:t>
            </w:r>
          </w:p>
        </w:tc>
      </w:tr>
      <w:tr>
        <w:trPr>
          <w:trHeight w:val="262"/>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278,504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139,696</w:t>
            </w:r>
          </w:p>
        </w:tc>
        <w:tc>
          <w:tcPr>
            <w:tcW w:w="2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625,019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263,101</w:t>
            </w:r>
          </w:p>
        </w:tc>
      </w:tr>
      <w:tr>
        <w:trPr>
          <w:trHeight w:val="237"/>
        </w:trPr>
        <w:tc>
          <w:tcPr>
            <w:tcW w:w="530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49,622</w:t>
            </w:r>
          </w:p>
        </w:tc>
        <w:tc>
          <w:tcPr>
            <w:tcW w:w="120" w:type="dxa"/>
            <w:vAlign w:val="bottom"/>
          </w:tcPr>
          <w:p>
            <w:pPr>
              <w:spacing w:after="0"/>
              <w:rPr>
                <w:sz w:val="20"/>
                <w:szCs w:val="20"/>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5,192</w:t>
            </w:r>
          </w:p>
        </w:tc>
        <w:tc>
          <w:tcPr>
            <w:tcW w:w="200" w:type="dxa"/>
            <w:vAlign w:val="bottom"/>
          </w:tcPr>
          <w:p>
            <w:pPr>
              <w:spacing w:after="0"/>
              <w:rPr>
                <w:sz w:val="20"/>
                <w:szCs w:val="20"/>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518,160</w:t>
            </w:r>
          </w:p>
        </w:tc>
        <w:tc>
          <w:tcPr>
            <w:tcW w:w="100" w:type="dxa"/>
            <w:vAlign w:val="bottom"/>
          </w:tcPr>
          <w:p>
            <w:pPr>
              <w:spacing w:after="0"/>
              <w:rPr>
                <w:sz w:val="20"/>
                <w:szCs w:val="20"/>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29,074</w:t>
            </w:r>
          </w:p>
        </w:tc>
      </w:tr>
    </w:tbl>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8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2017</w:t>
            </w:r>
          </w:p>
        </w:tc>
      </w:tr>
      <w:tr>
        <w:trPr>
          <w:trHeight w:val="64"/>
        </w:trPr>
        <w:tc>
          <w:tcPr>
            <w:tcW w:w="53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r>
      <w:tr>
        <w:trPr>
          <w:trHeight w:val="262"/>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258,593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136,163</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664,755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275,737</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21,937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5,629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39,886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10,503</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46,565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3,107</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100,409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5,886</w:t>
            </w:r>
          </w:p>
        </w:tc>
      </w:tr>
      <w:tr>
        <w:trPr>
          <w:trHeight w:val="257"/>
        </w:trPr>
        <w:tc>
          <w:tcPr>
            <w:tcW w:w="5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1,031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338,129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49</w:t>
            </w:r>
          </w:p>
        </w:tc>
      </w:tr>
      <w:tr>
        <w:trPr>
          <w:trHeight w:val="248"/>
        </w:trPr>
        <w:tc>
          <w:tcPr>
            <w:tcW w:w="55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328,126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144,888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1,143,179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292,175</w:t>
            </w:r>
          </w:p>
        </w:tc>
      </w:tr>
      <w:tr>
        <w:trPr>
          <w:trHeight w:val="262"/>
        </w:trPr>
        <w:tc>
          <w:tcPr>
            <w:tcW w:w="5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62"/>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Brokerage, exchange and clearance fees, net</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73,318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52,899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161,141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105,669</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Communication and data processing</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48,791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18,985</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98,277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37,192</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Employee compensation and payroll taxes</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41,226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17,365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105,896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38,712</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Payments for order flow</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15,842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32,098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expense</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35,009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14,934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68,633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27,214</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Operations and administrative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16,610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6,770</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36,416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11,616</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16,194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6,798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31,546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13,555</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6,838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13,675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Termination of office leases</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1,777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21,860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4,482</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4,482</w:t>
            </w:r>
          </w:p>
        </w:tc>
      </w:tr>
      <w:tr>
        <w:trPr>
          <w:trHeight w:val="257"/>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3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8,511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9,246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8,643</w:t>
            </w:r>
          </w:p>
        </w:tc>
      </w:tr>
      <w:tr>
        <w:trPr>
          <w:trHeight w:val="268"/>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at IPO</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179</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364</w:t>
            </w:r>
          </w:p>
        </w:tc>
      </w:tr>
      <w:tr>
        <w:trPr>
          <w:trHeight w:val="257"/>
        </w:trPr>
        <w:tc>
          <w:tcPr>
            <w:tcW w:w="5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Financing interest expense on long-term borrowings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18,780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8,720</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37,827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15,548</w:t>
            </w:r>
          </w:p>
        </w:tc>
      </w:tr>
      <w:tr>
        <w:trPr>
          <w:trHeight w:val="242"/>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278,504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139,696</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625,019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263,101</w:t>
            </w:r>
          </w:p>
        </w:tc>
      </w:tr>
      <w:tr>
        <w:trPr>
          <w:trHeight w:val="242"/>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3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49,622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4"/>
                <w:szCs w:val="14"/>
                <w:color w:val="auto"/>
              </w:rPr>
              <w:t>5,192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518,160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29,074</w:t>
            </w:r>
          </w:p>
        </w:tc>
      </w:tr>
      <w:tr>
        <w:trPr>
          <w:trHeight w:val="262"/>
        </w:trPr>
        <w:tc>
          <w:tcPr>
            <w:tcW w:w="5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779</w:t>
            </w:r>
          </w:p>
        </w:tc>
        <w:tc>
          <w:tcPr>
            <w:tcW w:w="2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61,515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3,587</w:t>
            </w:r>
          </w:p>
        </w:tc>
      </w:tr>
      <w:tr>
        <w:trPr>
          <w:trHeight w:val="235"/>
        </w:trPr>
        <w:tc>
          <w:tcPr>
            <w:tcW w:w="5500" w:type="dxa"/>
            <w:vAlign w:val="bottom"/>
            <w:gridSpan w:val="2"/>
          </w:tcPr>
          <w:p>
            <w:pPr>
              <w:ind w:left="26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46,622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4,413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456,645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25,487</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7" w:right="239" w:bottom="1440" w:gutter="0" w:footer="0" w:header="0"/>
          <w:type w:val="continuous"/>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120" w:firstLine="315"/>
        <w:spacing w:after="0" w:line="280" w:lineRule="auto"/>
        <w:rPr>
          <w:sz w:val="20"/>
          <w:szCs w:val="20"/>
          <w:color w:val="auto"/>
        </w:rPr>
      </w:pPr>
      <w:r>
        <w:rPr>
          <w:rFonts w:ascii="Arial" w:cs="Arial" w:eastAsia="Arial" w:hAnsi="Arial"/>
          <w:sz w:val="16"/>
          <w:szCs w:val="16"/>
          <w:color w:val="auto"/>
        </w:rPr>
        <w:t>The majority of our revenue is generated through market making activities and is recorded as trading income, net. In addition, we generate revenues from interest and dividends income, agency execution services to select third parties, and technology services to third parties using our proprietary technology to provide technology infrastructure. Following the Acquisition of KCG, we also earn commissions and commission equivalents terms,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73" w:lineRule="exact"/>
        <w:rPr>
          <w:sz w:val="20"/>
          <w:szCs w:val="20"/>
          <w:color w:val="auto"/>
        </w:rPr>
      </w:pPr>
    </w:p>
    <w:p>
      <w:pPr>
        <w:ind w:right="40" w:firstLine="359"/>
        <w:spacing w:after="0" w:line="262"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economically neutral trading strategies, which are designed to capture small bid ask spreads and often involve making markets in a derivative versus a correlated instrument that is not a derivative. These transactions often result in a gain or loss on the derivative and a corresponding loss or gain on the non-derivative. Trading income, net, accounted for 78.8% and 94.0% of our total revenues for the three months ended June 30, 2018, and 2017, respectively, and 58.1% and 94% for the six months ended June 30, 2018 and 2017, respectively.</w:t>
      </w:r>
    </w:p>
    <w:p>
      <w:pPr>
        <w:spacing w:after="0" w:line="183"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Agency commission fees are charged for agency trades executed by us on behalf of third party broker-dealers,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and other financial institutions. We began providing agency execution services in April 2016, and revenue is recognized on a trade date basis, which is the point at which the performance obligation to the customer is satisfied, based on the trade volume executed. Revenues on transactions for which we charge explicit commissions or commission equivalents, which include the majority of our institutional client orders, are included within commissions, net and technology services. Commissions and fees are primarily affected by changes in our equity, fixed income and futures transaction volumes with institutional clients; client relationships; changes in commission rates; client experience on the various platforms; level of volume based fees from providing liquidity to other trading venues; and the level of our soft dollar and commission recapture activity.</w:t>
      </w:r>
    </w:p>
    <w:p>
      <w:pPr>
        <w:spacing w:after="0" w:line="180"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Technology services revenues include technology licensing fees and agency commission fees. 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7" w:lineRule="exact"/>
        <w:rPr>
          <w:sz w:val="20"/>
          <w:szCs w:val="20"/>
          <w:color w:val="auto"/>
        </w:rPr>
      </w:pPr>
    </w:p>
    <w:p>
      <w:pPr>
        <w:jc w:val="both"/>
        <w:ind w:right="60" w:firstLine="315"/>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In July 2016, we made a minority investment in SBI Japannext Co., Ltd. (“SBI”), a proprietary trading system based in Tokyo.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131" w:lineRule="exact"/>
        <w:rPr>
          <w:sz w:val="20"/>
          <w:szCs w:val="20"/>
          <w:color w:val="auto"/>
        </w:rPr>
      </w:pPr>
    </w:p>
    <w:p>
      <w:pPr>
        <w:jc w:val="both"/>
        <w:ind w:right="100" w:firstLine="315"/>
        <w:spacing w:after="0" w:line="274" w:lineRule="auto"/>
        <w:rPr>
          <w:sz w:val="20"/>
          <w:szCs w:val="20"/>
          <w:color w:val="auto"/>
        </w:rPr>
      </w:pPr>
      <w:r>
        <w:rPr>
          <w:rFonts w:ascii="Arial" w:cs="Arial" w:eastAsia="Arial" w:hAnsi="Arial"/>
          <w:sz w:val="17"/>
          <w:szCs w:val="17"/>
          <w:color w:val="auto"/>
        </w:rPr>
        <w:t>We have interests in two telecommunications joint ventures (“JV”). We record our pro-rata share of each JV’s earnings or losses within other, net, while fees related to the use of communication services provided by the JVs are recorded within communications and data processing. In addition, we also recorded gains or losses on certain one-time transactions, including the sale of BondPoint, within other, net.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100" w:firstLine="315"/>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0"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are a result of the Acquisition of KCG, and they primarily represent payments to broker dealer clients,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normal course of business, for directing their order flow to us primarily in U.S. equities. Payments for order flow will fluctuate as we modify our rates and as the percentage of our clients with policies not to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61"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benefits, payroll taxes, severance and other employee related costs. Subsequent to the completion of a series of reorganization transactions prior to the IPO pursuant to which the Company became the sole managing member of Virtu Financial (the "Reorganization Transactions"). Employee compensation and payroll taxes includes non-cash compensation expenses with respect to the stock options and restricted stock units granted in connection with and subsequent to the IPO pursuant to the 2015 Management Incentive Plan.</w:t>
      </w:r>
    </w:p>
    <w:p>
      <w:pPr>
        <w:spacing w:after="0" w:line="181" w:lineRule="exact"/>
        <w:rPr>
          <w:sz w:val="20"/>
          <w:szCs w:val="20"/>
          <w:color w:val="auto"/>
        </w:rPr>
      </w:pPr>
    </w:p>
    <w:p>
      <w:pPr>
        <w:ind w:right="620" w:firstLine="315"/>
        <w:spacing w:after="0" w:line="323"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35"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expenses.</w:t>
      </w:r>
    </w:p>
    <w:p>
      <w:pPr>
        <w:spacing w:after="0" w:line="158" w:lineRule="exact"/>
        <w:rPr>
          <w:sz w:val="20"/>
          <w:szCs w:val="20"/>
          <w:color w:val="auto"/>
        </w:rPr>
      </w:pPr>
    </w:p>
    <w:p>
      <w:pPr>
        <w:ind w:right="40" w:firstLine="315"/>
        <w:spacing w:after="0" w:line="309"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expense results from the depreciation of fixed assets, such as computing and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1.5 to 2.5 years, which represents the estimated useful lives of the underlying software. We amortize leasehold improvements on a straight line basis over the lesser of the life of the improvement or the term of the lease.</w:t>
      </w:r>
    </w:p>
    <w:p>
      <w:pPr>
        <w:spacing w:after="0" w:line="150"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$1.9 million, $2.0 million and $120.7 million of assets acquired in connection with the acquisitions of certain assets from Nyenburgh Holding B.V., Teza Technologies (the "Teza Acquisition") and KCG, respectively. These assets are amortized over their useful lives, ranging from 1 to 17 years, except for certain assets which were categorized as having indefinite useful lives.</w:t>
      </w:r>
    </w:p>
    <w:p>
      <w:pPr>
        <w:spacing w:after="0" w:line="177"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one-time expense write-off on the present value of the future lease obligations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leases we abandoned in connection with the Acquisition of KCG. The aggregated write-off amount includes legal fees, broker fees and other miscellaneous expense associated with the abandonment.</w:t>
      </w:r>
    </w:p>
    <w:p>
      <w:pPr>
        <w:spacing w:after="0" w:line="131"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As a result of the refinancing or early termination of our debt, we accelerate the capitalized debt issue costs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discount on debt that would otherwise to be amortized or accreted over the life of the loan.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4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October 2017 sale of specified assets and assignment of specified liabilities constituting the Company's BondPoint division and fixed income venue ("BondPoint").</w:t>
      </w:r>
    </w:p>
    <w:p>
      <w:pPr>
        <w:spacing w:after="0" w:line="131" w:lineRule="exact"/>
        <w:rPr>
          <w:sz w:val="20"/>
          <w:szCs w:val="20"/>
          <w:color w:val="auto"/>
        </w:rPr>
      </w:pPr>
    </w:p>
    <w:p>
      <w:pPr>
        <w:ind w:right="220" w:firstLine="315"/>
        <w:spacing w:after="0" w:line="290" w:lineRule="auto"/>
        <w:rPr>
          <w:sz w:val="20"/>
          <w:szCs w:val="20"/>
          <w:color w:val="auto"/>
        </w:rPr>
      </w:pPr>
      <w:r>
        <w:rPr>
          <w:rFonts w:ascii="Arial" w:cs="Arial" w:eastAsia="Arial" w:hAnsi="Arial"/>
          <w:sz w:val="16"/>
          <w:szCs w:val="16"/>
          <w:b w:val="1"/>
          <w:bCs w:val="1"/>
          <w:i w:val="1"/>
          <w:iCs w:val="1"/>
          <w:color w:val="auto"/>
        </w:rPr>
        <w:t xml:space="preserve">Charges related to share based compensation at IPO. </w:t>
      </w:r>
      <w:r>
        <w:rPr>
          <w:rFonts w:ascii="Arial" w:cs="Arial" w:eastAsia="Arial" w:hAnsi="Arial"/>
          <w:sz w:val="16"/>
          <w:szCs w:val="16"/>
          <w:color w:val="auto"/>
        </w:rPr>
        <w:t>At the consummation of the IPO and through the three and six months ended June 30, 2018,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non-cash compensation expenses in respect of the outstanding time-vested Class B interests of the Company and Class B interests of Virtu East MIP LLC, net of capitalization and amortization of costs attributable to employees incurred in development of software for internal use, as defined and discussed in Note 17 "Share-based Compensation" of Part I “Financial Information” of this quarterly report on Form 10-Q.</w:t>
      </w:r>
    </w:p>
    <w:p>
      <w:pPr>
        <w:spacing w:after="0" w:line="161"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Prior to the consummation of the Reorganization Transactions and the IPO, our business was historically operated through a limited liability company that is treated as a partnership for U.S. federal income tax purposes, and as such, most of our income was not subject to U.S. federal and certain state income taxes. Our income tax expense for historical periods reflects taxes payable by certain of our non-U.S. subsidiaries. Subsequent to the consummation of the Reorganization Transactions and the IPO, we are subject to U.S. federal, state and local income tax at the rate applicable to corporations less the rate attributable to the noncontrolling interest in Virtu Financial.</w:t>
      </w:r>
    </w:p>
    <w:p>
      <w:pPr>
        <w:spacing w:after="0" w:line="181"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Our effective tax rate is subject to significant variation due to several factors, including variability in our pre-tax and taxable income and loss and the mix of jurisdictions to which they relate, changes in how we do business, acquisitions (including the Acquisition of KCG)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64" w:lineRule="exact"/>
        <w:rPr>
          <w:sz w:val="20"/>
          <w:szCs w:val="20"/>
          <w:color w:val="auto"/>
        </w:rPr>
      </w:pPr>
    </w:p>
    <w:p>
      <w:pPr>
        <w:ind w:right="20" w:firstLine="315"/>
        <w:spacing w:after="0" w:line="302" w:lineRule="auto"/>
        <w:rPr>
          <w:sz w:val="20"/>
          <w:szCs w:val="20"/>
          <w:color w:val="auto"/>
        </w:rPr>
      </w:pPr>
      <w:r>
        <w:rPr>
          <w:rFonts w:ascii="Arial" w:cs="Arial" w:eastAsia="Arial" w:hAnsi="Arial"/>
          <w:sz w:val="15"/>
          <w:szCs w:val="15"/>
          <w:color w:val="auto"/>
        </w:rPr>
        <w:t>Public Law No. 115-97, commonly referred to as the Tax Cuts and Jobs Act (the “2017 Tax Act”) was signed into law on December 22, 2017 and significantly revises the U.S. corporate income tax by, among other things, lowering the statutory corporate tax rate from 35% to 21%, and eliminating certain deductions. We have not completed our determination of the accounting implications of the 2017 Tax Act on our tax accruals. However, we have reasonably estimated the effects of the 2017 Tax Act and recorded provisional amounts in our financial statements as of June 30, 2018. We recorded a provisional deferred tax expense for the impact of the 2017 Tax Act of approximately $90.6 million, which is primarily composed of the remeasurement of federal net deferred tax assets as a result of the permanent reduction in the U.S. statutory corporate tax rate from 35% to 21%. As we complete our analysis of the 2017 Tax Act, collect and prepare necessary data, and interpret any additional guidance issued by the U.S. Treasury Department, the IRS, and other standard-setting bodies, we may make adjustments to the provisional amounts. Those adjustments may materially impact our provision for income taxes in the period in which the adjustments are made.</w:t>
      </w:r>
    </w:p>
    <w:p>
      <w:pPr>
        <w:spacing w:after="0" w:line="154" w:lineRule="exact"/>
        <w:rPr>
          <w:sz w:val="20"/>
          <w:szCs w:val="20"/>
          <w:color w:val="auto"/>
        </w:rPr>
      </w:pPr>
    </w:p>
    <w:p>
      <w:pPr>
        <w:ind w:right="280" w:firstLine="315"/>
        <w:spacing w:after="0" w:line="274"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14 "Income Taxes" of Part I “Financial Information” of this quarterly report on Form 10-Q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(“GAAP”), we use the following non-GAAP financial measures of financial performance:</w:t>
      </w:r>
    </w:p>
    <w:p>
      <w:pPr>
        <w:spacing w:after="0" w:line="158" w:lineRule="exact"/>
        <w:rPr>
          <w:sz w:val="20"/>
          <w:szCs w:val="20"/>
          <w:color w:val="auto"/>
        </w:rPr>
      </w:pPr>
    </w:p>
    <w:p>
      <w:pPr>
        <w:ind w:left="1020" w:right="300" w:hanging="228"/>
        <w:spacing w:after="0" w:line="27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and clearance fees,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p>
      <w:pPr>
        <w:ind w:left="1020"/>
        <w:spacing w:after="0" w:line="314" w:lineRule="auto"/>
        <w:rPr>
          <w:sz w:val="20"/>
          <w:szCs w:val="20"/>
          <w:color w:val="auto"/>
        </w:rPr>
      </w:pPr>
      <w:r>
        <w:rPr>
          <w:rFonts w:ascii="Arial" w:cs="Arial" w:eastAsia="Arial" w:hAnsi="Arial"/>
          <w:sz w:val="17"/>
          <w:szCs w:val="17"/>
          <w:color w:val="auto"/>
        </w:rPr>
        <w:t>net, and payments for order flow.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47" w:lineRule="exact"/>
        <w:rPr>
          <w:sz w:val="20"/>
          <w:szCs w:val="20"/>
          <w:color w:val="auto"/>
        </w:rPr>
      </w:pPr>
    </w:p>
    <w:p>
      <w:pPr>
        <w:ind w:left="1020" w:right="80" w:hanging="228"/>
        <w:spacing w:after="0" w:line="26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trading related settlement income, other, net, share based compensation, charges related to share based compensation at IPO, 2015 Management Incentive Plan, and charges related to share based compensation at IPO.</w:t>
      </w:r>
    </w:p>
    <w:p>
      <w:pPr>
        <w:spacing w:after="0" w:line="74" w:lineRule="exact"/>
        <w:rPr>
          <w:rFonts w:ascii="Arial" w:cs="Arial" w:eastAsia="Arial" w:hAnsi="Arial"/>
          <w:sz w:val="17"/>
          <w:szCs w:val="17"/>
          <w:color w:val="auto"/>
        </w:rPr>
      </w:pPr>
    </w:p>
    <w:p>
      <w:pPr>
        <w:ind w:left="1020" w:right="340" w:hanging="228"/>
        <w:spacing w:after="0" w:line="268"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 corporate tax rate of 23% for 2018 and 35.5% for 2017.</w:t>
      </w:r>
    </w:p>
    <w:p>
      <w:pPr>
        <w:spacing w:after="0" w:line="72" w:lineRule="exact"/>
        <w:rPr>
          <w:sz w:val="20"/>
          <w:szCs w:val="20"/>
          <w:color w:val="auto"/>
        </w:rPr>
      </w:pPr>
    </w:p>
    <w:p>
      <w:pPr>
        <w:ind w:firstLine="315"/>
        <w:spacing w:after="0" w:line="296" w:lineRule="auto"/>
        <w:rPr>
          <w:sz w:val="20"/>
          <w:szCs w:val="20"/>
          <w:color w:val="auto"/>
        </w:rPr>
      </w:pPr>
      <w:r>
        <w:rPr>
          <w:rFonts w:ascii="Arial" w:cs="Arial" w:eastAsia="Arial" w:hAnsi="Arial"/>
          <w:sz w:val="15"/>
          <w:szCs w:val="15"/>
          <w:color w:val="auto"/>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Fourth Amended and Restated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and Normalized 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37" w:lineRule="exact"/>
        <w:rPr>
          <w:sz w:val="20"/>
          <w:szCs w:val="20"/>
          <w:color w:val="auto"/>
        </w:rPr>
      </w:pPr>
    </w:p>
    <w:p>
      <w:pPr>
        <w:ind w:right="80" w:firstLine="315"/>
        <w:spacing w:after="0" w:line="262" w:lineRule="auto"/>
        <w:rPr>
          <w:sz w:val="20"/>
          <w:szCs w:val="20"/>
          <w:color w:val="auto"/>
        </w:rPr>
      </w:pPr>
      <w:r>
        <w:rPr>
          <w:rFonts w:ascii="Arial" w:cs="Arial" w:eastAsia="Arial" w:hAnsi="Arial"/>
          <w:sz w:val="17"/>
          <w:szCs w:val="17"/>
          <w:color w:val="auto"/>
        </w:rPr>
        <w:t>Adjusted Net Trading Income, EBITDA, Adjusted EBITDA, Normalized Adjusted Net Income, Normalized Adjusted Net Income before income taxes, Normalized provision for income taxes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and Normalized Adjusted EPS and our EBITDA-based measures have limitations as analytical tools, and you should not consider them in isolation or as substitutes for analysis of our results as reported under U.S. GAAP. Some of these limitations are:</w:t>
      </w:r>
    </w:p>
    <w:p>
      <w:pPr>
        <w:spacing w:after="0" w:line="327" w:lineRule="exact"/>
        <w:rPr>
          <w:sz w:val="20"/>
          <w:szCs w:val="20"/>
          <w:color w:val="auto"/>
        </w:rPr>
      </w:pPr>
    </w:p>
    <w:p>
      <w:pPr>
        <w:ind w:left="5620" w:right="2240" w:hanging="4828"/>
        <w:spacing w:after="0" w:line="709" w:lineRule="auto"/>
        <w:tabs>
          <w:tab w:leader="none" w:pos="10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 53</w:t>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1020" w:right="480" w:hanging="228"/>
        <w:spacing w:after="0" w:line="29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2" w:lineRule="exact"/>
        <w:rPr>
          <w:rFonts w:ascii="Arial" w:cs="Arial" w:eastAsia="Arial" w:hAnsi="Arial"/>
          <w:sz w:val="17"/>
          <w:szCs w:val="17"/>
          <w:color w:val="auto"/>
        </w:rPr>
      </w:pPr>
    </w:p>
    <w:p>
      <w:pPr>
        <w:ind w:left="1020" w:right="180" w:hanging="228"/>
        <w:spacing w:after="0" w:line="360"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120" w:lineRule="exact"/>
        <w:rPr>
          <w:sz w:val="20"/>
          <w:szCs w:val="20"/>
          <w:color w:val="auto"/>
        </w:rPr>
      </w:pPr>
    </w:p>
    <w:p>
      <w:pPr>
        <w:ind w:firstLine="315"/>
        <w:spacing w:after="0" w:line="276" w:lineRule="auto"/>
        <w:rPr>
          <w:sz w:val="20"/>
          <w:szCs w:val="20"/>
          <w:color w:val="auto"/>
        </w:rPr>
      </w:pPr>
      <w:r>
        <w:rPr>
          <w:rFonts w:ascii="Arial" w:cs="Arial" w:eastAsia="Arial" w:hAnsi="Arial"/>
          <w:sz w:val="16"/>
          <w:szCs w:val="16"/>
          <w:color w:val="auto"/>
        </w:rPr>
        <w:t>Because of these limitations, Adjusted Net Trading Income, EBITDA, Adjusted EBITDA, Normalized Adjusted Net Income, Normalized Adjusted Net Income before income taxes, Normalized provision for income taxes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and Normalized Adjusted EPS along with other comparative tools, together with U.S. GAAP measurements, to assist in the evaluation of operating performance. These</w:t>
      </w:r>
    </w:p>
    <w:p>
      <w:pPr>
        <w:spacing w:after="0" w:line="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U.S. GAAP measurements include operating Net Income, cash flows from operations and cash flow data. See below a reconciliation of each non-GAAP financial measure to the most directly comparable GAAP measure.</w:t>
      </w:r>
    </w:p>
    <w:p>
      <w:pPr>
        <w:spacing w:after="0" w:line="170"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following tables reconcile condensed consolidated statements of comprehensive income to arrive at EBITDA, Adjusted EBITDA, Adjusted Net Trading Income, and selected Operating Margins for the three and six months ended June 30, 2018, and 2017.</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80"/>
          </w:cols>
          <w:pgMar w:left="240" w:top="127" w:right="27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36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tcPr>
          <w:p>
            <w:pPr>
              <w:spacing w:after="0"/>
              <w:rPr>
                <w:sz w:val="20"/>
                <w:szCs w:val="20"/>
                <w:color w:val="auto"/>
              </w:rPr>
            </w:pPr>
            <w:r>
              <w:rPr>
                <w:rFonts w:ascii="Arial" w:cs="Arial" w:eastAsia="Arial" w:hAnsi="Arial"/>
                <w:sz w:val="14"/>
                <w:szCs w:val="14"/>
                <w:b w:val="1"/>
                <w:bCs w:val="1"/>
                <w:color w:val="auto"/>
                <w:w w:val="99"/>
              </w:rPr>
              <w:t>For the Three Months Ended June 30,</w:t>
            </w:r>
          </w:p>
        </w:tc>
        <w:tc>
          <w:tcPr>
            <w:tcW w:w="140" w:type="dxa"/>
            <w:vAlign w:val="bottom"/>
          </w:tcPr>
          <w:p>
            <w:pPr>
              <w:spacing w:after="0"/>
              <w:rPr>
                <w:sz w:val="16"/>
                <w:szCs w:val="16"/>
                <w:color w:val="auto"/>
              </w:rPr>
            </w:pPr>
          </w:p>
        </w:tc>
        <w:tc>
          <w:tcPr>
            <w:tcW w:w="22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w w:val="91"/>
              </w:rPr>
              <w:t>For the Six Months Ended June 30,</w:t>
            </w:r>
          </w:p>
        </w:tc>
      </w:tr>
      <w:tr>
        <w:trPr>
          <w:trHeight w:val="25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4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258,593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136,163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664,755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275,737</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21,937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5,629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39,886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10,503</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46,565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100,409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5,886</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(73,318)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(52,899)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(161,141)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(105,669)</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(15,842)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(32,098)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57"/>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(35,009)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(14,934)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(68,633)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(27,214)</w:t>
            </w:r>
          </w:p>
        </w:tc>
      </w:tr>
      <w:tr>
        <w:trPr>
          <w:trHeight w:val="24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202,926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77,066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543,178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159,243</w:t>
            </w:r>
          </w:p>
        </w:tc>
      </w:tr>
      <w:tr>
        <w:trPr>
          <w:trHeight w:val="276"/>
        </w:trPr>
        <w:tc>
          <w:tcPr>
            <w:tcW w:w="5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2"/>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46,622</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456,645</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25,487</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18,780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8,720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37,827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15,548</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Debt issue cost related to debt refinancing</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2,359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4,482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8,380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4,482</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16,194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6,798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31,546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13,555</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6,838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13,675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106</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61,515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3,587</w:t>
            </w:r>
          </w:p>
        </w:tc>
      </w:tr>
      <w:tr>
        <w:trPr>
          <w:trHeight w:val="237"/>
        </w:trPr>
        <w:tc>
          <w:tcPr>
            <w:tcW w:w="568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93,793</w:t>
            </w:r>
          </w:p>
        </w:tc>
        <w:tc>
          <w:tcPr>
            <w:tcW w:w="120" w:type="dxa"/>
            <w:vAlign w:val="bottom"/>
          </w:tcPr>
          <w:p>
            <w:pPr>
              <w:spacing w:after="0"/>
              <w:rPr>
                <w:sz w:val="20"/>
                <w:szCs w:val="20"/>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25,245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609,588</w:t>
            </w:r>
          </w:p>
        </w:tc>
        <w:tc>
          <w:tcPr>
            <w:tcW w:w="120" w:type="dxa"/>
            <w:vAlign w:val="bottom"/>
          </w:tcPr>
          <w:p>
            <w:pPr>
              <w:spacing w:after="0"/>
              <w:rPr>
                <w:sz w:val="20"/>
                <w:szCs w:val="20"/>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62,765</w:t>
            </w:r>
          </w:p>
        </w:tc>
      </w:tr>
      <w:tr>
        <w:trPr>
          <w:trHeight w:val="281"/>
        </w:trPr>
        <w:tc>
          <w:tcPr>
            <w:tcW w:w="5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6,334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877</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Reserve for legal matters</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(2,176)</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8,511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9,246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8,643</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21,860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Connectivity early termination</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4,562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7,062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business</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(337,549)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1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(49)</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write-off</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2,697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544</w:t>
            </w: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Share based compensation</w:t>
            </w:r>
          </w:p>
        </w:tc>
        <w:tc>
          <w:tcPr>
            <w:tcW w:w="12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5,204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7,253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13,121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14,833</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2,931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2,798</w:t>
            </w:r>
          </w:p>
        </w:tc>
      </w:tr>
      <w:tr>
        <w:trPr>
          <w:trHeight w:val="257"/>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Charges related to share based compensation awards at IPO</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364</w:t>
            </w:r>
          </w:p>
        </w:tc>
      </w:tr>
      <w:tr>
        <w:trPr>
          <w:trHeight w:val="24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112,350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40,940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335,134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88,599</w:t>
            </w:r>
          </w:p>
        </w:tc>
      </w:tr>
      <w:tr>
        <w:trPr>
          <w:trHeight w:val="276"/>
        </w:trPr>
        <w:tc>
          <w:tcPr>
            <w:tcW w:w="5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2"/>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Net Income Margin (1)</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68"/>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EBITDA Margin (2)</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252"/>
        </w:trPr>
        <w:tc>
          <w:tcPr>
            <w:tcW w:w="5680" w:type="dxa"/>
            <w:vAlign w:val="bottom"/>
            <w:gridSpan w:val="2"/>
          </w:tcPr>
          <w:p>
            <w:pPr>
              <w:ind w:left="20"/>
              <w:spacing w:after="0"/>
              <w:rPr>
                <w:sz w:val="20"/>
                <w:szCs w:val="20"/>
                <w:color w:val="auto"/>
              </w:rPr>
            </w:pPr>
            <w:r>
              <w:rPr>
                <w:rFonts w:ascii="Arial" w:cs="Arial" w:eastAsia="Arial" w:hAnsi="Arial"/>
                <w:sz w:val="14"/>
                <w:szCs w:val="14"/>
                <w:color w:val="auto"/>
              </w:rPr>
              <w:t>Adjusted EBITDA Margin (3)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1875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80"/>
          </w:cols>
          <w:pgMar w:left="240" w:top="127" w:right="57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560" w:firstLine="315"/>
        <w:spacing w:after="0" w:line="290" w:lineRule="auto"/>
        <w:rPr>
          <w:sz w:val="20"/>
          <w:szCs w:val="20"/>
          <w:color w:val="auto"/>
        </w:rPr>
      </w:pPr>
      <w:r>
        <w:rPr>
          <w:rFonts w:ascii="Arial" w:cs="Arial" w:eastAsia="Arial" w:hAnsi="Arial"/>
          <w:sz w:val="17"/>
          <w:szCs w:val="17"/>
          <w:color w:val="auto"/>
        </w:rPr>
        <w:t>The following tables reconcile Net Income to arrive at Normalized Adjusted Net Income before income taxes, Normalized provision for income taxes, Normalized Adjusted Net Income and Normalized Adjusted EPS.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6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5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46,622</w:t>
            </w:r>
          </w:p>
        </w:tc>
        <w:tc>
          <w:tcPr>
            <w:tcW w:w="120" w:type="dxa"/>
            <w:vAlign w:val="bottom"/>
          </w:tcPr>
          <w:p>
            <w:pPr>
              <w:spacing w:after="0"/>
              <w:rPr>
                <w:sz w:val="22"/>
                <w:szCs w:val="22"/>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4,413</w:t>
            </w:r>
          </w:p>
        </w:tc>
        <w:tc>
          <w:tcPr>
            <w:tcW w:w="120" w:type="dxa"/>
            <w:vAlign w:val="bottom"/>
          </w:tcPr>
          <w:p>
            <w:pPr>
              <w:spacing w:after="0"/>
              <w:rPr>
                <w:sz w:val="22"/>
                <w:szCs w:val="22"/>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456,645</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25,487</w:t>
            </w:r>
          </w:p>
        </w:tc>
      </w:tr>
      <w:tr>
        <w:trPr>
          <w:trHeight w:val="262"/>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779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61,515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3,587</w:t>
            </w:r>
          </w:p>
        </w:tc>
      </w:tr>
      <w:tr>
        <w:trPr>
          <w:trHeight w:val="242"/>
        </w:trPr>
        <w:tc>
          <w:tcPr>
            <w:tcW w:w="5960" w:type="dxa"/>
            <w:vAlign w:val="bottom"/>
          </w:tcPr>
          <w:p>
            <w:pPr>
              <w:ind w:left="140"/>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49,622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518,160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29,074</w:t>
            </w:r>
          </w:p>
        </w:tc>
      </w:tr>
      <w:tr>
        <w:trPr>
          <w:trHeight w:val="320"/>
        </w:trPr>
        <w:tc>
          <w:tcPr>
            <w:tcW w:w="5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6,838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13,675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106</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interest expense related to KCG transaction</w:t>
            </w:r>
          </w:p>
        </w:tc>
        <w:tc>
          <w:tcPr>
            <w:tcW w:w="2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1,616</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Debt issue cost related to debt refinancing</w:t>
            </w: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2,359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4,482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8,380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4,482</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Severance</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877</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Reserve for legal matters</w:t>
            </w: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(2,176)</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1,750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9,246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8,643</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Termination of office leases</w:t>
            </w: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1,777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21,860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Connectivity early termination</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4,562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Gain on sale of business</w:t>
            </w:r>
          </w:p>
        </w:tc>
        <w:tc>
          <w:tcPr>
            <w:tcW w:w="24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(337,549)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Write-down of assets</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1,102</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68"/>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13,121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14,833</w:t>
            </w:r>
          </w:p>
        </w:tc>
      </w:tr>
      <w:tr>
        <w:trPr>
          <w:trHeight w:val="257"/>
        </w:trPr>
        <w:tc>
          <w:tcPr>
            <w:tcW w:w="5960" w:type="dxa"/>
            <w:vAlign w:val="bottom"/>
          </w:tcPr>
          <w:p>
            <w:pPr>
              <w:ind w:left="14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2,931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2,798</w:t>
            </w:r>
          </w:p>
        </w:tc>
      </w:tr>
      <w:tr>
        <w:trPr>
          <w:trHeight w:val="262"/>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Charges related to share based compensation awards at IPO</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364</w:t>
            </w:r>
          </w:p>
        </w:tc>
      </w:tr>
      <w:tr>
        <w:trPr>
          <w:trHeight w:val="242"/>
        </w:trPr>
        <w:tc>
          <w:tcPr>
            <w:tcW w:w="5960" w:type="dxa"/>
            <w:vAlign w:val="bottom"/>
          </w:tcPr>
          <w:p>
            <w:pPr>
              <w:ind w:left="140"/>
              <w:spacing w:after="0"/>
              <w:rPr>
                <w:sz w:val="20"/>
                <w:szCs w:val="20"/>
                <w:color w:val="auto"/>
              </w:rPr>
            </w:pPr>
            <w:r>
              <w:rPr>
                <w:rFonts w:ascii="Arial" w:cs="Arial" w:eastAsia="Arial" w:hAnsi="Arial"/>
                <w:sz w:val="14"/>
                <w:szCs w:val="14"/>
                <w:color w:val="auto"/>
              </w:rPr>
              <w:t>Normalized Adjusted Net Income before income taxes</w:t>
            </w: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77,376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27,596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265,761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61,670</w:t>
            </w:r>
          </w:p>
        </w:tc>
      </w:tr>
      <w:tr>
        <w:trPr>
          <w:trHeight w:val="262"/>
        </w:trPr>
        <w:tc>
          <w:tcPr>
            <w:tcW w:w="5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Normalized provision for income taxes (1)</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17,796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9,797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61,125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21,893</w:t>
            </w:r>
          </w:p>
        </w:tc>
      </w:tr>
      <w:tr>
        <w:trPr>
          <w:trHeight w:val="242"/>
        </w:trPr>
        <w:tc>
          <w:tcPr>
            <w:tcW w:w="596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59,580</w:t>
            </w:r>
          </w:p>
        </w:tc>
        <w:tc>
          <w:tcPr>
            <w:tcW w:w="120" w:type="dxa"/>
            <w:vAlign w:val="bottom"/>
          </w:tcPr>
          <w:p>
            <w:pPr>
              <w:spacing w:after="0"/>
              <w:rPr>
                <w:sz w:val="21"/>
                <w:szCs w:val="21"/>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17,799</w:t>
            </w:r>
          </w:p>
        </w:tc>
        <w:tc>
          <w:tcPr>
            <w:tcW w:w="120" w:type="dxa"/>
            <w:vAlign w:val="bottom"/>
          </w:tcPr>
          <w:p>
            <w:pPr>
              <w:spacing w:after="0"/>
              <w:rPr>
                <w:sz w:val="21"/>
                <w:szCs w:val="21"/>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204,636</w:t>
            </w:r>
          </w:p>
        </w:tc>
        <w:tc>
          <w:tcPr>
            <w:tcW w:w="120" w:type="dxa"/>
            <w:vAlign w:val="bottom"/>
          </w:tcPr>
          <w:p>
            <w:pPr>
              <w:spacing w:after="0"/>
              <w:rPr>
                <w:sz w:val="21"/>
                <w:szCs w:val="21"/>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39,777</w:t>
            </w:r>
          </w:p>
        </w:tc>
      </w:tr>
      <w:tr>
        <w:trPr>
          <w:trHeight w:val="320"/>
        </w:trPr>
        <w:tc>
          <w:tcPr>
            <w:tcW w:w="5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191,142,871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140,764,500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190,320,527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140,764,500</w:t>
            </w:r>
          </w:p>
        </w:tc>
      </w:tr>
      <w:tr>
        <w:trPr>
          <w:trHeight w:val="320"/>
        </w:trPr>
        <w:tc>
          <w:tcPr>
            <w:tcW w:w="5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2"/>
        </w:trPr>
        <w:tc>
          <w:tcPr>
            <w:tcW w:w="596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1"/>
                <w:szCs w:val="21"/>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1"/>
                <w:szCs w:val="21"/>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1875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hanging="395"/>
        <w:spacing w:after="0"/>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23% for 2018 and 35.5% for 2017.</w:t>
      </w:r>
    </w:p>
    <w:p>
      <w:pPr>
        <w:spacing w:after="0" w:line="13" w:lineRule="exact"/>
        <w:rPr>
          <w:rFonts w:ascii="Arial" w:cs="Arial" w:eastAsia="Arial" w:hAnsi="Arial"/>
          <w:sz w:val="16"/>
          <w:szCs w:val="16"/>
          <w:color w:val="auto"/>
        </w:rPr>
      </w:pPr>
    </w:p>
    <w:p>
      <w:pPr>
        <w:ind w:left="400" w:right="40" w:hanging="395"/>
        <w:spacing w:after="0" w:line="258" w:lineRule="auto"/>
        <w:tabs>
          <w:tab w:leader="none" w:pos="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Assumes that (1) holders of all vested and unvested non-vesting common interest units in Virtu Financial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2015 Management Incentive Plan during the three and six months ended June 30, 2018 and 2017.</w:t>
      </w:r>
    </w:p>
    <w:p>
      <w:pPr>
        <w:spacing w:after="0" w:line="182"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 xml:space="preserve">The following tables reconcile trading income, net to Adjusted Net Trading Income by operating segment (in thousands) for the three and six months ended </w:t>
      </w:r>
      <w:r>
        <w:rPr>
          <w:rFonts w:ascii="Arial" w:cs="Arial" w:eastAsia="Arial" w:hAnsi="Arial"/>
          <w:sz w:val="15"/>
          <w:szCs w:val="15"/>
          <w:color w:val="auto"/>
        </w:rPr>
        <w:t>June 30, 2018</w:t>
      </w:r>
      <w:r>
        <w:rPr>
          <w:rFonts w:ascii="Arial" w:cs="Arial" w:eastAsia="Arial" w:hAnsi="Arial"/>
          <w:sz w:val="17"/>
          <w:szCs w:val="17"/>
          <w:color w:val="auto"/>
        </w:rPr>
        <w:t xml:space="preserve"> and </w:t>
      </w:r>
      <w:r>
        <w:rPr>
          <w:rFonts w:ascii="Arial" w:cs="Arial" w:eastAsia="Arial" w:hAnsi="Arial"/>
          <w:sz w:val="15"/>
          <w:szCs w:val="15"/>
          <w:color w:val="auto"/>
        </w:rPr>
        <w:t>2017</w:t>
      </w:r>
      <w:r>
        <w:rPr>
          <w:rFonts w:ascii="Arial" w:cs="Arial" w:eastAsia="Arial" w:hAnsi="Arial"/>
          <w:sz w:val="17"/>
          <w:szCs w:val="17"/>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50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June 30, 2018</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color w:val="auto"/>
              </w:rPr>
              <w:t>Execution Services</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color w:val="auto"/>
              </w:rPr>
              <w:t>Total</w:t>
            </w:r>
          </w:p>
        </w:tc>
      </w:tr>
      <w:tr>
        <w:trPr>
          <w:trHeight w:val="261"/>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258,629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258,593</w:t>
            </w:r>
          </w:p>
        </w:tc>
      </w:tr>
      <w:tr>
        <w:trPr>
          <w:trHeight w:val="257"/>
        </w:trPr>
        <w:tc>
          <w:tcPr>
            <w:tcW w:w="308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6,798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39,767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46,565</w:t>
            </w:r>
          </w:p>
        </w:tc>
      </w:tr>
      <w:tr>
        <w:trPr>
          <w:trHeight w:val="26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21,592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21,937</w:t>
            </w:r>
          </w:p>
        </w:tc>
      </w:tr>
      <w:tr>
        <w:trPr>
          <w:trHeight w:val="257"/>
        </w:trPr>
        <w:tc>
          <w:tcPr>
            <w:tcW w:w="308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(59,794)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(13,524)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(73,318)</w:t>
            </w:r>
          </w:p>
        </w:tc>
      </w:tr>
      <w:tr>
        <w:trPr>
          <w:trHeight w:val="26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(15,842)</w:t>
            </w:r>
          </w:p>
        </w:tc>
      </w:tr>
      <w:tr>
        <w:trPr>
          <w:trHeight w:val="25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(35,009)</w:t>
            </w:r>
          </w:p>
        </w:tc>
      </w:tr>
      <w:tr>
        <w:trPr>
          <w:trHeight w:val="235"/>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176,651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26,275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7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202,926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46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June 30, 2017</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6"/>
        </w:trPr>
        <w:tc>
          <w:tcPr>
            <w:tcW w:w="3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5"/>
              </w:rPr>
              <w:t>Market Making</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Execution Services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Corporate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Total</w:t>
            </w:r>
          </w:p>
        </w:tc>
      </w:tr>
      <w:tr>
        <w:trPr>
          <w:trHeight w:val="24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136,163</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3,107</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5,629</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(52,899)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(52,899)</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(14,934)</w:t>
            </w:r>
          </w:p>
        </w:tc>
      </w:tr>
      <w:tr>
        <w:trPr>
          <w:trHeight w:val="235"/>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77,066</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46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 2018</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6"/>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Market Making</w:t>
            </w: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Execution Services</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Corporate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90"/>
              <w:spacing w:after="0"/>
              <w:rPr>
                <w:sz w:val="20"/>
                <w:szCs w:val="20"/>
                <w:color w:val="auto"/>
              </w:rPr>
            </w:pPr>
            <w:r>
              <w:rPr>
                <w:rFonts w:ascii="Arial" w:cs="Arial" w:eastAsia="Arial" w:hAnsi="Arial"/>
                <w:sz w:val="14"/>
                <w:szCs w:val="14"/>
                <w:color w:val="auto"/>
              </w:rPr>
              <w:t>Total</w:t>
            </w:r>
          </w:p>
        </w:tc>
      </w:tr>
      <w:tr>
        <w:trPr>
          <w:trHeight w:val="26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664,338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417</w:t>
            </w: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664,755</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15,299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85,110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100,409</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39,361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39,886</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(128,866)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(32,275)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(161,141)</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(32,098)</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(67,954)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(68,633)</w:t>
            </w:r>
          </w:p>
        </w:tc>
      </w:tr>
      <w:tr>
        <w:trPr>
          <w:trHeight w:val="235"/>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490,155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52,988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543,178</w:t>
            </w: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tbl>
      <w:tblPr>
        <w:tblLayout w:type="fixed"/>
        <w:tblInd w:w="146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 2017</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6"/>
        </w:trPr>
        <w:tc>
          <w:tcPr>
            <w:tcW w:w="34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95"/>
              </w:rPr>
              <w:t>Market Making</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Execution Services</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Corporate</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Total</w:t>
            </w:r>
          </w:p>
        </w:tc>
      </w:tr>
      <w:tr>
        <w:trPr>
          <w:trHeight w:val="24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275,737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275,737</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5,886</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10,503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10,503</w:t>
            </w: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(105,669)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(105,669)</w:t>
            </w:r>
          </w:p>
        </w:tc>
      </w:tr>
      <w:tr>
        <w:trPr>
          <w:trHeight w:val="26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(27,214)</w:t>
            </w:r>
          </w:p>
        </w:tc>
      </w:tr>
      <w:tr>
        <w:trPr>
          <w:trHeight w:val="235"/>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153,357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159,243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The following tables show our Adjusted Net Trading Income and average daily Adjusted Net Trading Income by category for the three and six months ended June 30, 2018 and 2017 (in thousands, except percentages):</w:t>
      </w:r>
    </w:p>
    <w:p>
      <w:pPr>
        <w:spacing w:after="0" w:line="18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180"/>
          </w:cols>
          <w:pgMar w:left="240" w:top="127" w:right="47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5"/>
              </w:rPr>
              <w:t>Three Months Ended June 30,</w:t>
            </w:r>
          </w:p>
        </w:tc>
        <w:tc>
          <w:tcPr>
            <w:tcW w:w="1140" w:type="dxa"/>
            <w:vAlign w:val="bottom"/>
            <w:tcBorders>
              <w:bottom w:val="single" w:sz="8" w:color="auto"/>
            </w:tcBorders>
          </w:tcPr>
          <w:p>
            <w:pPr>
              <w:spacing w:after="0"/>
              <w:rPr>
                <w:sz w:val="16"/>
                <w:szCs w:val="16"/>
                <w:color w:val="auto"/>
              </w:rPr>
            </w:pPr>
          </w:p>
        </w:tc>
      </w:tr>
      <w:tr>
        <w:trPr>
          <w:trHeight w:val="25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1"/>
              </w:rPr>
              <w:t>% Change</w:t>
            </w:r>
          </w:p>
        </w:tc>
      </w:tr>
      <w:tr>
        <w:trPr>
          <w:trHeight w:val="26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Americas Equities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122,364</w:t>
            </w:r>
          </w:p>
        </w:tc>
        <w:tc>
          <w:tcPr>
            <w:tcW w:w="120" w:type="dxa"/>
            <w:vAlign w:val="bottom"/>
          </w:tcPr>
          <w:p>
            <w:pPr>
              <w:spacing w:after="0"/>
              <w:rPr>
                <w:sz w:val="22"/>
                <w:szCs w:val="22"/>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23,950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center"/>
              <w:ind w:right="210"/>
              <w:spacing w:after="0"/>
              <w:rPr>
                <w:sz w:val="20"/>
                <w:szCs w:val="20"/>
                <w:color w:val="auto"/>
              </w:rPr>
            </w:pPr>
            <w:r>
              <w:rPr>
                <w:rFonts w:ascii="Arial" w:cs="Arial" w:eastAsia="Arial" w:hAnsi="Arial"/>
                <w:sz w:val="14"/>
                <w:szCs w:val="14"/>
                <w:color w:val="auto"/>
                <w:w w:val="88"/>
              </w:rPr>
              <w:t>410.9%</w:t>
            </w: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17,045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21,714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93"/>
              </w:rPr>
              <w:t>(21.5)%</w:t>
            </w: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Global FICC, Options and Other</w:t>
            </w: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36,287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30,811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center"/>
              <w:ind w:right="190"/>
              <w:spacing w:after="0"/>
              <w:rPr>
                <w:sz w:val="20"/>
                <w:szCs w:val="20"/>
                <w:color w:val="auto"/>
              </w:rPr>
            </w:pPr>
            <w:r>
              <w:rPr>
                <w:rFonts w:ascii="Arial" w:cs="Arial" w:eastAsia="Arial" w:hAnsi="Arial"/>
                <w:sz w:val="14"/>
                <w:szCs w:val="14"/>
                <w:color w:val="auto"/>
                <w:w w:val="90"/>
              </w:rPr>
              <w:t>17.8%</w:t>
            </w: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rPr>
              <w:t>NM</w:t>
            </w:r>
          </w:p>
        </w:tc>
      </w:tr>
      <w:tr>
        <w:trPr>
          <w:trHeight w:val="242"/>
        </w:trPr>
        <w:tc>
          <w:tcPr>
            <w:tcW w:w="3900" w:type="dxa"/>
            <w:vAlign w:val="bottom"/>
          </w:tcPr>
          <w:p>
            <w:pPr>
              <w:ind w:left="20"/>
              <w:spacing w:after="0"/>
              <w:rPr>
                <w:sz w:val="20"/>
                <w:szCs w:val="20"/>
                <w:color w:val="auto"/>
              </w:rPr>
            </w:pPr>
            <w:r>
              <w:rPr>
                <w:rFonts w:ascii="Arial" w:cs="Arial" w:eastAsia="Arial" w:hAnsi="Arial"/>
                <w:sz w:val="14"/>
                <w:szCs w:val="14"/>
                <w:color w:val="auto"/>
              </w:rPr>
              <w:t>Total Market Making</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176,651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73,959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center"/>
              <w:ind w:right="210"/>
              <w:spacing w:after="0"/>
              <w:rPr>
                <w:sz w:val="20"/>
                <w:szCs w:val="20"/>
                <w:color w:val="auto"/>
              </w:rPr>
            </w:pPr>
            <w:r>
              <w:rPr>
                <w:rFonts w:ascii="Arial" w:cs="Arial" w:eastAsia="Arial" w:hAnsi="Arial"/>
                <w:sz w:val="14"/>
                <w:szCs w:val="14"/>
                <w:color w:val="auto"/>
                <w:w w:val="88"/>
              </w:rPr>
              <w:t>138.8%</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Execution Services</w:t>
            </w: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26,276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center"/>
              <w:ind w:right="210"/>
              <w:spacing w:after="0"/>
              <w:rPr>
                <w:sz w:val="20"/>
                <w:szCs w:val="20"/>
                <w:color w:val="auto"/>
              </w:rPr>
            </w:pPr>
            <w:r>
              <w:rPr>
                <w:rFonts w:ascii="Arial" w:cs="Arial" w:eastAsia="Arial" w:hAnsi="Arial"/>
                <w:sz w:val="14"/>
                <w:szCs w:val="14"/>
                <w:color w:val="auto"/>
                <w:w w:val="88"/>
              </w:rPr>
              <w:t>745.7%</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140" w:type="dxa"/>
            <w:vAlign w:val="bottom"/>
          </w:tcPr>
          <w:p>
            <w:pPr>
              <w:jc w:val="center"/>
              <w:ind w:right="210"/>
              <w:spacing w:after="0"/>
              <w:rPr>
                <w:sz w:val="20"/>
                <w:szCs w:val="20"/>
                <w:color w:val="auto"/>
              </w:rPr>
            </w:pPr>
            <w:r>
              <w:rPr>
                <w:rFonts w:ascii="Arial" w:cs="Arial" w:eastAsia="Arial" w:hAnsi="Arial"/>
                <w:sz w:val="14"/>
                <w:szCs w:val="14"/>
                <w:color w:val="auto"/>
              </w:rPr>
              <w:t>NM</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6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202,926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77,066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color w:val="auto"/>
                <w:w w:val="88"/>
              </w:rPr>
              <w:t>163.3%</w:t>
            </w:r>
          </w:p>
        </w:tc>
      </w:tr>
      <w:tr>
        <w:trPr>
          <w:trHeight w:val="255"/>
        </w:trPr>
        <w:tc>
          <w:tcPr>
            <w:tcW w:w="3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bl>
    <w:p>
      <w:pPr>
        <w:spacing w:after="0" w:line="69"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w:t>
            </w: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5"/>
              </w:rPr>
              <w:t>Three Months Ended June 30,</w:t>
            </w:r>
          </w:p>
        </w:tc>
        <w:tc>
          <w:tcPr>
            <w:tcW w:w="1140" w:type="dxa"/>
            <w:vAlign w:val="bottom"/>
            <w:tcBorders>
              <w:bottom w:val="single" w:sz="8" w:color="auto"/>
            </w:tcBorders>
          </w:tcPr>
          <w:p>
            <w:pPr>
              <w:spacing w:after="0"/>
              <w:rPr>
                <w:sz w:val="16"/>
                <w:szCs w:val="16"/>
                <w:color w:val="auto"/>
              </w:rPr>
            </w:pPr>
          </w:p>
        </w:tc>
      </w:tr>
      <w:tr>
        <w:trPr>
          <w:trHeight w:val="26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4"/>
                <w:szCs w:val="14"/>
                <w:b w:val="1"/>
                <w:bCs w:val="1"/>
                <w:color w:val="auto"/>
                <w:w w:val="91"/>
              </w:rPr>
              <w:t>% Change</w:t>
            </w:r>
          </w:p>
        </w:tc>
      </w:tr>
      <w:tr>
        <w:trPr>
          <w:trHeight w:val="250"/>
        </w:trPr>
        <w:tc>
          <w:tcPr>
            <w:tcW w:w="390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 Equities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1,912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88"/>
              </w:rPr>
              <w:t>402.9%</w:t>
            </w: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ROW Equities</w:t>
            </w: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center"/>
              <w:ind w:right="210"/>
              <w:spacing w:after="0"/>
              <w:rPr>
                <w:sz w:val="20"/>
                <w:szCs w:val="20"/>
                <w:color w:val="auto"/>
              </w:rPr>
            </w:pPr>
            <w:r>
              <w:rPr>
                <w:rFonts w:ascii="Arial" w:cs="Arial" w:eastAsia="Arial" w:hAnsi="Arial"/>
                <w:sz w:val="14"/>
                <w:szCs w:val="14"/>
                <w:color w:val="auto"/>
                <w:w w:val="93"/>
              </w:rPr>
              <w:t>(22.7)%</w:t>
            </w: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0"/>
              </w:rPr>
              <w:t>15.9%</w:t>
            </w:r>
          </w:p>
        </w:tc>
      </w:tr>
      <w:tr>
        <w:trPr>
          <w:trHeight w:val="25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center"/>
              <w:ind w:right="210"/>
              <w:spacing w:after="0"/>
              <w:rPr>
                <w:sz w:val="20"/>
                <w:szCs w:val="20"/>
                <w:color w:val="auto"/>
              </w:rPr>
            </w:pPr>
            <w:r>
              <w:rPr>
                <w:rFonts w:ascii="Arial" w:cs="Arial" w:eastAsia="Arial" w:hAnsi="Arial"/>
                <w:sz w:val="14"/>
                <w:szCs w:val="14"/>
                <w:color w:val="auto"/>
              </w:rPr>
              <w:t>NM</w:t>
            </w:r>
          </w:p>
        </w:tc>
      </w:tr>
      <w:tr>
        <w:trPr>
          <w:trHeight w:val="24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88"/>
              </w:rPr>
              <w:t>135.1%</w:t>
            </w:r>
          </w:p>
        </w:tc>
      </w:tr>
      <w:tr>
        <w:trPr>
          <w:trHeight w:val="276"/>
        </w:trPr>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88"/>
              </w:rPr>
              <w:t>733.4%</w:t>
            </w:r>
          </w:p>
        </w:tc>
      </w:tr>
      <w:tr>
        <w:trPr>
          <w:trHeight w:val="276"/>
        </w:trPr>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rPr>
              <w:t>NM</w:t>
            </w:r>
          </w:p>
        </w:tc>
      </w:tr>
      <w:tr>
        <w:trPr>
          <w:trHeight w:val="276"/>
        </w:trPr>
        <w:tc>
          <w:tcPr>
            <w:tcW w:w="39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2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3,171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4"/>
                <w:szCs w:val="14"/>
                <w:color w:val="auto"/>
                <w:w w:val="88"/>
              </w:rPr>
              <w:t>159.2%</w:t>
            </w:r>
          </w:p>
        </w:tc>
      </w:tr>
      <w:tr>
        <w:trPr>
          <w:trHeight w:val="20"/>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219"/>
          </w:cols>
          <w:pgMar w:left="240" w:top="127" w:right="1440"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c>
          <w:tcPr>
            <w:tcW w:w="1180" w:type="dxa"/>
            <w:vAlign w:val="bottom"/>
            <w:tcBorders>
              <w:bottom w:val="single" w:sz="8" w:color="auto"/>
            </w:tcBorders>
          </w:tcPr>
          <w:p>
            <w:pPr>
              <w:spacing w:after="0"/>
              <w:rPr>
                <w:sz w:val="16"/>
                <w:szCs w:val="16"/>
                <w:color w:val="auto"/>
              </w:rPr>
            </w:pPr>
          </w:p>
        </w:tc>
      </w:tr>
      <w:tr>
        <w:trPr>
          <w:trHeight w:val="25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91"/>
              </w:rPr>
              <w:t>% Change</w:t>
            </w:r>
          </w:p>
        </w:tc>
      </w:tr>
      <w:tr>
        <w:trPr>
          <w:trHeight w:val="26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Americas Equities</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338,060</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52,001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4"/>
                <w:szCs w:val="14"/>
                <w:color w:val="auto"/>
                <w:w w:val="88"/>
              </w:rPr>
              <w:t>550.1%</w:t>
            </w: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40,448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50"/>
              <w:spacing w:after="0"/>
              <w:rPr>
                <w:sz w:val="20"/>
                <w:szCs w:val="20"/>
                <w:color w:val="auto"/>
              </w:rPr>
            </w:pPr>
            <w:r>
              <w:rPr>
                <w:rFonts w:ascii="Arial" w:cs="Arial" w:eastAsia="Arial" w:hAnsi="Arial"/>
                <w:sz w:val="14"/>
                <w:szCs w:val="14"/>
                <w:color w:val="auto"/>
                <w:w w:val="90"/>
              </w:rPr>
              <w:t>24.6%</w:t>
            </w: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Global FICC, Options and Other</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102,546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64,941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right="150"/>
              <w:spacing w:after="0"/>
              <w:rPr>
                <w:sz w:val="20"/>
                <w:szCs w:val="20"/>
                <w:color w:val="auto"/>
              </w:rPr>
            </w:pPr>
            <w:r>
              <w:rPr>
                <w:rFonts w:ascii="Arial" w:cs="Arial" w:eastAsia="Arial" w:hAnsi="Arial"/>
                <w:sz w:val="14"/>
                <w:szCs w:val="14"/>
                <w:color w:val="auto"/>
                <w:w w:val="90"/>
              </w:rPr>
              <w:t>57.9%</w:t>
            </w: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rPr>
              <w:t>NM</w:t>
            </w:r>
          </w:p>
        </w:tc>
      </w:tr>
      <w:tr>
        <w:trPr>
          <w:trHeight w:val="242"/>
        </w:trPr>
        <w:tc>
          <w:tcPr>
            <w:tcW w:w="3900" w:type="dxa"/>
            <w:vAlign w:val="bottom"/>
          </w:tcPr>
          <w:p>
            <w:pPr>
              <w:ind w:left="20"/>
              <w:spacing w:after="0"/>
              <w:rPr>
                <w:sz w:val="20"/>
                <w:szCs w:val="20"/>
                <w:color w:val="auto"/>
              </w:rPr>
            </w:pPr>
            <w:r>
              <w:rPr>
                <w:rFonts w:ascii="Arial" w:cs="Arial" w:eastAsia="Arial" w:hAnsi="Arial"/>
                <w:sz w:val="14"/>
                <w:szCs w:val="14"/>
                <w:color w:val="auto"/>
              </w:rPr>
              <w:t>Total Market Making</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490,155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153,357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center"/>
              <w:ind w:right="170"/>
              <w:spacing w:after="0"/>
              <w:rPr>
                <w:sz w:val="20"/>
                <w:szCs w:val="20"/>
                <w:color w:val="auto"/>
              </w:rPr>
            </w:pPr>
            <w:r>
              <w:rPr>
                <w:rFonts w:ascii="Arial" w:cs="Arial" w:eastAsia="Arial" w:hAnsi="Arial"/>
                <w:sz w:val="14"/>
                <w:szCs w:val="14"/>
                <w:color w:val="auto"/>
                <w:w w:val="88"/>
              </w:rPr>
              <w:t>219.6%</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Execution Services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52,988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4"/>
                <w:szCs w:val="14"/>
                <w:color w:val="auto"/>
                <w:w w:val="88"/>
              </w:rPr>
              <w:t>800.2%</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Corporate</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right="170"/>
              <w:spacing w:after="0"/>
              <w:rPr>
                <w:sz w:val="20"/>
                <w:szCs w:val="20"/>
                <w:color w:val="auto"/>
              </w:rPr>
            </w:pPr>
            <w:r>
              <w:rPr>
                <w:rFonts w:ascii="Arial" w:cs="Arial" w:eastAsia="Arial" w:hAnsi="Arial"/>
                <w:sz w:val="14"/>
                <w:szCs w:val="14"/>
                <w:color w:val="auto"/>
              </w:rPr>
              <w:t>NM</w:t>
            </w:r>
          </w:p>
        </w:tc>
      </w:tr>
      <w:tr>
        <w:trPr>
          <w:trHeight w:val="281"/>
        </w:trPr>
        <w:tc>
          <w:tcPr>
            <w:tcW w:w="39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543,178</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159,243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center"/>
              <w:ind w:right="170"/>
              <w:spacing w:after="0"/>
              <w:rPr>
                <w:sz w:val="20"/>
                <w:szCs w:val="20"/>
                <w:color w:val="auto"/>
              </w:rPr>
            </w:pPr>
            <w:r>
              <w:rPr>
                <w:rFonts w:ascii="Arial" w:cs="Arial" w:eastAsia="Arial" w:hAnsi="Arial"/>
                <w:sz w:val="14"/>
                <w:szCs w:val="14"/>
                <w:color w:val="auto"/>
                <w:w w:val="88"/>
              </w:rPr>
              <w:t>241.1%</w:t>
            </w:r>
          </w:p>
        </w:tc>
      </w:tr>
      <w:tr>
        <w:trPr>
          <w:trHeight w:val="255"/>
        </w:trPr>
        <w:tc>
          <w:tcPr>
            <w:tcW w:w="39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r>
    </w:tbl>
    <w:p>
      <w:pPr>
        <w:spacing w:after="0" w:line="69"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Six Months Ended June 30,</w:t>
            </w:r>
          </w:p>
        </w:tc>
        <w:tc>
          <w:tcPr>
            <w:tcW w:w="1180" w:type="dxa"/>
            <w:vAlign w:val="bottom"/>
            <w:tcBorders>
              <w:bottom w:val="single" w:sz="8" w:color="auto"/>
            </w:tcBorders>
          </w:tcPr>
          <w:p>
            <w:pPr>
              <w:spacing w:after="0"/>
              <w:rPr>
                <w:sz w:val="16"/>
                <w:szCs w:val="16"/>
                <w:color w:val="auto"/>
              </w:rPr>
            </w:pPr>
          </w:p>
        </w:tc>
      </w:tr>
      <w:tr>
        <w:trPr>
          <w:trHeight w:val="261"/>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center"/>
              <w:ind w:right="170"/>
              <w:spacing w:after="0"/>
              <w:rPr>
                <w:sz w:val="20"/>
                <w:szCs w:val="20"/>
                <w:color w:val="auto"/>
              </w:rPr>
            </w:pPr>
            <w:r>
              <w:rPr>
                <w:rFonts w:ascii="Arial" w:cs="Arial" w:eastAsia="Arial" w:hAnsi="Arial"/>
                <w:sz w:val="14"/>
                <w:szCs w:val="14"/>
                <w:b w:val="1"/>
                <w:bCs w:val="1"/>
                <w:color w:val="auto"/>
                <w:w w:val="91"/>
              </w:rPr>
              <w:t>% Change</w:t>
            </w:r>
          </w:p>
        </w:tc>
      </w:tr>
      <w:tr>
        <w:trPr>
          <w:trHeight w:val="250"/>
        </w:trPr>
        <w:tc>
          <w:tcPr>
            <w:tcW w:w="390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 Equities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8"/>
              </w:rPr>
              <w:t>550.1%</w:t>
            </w: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ROW Equities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center"/>
              <w:ind w:right="150"/>
              <w:spacing w:after="0"/>
              <w:rPr>
                <w:sz w:val="20"/>
                <w:szCs w:val="20"/>
                <w:color w:val="auto"/>
              </w:rPr>
            </w:pPr>
            <w:r>
              <w:rPr>
                <w:rFonts w:ascii="Arial" w:cs="Arial" w:eastAsia="Arial" w:hAnsi="Arial"/>
                <w:sz w:val="14"/>
                <w:szCs w:val="14"/>
                <w:color w:val="auto"/>
                <w:w w:val="90"/>
              </w:rPr>
              <w:t>24.4%</w:t>
            </w:r>
          </w:p>
        </w:tc>
      </w:tr>
      <w:tr>
        <w:trPr>
          <w:trHeight w:val="26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center"/>
              <w:ind w:right="150"/>
              <w:spacing w:after="0"/>
              <w:rPr>
                <w:sz w:val="20"/>
                <w:szCs w:val="20"/>
                <w:color w:val="auto"/>
              </w:rPr>
            </w:pPr>
            <w:r>
              <w:rPr>
                <w:rFonts w:ascii="Arial" w:cs="Arial" w:eastAsia="Arial" w:hAnsi="Arial"/>
                <w:sz w:val="14"/>
                <w:szCs w:val="14"/>
                <w:color w:val="auto"/>
                <w:w w:val="90"/>
              </w:rPr>
              <w:t>57.8%</w:t>
            </w:r>
          </w:p>
        </w:tc>
      </w:tr>
      <w:tr>
        <w:trPr>
          <w:trHeight w:val="257"/>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70"/>
              <w:spacing w:after="0"/>
              <w:rPr>
                <w:sz w:val="20"/>
                <w:szCs w:val="20"/>
                <w:color w:val="auto"/>
              </w:rPr>
            </w:pPr>
            <w:r>
              <w:rPr>
                <w:rFonts w:ascii="Arial" w:cs="Arial" w:eastAsia="Arial" w:hAnsi="Arial"/>
                <w:sz w:val="14"/>
                <w:szCs w:val="14"/>
                <w:color w:val="auto"/>
              </w:rPr>
              <w:t>NM</w:t>
            </w:r>
          </w:p>
        </w:tc>
      </w:tr>
      <w:tr>
        <w:trPr>
          <w:trHeight w:val="248"/>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3,921</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8"/>
              </w:rPr>
              <w:t>219.3%</w:t>
            </w:r>
          </w:p>
        </w:tc>
      </w:tr>
      <w:tr>
        <w:trPr>
          <w:trHeight w:val="276"/>
        </w:trPr>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8"/>
              </w:rPr>
              <w:t>800.2%</w:t>
            </w:r>
          </w:p>
        </w:tc>
      </w:tr>
      <w:tr>
        <w:trPr>
          <w:trHeight w:val="276"/>
        </w:trPr>
        <w:tc>
          <w:tcPr>
            <w:tcW w:w="3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6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rPr>
              <w:t>NM</w:t>
            </w:r>
          </w:p>
        </w:tc>
      </w:tr>
      <w:tr>
        <w:trPr>
          <w:trHeight w:val="276"/>
        </w:trPr>
        <w:tc>
          <w:tcPr>
            <w:tcW w:w="39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0"/>
              <w:spacing w:after="0"/>
              <w:rPr>
                <w:sz w:val="20"/>
                <w:szCs w:val="20"/>
                <w:color w:val="auto"/>
              </w:rPr>
            </w:pPr>
            <w:r>
              <w:rPr>
                <w:rFonts w:ascii="Arial" w:cs="Arial" w:eastAsia="Arial" w:hAnsi="Arial"/>
                <w:sz w:val="14"/>
                <w:szCs w:val="14"/>
                <w:color w:val="auto"/>
                <w:w w:val="88"/>
              </w:rPr>
              <w:t>240.8%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75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firstLine="5"/>
        <w:spacing w:after="0" w:line="328" w:lineRule="auto"/>
        <w:tabs>
          <w:tab w:leader="none" w:pos="813"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our methodology for recording “trading income, net” in our condensed consolidated statements of comprehensive income from Part I “Financial Information”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GAAP. We do not allocate any resulting differences based on the timing of revenue recognition.</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2018 Compared to Three Months Ended June 30, 2017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80" w:firstLine="630"/>
        <w:spacing w:after="0" w:line="298" w:lineRule="auto"/>
        <w:rPr>
          <w:sz w:val="20"/>
          <w:szCs w:val="20"/>
          <w:color w:val="auto"/>
        </w:rPr>
      </w:pPr>
      <w:r>
        <w:rPr>
          <w:rFonts w:ascii="Arial" w:cs="Arial" w:eastAsia="Arial" w:hAnsi="Arial"/>
          <w:sz w:val="16"/>
          <w:szCs w:val="16"/>
          <w:color w:val="auto"/>
        </w:rPr>
        <w:t>Our total revenues increased $183.2 million, or 126.5%, to $328.1 million for the three months ended June 30, 2018, compared to $144.9 million for the three months ended June 30, 2017. This increase was primarily attributable to the Acquisition of KCG, which resulted in increases in trading income, net, of $122.4 million, commissions, net and technology services of $43.5 million, interest and dividends income of $16.3 million, and other, net, of $1.0 million.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operating segment for the three months ended June 30, 2018 and 2017.</w:t>
      </w:r>
    </w:p>
    <w:p>
      <w:pPr>
        <w:sectPr>
          <w:pgSz w:w="11900" w:h="16838" w:orient="portrait"/>
          <w:cols w:equalWidth="0" w:num="1">
            <w:col w:w="11380"/>
          </w:cols>
          <w:pgMar w:left="240" w:top="127" w:right="279"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80"/>
          </w:cols>
          <w:pgMar w:left="240" w:top="127" w:right="279" w:bottom="1440" w:gutter="0" w:footer="0" w:header="0"/>
          <w:type w:val="continuous"/>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48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9"/>
              </w:rPr>
              <w:t>Three Months Ended June 30,</w:t>
            </w:r>
          </w:p>
        </w:tc>
        <w:tc>
          <w:tcPr>
            <w:tcW w:w="1600" w:type="dxa"/>
            <w:vAlign w:val="bottom"/>
            <w:tcBorders>
              <w:bottom w:val="single" w:sz="8" w:color="auto"/>
            </w:tcBorders>
          </w:tcPr>
          <w:p>
            <w:pPr>
              <w:spacing w:after="0"/>
              <w:rPr>
                <w:sz w:val="16"/>
                <w:szCs w:val="16"/>
                <w:color w:val="auto"/>
              </w:rPr>
            </w:pPr>
          </w:p>
        </w:tc>
      </w:tr>
      <w:tr>
        <w:trPr>
          <w:trHeight w:val="25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258,629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136,163</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89.9%</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21,592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283.6%</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6,798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75"/>
        </w:trPr>
        <w:tc>
          <w:tcPr>
            <w:tcW w:w="3440" w:type="dxa"/>
            <w:vAlign w:val="bottom"/>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287,695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141,792</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102.9%</w:t>
            </w:r>
          </w:p>
        </w:tc>
      </w:tr>
      <w:tr>
        <w:trPr>
          <w:trHeight w:val="255"/>
        </w:trPr>
        <w:tc>
          <w:tcPr>
            <w:tcW w:w="34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CCEEFF"/>
            </w:tcBorders>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39,767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1,179.9%</w:t>
            </w:r>
          </w:p>
        </w:tc>
      </w:tr>
      <w:tr>
        <w:trPr>
          <w:trHeight w:val="257"/>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698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40,774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1212%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255"/>
        </w:trPr>
        <w:tc>
          <w:tcPr>
            <w:tcW w:w="3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3,018.2%</w:t>
            </w:r>
          </w:p>
        </w:tc>
      </w:tr>
      <w:tr>
        <w:trPr>
          <w:trHeight w:val="275"/>
        </w:trPr>
        <w:tc>
          <w:tcPr>
            <w:tcW w:w="3440" w:type="dxa"/>
            <w:vAlign w:val="bottom"/>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3018.2%</w:t>
            </w:r>
          </w:p>
        </w:tc>
      </w:tr>
      <w:tr>
        <w:trPr>
          <w:trHeight w:val="255"/>
        </w:trPr>
        <w:tc>
          <w:tcPr>
            <w:tcW w:w="34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CCEEFF"/>
            </w:tcBorders>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258,593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136,163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89.9%</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21,937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5,629</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289.7%</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46,565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3,107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1,398.7%</w:t>
            </w:r>
          </w:p>
        </w:tc>
      </w:tr>
      <w:tr>
        <w:trPr>
          <w:trHeight w:val="257"/>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328,126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144,888</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126.5%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is primarily earned by our Market Making segment. Trading income, net increased $122.4 million, or 89.9%,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$258.6 million for the three months ended June 30, 2018, compared to $136.2 million for the three months ended June 30, 2017.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1"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is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$16.3 million, or 289.7%, to $21.9 million for the three months ended June 30, 2018, compared to $5.6 million for the three months ended June 30, 2017. This increase was primarily attributable to the Acquisition of KCG. As indicated above, rather than analyzing interest and dividends income in isolation, we generally evaluate it in the broader context of our Adjusted Net Trading Income.</w:t>
      </w:r>
    </w:p>
    <w:p>
      <w:pPr>
        <w:spacing w:after="0" w:line="177"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are primarily earned by our Execution Services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net and technology services revenues increased $43.5 million, or 1,398.7%, to $46.6 million for the three months ended June 30, 2018, compared to $3.1 million for the three months ended June 30, 2017. The increase was primarily due to the Acquisition of KCG, as well as agency fee revenues arising from new customers we on-boarded.</w:t>
      </w:r>
    </w:p>
    <w:p>
      <w:pPr>
        <w:spacing w:after="0" w:line="177" w:lineRule="exact"/>
        <w:rPr>
          <w:sz w:val="20"/>
          <w:szCs w:val="20"/>
          <w:color w:val="auto"/>
        </w:rPr>
      </w:pPr>
    </w:p>
    <w:p>
      <w:pPr>
        <w:ind w:right="80" w:firstLine="630"/>
        <w:spacing w:after="0" w:line="290"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revenues are primarily earned by our Execution Services segment. Other, net was $1.0 million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compared to $0.0 million for the three months ended June 30, 2017. The increase was primarily due to the Acquisition of KCG.</w:t>
      </w:r>
    </w:p>
    <w:p>
      <w:pPr>
        <w:sectPr>
          <w:pgSz w:w="11900" w:h="16838" w:orient="portrait"/>
          <w:cols w:equalWidth="0" w:num="1">
            <w:col w:w="11400"/>
          </w:cols>
          <w:pgMar w:left="240" w:top="127" w:right="25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127" w:right="259" w:bottom="1440" w:gutter="0" w:footer="0" w:header="0"/>
          <w:type w:val="continuous"/>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24"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color w:val="auto"/>
        </w:rPr>
        <w:t>Adjusted Net Trading Income increased $125.9 million, or 163.3%, to $202.9 million for the three months ended June 30, 2018, compared to $77.1 million for the three months ended June 30, 2017. This increase was primarily attributable to the Acquisition of KCG, which resulted in a significant increase in Americas Equities of $98.4 million, or 410.9%, from the Market Making segment, and a significant increase of $23.2 million, or 745.7%, from Execution Services for the three months ended June 30, 2018. Adjusted Net Trading Income per day increased $1.9 million, or 159%, to $3.2 million for the three months ended June 30, 2018, compared to $1.2 million for the three months ended June 30, 2017. The number of trading days for the three months ended June 30, 2018 and 2017 was 64 and 63 days,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Our operating expenses increased $138.8 million, or 99.4%, to $278.5 million for the three months ended June 30, 2018, compared to $139.7 million for the three months ended June 30, 2017. The increase in operating expenses was primarily attributable to the Acquisition of KCG, which caused increases in all expense areas except for debt issue costs related to debt refinancing, transaction advisory fees and expenses, and charges related to share based compensation at IPO.</w:t>
      </w:r>
    </w:p>
    <w:p>
      <w:pPr>
        <w:spacing w:after="0" w:line="177" w:lineRule="exact"/>
        <w:rPr>
          <w:sz w:val="20"/>
          <w:szCs w:val="20"/>
          <w:color w:val="auto"/>
        </w:rPr>
      </w:pPr>
    </w:p>
    <w:p>
      <w:pPr>
        <w:ind w:right="160" w:firstLine="630"/>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net, increased $20.4 million, or 38.6%, to $73.3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June 30, 2018, compared to $52.9 million for the three months ended June 30, 2017. This increase was primarily attributable to the increases in market volume and volatility traded in Americas Equities instruments in which we make markets as a result of the Acquisition of KCG. As indicated above, rather than analyzing brokerage, exchange and clearance fees, net, in isolation, we generally evaluate it in the broader context of our Adjusted Net Trading Income.</w:t>
      </w:r>
    </w:p>
    <w:p>
      <w:pPr>
        <w:spacing w:after="0" w:line="181"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$29.8 million, or 157.0%, to $48.8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2018, compared to $19.0 million for the three months ended June 30, 2017. This increase was primarily due to the Acquisition of KCG, which brought on additional connections, co-location connectivity, market data and other subscriptions, as well as one-time cancellation fees on certain connections or subscriptions. The increase was partially offset by the reductions in connectivity connections as a result of an on-going effort to consolidate various communication and data processing subscriptions.</w:t>
      </w:r>
    </w:p>
    <w:p>
      <w:pPr>
        <w:spacing w:after="0" w:line="181"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$23.9 million, or 137.4%, to $41.2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compared to $17.4 million for the three months ended June 30, 2017. The increase in compensation levels was primarily attributable to the increase in headcount as a result of the Acquisition of KCG. Incentive compensation is recorded at management’s discretion and is generally accrued in connection with the overall level of profitability. We have capitalized and therefore excluded employee compensation and benefits related to software development of $7.0 million, and $1.8 million for the three months ended June 30, 2018, and 2017, respectively.</w:t>
      </w:r>
    </w:p>
    <w:p>
      <w:pPr>
        <w:spacing w:after="0" w:line="164" w:lineRule="exact"/>
        <w:rPr>
          <w:sz w:val="20"/>
          <w:szCs w:val="20"/>
          <w:color w:val="auto"/>
        </w:rPr>
      </w:pPr>
    </w:p>
    <w:p>
      <w:pPr>
        <w:ind w:right="3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which we did not incur prior to the Acquisition of KCG, were $15.8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2018, and were 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77"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$20.1 million, or 134.4%, to $35.0 million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compared to $14.9 million for the three months ended June 30, 2017.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177" w:lineRule="exact"/>
        <w:rPr>
          <w:sz w:val="20"/>
          <w:szCs w:val="20"/>
          <w:color w:val="auto"/>
        </w:rPr>
      </w:pPr>
    </w:p>
    <w:p>
      <w:pPr>
        <w:ind w:right="240" w:firstLine="630"/>
        <w:spacing w:after="0" w:line="326" w:lineRule="auto"/>
        <w:rPr>
          <w:sz w:val="20"/>
          <w:szCs w:val="20"/>
          <w:color w:val="auto"/>
        </w:rPr>
      </w:pPr>
      <w:r>
        <w:rPr>
          <w:rFonts w:ascii="Arial" w:cs="Arial" w:eastAsia="Arial" w:hAnsi="Arial"/>
          <w:sz w:val="15"/>
          <w:szCs w:val="15"/>
          <w:b w:val="1"/>
          <w:bCs w:val="1"/>
          <w:i w:val="1"/>
          <w:iCs w:val="1"/>
          <w:color w:val="auto"/>
        </w:rPr>
        <w:t xml:space="preserve">Operations and administrative. </w:t>
      </w:r>
      <w:r>
        <w:rPr>
          <w:rFonts w:ascii="Arial" w:cs="Arial" w:eastAsia="Arial" w:hAnsi="Arial"/>
          <w:sz w:val="15"/>
          <w:szCs w:val="15"/>
          <w:color w:val="auto"/>
        </w:rPr>
        <w:t>Operations and administrative expense increased $9.8 million, or 145.3%, to $16.6 million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2018, compared to $6.8 million for the three months ended June 30, 2017. This increase was primarily attributable to the Acquisition of KCG. The increase was partially offset by the cancellation of various legal and professional expenses as a result of an on-going effort to consolidate professional services.</w:t>
      </w:r>
    </w:p>
    <w:p>
      <w:pPr>
        <w:spacing w:after="0" w:line="137" w:lineRule="exact"/>
        <w:rPr>
          <w:sz w:val="20"/>
          <w:szCs w:val="20"/>
          <w:color w:val="auto"/>
        </w:rPr>
      </w:pPr>
    </w:p>
    <w:p>
      <w:pPr>
        <w:jc w:val="both"/>
        <w:ind w:right="160" w:firstLine="630"/>
        <w:spacing w:after="0" w:line="29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$9.4 million, or 138.2%, to $16.2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$6.8 million for the three months ended June 30, 2017. This increase was primarily attributable to depreciation and amortization of additional assets resulting from the Acquisition of KCG and an increase in capital expenditures on telecommunication, networking and other assets.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280" w:firstLine="630"/>
        <w:spacing w:after="0" w:line="290"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$6.8 million, or 12,801.9%, to $6.8 million for the three months ended June 30, 2018, compared to $0.1 million for the three months ended June 30, 2017. The increase was primarily due to additional intangible assets recognized as part of purchase price accounting for the acquisition of certain technology assets from Teza Technologies and the Acquisition of KCG in the amount of $2.0 million and $175.0 million, respectively.</w:t>
      </w:r>
    </w:p>
    <w:p>
      <w:pPr>
        <w:spacing w:after="0" w:line="161"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expense was $1.8 million for the three months ended June 30, 2018. We abandoned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as an effort of integration and consolidating office space in connection with the Acquisition of KCG. We did not incur such expenses during the three months ended June 30, 2017.</w:t>
      </w:r>
    </w:p>
    <w:p>
      <w:pPr>
        <w:spacing w:after="0" w:line="170" w:lineRule="exact"/>
        <w:rPr>
          <w:sz w:val="20"/>
          <w:szCs w:val="20"/>
          <w:color w:val="auto"/>
        </w:rPr>
      </w:pPr>
    </w:p>
    <w:p>
      <w:pPr>
        <w:jc w:val="both"/>
        <w:ind w:right="1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w:t>
      </w:r>
      <w:r>
        <w:rPr>
          <w:rFonts w:ascii="Arial" w:cs="Arial" w:eastAsia="Arial" w:hAnsi="Arial"/>
          <w:sz w:val="16"/>
          <w:szCs w:val="16"/>
          <w:color w:val="auto"/>
        </w:rPr>
        <w:t>Debt issue costs related to debt refinancing decreased $2.1 million, or 47.4%, to $2.4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2018, compared to $4.5 million for the three months ended June 30, 2017. The decrease was primarily attributable to lower prepayments made on long-term debt compared to the second quarter of 2017, resulting in less acceleration of amortization of related debt issuance costs.</w:t>
      </w:r>
    </w:p>
    <w:p>
      <w:pPr>
        <w:spacing w:after="0" w:line="155" w:lineRule="exact"/>
        <w:rPr>
          <w:sz w:val="20"/>
          <w:szCs w:val="20"/>
          <w:color w:val="auto"/>
        </w:rPr>
      </w:pPr>
    </w:p>
    <w:p>
      <w:pPr>
        <w:jc w:val="both"/>
        <w:ind w:right="2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decreased $6.8 million, or 79.4%, to $1.8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2018, compared to $8.5 million for the three months ended June 30, 2017. The expense primarily represents lower non-recurring professional fees which had been incurred in the second quarter of 2017 related to the Acquisition of KCG.</w:t>
      </w:r>
    </w:p>
    <w:p>
      <w:pPr>
        <w:spacing w:after="0" w:line="170"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$0.2 million, or 94.4%, to $0.0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June 30, 2018, compared to $0.2 million for the three months ended June 30, 2017. The decrease was primarily attributable to the fact that certain Class B and East MIP Class B interests became fully vested.</w:t>
      </w:r>
    </w:p>
    <w:p>
      <w:pPr>
        <w:spacing w:after="0" w:line="17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increased $10.1 million, or 115.4%, to $18.8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compared to $8.7 million for the three months ended June 30, 2018. This increase was primarily attributable to the increase in outstanding principal as a result from the refinancing of the senior secured first lien term loan and the offering of the Notes, as discussed in Note 10 "Borrowings" of Part I “Financial Information”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increased $2.2 million, to $3.0 million for the three months ended June 30, 2018, compared to $0.8 million for the three months ended June 30, 2017. The increase was primarily due to an increase in income before income taxes and noncontrolling interest.</w:t>
      </w:r>
    </w:p>
    <w:p>
      <w:pPr>
        <w:spacing w:after="0" w:line="365" w:lineRule="exact"/>
        <w:rPr>
          <w:sz w:val="20"/>
          <w:szCs w:val="20"/>
          <w:color w:val="auto"/>
        </w:rPr>
      </w:pPr>
    </w:p>
    <w:p>
      <w:pPr>
        <w:ind w:right="5380"/>
        <w:spacing w:after="0" w:line="470" w:lineRule="auto"/>
        <w:rPr>
          <w:sz w:val="20"/>
          <w:szCs w:val="20"/>
          <w:color w:val="auto"/>
        </w:rPr>
      </w:pPr>
      <w:r>
        <w:rPr>
          <w:rFonts w:ascii="Arial" w:cs="Arial" w:eastAsia="Arial" w:hAnsi="Arial"/>
          <w:sz w:val="17"/>
          <w:szCs w:val="17"/>
          <w:b w:val="1"/>
          <w:bCs w:val="1"/>
          <w:color w:val="auto"/>
        </w:rPr>
        <w:t xml:space="preserve">Six Months Ended June 30, 2018 Compared to Six Months Ended June 30, 2017 </w:t>
      </w:r>
      <w:r>
        <w:rPr>
          <w:rFonts w:ascii="Arial" w:cs="Arial" w:eastAsia="Arial" w:hAnsi="Arial"/>
          <w:sz w:val="17"/>
          <w:szCs w:val="17"/>
          <w:b w:val="1"/>
          <w:bCs w:val="1"/>
          <w:i w:val="1"/>
          <w:iCs w:val="1"/>
          <w:color w:val="auto"/>
        </w:rPr>
        <w:t>Total Revenues</w:t>
      </w:r>
    </w:p>
    <w:p>
      <w:pPr>
        <w:spacing w:after="0" w:line="2" w:lineRule="exact"/>
        <w:rPr>
          <w:sz w:val="20"/>
          <w:szCs w:val="20"/>
          <w:color w:val="auto"/>
        </w:rPr>
      </w:pPr>
    </w:p>
    <w:p>
      <w:pPr>
        <w:jc w:val="both"/>
        <w:ind w:right="60" w:firstLine="630"/>
        <w:spacing w:after="0" w:line="274" w:lineRule="auto"/>
        <w:rPr>
          <w:sz w:val="20"/>
          <w:szCs w:val="20"/>
          <w:color w:val="auto"/>
        </w:rPr>
      </w:pPr>
      <w:r>
        <w:rPr>
          <w:rFonts w:ascii="Arial" w:cs="Arial" w:eastAsia="Arial" w:hAnsi="Arial"/>
          <w:sz w:val="17"/>
          <w:szCs w:val="17"/>
          <w:color w:val="auto"/>
        </w:rPr>
        <w:t>Our total revenues increased $851.0 million, or 291.3%, to $1,143.2 million for the six months ended June 30, 2018, compared to $292.2 million for the six months ended June 30, 2017. This increase was primarily attributable to an increase in trading income, net, of $389.0 million and an increase in other, net, of $338.1 million due to the sale of BondPoint.</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operating segment for the six months ended June 30, 2018 and 2017.</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40"/>
          </w:cols>
          <w:pgMar w:left="240" w:top="127" w:right="3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148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Six Months Ended June 30,</w:t>
            </w:r>
          </w:p>
        </w:tc>
        <w:tc>
          <w:tcPr>
            <w:tcW w:w="1600" w:type="dxa"/>
            <w:vAlign w:val="bottom"/>
            <w:tcBorders>
              <w:bottom w:val="single" w:sz="8" w:color="auto"/>
            </w:tcBorders>
          </w:tcPr>
          <w:p>
            <w:pPr>
              <w:spacing w:after="0"/>
              <w:rPr>
                <w:sz w:val="16"/>
                <w:szCs w:val="16"/>
                <w:color w:val="auto"/>
              </w:rPr>
            </w:pPr>
          </w:p>
        </w:tc>
      </w:tr>
      <w:tr>
        <w:trPr>
          <w:trHeight w:val="25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664,338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275,737</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140.9%</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39,361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10,503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274.8%</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15,299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75"/>
        </w:trPr>
        <w:tc>
          <w:tcPr>
            <w:tcW w:w="3440" w:type="dxa"/>
            <w:vAlign w:val="bottom"/>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720,231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286,240</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151.6%</w:t>
            </w:r>
          </w:p>
        </w:tc>
      </w:tr>
      <w:tr>
        <w:trPr>
          <w:trHeight w:val="255"/>
        </w:trPr>
        <w:tc>
          <w:tcPr>
            <w:tcW w:w="34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CCEEFF"/>
            </w:tcBorders>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85,110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1,346.0%</w:t>
            </w:r>
          </w:p>
        </w:tc>
      </w:tr>
      <w:tr>
        <w:trPr>
          <w:trHeight w:val="257"/>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338,536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424,553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7,112.9%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255"/>
        </w:trPr>
        <w:tc>
          <w:tcPr>
            <w:tcW w:w="3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(3,446.9)%</w:t>
            </w:r>
          </w:p>
        </w:tc>
      </w:tr>
      <w:tr>
        <w:trPr>
          <w:trHeight w:val="275"/>
        </w:trPr>
        <w:tc>
          <w:tcPr>
            <w:tcW w:w="3440" w:type="dxa"/>
            <w:vAlign w:val="bottom"/>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(3,375.5)%</w:t>
            </w:r>
          </w:p>
        </w:tc>
      </w:tr>
      <w:tr>
        <w:trPr>
          <w:trHeight w:val="255"/>
        </w:trPr>
        <w:tc>
          <w:tcPr>
            <w:tcW w:w="34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CCEEFF"/>
            </w:tcBorders>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664,755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275,737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141.1%</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39,886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10,503</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2"/>
              </w:rPr>
              <w:t>279.8%</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100,409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5,886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1,605.9%</w:t>
            </w:r>
          </w:p>
        </w:tc>
      </w:tr>
      <w:tr>
        <w:trPr>
          <w:trHeight w:val="257"/>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338,129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1,143,179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292,175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291.3%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is primarily earned by our Market Making segment. Trading income, net, increased $389.0 million, or 141.1%,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$664.8 million for the six months ended June 30, 2018, compared to $275.7 million for the six months ended June 30, 2017.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1"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is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$29.4 million, or 279.8%, to $39.9 million for the six months ended June 30, 2018, compared to $10.5 million for the six months ended June 30, 2017. This increase was primarily attributable to the Acquisition of KCG. As indicated above, rather than analyzing interest and dividends income in isolation, we generally evaluate it in the broader context of our Adjusted Net Trading Income.</w:t>
      </w:r>
    </w:p>
    <w:p>
      <w:pPr>
        <w:spacing w:after="0" w:line="177"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are primarily earned by our Execution Services segment.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net and technology services revenues increased $94.5 million, or 1,605.9%, to $100.4 million for the six months ended June 30, 2018, compared to $5.9 million for the six months ended June 30, 2017. The increase was primarily due to the Acquisition of KCG, as well as agency fee revenues arising from new customers we on-boarded.</w:t>
      </w:r>
    </w:p>
    <w:p>
      <w:pPr>
        <w:spacing w:after="0" w:line="177" w:lineRule="exact"/>
        <w:rPr>
          <w:sz w:val="20"/>
          <w:szCs w:val="20"/>
          <w:color w:val="auto"/>
        </w:rPr>
      </w:pPr>
    </w:p>
    <w:p>
      <w:pPr>
        <w:jc w:val="both"/>
        <w:ind w:right="1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revenues are primarily earned by our Execution Services segment. Other, net increased $338.1 million, or 689,959.2%, to $338.1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six months ended June 30, 2018, compared to $0.0 million for the six months ended June 30, 2017. The increase was primarily due to the gain the sale of BondPoint of $337.6 million, as discussed in Note 4. “Sale of BondPoint” of Part I “Financial Information” of this quarterly report on Form 10-Q.</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127"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185" w:lineRule="exact"/>
        <w:rPr>
          <w:sz w:val="20"/>
          <w:szCs w:val="20"/>
          <w:color w:val="auto"/>
        </w:rPr>
      </w:pPr>
    </w:p>
    <w:p>
      <w:pPr>
        <w:ind w:right="200" w:firstLine="630"/>
        <w:spacing w:after="0" w:line="286" w:lineRule="auto"/>
        <w:rPr>
          <w:sz w:val="20"/>
          <w:szCs w:val="20"/>
          <w:color w:val="auto"/>
        </w:rPr>
      </w:pPr>
      <w:r>
        <w:rPr>
          <w:rFonts w:ascii="Arial" w:cs="Arial" w:eastAsia="Arial" w:hAnsi="Arial"/>
          <w:sz w:val="16"/>
          <w:szCs w:val="16"/>
          <w:color w:val="auto"/>
        </w:rPr>
        <w:t>Adjusted Net Trading Income increased $383.9 million, or 241.1%, to $543.2 million for the six months ended June 30, 2018, compared to $159.2 million for the six months ended June 30, 2017. This increase was primarily attributable to the Acquisition of KCG, which resulted in a significant increase in Americas Equities of $286.1 million, or 550.1%, from the Market Making segment, and an increase of $47.1 million, or 800.2%, from Execution Services. Adjusted Net Trading Income per day increased $3.1 million, or 241%, to $4.3 million for the six months ended June 30, 2018, compared to $1.3 million for the six months ended June 30, 2017. The number of trading days was 125 for both the six months ended June 30, 2018, and 2017.</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85"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Our operating expenses increased $361.9 million, or 137.6%, to $625.0 million for the six months ended June 30, 2018, compared to $263.1 million for the six months ended June 30, 2017. This increase was primarily due to increases in brokerage, exchange, and clearance fees of $55.5 million, communications and data processing of $61.1 million, employee compensation and payroll taxes of $67.2 million, payments for order flow of $32.1 million, interest and dividends expense of $41.4 million, operating and administrative expenses of $24.8 million, depreciation and amortization expense of $18.0 million, amortization of purchased intangible and acquired capitalized software of $13.6 million, termination of office leases of $21.9 million, financing interest expense on long term borrowings of $22.3 million, and debt issue cost related to debt refinancing of $3.9 million. These increases in operating expenses were partially offset by a decrease in charges related to share based compensation at IPO of $0.3 million.</w:t>
      </w:r>
    </w:p>
    <w:p>
      <w:pPr>
        <w:spacing w:after="0" w:line="180" w:lineRule="exact"/>
        <w:rPr>
          <w:sz w:val="20"/>
          <w:szCs w:val="20"/>
          <w:color w:val="auto"/>
        </w:rPr>
      </w:pPr>
    </w:p>
    <w:p>
      <w:pPr>
        <w:ind w:right="40" w:firstLine="630"/>
        <w:spacing w:after="0" w:line="315" w:lineRule="auto"/>
        <w:rPr>
          <w:sz w:val="20"/>
          <w:szCs w:val="20"/>
          <w:color w:val="auto"/>
        </w:rPr>
      </w:pPr>
      <w:r>
        <w:rPr>
          <w:rFonts w:ascii="Arial" w:cs="Arial" w:eastAsia="Arial" w:hAnsi="Arial"/>
          <w:sz w:val="15"/>
          <w:szCs w:val="15"/>
          <w:b w:val="1"/>
          <w:bCs w:val="1"/>
          <w:i w:val="1"/>
          <w:iCs w:val="1"/>
          <w:color w:val="auto"/>
        </w:rPr>
        <w:t xml:space="preserve">Brokerage, exchange and clearance fees, net. </w:t>
      </w:r>
      <w:r>
        <w:rPr>
          <w:rFonts w:ascii="Arial" w:cs="Arial" w:eastAsia="Arial" w:hAnsi="Arial"/>
          <w:sz w:val="15"/>
          <w:szCs w:val="15"/>
          <w:color w:val="auto"/>
        </w:rPr>
        <w:t>Brokerage exchange and clearance fees, net, increased $55.5 million, or 52.5%, to $161.1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months ended June 30, 2018, compared to $105.7 million for the six months ended June 30, 2017. This increase was primarily attributable to the increases in market volume and volatility traded in Americas Equities instruments in which we make markets as a result of the Acquisition of KCG. As indicated above, rather than analyzing brokerage, exchange and clearance fees, net, in isolation, we generally evaluate it in the broader context of our Adjusted Net Trading Income.</w:t>
      </w:r>
    </w:p>
    <w:p>
      <w:pPr>
        <w:spacing w:after="0" w:line="144"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$61.1 million, or 164.2%, to $98.3 million for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2018, compared to$37.2 million for the six months ended June 30, 2017. This increase was primarily due to the Acquisition of KCG, which brought on additional connections, co-location connectivity, market data and other subscriptions, as well as one-time cancellation fees on certain connections or subscriptions. The increase was partially offset by the reductions in connectivity connections as a result of an on-going effort to consolidate various communication and data processing subscriptions.</w:t>
      </w:r>
    </w:p>
    <w:p>
      <w:pPr>
        <w:spacing w:after="0" w:line="181" w:lineRule="exact"/>
        <w:rPr>
          <w:sz w:val="20"/>
          <w:szCs w:val="20"/>
          <w:color w:val="auto"/>
        </w:rPr>
      </w:pPr>
    </w:p>
    <w:p>
      <w:pPr>
        <w:ind w:firstLine="630"/>
        <w:spacing w:after="0" w:line="309" w:lineRule="auto"/>
        <w:rPr>
          <w:sz w:val="20"/>
          <w:szCs w:val="20"/>
          <w:color w:val="auto"/>
        </w:rPr>
      </w:pPr>
      <w:r>
        <w:rPr>
          <w:rFonts w:ascii="Arial" w:cs="Arial" w:eastAsia="Arial" w:hAnsi="Arial"/>
          <w:sz w:val="15"/>
          <w:szCs w:val="15"/>
          <w:b w:val="1"/>
          <w:bCs w:val="1"/>
          <w:i w:val="1"/>
          <w:iCs w:val="1"/>
          <w:color w:val="auto"/>
        </w:rPr>
        <w:t xml:space="preserve">Employee compensation and payroll taxes. </w:t>
      </w:r>
      <w:r>
        <w:rPr>
          <w:rFonts w:ascii="Arial" w:cs="Arial" w:eastAsia="Arial" w:hAnsi="Arial"/>
          <w:sz w:val="15"/>
          <w:szCs w:val="15"/>
          <w:color w:val="auto"/>
        </w:rPr>
        <w:t>Employee compensation and payroll taxes increased $67.2 million, or 173.5%, to $105.9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2018, compared to $38.7 million for the six months ended June 30, 2017. The increase in compensation levels was primarily attributable to the increase in headcount as a result of the Acquisition of KCG. Employee compensation expense for the interim period is accrued in connection with the Adjusted Net Trading Income for the period with certain adjustments made at management’s discretion. We have capitalized and therefore excluded employee compensation and benefits related to software development of $14.2 million, and $4.5 million for the six months ended June 30, 2018 and 2017, respectively.</w:t>
      </w:r>
    </w:p>
    <w:p>
      <w:pPr>
        <w:spacing w:after="0" w:line="15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which we did not incur prior to the Acquisition of KCG, were $32.1 million for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2018, and were 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77" w:lineRule="exact"/>
        <w:rPr>
          <w:sz w:val="20"/>
          <w:szCs w:val="20"/>
          <w:color w:val="auto"/>
        </w:rPr>
      </w:pPr>
    </w:p>
    <w:p>
      <w:pPr>
        <w:ind w:right="2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$41.4 million, or 152.2%, to $68.6 million for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compared to $27.2 million for the six months ended June 30, 2017.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300" w:firstLine="630"/>
        <w:spacing w:after="0" w:line="323" w:lineRule="auto"/>
        <w:rPr>
          <w:sz w:val="20"/>
          <w:szCs w:val="20"/>
          <w:color w:val="auto"/>
        </w:rPr>
      </w:pPr>
      <w:r>
        <w:rPr>
          <w:rFonts w:ascii="Arial" w:cs="Arial" w:eastAsia="Arial" w:hAnsi="Arial"/>
          <w:sz w:val="16"/>
          <w:szCs w:val="16"/>
          <w:b w:val="1"/>
          <w:bCs w:val="1"/>
          <w:i w:val="1"/>
          <w:iCs w:val="1"/>
          <w:color w:val="auto"/>
        </w:rPr>
        <w:t xml:space="preserve">Operations and administrative. </w:t>
      </w:r>
      <w:r>
        <w:rPr>
          <w:rFonts w:ascii="Arial" w:cs="Arial" w:eastAsia="Arial" w:hAnsi="Arial"/>
          <w:sz w:val="16"/>
          <w:szCs w:val="16"/>
          <w:color w:val="auto"/>
        </w:rPr>
        <w:t>Operations and administrative expense increased $24.8 million, or 213.5%, to $36.4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2018, compared to $11.6 million for the six months ended June 30, 2017. The increase was attributable to the Acquisition of KCG.</w:t>
      </w:r>
    </w:p>
    <w:p>
      <w:pPr>
        <w:spacing w:after="0" w:line="135" w:lineRule="exact"/>
        <w:rPr>
          <w:sz w:val="20"/>
          <w:szCs w:val="20"/>
          <w:color w:val="auto"/>
        </w:rPr>
      </w:pPr>
    </w:p>
    <w:p>
      <w:pPr>
        <w:jc w:val="both"/>
        <w:ind w:right="2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$18.0 million, or 132.7%, to $31.5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$13.6 million for the six months ended June 30, 2017. This increase was primarily attributable to depreciation and amortization of additional assets resulting from the Acquisition of KCG and an increase in capital expenditures on telecommunication, networking and other assets.</w:t>
      </w:r>
    </w:p>
    <w:p>
      <w:pPr>
        <w:spacing w:after="0" w:line="155"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$13.6 million, or 12,800.9%, to $13.7 million for the six months ended June 30, 2018, compared to $0.1 million for the six months ended June 30, 2017. This increase was primarily due to additional intangible assets recognized as part of purchase price accounting for the acquisition of certain technology assets from Teza Technologies and the Acquisition of KCG in the amount of $2.0 million and $175.0 million, respectively.</w:t>
      </w:r>
    </w:p>
    <w:p>
      <w:pPr>
        <w:spacing w:after="0" w:line="177"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Expense from debt issue costs related to debt refinancing increased $3.9 million, or 87.0%, to $8.4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six months ended June 30, 2018, compared to $4.5 million for the six months ended June 30, 2017. The increase reflects higher prepayments made on long-term debt during the six months ended June 30, 2018 compared to the six months ended June 30, 2017, primarily $276 million in the first quarter of 2018, leading to higher accelerated amortization of the related debt issuance costs.</w:t>
      </w:r>
    </w:p>
    <w:p>
      <w:pPr>
        <w:spacing w:after="0" w:line="177"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increased $0.6 million, or 7.0%, to $9.2 million for the six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2018, compared to $8.6 million for the six months ended June 30, 2017. The increase reflects nonrecurring professional fees incurred in connection with the sale of BondPoint.</w:t>
      </w:r>
    </w:p>
    <w:p>
      <w:pPr>
        <w:spacing w:after="0" w:line="170"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$0.3 million, or 93.4%, to $0.0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six months ended June 30, 2018, compared to $0.4 million for the six months ended June 30, 2017. The decrease was primarily attributable to the completed time vesting of the Class B and East MIP Class B interests in 2018.</w:t>
      </w:r>
    </w:p>
    <w:p>
      <w:pPr>
        <w:spacing w:after="0" w:line="170"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increased $22.3 million, or 143.3%, to $37.8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six months ended June 30, 2018, compared to $15.5 million for the six months ended June 30, 2017. This increase was due to the refinancing of the senior secured first lien term loan and the offering of the senior secured second lien notes, as discussed in Note 10 “Borrowings” of Part I “Financial Information” of this quarterly report on Form 10-Q. The increase in financing interest expense was primarily attributable to higher outstanding borrowings during the six months ended June 30, 2018 compared to the six months ended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140" w:firstLine="630"/>
        <w:spacing w:after="0" w:line="265" w:lineRule="auto"/>
        <w:rPr>
          <w:sz w:val="20"/>
          <w:szCs w:val="20"/>
          <w:color w:val="auto"/>
        </w:rPr>
      </w:pPr>
      <w:r>
        <w:rPr>
          <w:rFonts w:ascii="Arial" w:cs="Arial" w:eastAsia="Arial" w:hAnsi="Arial"/>
          <w:sz w:val="17"/>
          <w:szCs w:val="17"/>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As such, provision for income taxes increased $57.9 million, or 1,614.9%, to $61.5 million for the six months ended June 30, 2018, compared to $3.6 million for the six months ended June 30, 2017. The increase in provision for income taxes was primarily attributable to the increase in income before income taxes and noncontrolling interest.</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As of June 30, 2018, we had $660.1 million in cash and cash equivalents. These balances are maintained primarily to support operating activities for capital expenditures and for short-term access to liquidity, and for other general corporate purposes. As of June 30, 2018, we had borrowings under our short-term credit facilities of approximately $119.8 million, borrowing under broker dealer facilities of $47.0 million, and long-term debt outstanding in an aggregate principal amount of approximately $1,046.8 million. As of June 30, 2018, our regulatory capital requirements for domestic U.S. subsidiaries were $6.6 million, in aggregate.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20" w:firstLine="315"/>
        <w:spacing w:after="0" w:line="280" w:lineRule="auto"/>
        <w:rPr>
          <w:sz w:val="20"/>
          <w:szCs w:val="20"/>
          <w:color w:val="auto"/>
        </w:rPr>
      </w:pPr>
      <w:r>
        <w:rPr>
          <w:rFonts w:ascii="Arial" w:cs="Arial" w:eastAsia="Arial" w:hAnsi="Arial"/>
          <w:sz w:val="16"/>
          <w:szCs w:val="16"/>
          <w:color w:val="auto"/>
        </w:rPr>
        <w:t>The majority of our trading assets consists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 owned broker-dealer subsidiaries. Additionally, we also maintain a revolving credit facility with three of our wholly owned broker-dealer subsidiaries, as discussed in Note 10 "Borrowings" of Part I “Financial Information” of this quarterly report on Form 10-Q.</w:t>
      </w:r>
    </w:p>
    <w:p>
      <w:pPr>
        <w:spacing w:after="0" w:line="173" w:lineRule="exact"/>
        <w:rPr>
          <w:sz w:val="20"/>
          <w:szCs w:val="20"/>
          <w:color w:val="auto"/>
        </w:rPr>
      </w:pPr>
    </w:p>
    <w:p>
      <w:pPr>
        <w:ind w:right="100" w:firstLine="315"/>
        <w:spacing w:after="0" w:line="265"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1"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24"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"Financial Information" of this quarterly report on Form 10-Q are expected to range from approximately $3.6 million to $16.0 million per year over the next 15 years. Such payments will occur only after we have filed our U.S. federal and state income tax returns and realized the cash tax savings from the favorable tax attributes. We made our first payment of $7.0 million in February 2017. Future payments under the tax receivable agreements in respect of subsequent exchanges would be in addition to these amounts. We currently expect to fund these payments from the cash flow from operations generated by our subsidiaries as well as from excess tax distributions that we receive from our subsidiaries.</w:t>
      </w:r>
    </w:p>
    <w:p>
      <w:pPr>
        <w:spacing w:after="0" w:line="171"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If the payments under the tax receivable agreements are accelerated, we may be required to raise additional debt or equity to fund such payments. To the extent that we are unable to make payments under the tax receivable agreements for any reason (including because our Fourth Amended and Restated Credit Agreement or the indenture governing our Notes restricts the ability of our subsidiaries to make distributions to us) such payments will be deferred and will accrue interest until paid.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24"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Certain of our principal operating subsidiaries are subject to separate regulation and capital requirements in the United States and other jurisdictions. Virtu Financial BD LLC, Virtu Financial Capital Markets LLC and Virtu Americas LLC, which became our subsidiary following the Acquisition of KCG,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61"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Capital Markets LLC is also subject to rules set forth by NYSE MKT (formerly NYSE Amex) and is required to maintain a certain level of capital in connection with the operation of its designated market maker business. Virtu Financial Ireland Limited is regulated by the Central Bank of Ireland as an Investment Firm and in accordance with European Union law is required to maintain a minimum amount of regulatory capital based upon its positions, financial conditions, and other factors.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 KCG Europe Limited, as an FCA-regulated investment firm is also subject to similar prudential capital requirements.</w:t>
      </w:r>
    </w:p>
    <w:p>
      <w:pPr>
        <w:spacing w:after="0" w:line="171" w:lineRule="exact"/>
        <w:rPr>
          <w:sz w:val="20"/>
          <w:szCs w:val="20"/>
          <w:color w:val="auto"/>
        </w:rPr>
      </w:pPr>
    </w:p>
    <w:p>
      <w:pPr>
        <w:ind w:right="720" w:firstLine="315"/>
        <w:spacing w:after="0" w:line="290" w:lineRule="auto"/>
        <w:rPr>
          <w:sz w:val="20"/>
          <w:szCs w:val="20"/>
          <w:color w:val="auto"/>
        </w:rPr>
      </w:pPr>
      <w:r>
        <w:rPr>
          <w:rFonts w:ascii="Arial" w:cs="Arial" w:eastAsia="Arial" w:hAnsi="Arial"/>
          <w:sz w:val="17"/>
          <w:szCs w:val="17"/>
          <w:color w:val="auto"/>
        </w:rPr>
        <w:t>See Note 18 "Regulatory Requirement" of Part I “Financial Information”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Part I “Financial Information” of this quarterly report on Form 10-Q for details on the Company’s various credit facilities. As of June 30, 2018, the outstanding principal balance on our broker-dealer facilities was $47.0 million, and the outstanding aggregate short-term credit facilities with various prime brokers and other financial institutions from which the Company receives execution or clearing services was approximately $119.8 million, which was netted within receivables from broker dealers and clearing organizations on the condensed consolidated statement of financial condition of Part I “Financial Information”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Fourth Amended and Restated Credit Agreement</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connection with the Acquisition of KCG, we entered into the Fourth Amended and Restated Credit Agreement, which amended and restated in its entirety the existing credit agreement. The Fourth Amended and Restated Credit Agreement, provided for a $540.0 million first lien secured term loan, drawn in its entirety on June 30, 2017, and continued VFH’s existing $100.0 million first lien senior secured revolving credit facility. Also on June 30, 2017, the Escrow Issuer entered into that certain Escrow Credit Agreement with the lenders party thereto and JPMorgan Chase Bank, N.A., as administrative agent (the "Escrow Credit Agreement"), which provided for a $610.0 million term loan (the "Escrow Term Loan"), the proceeds of which were deposited into escrow pending the closing of the Acquisition of KCG.</w:t>
      </w:r>
    </w:p>
    <w:p>
      <w:pPr>
        <w:spacing w:after="0" w:line="180" w:lineRule="exact"/>
        <w:rPr>
          <w:sz w:val="20"/>
          <w:szCs w:val="20"/>
          <w:color w:val="auto"/>
        </w:rPr>
      </w:pPr>
    </w:p>
    <w:p>
      <w:pPr>
        <w:ind w:right="160" w:firstLine="315"/>
        <w:spacing w:after="0" w:line="265" w:lineRule="auto"/>
        <w:rPr>
          <w:sz w:val="20"/>
          <w:szCs w:val="20"/>
          <w:color w:val="auto"/>
        </w:rPr>
      </w:pPr>
      <w:r>
        <w:rPr>
          <w:rFonts w:ascii="Arial" w:cs="Arial" w:eastAsia="Arial" w:hAnsi="Arial"/>
          <w:sz w:val="17"/>
          <w:szCs w:val="17"/>
          <w:color w:val="auto"/>
        </w:rPr>
        <w:t>Upon the closing of the Acquisition of KCG, the proceeds of the Escrow Term Loan were released to fund in part the consideration for the Acquisition of KCG, the obligations of the Escrow Issuer in respect of the Escrow Term Loan were automatically assumed by VFH, the Escrow Term Loan was deemed to be outstanding under the Fourth Amended and Restated Credit Agreement and the Escrow Credit Agreement and related credit documents automatically terminated and were superseded by the provisions of the Fourth Amended and Restated Credit Agreement. In addition, the first lien senior secured revolving credit facility under the Fourth Amended and Restated Credit Agreement was terminated.</w:t>
      </w:r>
    </w:p>
    <w:p>
      <w:pPr>
        <w:spacing w:after="0" w:line="181"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Under the Fourth Amended and Restated Credit Agreement, the $1.15 billion aggregate principal amount of first lien senior secured term loans, including the Escrow Term Loan ("the Term Loan Facility"), will mature on December 30, 2021 and will require scheduled annual amortization payments on each of the first four anniversaries of the closing of the Acquisition of KCG in an amount equal to the sum of 7.5% of the original aggregate principal amount of the term loan issued under the Fourth Amended and Restated Credit Agreement and 7.5% of the aggregate principal amount of the Escrow Term Loan outstanding on the closing date of the Acquisition of KCG.</w:t>
      </w:r>
    </w:p>
    <w:p>
      <w:pPr>
        <w:spacing w:after="0" w:line="181"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All obligations under the Term Loan Facility are unconditionally guaranteed by Virtu Financial and the Company’s existing direct and indirect wholly-owned domestic restricted subsidiaries (including, KCG and its wholly-owned domestic restricted subsidiaries), subject to certain exceptions, including exceptions for our broker dealer subsidiaries and certain immaterial subsidiaries. The Term Loan Facility and related guarantees are secured by first-priority perfected liens, subject to certain exceptions, on substantially all of VFH’s and the guarantors’ existing and future assets, including substantially all material personal property and a pledge of the capital stock of VFH, the guarantors (other than Virtu Financial) and the direct domestic subsidiaries of VFH and the guarantors and 100% of the non-voting capital stock and up to 65.0% of the voting capital stock of foreign subsidiaries that are directly owned by VFH or any of the guarantors.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loans outstanding under the Fourth Amended and Restated Credit Agreement bear interest:</w:t>
      </w:r>
    </w:p>
    <w:p>
      <w:pPr>
        <w:spacing w:after="0" w:line="120" w:lineRule="exact"/>
        <w:rPr>
          <w:sz w:val="20"/>
          <w:szCs w:val="20"/>
          <w:color w:val="auto"/>
        </w:rPr>
      </w:pPr>
    </w:p>
    <w:p>
      <w:pPr>
        <w:ind w:left="880" w:right="80" w:hanging="245"/>
        <w:spacing w:after="0" w:line="268"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 VFH’s option, at either (a) the greatest of (i) the prime rate in effect, (ii) the NYFRB rate plus 0.50%, (iii) an adjusted LIBOR rate for a Eurodollar borrowing with an interest period of one month plus 1.00%, and (iv) 2.00% plus, in each case, 2.75% per annum (reduced to 2.25% per annum after the repricing transaction in January 2018); or (b) the greater of (i) an adjusted LIBOR rate for the interest period in effect and (ii) 1.00% plus, in each case, 3.75% per annum (reduced to 3.25% per annum after such repricing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Under the Fourth Amended and Restated Credit Agreement, we must comply on a quarterly basis with:</w:t>
      </w:r>
    </w:p>
    <w:p>
      <w:pPr>
        <w:spacing w:after="0" w:line="224" w:lineRule="exact"/>
        <w:rPr>
          <w:sz w:val="20"/>
          <w:szCs w:val="20"/>
          <w:color w:val="auto"/>
        </w:rPr>
      </w:pPr>
    </w:p>
    <w:p>
      <w:pPr>
        <w:ind w:left="880" w:right="80" w:hanging="245"/>
        <w:spacing w:after="0" w:line="32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maximum total net leverage ratio of 5.00 to 1.0 with a step-down to (i) 4.25 to 1.0 from and after the fiscal quarter ending March 31, 2019, (ii) 3.50 to 1.0 from and after the fiscal quarter ending March 31, 2020 and (iii) 3.25 to 1.0 from the fiscal quarter ending March 31, 2021 and thereafter; and</w:t>
      </w:r>
    </w:p>
    <w:p>
      <w:pPr>
        <w:spacing w:after="0" w:line="29" w:lineRule="exact"/>
        <w:rPr>
          <w:rFonts w:ascii="Arial" w:cs="Arial" w:eastAsia="Arial" w:hAnsi="Arial"/>
          <w:sz w:val="16"/>
          <w:szCs w:val="16"/>
          <w:color w:val="auto"/>
        </w:rPr>
      </w:pPr>
    </w:p>
    <w:p>
      <w:pPr>
        <w:ind w:left="880" w:hanging="24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minimum interest coverage ratio of 2.75 to 1.0, stepping up to 3.00 to 1.0 from and after the fiscal quarter ending March 31, 2019.</w:t>
      </w:r>
    </w:p>
    <w:p>
      <w:pPr>
        <w:spacing w:after="0" w:line="120" w:lineRule="exact"/>
        <w:rPr>
          <w:sz w:val="20"/>
          <w:szCs w:val="20"/>
          <w:color w:val="auto"/>
        </w:rPr>
      </w:pPr>
    </w:p>
    <w:p>
      <w:pPr>
        <w:ind w:right="60" w:firstLine="315"/>
        <w:spacing w:after="0" w:line="263" w:lineRule="auto"/>
        <w:rPr>
          <w:sz w:val="20"/>
          <w:szCs w:val="20"/>
          <w:color w:val="auto"/>
        </w:rPr>
      </w:pPr>
      <w:r>
        <w:rPr>
          <w:rFonts w:ascii="Arial" w:cs="Arial" w:eastAsia="Arial" w:hAnsi="Arial"/>
          <w:sz w:val="17"/>
          <w:szCs w:val="17"/>
          <w:color w:val="auto"/>
        </w:rPr>
        <w:t>The Fourth Amended and Restated Credit Agreement contains certain customary affirmative covenants. The negative covenants in the Fourth Amended and Restated Credit Agreement include, among other things, limitations on our ability to do the following, subject to certain exceptions: (i) incur additional debt; (ii) create liens on certain assets; (iii) make certain loans or investments (including acquisitions); (iv) pay dividends on or make distributions in respect of our capital stock or make other restricted junior payments; (v) consolidate, merge, sell or otherwise dispose of all or substantially all of our assets; (vi) sell or otherwise dispose of assets, including equity interests in our subsidiaries; (vii) enter into certain transactions with our affiliates; (viii) enter into swaps, forwards and similar agreements; (ix) enter into sale-leaseback transactions; (x) restrict liens and subsidiary dividends; (xi) change our fiscal year; and (xii) modify the terms of certain debt agreements.</w:t>
      </w:r>
    </w:p>
    <w:p>
      <w:pPr>
        <w:spacing w:after="0" w:line="180" w:lineRule="exact"/>
        <w:rPr>
          <w:sz w:val="20"/>
          <w:szCs w:val="20"/>
          <w:color w:val="auto"/>
        </w:rPr>
      </w:pPr>
    </w:p>
    <w:p>
      <w:pPr>
        <w:ind w:right="280" w:firstLine="315"/>
        <w:spacing w:after="0" w:line="268" w:lineRule="auto"/>
        <w:rPr>
          <w:sz w:val="20"/>
          <w:szCs w:val="20"/>
          <w:color w:val="auto"/>
        </w:rPr>
      </w:pPr>
      <w:r>
        <w:rPr>
          <w:rFonts w:ascii="Arial" w:cs="Arial" w:eastAsia="Arial" w:hAnsi="Arial"/>
          <w:sz w:val="17"/>
          <w:szCs w:val="17"/>
          <w:color w:val="auto"/>
        </w:rPr>
        <w:t>The Fourth Amended and Restated Credit Agreement contains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77"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A portion of certain financing costs incurred in connection with the original credit facility that were scheduled to be amortized over the term of the loan, including original issue discount and underwriting and legal fees, were accelerated at the closing of the refinancing.</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Fourth Amended and Restated Credit Agreement as of June 30, 2018.</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August 6, 2018, we have made total prepayments in the amount of $676.0 million under the Fourth Amended and Restated Credit Agreement.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Second Lien Notes</w:t>
      </w:r>
    </w:p>
    <w:p>
      <w:pPr>
        <w:spacing w:after="0" w:line="224"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On June 16, 2017, the Escrow Issuer and the Co-Issuer completed the offering of $500 million aggregate principal amount of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77" w:lineRule="exact"/>
        <w:rPr>
          <w:sz w:val="20"/>
          <w:szCs w:val="20"/>
          <w:color w:val="auto"/>
        </w:rPr>
      </w:pPr>
    </w:p>
    <w:p>
      <w:pPr>
        <w:jc w:val="both"/>
        <w:ind w:right="160" w:firstLine="315"/>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Notes are guaranteed by Virtu Financial and each of Virtu Financial’s wholly-owned domestic restricted subsidiaries that guarantee the Fourth Amended and Restated Credit Agreement, including KCG and certain of its subsidiaries and the Escrow Issuer. We refer to VFH and the Co-Issuer together as, the “Issuers.”</w:t>
      </w:r>
    </w:p>
    <w:p>
      <w:pPr>
        <w:spacing w:after="0" w:line="170"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127"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acquired foreign subsidiaries that are directly owned by the Issuers or any of the guarantors, which assets will also secure obligations under the Fourth Amended and Restated Credit Agreement on a first-priority basis.</w:t>
      </w:r>
    </w:p>
    <w:p>
      <w:pPr>
        <w:spacing w:after="0" w:line="158" w:lineRule="exact"/>
        <w:rPr>
          <w:sz w:val="20"/>
          <w:szCs w:val="20"/>
          <w:color w:val="auto"/>
        </w:rPr>
      </w:pPr>
    </w:p>
    <w:p>
      <w:pPr>
        <w:ind w:right="40" w:firstLine="315"/>
        <w:spacing w:after="0" w:line="283" w:lineRule="auto"/>
        <w:rPr>
          <w:sz w:val="20"/>
          <w:szCs w:val="20"/>
          <w:color w:val="auto"/>
        </w:rPr>
      </w:pPr>
      <w:r>
        <w:rPr>
          <w:rFonts w:ascii="Arial" w:cs="Arial" w:eastAsia="Arial" w:hAnsi="Arial"/>
          <w:sz w:val="16"/>
          <w:szCs w:val="16"/>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8" w:lineRule="exact"/>
        <w:rPr>
          <w:sz w:val="20"/>
          <w:szCs w:val="20"/>
          <w:color w:val="auto"/>
        </w:rPr>
      </w:pPr>
    </w:p>
    <w:p>
      <w:pPr>
        <w:jc w:val="both"/>
        <w:ind w:right="40" w:firstLine="315"/>
        <w:spacing w:after="0" w:line="274" w:lineRule="auto"/>
        <w:rPr>
          <w:sz w:val="20"/>
          <w:szCs w:val="20"/>
          <w:color w:val="auto"/>
        </w:rPr>
      </w:pPr>
      <w:r>
        <w:rPr>
          <w:rFonts w:ascii="Arial" w:cs="Arial" w:eastAsia="Arial" w:hAnsi="Arial"/>
          <w:sz w:val="17"/>
          <w:szCs w:val="17"/>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170" w:lineRule="exact"/>
        <w:rPr>
          <w:sz w:val="20"/>
          <w:szCs w:val="20"/>
          <w:color w:val="auto"/>
        </w:rPr>
      </w:pPr>
    </w:p>
    <w:p>
      <w:pPr>
        <w:jc w:val="both"/>
        <w:ind w:right="300" w:firstLine="315"/>
        <w:spacing w:after="0" w:line="360" w:lineRule="auto"/>
        <w:rPr>
          <w:sz w:val="20"/>
          <w:szCs w:val="20"/>
          <w:color w:val="auto"/>
        </w:rPr>
      </w:pPr>
      <w:r>
        <w:rPr>
          <w:rFonts w:ascii="Arial" w:cs="Arial" w:eastAsia="Arial" w:hAnsi="Arial"/>
          <w:sz w:val="15"/>
          <w:szCs w:val="15"/>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13" w:lineRule="exact"/>
        <w:rPr>
          <w:sz w:val="20"/>
          <w:szCs w:val="20"/>
          <w:color w:val="auto"/>
        </w:rPr>
      </w:pPr>
    </w:p>
    <w:p>
      <w:pPr>
        <w:jc w:val="both"/>
        <w:ind w:right="200" w:firstLine="315"/>
        <w:spacing w:after="0" w:line="274" w:lineRule="auto"/>
        <w:rPr>
          <w:sz w:val="20"/>
          <w:szCs w:val="20"/>
          <w:color w:val="auto"/>
        </w:rPr>
      </w:pPr>
      <w:r>
        <w:rPr>
          <w:rFonts w:ascii="Arial" w:cs="Arial" w:eastAsia="Arial" w:hAnsi="Arial"/>
          <w:sz w:val="17"/>
          <w:szCs w:val="17"/>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15th of the years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48"/>
        </w:trPr>
        <w:tc>
          <w:tcPr>
            <w:tcW w:w="8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900" w:type="dxa"/>
            <w:vAlign w:val="bottom"/>
            <w:tcBorders>
              <w:top w:val="single" w:sz="8" w:color="CCEEFF"/>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103.375%</w:t>
            </w:r>
          </w:p>
        </w:tc>
      </w:tr>
      <w:tr>
        <w:trPr>
          <w:trHeight w:val="257"/>
        </w:trPr>
        <w:tc>
          <w:tcPr>
            <w:tcW w:w="8020" w:type="dxa"/>
            <w:vAlign w:val="bottom"/>
          </w:tcPr>
          <w:p>
            <w:pPr>
              <w:ind w:left="40"/>
              <w:spacing w:after="0"/>
              <w:rPr>
                <w:sz w:val="20"/>
                <w:szCs w:val="20"/>
                <w:color w:val="auto"/>
              </w:rPr>
            </w:pPr>
            <w:r>
              <w:rPr>
                <w:rFonts w:ascii="Arial" w:cs="Arial" w:eastAsia="Arial" w:hAnsi="Arial"/>
                <w:sz w:val="14"/>
                <w:szCs w:val="14"/>
                <w:color w:val="auto"/>
              </w:rPr>
              <w:t>2020</w:t>
            </w:r>
          </w:p>
        </w:tc>
        <w:tc>
          <w:tcPr>
            <w:tcW w:w="90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1"/>
              </w:rPr>
              <w:t>101.688%</w:t>
            </w:r>
          </w:p>
        </w:tc>
      </w:tr>
      <w:tr>
        <w:trPr>
          <w:trHeight w:val="268"/>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2021 and thereafter</w:t>
            </w:r>
          </w:p>
        </w:tc>
        <w:tc>
          <w:tcPr>
            <w:tcW w:w="2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100.000%</w:t>
            </w:r>
          </w:p>
        </w:tc>
      </w:tr>
    </w:tbl>
    <w:p>
      <w:pPr>
        <w:spacing w:after="0" w:line="200" w:lineRule="exact"/>
        <w:rPr>
          <w:sz w:val="20"/>
          <w:szCs w:val="20"/>
          <w:color w:val="auto"/>
        </w:rPr>
      </w:pPr>
    </w:p>
    <w:p>
      <w:pPr>
        <w:spacing w:after="0" w:line="208" w:lineRule="exact"/>
        <w:rPr>
          <w:sz w:val="20"/>
          <w:szCs w:val="20"/>
          <w:color w:val="auto"/>
        </w:rPr>
      </w:pPr>
    </w:p>
    <w:p>
      <w:pPr>
        <w:jc w:val="both"/>
        <w:ind w:right="20" w:firstLine="315"/>
        <w:spacing w:after="0" w:line="290" w:lineRule="auto"/>
        <w:rPr>
          <w:sz w:val="20"/>
          <w:szCs w:val="20"/>
          <w:color w:val="auto"/>
        </w:rPr>
      </w:pPr>
      <w:r>
        <w:rPr>
          <w:rFonts w:ascii="Arial" w:cs="Arial" w:eastAsia="Arial" w:hAnsi="Arial"/>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indenture governing our Notes as of June 30, 2018.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right="160" w:firstLine="315"/>
        <w:spacing w:after="0" w:line="216" w:lineRule="exact"/>
        <w:rPr>
          <w:sz w:val="20"/>
          <w:szCs w:val="20"/>
          <w:color w:val="auto"/>
        </w:rPr>
      </w:pPr>
      <w:r>
        <w:rPr>
          <w:rFonts w:ascii="Arial" w:cs="Arial" w:eastAsia="Arial" w:hAnsi="Arial"/>
          <w:sz w:val="17"/>
          <w:szCs w:val="17"/>
          <w:color w:val="auto"/>
        </w:rPr>
        <w:t>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credit facilities (as described above), margin financing provided by our prime brokers and cash on hand.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our primary sources and uses of cash for the six months ended June 30,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Six Months Ended June 30,</w:t>
            </w:r>
          </w:p>
        </w:tc>
      </w:tr>
      <w:tr>
        <w:trPr>
          <w:trHeight w:val="256"/>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r>
      <w:tr>
        <w:trPr>
          <w:trHeight w:val="248"/>
        </w:trPr>
        <w:tc>
          <w:tcPr>
            <w:tcW w:w="6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310,297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82,393</w:t>
            </w:r>
          </w:p>
        </w:tc>
      </w:tr>
      <w:tr>
        <w:trPr>
          <w:trHeight w:val="257"/>
        </w:trPr>
        <w:tc>
          <w:tcPr>
            <w:tcW w:w="648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373,708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(15,874)</w:t>
            </w:r>
          </w:p>
        </w:tc>
      </w:tr>
      <w:tr>
        <w:trPr>
          <w:trHeight w:val="268"/>
        </w:trPr>
        <w:tc>
          <w:tcPr>
            <w:tcW w:w="6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(553,778)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1,030,723</w:t>
            </w:r>
          </w:p>
        </w:tc>
      </w:tr>
      <w:tr>
        <w:trPr>
          <w:trHeight w:val="257"/>
        </w:trPr>
        <w:tc>
          <w:tcPr>
            <w:tcW w:w="6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5,637</w:t>
            </w:r>
          </w:p>
        </w:tc>
      </w:tr>
      <w:tr>
        <w:trPr>
          <w:trHeight w:val="235"/>
        </w:trPr>
        <w:tc>
          <w:tcPr>
            <w:tcW w:w="6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127,180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1,102,879</w:t>
            </w: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ind w:right="340" w:firstLine="315"/>
        <w:spacing w:after="0" w:line="274" w:lineRule="auto"/>
        <w:rPr>
          <w:sz w:val="20"/>
          <w:szCs w:val="20"/>
          <w:color w:val="auto"/>
        </w:rPr>
      </w:pPr>
      <w:r>
        <w:rPr>
          <w:rFonts w:ascii="Arial" w:cs="Arial" w:eastAsia="Arial" w:hAnsi="Arial"/>
          <w:sz w:val="17"/>
          <w:szCs w:val="17"/>
          <w:color w:val="auto"/>
        </w:rPr>
        <w:t>Net cash provided by operating activities was $310.3 million for the six months ended June 30, 2018, compared to $82.4 million for the six months ended June 30, 2017. The increase of $227.9 million in net cash provided by operating activities was primarily attributable to the Acquisition of KCG, which significantly increased our trading capital.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Net cash provided by investing activities was $373.7 million for the six months ended June 30, 2018, compared to net cash used of $15.9 million for the six months ended June 30, 2017. The increase of $389.6 million was primarily attributable to the net cash provided by the proceeds received from the sale of BondPoint, see Note 4 "Sale of BondPoint" of Part I “Financial Information” of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right="300" w:firstLine="315"/>
        <w:spacing w:after="0" w:line="268" w:lineRule="auto"/>
        <w:rPr>
          <w:sz w:val="20"/>
          <w:szCs w:val="20"/>
          <w:color w:val="auto"/>
        </w:rPr>
      </w:pPr>
      <w:r>
        <w:rPr>
          <w:rFonts w:ascii="Arial" w:cs="Arial" w:eastAsia="Arial" w:hAnsi="Arial"/>
          <w:sz w:val="17"/>
          <w:szCs w:val="17"/>
          <w:color w:val="auto"/>
        </w:rPr>
        <w:t>Net cash used in financing activities was $553.8 million for the six months ended June 30, 2018, while net cash provided by financing activities was $1.0 billion for the six months ended June 30, 2017. The decrease in cash provided of $1.6 billion compared to the prior year was primarily attributable to the $1.1 billion proceeds from long term borrowings during the six months ended June 30, 2017, partially offset by repayment of our senior secured credit facility of $384.8 during the six month ended June 30, 2018.</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right="460" w:firstLine="315"/>
        <w:spacing w:after="0" w:line="290" w:lineRule="auto"/>
        <w:rPr>
          <w:sz w:val="20"/>
          <w:szCs w:val="20"/>
          <w:color w:val="auto"/>
        </w:rPr>
      </w:pPr>
      <w:r>
        <w:rPr>
          <w:rFonts w:ascii="Arial" w:cs="Arial" w:eastAsia="Arial" w:hAnsi="Arial"/>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0" w:lineRule="exact"/>
        <w:rPr>
          <w:sz w:val="20"/>
          <w:szCs w:val="20"/>
          <w:color w:val="auto"/>
        </w:rPr>
      </w:pPr>
    </w:p>
    <w:p>
      <w:pPr>
        <w:ind w:right="140" w:firstLine="315"/>
        <w:spacing w:after="0" w:line="290" w:lineRule="auto"/>
        <w:rPr>
          <w:sz w:val="20"/>
          <w:szCs w:val="20"/>
          <w:color w:val="auto"/>
        </w:rPr>
      </w:pPr>
      <w:r>
        <w:rPr>
          <w:rFonts w:ascii="Arial" w:cs="Arial" w:eastAsia="Arial" w:hAnsi="Arial"/>
          <w:sz w:val="17"/>
          <w:szCs w:val="17"/>
          <w:color w:val="auto"/>
        </w:rPr>
        <w:t>We believe inflation has not had a material effect on our financial condition, results of operations, or cash flows for the three and six months ended June 30, 2018 and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24" w:lineRule="exact"/>
        <w:rPr>
          <w:sz w:val="20"/>
          <w:szCs w:val="20"/>
          <w:color w:val="auto"/>
        </w:rPr>
      </w:pPr>
    </w:p>
    <w:p>
      <w:pPr>
        <w:jc w:val="both"/>
        <w:ind w:firstLine="315"/>
        <w:spacing w:after="0" w:line="309"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50" w:lineRule="exact"/>
        <w:rPr>
          <w:sz w:val="20"/>
          <w:szCs w:val="20"/>
          <w:color w:val="auto"/>
        </w:rPr>
      </w:pPr>
    </w:p>
    <w:p>
      <w:pPr>
        <w:ind w:right="260" w:firstLine="315"/>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60"/>
          </w:cols>
          <w:pgMar w:left="240" w:top="127" w:right="29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2 — Quoted prices in markets that are not active and financial instruments for which all significant inputs are observable, either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right="60" w:firstLine="315"/>
        <w:spacing w:after="0" w:line="290" w:lineRule="auto"/>
        <w:rPr>
          <w:sz w:val="20"/>
          <w:szCs w:val="20"/>
          <w:color w:val="auto"/>
        </w:rPr>
      </w:pPr>
      <w:r>
        <w:rPr>
          <w:rFonts w:ascii="Arial" w:cs="Arial" w:eastAsia="Arial" w:hAnsi="Arial"/>
          <w:sz w:val="16"/>
          <w:szCs w:val="16"/>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“Financial Information” of this quarterly report on Form 10-Q for further information about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4" w:lineRule="exact"/>
        <w:rPr>
          <w:sz w:val="20"/>
          <w:szCs w:val="20"/>
          <w:color w:val="auto"/>
        </w:rPr>
      </w:pPr>
    </w:p>
    <w:p>
      <w:pPr>
        <w:ind w:right="60" w:firstLine="315"/>
        <w:spacing w:after="0" w:line="274"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185" w:lineRule="exact"/>
        <w:rPr>
          <w:sz w:val="20"/>
          <w:szCs w:val="20"/>
          <w:color w:val="auto"/>
        </w:rPr>
      </w:pPr>
    </w:p>
    <w:p>
      <w:pPr>
        <w:ind w:right="200" w:firstLine="315"/>
        <w:spacing w:after="0" w:line="274"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24"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and technology services in the condensed consolidated statements of comprehensive income. The Company recognizes the related revenue when the third party research services are rendered and payments are made.</w:t>
      </w:r>
    </w:p>
    <w:p>
      <w:pPr>
        <w:spacing w:after="0" w:line="164"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0"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127"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Share-based awards issued for compensation in connection with or subsequent to the Reorganization Transactions and the IPO pursuant to our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 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Tax Receivable Agreement Obligations</w:t>
      </w:r>
    </w:p>
    <w:p>
      <w:pPr>
        <w:spacing w:after="0" w:line="224" w:lineRule="exact"/>
        <w:rPr>
          <w:sz w:val="20"/>
          <w:szCs w:val="20"/>
          <w:color w:val="auto"/>
        </w:rPr>
      </w:pPr>
    </w:p>
    <w:p>
      <w:pPr>
        <w:ind w:right="740" w:firstLine="315"/>
        <w:spacing w:after="0" w:line="290"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58"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0" w:lineRule="exact"/>
        <w:rPr>
          <w:sz w:val="20"/>
          <w:szCs w:val="20"/>
          <w:color w:val="auto"/>
        </w:rPr>
      </w:pPr>
    </w:p>
    <w:p>
      <w:pPr>
        <w:ind w:right="60" w:firstLine="315"/>
        <w:spacing w:after="0" w:line="261"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4"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2017 Tax Act significantly changes how the U.S. federal government taxes corporations. The 2017 Tax Act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180"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color w:val="auto"/>
        </w:rPr>
        <w:t>Our tax receivable agreement obligations are closely tied to our U.S. income tax returns, and may be affected by the aforementioned factors that impact our provision for income taxes and actual tax returns, including the impact of the 2017 Tax Act.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ind w:right="120" w:firstLine="315"/>
        <w:spacing w:after="0" w:line="298" w:lineRule="auto"/>
        <w:rPr>
          <w:sz w:val="20"/>
          <w:szCs w:val="20"/>
          <w:color w:val="auto"/>
        </w:rPr>
      </w:pPr>
      <w:r>
        <w:rPr>
          <w:rFonts w:ascii="Arial" w:cs="Arial" w:eastAsia="Arial" w:hAnsi="Arial"/>
          <w:sz w:val="16"/>
          <w:szCs w:val="16"/>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55"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We test goodwill for impairment on an annual basis on July 1 and on an interim basis when certain events or circumstances exist. In the impairment test as of July 1, 2017, the primary valuation method used to estimate the fair value of the our reporting unit was the market capitalization approach based on the market price of its Class A Common Stock, which management believes to be an appropriate indicator of its fair value. Following the Acquisition of KCG, the impairment testing is performed for each operating segment.</w:t>
      </w:r>
    </w:p>
    <w:p>
      <w:pPr>
        <w:spacing w:after="0" w:line="177"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We amortize finite-lived intangible assets over their estimated useful lives. We test finite-lived intangible assets for impairment annually or when impairment indicators are present, and if impaired, they are written down to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“Financial Information” of this quarterly report on Form 10-Q.</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20"/>
          </w:cols>
          <w:pgMar w:left="240" w:top="127" w:right="3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0" w:lineRule="exact"/>
        <w:rPr>
          <w:sz w:val="20"/>
          <w:szCs w:val="20"/>
          <w:color w:val="auto"/>
        </w:rPr>
      </w:pPr>
    </w:p>
    <w:p>
      <w:pPr>
        <w:ind w:right="240" w:firstLine="315"/>
        <w:spacing w:after="0" w:line="290"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236" w:lineRule="exact"/>
        <w:rPr>
          <w:sz w:val="20"/>
          <w:szCs w:val="20"/>
          <w:color w:val="auto"/>
        </w:rPr>
      </w:pPr>
    </w:p>
    <w:p>
      <w:pPr>
        <w:ind w:right="160" w:firstLine="315"/>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34" w:lineRule="exact"/>
        <w:rPr>
          <w:sz w:val="20"/>
          <w:szCs w:val="20"/>
          <w:color w:val="auto"/>
        </w:rPr>
      </w:pPr>
    </w:p>
    <w:p>
      <w:pPr>
        <w:ind w:right="120" w:firstLine="315"/>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(the "CRO"), the independent risk group and senior management.</w:t>
      </w:r>
    </w:p>
    <w:p>
      <w:pPr>
        <w:spacing w:after="0" w:line="249"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309" w:lineRule="exact"/>
        <w:rPr>
          <w:sz w:val="20"/>
          <w:szCs w:val="20"/>
          <w:color w:val="auto"/>
        </w:rPr>
      </w:pPr>
    </w:p>
    <w:p>
      <w:pPr>
        <w:ind w:right="100" w:firstLine="315"/>
        <w:spacing w:after="0" w:line="262"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Part I “Financial Information” of this quarterly report on Form 10-Q. Instead, we carry our derivative instruments at fair value with gains and losses included in trading income, net, in the accompanying condensed consolidated statements of comprehensive income (loss).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261"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242"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i w:val="1"/>
          <w:iCs w:val="1"/>
          <w:color w:val="auto"/>
        </w:rPr>
        <w:t>Due from Broker Dealers and Clearing Organizations</w:t>
      </w:r>
      <w:r>
        <w:rPr>
          <w:rFonts w:ascii="Arial" w:cs="Arial" w:eastAsia="Arial" w:hAnsi="Arial"/>
          <w:sz w:val="17"/>
          <w:szCs w:val="17"/>
          <w:color w:val="auto"/>
        </w:rPr>
        <w:t>. Management periodically evaluates our counterparty credit exposures to various brokers and clearing</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with a view to limiting potential losses resulting from counterparty insolvency.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78"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127" w:right="25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9" w:lineRule="exact"/>
        <w:rPr>
          <w:sz w:val="20"/>
          <w:szCs w:val="20"/>
          <w:color w:val="auto"/>
        </w:rPr>
      </w:pPr>
    </w:p>
    <w:p>
      <w:pPr>
        <w:ind w:right="100" w:firstLine="315"/>
        <w:spacing w:after="0" w:line="290" w:lineRule="auto"/>
        <w:rPr>
          <w:sz w:val="20"/>
          <w:szCs w:val="20"/>
          <w:color w:val="auto"/>
        </w:rPr>
      </w:pPr>
      <w:r>
        <w:rPr>
          <w:rFonts w:ascii="Arial" w:cs="Arial" w:eastAsia="Arial" w:hAnsi="Arial"/>
          <w:sz w:val="16"/>
          <w:szCs w:val="16"/>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(loss) and changes in equity. Our primary currency translation exposures historically relate to net investments in subsidiaries having functional currencies denominated in the Euro.</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78" w:lineRule="exact"/>
        <w:rPr>
          <w:sz w:val="20"/>
          <w:szCs w:val="20"/>
          <w:color w:val="auto"/>
        </w:rPr>
      </w:pPr>
    </w:p>
    <w:p>
      <w:pPr>
        <w:ind w:right="160" w:firstLine="315"/>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costs.</w:t>
      </w:r>
    </w:p>
    <w:p>
      <w:pPr>
        <w:spacing w:after="0" w:line="234" w:lineRule="exact"/>
        <w:rPr>
          <w:sz w:val="20"/>
          <w:szCs w:val="20"/>
          <w:color w:val="auto"/>
        </w:rPr>
      </w:pPr>
    </w:p>
    <w:p>
      <w:pPr>
        <w:ind w:right="280" w:firstLine="315"/>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CRO, the independent risk group and senior management.</w:t>
      </w:r>
    </w:p>
    <w:p>
      <w:pPr>
        <w:spacing w:after="0" w:line="118"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For working capital purposes, we invest in money market funds and maintain interest and non-interest bearing balances at banks and in our trading accounts with clearing brokers, which are classified as Cash and cash equivalents and Receivables from brokers, 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16"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18" w:lineRule="exact"/>
        <w:rPr>
          <w:sz w:val="20"/>
          <w:szCs w:val="20"/>
          <w:color w:val="auto"/>
        </w:rPr>
      </w:pPr>
    </w:p>
    <w:p>
      <w:pPr>
        <w:ind w:right="60" w:firstLine="315"/>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June 30, 2018 and December 31, 2017 was $2.8 billion and $2.7 billion, respectively, in long positions and $2.4 billion and $2.4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28"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24"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The potential change in fair value is estimated to be a gain of $6.3 million using a hypothetical 10% increase in equity prices as of June 30, 2018, and an estimated loss of $4.4 million using a hypothetical 10% decrease in equity prices at June 30, 2018. These estimates take into account the offsetting effect of such hypothetical price movements on the fair value of short positions against long positions, the effect on the fair value of options, futures, nonlinear positions and leverage as well as assumed correlations with non-equity asset classes, such as fixed income, commodities and foreign exchange. The Company relies on internally developed systems in order to model and calculate stress risks to a variety of different scenarios.</w:t>
      </w:r>
    </w:p>
    <w:p>
      <w:pPr>
        <w:spacing w:after="0" w:line="128" w:lineRule="exact"/>
        <w:rPr>
          <w:sz w:val="20"/>
          <w:szCs w:val="20"/>
          <w:color w:val="auto"/>
        </w:rPr>
      </w:pPr>
    </w:p>
    <w:p>
      <w:pPr>
        <w:ind w:right="120" w:firstLine="315"/>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127"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309" w:lineRule="exact"/>
        <w:rPr>
          <w:sz w:val="20"/>
          <w:szCs w:val="20"/>
          <w:color w:val="auto"/>
        </w:rPr>
      </w:pPr>
    </w:p>
    <w:p>
      <w:pPr>
        <w:ind w:right="260" w:firstLine="315"/>
        <w:spacing w:after="0" w:line="268"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56"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(the “Exchange Act”)) as of June 30, 2018. Based upon that evaluation, our Chief Executive Officer and Chief Financial Officer concluded that, as of June 30, 2018, our disclosure controls and procedures were effective to ensure information required to be disclosed by us in the reports we file or submit under the Exchange Act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140" w:firstLine="315"/>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30" w:lineRule="exact"/>
        <w:rPr>
          <w:sz w:val="20"/>
          <w:szCs w:val="20"/>
          <w:color w:val="auto"/>
        </w:rPr>
      </w:pPr>
    </w:p>
    <w:p>
      <w:pPr>
        <w:ind w:right="320" w:firstLine="315"/>
        <w:spacing w:after="0" w:line="290"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June 30, 2018 that has or is reasonably likely to materially affect, our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360"/>
          </w:cols>
          <w:pgMar w:left="240" w:top="127" w:right="29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 - OTHER INFORMATION</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1" w:lineRule="exact"/>
        <w:rPr>
          <w:sz w:val="20"/>
          <w:szCs w:val="20"/>
          <w:color w:val="auto"/>
        </w:rPr>
      </w:pPr>
    </w:p>
    <w:p>
      <w:pPr>
        <w:ind w:right="260" w:firstLine="630"/>
        <w:spacing w:after="0" w:line="290" w:lineRule="auto"/>
        <w:rPr>
          <w:sz w:val="20"/>
          <w:szCs w:val="20"/>
          <w:color w:val="auto"/>
        </w:rPr>
      </w:pPr>
      <w:r>
        <w:rPr>
          <w:rFonts w:ascii="Arial" w:cs="Arial" w:eastAsia="Arial" w:hAnsi="Arial"/>
          <w:sz w:val="17"/>
          <w:szCs w:val="17"/>
          <w:color w:val="auto"/>
        </w:rPr>
        <w:t>The information required by this item is set forth in the “Legal Proceedings” section in Note 15 "Commitments, Contingencies and Guarantees" to the Company’s Condensed Consolidated Financial Statements included in Part I “Financial Information”.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1"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There have been no material changes to the Risk Factors described in Part I “Item 1A. Risk factors” in our 2017 Form 10-K as filed with the Securities and Exchange Commission (“SEC”) on March 13, 2018.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91" w:lineRule="exact"/>
        <w:rPr>
          <w:sz w:val="20"/>
          <w:szCs w:val="20"/>
          <w:color w:val="auto"/>
        </w:rPr>
      </w:pPr>
    </w:p>
    <w:p>
      <w:pPr>
        <w:ind w:firstLine="630"/>
        <w:spacing w:after="0" w:line="290" w:lineRule="auto"/>
        <w:rPr>
          <w:sz w:val="20"/>
          <w:szCs w:val="20"/>
          <w:color w:val="auto"/>
        </w:rPr>
      </w:pPr>
      <w:r>
        <w:rPr>
          <w:rFonts w:ascii="Arial" w:cs="Arial" w:eastAsia="Arial" w:hAnsi="Arial"/>
          <w:sz w:val="16"/>
          <w:szCs w:val="16"/>
          <w:color w:val="auto"/>
        </w:rPr>
        <w:t>Pursuant to the exchange agreement (the "Exchange Agreement") entered into on April 15, 2015 by and among the Company, Virtu Financial and holders of non-voting common interest units in Virtu Financial (the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61" w:lineRule="exact"/>
        <w:rPr>
          <w:sz w:val="20"/>
          <w:szCs w:val="20"/>
          <w:color w:val="auto"/>
        </w:rPr>
      </w:pPr>
    </w:p>
    <w:p>
      <w:pPr>
        <w:ind w:right="80" w:firstLine="630"/>
        <w:spacing w:after="0" w:line="305" w:lineRule="auto"/>
        <w:rPr>
          <w:sz w:val="20"/>
          <w:szCs w:val="20"/>
          <w:color w:val="auto"/>
        </w:rPr>
      </w:pPr>
      <w:r>
        <w:rPr>
          <w:rFonts w:ascii="Arial" w:cs="Arial" w:eastAsia="Arial" w:hAnsi="Arial"/>
          <w:sz w:val="15"/>
          <w:szCs w:val="15"/>
          <w:color w:val="auto"/>
        </w:rPr>
        <w:t>On February 8,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following table contains information about the Company’s purchases of its Class A common stock during the six months ended June 30, 2018 (in thousands, except average price paid per share):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Shares Purchased</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as Part of Publicly</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4"/>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8"/>
              </w:rPr>
              <w:t>Announced Plans or</w:t>
            </w:r>
          </w:p>
        </w:tc>
        <w:tc>
          <w:tcPr>
            <w:tcW w:w="126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61"/>
        </w:trPr>
        <w:tc>
          <w:tcPr>
            <w:tcW w:w="4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 2018 - January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jc w:val="right"/>
              <w:ind w:right="140"/>
              <w:spacing w:after="0"/>
              <w:rPr>
                <w:sz w:val="20"/>
                <w:szCs w:val="20"/>
                <w:color w:val="auto"/>
              </w:rPr>
            </w:pPr>
            <w:r>
              <w:rPr>
                <w:rFonts w:ascii="Arial" w:cs="Arial" w:eastAsia="Arial" w:hAnsi="Arial"/>
                <w:sz w:val="14"/>
                <w:szCs w:val="14"/>
                <w:color w:val="auto"/>
              </w:rPr>
              <w:t>February 1, 2018 - February 28,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29.27</w:t>
            </w: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March 1, 2018 - March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April 1, 2018 - April 30,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 2018 - May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A Common stock repurchases</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307,391</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2"/>
                <w:szCs w:val="22"/>
                <w:color w:val="auto"/>
              </w:rPr>
            </w:pP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307,391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C Common stock/ common units repurchases</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696,373</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696,373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 2018 - June 30,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Common stock / common units repurchases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Total Common stock / common units repurchases</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1,378,764</w:t>
            </w:r>
          </w:p>
        </w:tc>
        <w:tc>
          <w:tcPr>
            <w:tcW w:w="100" w:type="dxa"/>
            <w:vAlign w:val="bottom"/>
          </w:tcPr>
          <w:p>
            <w:pPr>
              <w:spacing w:after="0"/>
              <w:rPr>
                <w:sz w:val="19"/>
                <w:szCs w:val="19"/>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29.37</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1,378,764</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59,503,992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315" w:lineRule="auto"/>
        <w:rPr>
          <w:sz w:val="20"/>
          <w:szCs w:val="20"/>
          <w:color w:val="auto"/>
        </w:rPr>
      </w:pPr>
      <w:r>
        <w:rPr>
          <w:rFonts w:ascii="Arial" w:cs="Arial" w:eastAsia="Arial" w:hAnsi="Arial"/>
          <w:sz w:val="15"/>
          <w:szCs w:val="15"/>
          <w:color w:val="auto"/>
        </w:rPr>
        <w:t>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1.38 million shares of Class A common stock and common units for approximately $40.5 million. The Company now has approximately $59.5 million remaining capacity for future purchases of shares of Class A common stock and common units under the program.</w:t>
      </w:r>
    </w:p>
    <w:p>
      <w:pPr>
        <w:spacing w:after="0" w:line="144" w:lineRule="exact"/>
        <w:rPr>
          <w:sz w:val="20"/>
          <w:szCs w:val="20"/>
          <w:color w:val="auto"/>
        </w:rPr>
      </w:pPr>
    </w:p>
    <w:p>
      <w:pPr>
        <w:ind w:right="300" w:firstLine="630"/>
        <w:spacing w:after="0" w:line="290" w:lineRule="auto"/>
        <w:rPr>
          <w:sz w:val="20"/>
          <w:szCs w:val="20"/>
          <w:color w:val="auto"/>
        </w:rPr>
      </w:pPr>
      <w:r>
        <w:rPr>
          <w:rFonts w:ascii="Arial" w:cs="Arial" w:eastAsia="Arial" w:hAnsi="Arial"/>
          <w:sz w:val="16"/>
          <w:szCs w:val="16"/>
          <w:color w:val="auto"/>
        </w:rPr>
        <w:t>Pursuant to the Exchange Agreement, on February 15, 2018, certain current and former employees elected to exchange 420,521 Virtu Financial Units (along with the corresponding shares of our Class C common stock) held directly or on their behalf on a one-for-one basis for shares of our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127"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120" w:type="dxa"/>
            <w:vAlign w:val="bottom"/>
            <w:gridSpan w:val="23"/>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40" w:type="dxa"/>
            <w:vAlign w:val="bottom"/>
            <w:tcBorders>
              <w:top w:val="single" w:sz="8" w:color="auto"/>
              <w:bottom w:val="single" w:sz="8" w:color="0000FF"/>
            </w:tcBorders>
            <w:gridSpan w:val="17"/>
          </w:tcPr>
          <w:p>
            <w:pPr>
              <w:spacing w:after="0"/>
              <w:rPr>
                <w:rFonts w:ascii="Arial" w:cs="Arial" w:eastAsia="Arial" w:hAnsi="Arial"/>
                <w:sz w:val="17"/>
                <w:szCs w:val="17"/>
                <w:color w:val="0000FF"/>
                <w:w w:val="94"/>
              </w:rPr>
            </w:pPr>
            <w:hyperlink r:id="rId21">
              <w:r>
                <w:rPr>
                  <w:rFonts w:ascii="Arial" w:cs="Arial" w:eastAsia="Arial" w:hAnsi="Arial"/>
                  <w:sz w:val="17"/>
                  <w:szCs w:val="17"/>
                  <w:color w:val="0000FF"/>
                  <w:w w:val="94"/>
                </w:rPr>
                <w:t>Amended and Restated Certificate of Incorporation of Virtu Financial, Inc. (incorporated herein by reference to Exhibit 3.1 to the</w:t>
              </w:r>
            </w:hyperlink>
          </w:p>
        </w:tc>
        <w:tc>
          <w:tcPr>
            <w:tcW w:w="280" w:type="dxa"/>
            <w:vAlign w:val="bottom"/>
            <w:tcBorders>
              <w:top w:val="single" w:sz="8" w:color="auto"/>
            </w:tcBorders>
            <w:gridSpan w:val="10"/>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0" w:type="dxa"/>
            <w:vAlign w:val="bottom"/>
            <w:tcBorders>
              <w:bottom w:val="single" w:sz="8" w:color="0000FF"/>
            </w:tcBorders>
            <w:gridSpan w:val="11"/>
          </w:tcPr>
          <w:p>
            <w:pPr>
              <w:spacing w:after="0" w:line="190" w:lineRule="exact"/>
              <w:rPr>
                <w:rFonts w:ascii="Arial" w:cs="Arial" w:eastAsia="Arial" w:hAnsi="Arial"/>
                <w:sz w:val="17"/>
                <w:szCs w:val="17"/>
                <w:color w:val="0000FF"/>
                <w:w w:val="93"/>
              </w:rPr>
            </w:pPr>
            <w:hyperlink r:id="rId21">
              <w:r>
                <w:rPr>
                  <w:rFonts w:ascii="Arial" w:cs="Arial" w:eastAsia="Arial" w:hAnsi="Arial"/>
                  <w:sz w:val="17"/>
                  <w:szCs w:val="17"/>
                  <w:color w:val="0000FF"/>
                  <w:w w:val="93"/>
                </w:rPr>
                <w:t>Company's Quarterly Report on Form 10-Q, as amended (File No. 001-37352) filed on May 29, 2015).</w:t>
              </w:r>
            </w:hyperlink>
          </w:p>
        </w:tc>
        <w:tc>
          <w:tcPr>
            <w:tcW w:w="2120" w:type="dxa"/>
            <w:vAlign w:val="bottom"/>
            <w:gridSpan w:val="16"/>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40" w:type="dxa"/>
            <w:vAlign w:val="bottom"/>
            <w:tcBorders>
              <w:bottom w:val="single" w:sz="8" w:color="0000FF"/>
            </w:tcBorders>
            <w:gridSpan w:val="23"/>
          </w:tcPr>
          <w:p>
            <w:pPr>
              <w:spacing w:after="0"/>
              <w:rPr>
                <w:rFonts w:ascii="Arial" w:cs="Arial" w:eastAsia="Arial" w:hAnsi="Arial"/>
                <w:sz w:val="17"/>
                <w:szCs w:val="17"/>
                <w:color w:val="0000FF"/>
                <w:w w:val="93"/>
              </w:rPr>
            </w:pPr>
            <w:hyperlink r:id="rId22">
              <w:r>
                <w:rPr>
                  <w:rFonts w:ascii="Arial" w:cs="Arial" w:eastAsia="Arial" w:hAnsi="Arial"/>
                  <w:sz w:val="17"/>
                  <w:szCs w:val="17"/>
                  <w:color w:val="0000FF"/>
                  <w:w w:val="93"/>
                </w:rPr>
                <w:t>Amended and Restated By-laws of Virtu Financial, Inc. (incorporated herein by reference to Exhibit 3.2 to the Company's Quarterly</w:t>
              </w:r>
            </w:hyperlink>
          </w:p>
        </w:tc>
        <w:tc>
          <w:tcPr>
            <w:tcW w:w="80" w:type="dxa"/>
            <w:vAlign w:val="bottom"/>
            <w:gridSpan w:val="4"/>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rPr>
            </w:pPr>
            <w:hyperlink r:id="rId22">
              <w:r>
                <w:rPr>
                  <w:rFonts w:ascii="Arial" w:cs="Arial" w:eastAsia="Arial" w:hAnsi="Arial"/>
                  <w:sz w:val="17"/>
                  <w:szCs w:val="17"/>
                  <w:color w:val="0000FF"/>
                </w:rPr>
                <w:t>Report on Form 10-Q, as amended (File No. 001-37352), filed on May 29, 2015).</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7"/>
          </w:tcPr>
          <w:p>
            <w:pPr>
              <w:spacing w:after="0"/>
              <w:rPr>
                <w:rFonts w:ascii="Arial" w:cs="Arial" w:eastAsia="Arial" w:hAnsi="Arial"/>
                <w:sz w:val="17"/>
                <w:szCs w:val="17"/>
                <w:color w:val="0000FF"/>
                <w:w w:val="96"/>
              </w:rPr>
            </w:pPr>
            <w:hyperlink r:id="rId23">
              <w:r>
                <w:rPr>
                  <w:rFonts w:ascii="Arial" w:cs="Arial" w:eastAsia="Arial" w:hAnsi="Arial"/>
                  <w:sz w:val="17"/>
                  <w:szCs w:val="17"/>
                  <w:color w:val="0000FF"/>
                  <w:w w:val="96"/>
                </w:rPr>
                <w:t>Amended and Restated Registration Rights Agreement, dated April 20, 2017, by and among Virtu Financial, Inc., TJMT Holdings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100" w:type="dxa"/>
            <w:vAlign w:val="bottom"/>
            <w:tcBorders>
              <w:top w:val="single" w:sz="8" w:color="0000FF"/>
            </w:tcBorders>
            <w:gridSpan w:val="20"/>
          </w:tcPr>
          <w:p>
            <w:pPr>
              <w:spacing w:after="0" w:line="190" w:lineRule="exact"/>
              <w:rPr>
                <w:rFonts w:ascii="Arial" w:cs="Arial" w:eastAsia="Arial" w:hAnsi="Arial"/>
                <w:sz w:val="17"/>
                <w:szCs w:val="17"/>
                <w:color w:val="0000FF"/>
                <w:w w:val="95"/>
              </w:rPr>
            </w:pPr>
            <w:hyperlink r:id="rId23">
              <w:r>
                <w:rPr>
                  <w:rFonts w:ascii="Arial" w:cs="Arial" w:eastAsia="Arial" w:hAnsi="Arial"/>
                  <w:sz w:val="17"/>
                  <w:szCs w:val="17"/>
                  <w:color w:val="0000FF"/>
                  <w:w w:val="95"/>
                </w:rPr>
                <w:t>LLC, Aranda Investments Pte. Ltd., Havelock Fund Investments Pte Ltd., North Island Holdings I, LP and the additional holders</w:t>
              </w:r>
            </w:hyperlink>
          </w:p>
        </w:tc>
        <w:tc>
          <w:tcPr>
            <w:tcW w:w="220" w:type="dxa"/>
            <w:vAlign w:val="bottom"/>
            <w:gridSpan w:val="7"/>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tcBorders>
              <w:bottom w:val="single" w:sz="8" w:color="0000FF"/>
            </w:tcBorders>
            <w:gridSpan w:val="18"/>
          </w:tcPr>
          <w:p>
            <w:pPr>
              <w:spacing w:after="0" w:line="190" w:lineRule="exact"/>
              <w:rPr>
                <w:rFonts w:ascii="Arial" w:cs="Arial" w:eastAsia="Arial" w:hAnsi="Arial"/>
                <w:sz w:val="17"/>
                <w:szCs w:val="17"/>
                <w:color w:val="0000FF"/>
                <w:w w:val="93"/>
              </w:rPr>
            </w:pPr>
            <w:hyperlink r:id="rId23">
              <w:r>
                <w:rPr>
                  <w:rFonts w:ascii="Arial" w:cs="Arial" w:eastAsia="Arial" w:hAnsi="Arial"/>
                  <w:sz w:val="17"/>
                  <w:szCs w:val="17"/>
                  <w:color w:val="0000FF"/>
                  <w:w w:val="93"/>
                </w:rPr>
                <w:t>named therein (incorporated herein by reference to Exhibit 10.3 to the Company’s Quarterly Report on Form 10-Q (File No. 001-</w:t>
              </w:r>
            </w:hyperlink>
          </w:p>
        </w:tc>
        <w:tc>
          <w:tcPr>
            <w:tcW w:w="260" w:type="dxa"/>
            <w:vAlign w:val="bottom"/>
            <w:gridSpan w:val="9"/>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Borders>
              <w:bottom w:val="single" w:sz="8" w:color="0000FF"/>
            </w:tcBorders>
            <w:gridSpan w:val="2"/>
          </w:tcPr>
          <w:p>
            <w:pPr>
              <w:spacing w:after="0" w:line="190" w:lineRule="exact"/>
              <w:rPr>
                <w:rFonts w:ascii="Arial" w:cs="Arial" w:eastAsia="Arial" w:hAnsi="Arial"/>
                <w:sz w:val="17"/>
                <w:szCs w:val="17"/>
                <w:color w:val="0000FF"/>
                <w:w w:val="94"/>
              </w:rPr>
            </w:pPr>
            <w:hyperlink r:id="rId23">
              <w:r>
                <w:rPr>
                  <w:rFonts w:ascii="Arial" w:cs="Arial" w:eastAsia="Arial" w:hAnsi="Arial"/>
                  <w:sz w:val="17"/>
                  <w:szCs w:val="17"/>
                  <w:color w:val="0000FF"/>
                  <w:w w:val="94"/>
                </w:rPr>
                <w:t>37352)</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 xml:space="preserve"> filed on May 10, 2017).</w:t>
              </w:r>
            </w:hyperlink>
          </w:p>
        </w:tc>
        <w:tc>
          <w:tcPr>
            <w:tcW w:w="7080" w:type="dxa"/>
            <w:vAlign w:val="bottom"/>
            <w:gridSpan w:val="25"/>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Arial" w:cs="Arial" w:eastAsia="Arial" w:hAnsi="Arial"/>
                <w:sz w:val="17"/>
                <w:szCs w:val="17"/>
                <w:color w:val="0000FF"/>
                <w:w w:val="98"/>
              </w:rPr>
            </w:pPr>
            <w:hyperlink r:id="rId24">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0" w:type="dxa"/>
            <w:vAlign w:val="bottom"/>
            <w:tcBorders>
              <w:bottom w:val="single" w:sz="8" w:color="0000FF"/>
            </w:tcBorders>
            <w:gridSpan w:val="22"/>
          </w:tcPr>
          <w:p>
            <w:pPr>
              <w:spacing w:after="0" w:line="190" w:lineRule="exact"/>
              <w:rPr>
                <w:rFonts w:ascii="Arial" w:cs="Arial" w:eastAsia="Arial" w:hAnsi="Arial"/>
                <w:sz w:val="17"/>
                <w:szCs w:val="17"/>
                <w:color w:val="0000FF"/>
                <w:w w:val="92"/>
              </w:rPr>
            </w:pPr>
            <w:hyperlink r:id="rId24">
              <w:r>
                <w:rPr>
                  <w:rFonts w:ascii="Arial" w:cs="Arial" w:eastAsia="Arial" w:hAnsi="Arial"/>
                  <w:sz w:val="17"/>
                  <w:szCs w:val="17"/>
                  <w:color w:val="0000FF"/>
                  <w:w w:val="92"/>
                </w:rPr>
                <w:t>dated as of January 23, 2018, by and between Virtu Financial, Inc. and Joseph Molluso (incorporated herein by reference to Exhibit</w:t>
              </w:r>
            </w:hyperlink>
          </w:p>
        </w:tc>
        <w:tc>
          <w:tcPr>
            <w:tcW w:w="120" w:type="dxa"/>
            <w:vAlign w:val="bottom"/>
            <w:gridSpan w:val="5"/>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0"/>
          </w:tcPr>
          <w:p>
            <w:pPr>
              <w:spacing w:after="0" w:line="190" w:lineRule="exact"/>
              <w:rPr>
                <w:rFonts w:ascii="Arial" w:cs="Arial" w:eastAsia="Arial" w:hAnsi="Arial"/>
                <w:sz w:val="17"/>
                <w:szCs w:val="17"/>
                <w:color w:val="0000FF"/>
                <w:w w:val="94"/>
              </w:rPr>
            </w:pPr>
            <w:hyperlink r:id="rId24">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8</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7"/>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Arial" w:cs="Arial" w:eastAsia="Arial" w:hAnsi="Arial"/>
                <w:sz w:val="17"/>
                <w:szCs w:val="17"/>
                <w:color w:val="0000FF"/>
                <w:w w:val="98"/>
              </w:rPr>
            </w:pPr>
            <w:hyperlink r:id="rId25">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40" w:type="dxa"/>
            <w:vAlign w:val="bottom"/>
            <w:tcBorders>
              <w:bottom w:val="single" w:sz="8" w:color="0000FF"/>
            </w:tcBorders>
            <w:gridSpan w:val="23"/>
          </w:tcPr>
          <w:p>
            <w:pPr>
              <w:spacing w:after="0" w:line="190" w:lineRule="exact"/>
              <w:rPr>
                <w:rFonts w:ascii="Arial" w:cs="Arial" w:eastAsia="Arial" w:hAnsi="Arial"/>
                <w:sz w:val="17"/>
                <w:szCs w:val="17"/>
                <w:color w:val="0000FF"/>
                <w:w w:val="93"/>
              </w:rPr>
            </w:pPr>
            <w:hyperlink r:id="rId25">
              <w:r>
                <w:rPr>
                  <w:rFonts w:ascii="Arial" w:cs="Arial" w:eastAsia="Arial" w:hAnsi="Arial"/>
                  <w:sz w:val="17"/>
                  <w:szCs w:val="17"/>
                  <w:color w:val="0000FF"/>
                  <w:w w:val="93"/>
                </w:rPr>
                <w:t>dated as of January 23, 2018, by and between Virtu Financial, Inc. and Douglas A. Cifu (incorporated herein by reference to Exhibit</w:t>
              </w:r>
            </w:hyperlink>
          </w:p>
        </w:tc>
        <w:tc>
          <w:tcPr>
            <w:tcW w:w="80" w:type="dxa"/>
            <w:vAlign w:val="bottom"/>
            <w:gridSpan w:val="4"/>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0"/>
          </w:tcPr>
          <w:p>
            <w:pPr>
              <w:spacing w:after="0" w:line="190" w:lineRule="exact"/>
              <w:rPr>
                <w:rFonts w:ascii="Arial" w:cs="Arial" w:eastAsia="Arial" w:hAnsi="Arial"/>
                <w:sz w:val="17"/>
                <w:szCs w:val="17"/>
                <w:color w:val="0000FF"/>
                <w:w w:val="94"/>
              </w:rPr>
            </w:pPr>
            <w:hyperlink r:id="rId25">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9</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7"/>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7"/>
          </w:tcPr>
          <w:p>
            <w:pPr>
              <w:spacing w:after="0"/>
              <w:rPr>
                <w:rFonts w:ascii="Arial" w:cs="Arial" w:eastAsia="Arial" w:hAnsi="Arial"/>
                <w:sz w:val="17"/>
                <w:szCs w:val="17"/>
                <w:color w:val="0000FF"/>
                <w:w w:val="94"/>
              </w:rPr>
            </w:pPr>
            <w:hyperlink r:id="rId26">
              <w:r>
                <w:rPr>
                  <w:rFonts w:ascii="Arial" w:cs="Arial" w:eastAsia="Arial" w:hAnsi="Arial"/>
                  <w:sz w:val="17"/>
                  <w:szCs w:val="17"/>
                  <w:color w:val="0000FF"/>
                  <w:w w:val="94"/>
                </w:rPr>
                <w:t>Virtu Financial, Inc. 2015 Amended and Restated Management Incentive Plan Employee Restricted Stock Award Agreement, dated</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80" w:type="dxa"/>
            <w:vAlign w:val="bottom"/>
            <w:tcBorders>
              <w:bottom w:val="single" w:sz="8" w:color="0000FF"/>
            </w:tcBorders>
            <w:gridSpan w:val="25"/>
          </w:tcPr>
          <w:p>
            <w:pPr>
              <w:spacing w:after="0" w:line="190" w:lineRule="exact"/>
              <w:rPr>
                <w:rFonts w:ascii="Arial" w:cs="Arial" w:eastAsia="Arial" w:hAnsi="Arial"/>
                <w:sz w:val="17"/>
                <w:szCs w:val="17"/>
                <w:color w:val="0000FF"/>
                <w:w w:val="94"/>
              </w:rPr>
            </w:pPr>
            <w:hyperlink r:id="rId26">
              <w:r>
                <w:rPr>
                  <w:rFonts w:ascii="Arial" w:cs="Arial" w:eastAsia="Arial" w:hAnsi="Arial"/>
                  <w:sz w:val="17"/>
                  <w:szCs w:val="17"/>
                  <w:color w:val="0000FF"/>
                  <w:w w:val="94"/>
                </w:rPr>
                <w:t>as of February 2, 2018, by and between Virtu Financial, Inc. and Douglas A. Cifu (incorporated herein by reference to Exhibit 10.10</w:t>
              </w:r>
            </w:hyperlink>
          </w:p>
        </w:tc>
        <w:tc>
          <w:tcPr>
            <w:tcW w:w="40" w:type="dxa"/>
            <w:vAlign w:val="bottom"/>
            <w:gridSpan w:val="2"/>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rPr>
            </w:pPr>
            <w:hyperlink r:id="rId26">
              <w:r>
                <w:rPr>
                  <w:rFonts w:ascii="Arial" w:cs="Arial" w:eastAsia="Arial" w:hAnsi="Arial"/>
                  <w:sz w:val="17"/>
                  <w:szCs w:val="17"/>
                  <w:color w:val="0000FF"/>
                </w:rPr>
                <w:t>to the Company’s Annual Report on Form 10-K (File No. 001-37352), filed on March 13, 2018).</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00" w:type="dxa"/>
            <w:vAlign w:val="bottom"/>
            <w:tcBorders>
              <w:bottom w:val="single" w:sz="8" w:color="0000FF"/>
            </w:tcBorders>
            <w:gridSpan w:val="26"/>
          </w:tcPr>
          <w:p>
            <w:pPr>
              <w:spacing w:after="0"/>
              <w:rPr>
                <w:rFonts w:ascii="Arial" w:cs="Arial" w:eastAsia="Arial" w:hAnsi="Arial"/>
                <w:sz w:val="17"/>
                <w:szCs w:val="17"/>
                <w:color w:val="0000FF"/>
                <w:w w:val="91"/>
              </w:rPr>
            </w:pPr>
            <w:hyperlink r:id="rId27">
              <w:r>
                <w:rPr>
                  <w:rFonts w:ascii="Arial" w:cs="Arial" w:eastAsia="Arial" w:hAnsi="Arial"/>
                  <w:sz w:val="17"/>
                  <w:szCs w:val="17"/>
                  <w:color w:val="0000FF"/>
                  <w:w w:val="91"/>
                </w:rPr>
                <w:t>Amendment No. 1, dated as of January 2, 2018, to the Fourth Amended and Restated Credit Agreement, dated June 30, 2017, by and</w:t>
              </w:r>
            </w:hyperlink>
          </w:p>
        </w:tc>
        <w:tc>
          <w:tcPr>
            <w:tcW w:w="20" w:type="dxa"/>
            <w:vAlign w:val="bottom"/>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w w:val="95"/>
              </w:rPr>
            </w:pPr>
            <w:hyperlink r:id="rId27">
              <w:r>
                <w:rPr>
                  <w:rFonts w:ascii="Arial" w:cs="Arial" w:eastAsia="Arial" w:hAnsi="Arial"/>
                  <w:sz w:val="17"/>
                  <w:szCs w:val="17"/>
                  <w:color w:val="0000FF"/>
                  <w:w w:val="95"/>
                </w:rPr>
                <w:t>between Virtu Financial LLC, VFH Parent LLC, the lenders party thereto and JPMorgan Chase Bank, N.A. (incorporated herein by</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40" w:type="dxa"/>
            <w:vAlign w:val="bottom"/>
            <w:tcBorders>
              <w:top w:val="single" w:sz="8" w:color="0000FF"/>
              <w:bottom w:val="single" w:sz="8" w:color="0000FF"/>
            </w:tcBorders>
            <w:gridSpan w:val="13"/>
          </w:tcPr>
          <w:p>
            <w:pPr>
              <w:spacing w:after="0" w:line="190" w:lineRule="exact"/>
              <w:rPr>
                <w:rFonts w:ascii="Arial" w:cs="Arial" w:eastAsia="Arial" w:hAnsi="Arial"/>
                <w:sz w:val="17"/>
                <w:szCs w:val="17"/>
                <w:color w:val="0000FF"/>
                <w:w w:val="94"/>
              </w:rPr>
            </w:pPr>
            <w:hyperlink r:id="rId27">
              <w:r>
                <w:rPr>
                  <w:rFonts w:ascii="Arial" w:cs="Arial" w:eastAsia="Arial" w:hAnsi="Arial"/>
                  <w:sz w:val="17"/>
                  <w:szCs w:val="17"/>
                  <w:color w:val="0000FF"/>
                  <w:w w:val="94"/>
                </w:rPr>
                <w:t>reference to Exhibit 10.29 to the Company’s Annual Report on Form 10-K (File No. 001-37352), filed on March 13, 2018).</w:t>
              </w:r>
            </w:hyperlink>
          </w:p>
        </w:tc>
        <w:tc>
          <w:tcPr>
            <w:tcW w:w="560" w:type="dxa"/>
            <w:vAlign w:val="bottom"/>
            <w:tcBorders>
              <w:top w:val="single" w:sz="8" w:color="0000FF"/>
            </w:tcBorders>
            <w:gridSpan w:val="9"/>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tcBorders>
              <w:bottom w:val="single" w:sz="8" w:color="0000FF"/>
            </w:tcBorders>
            <w:gridSpan w:val="24"/>
          </w:tcPr>
          <w:p>
            <w:pPr>
              <w:spacing w:after="0"/>
              <w:rPr>
                <w:rFonts w:ascii="Arial" w:cs="Arial" w:eastAsia="Arial" w:hAnsi="Arial"/>
                <w:sz w:val="17"/>
                <w:szCs w:val="17"/>
                <w:color w:val="0000FF"/>
                <w:w w:val="94"/>
              </w:rPr>
            </w:pPr>
            <w:hyperlink r:id="rId28">
              <w:r>
                <w:rPr>
                  <w:rFonts w:ascii="Arial" w:cs="Arial" w:eastAsia="Arial" w:hAnsi="Arial"/>
                  <w:sz w:val="17"/>
                  <w:szCs w:val="17"/>
                  <w:color w:val="0000FF"/>
                  <w:w w:val="94"/>
                </w:rPr>
                <w:t>Third Amendment, dated as of January 5, 2018, to the Third Amended and Restated Limited Liability Company Agreement of Virtu</w:t>
              </w:r>
            </w:hyperlink>
          </w:p>
        </w:tc>
        <w:tc>
          <w:tcPr>
            <w:tcW w:w="60" w:type="dxa"/>
            <w:vAlign w:val="bottom"/>
            <w:gridSpan w:val="3"/>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w w:val="96"/>
              </w:rPr>
            </w:pPr>
            <w:hyperlink r:id="rId28">
              <w:r>
                <w:rPr>
                  <w:rFonts w:ascii="Arial" w:cs="Arial" w:eastAsia="Arial" w:hAnsi="Arial"/>
                  <w:sz w:val="17"/>
                  <w:szCs w:val="17"/>
                  <w:color w:val="0000FF"/>
                  <w:w w:val="96"/>
                </w:rPr>
                <w:t>Financial LLC, dated as of April 15, 2015 (incorporated herein by reference to Exhibit 10.30 to the Company’s Annual Report on</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0" w:type="dxa"/>
            <w:vAlign w:val="bottom"/>
            <w:tcBorders>
              <w:top w:val="single" w:sz="8" w:color="0000FF"/>
              <w:bottom w:val="single" w:sz="8" w:color="0000FF"/>
            </w:tcBorders>
            <w:gridSpan w:val="4"/>
          </w:tcPr>
          <w:p>
            <w:pPr>
              <w:spacing w:after="0" w:line="190" w:lineRule="exact"/>
              <w:rPr>
                <w:rFonts w:ascii="Arial" w:cs="Arial" w:eastAsia="Arial" w:hAnsi="Arial"/>
                <w:sz w:val="17"/>
                <w:szCs w:val="17"/>
                <w:color w:val="0000FF"/>
                <w:w w:val="95"/>
              </w:rPr>
            </w:pPr>
            <w:hyperlink r:id="rId28">
              <w:r>
                <w:rPr>
                  <w:rFonts w:ascii="Arial" w:cs="Arial" w:eastAsia="Arial" w:hAnsi="Arial"/>
                  <w:sz w:val="17"/>
                  <w:szCs w:val="17"/>
                  <w:color w:val="0000FF"/>
                  <w:w w:val="95"/>
                </w:rPr>
                <w:t>Form 10-K (File No. 001-37352), filed on March 13, 2018).</w:t>
              </w:r>
            </w:hyperlink>
          </w:p>
        </w:tc>
        <w:tc>
          <w:tcPr>
            <w:tcW w:w="4860" w:type="dxa"/>
            <w:vAlign w:val="bottom"/>
            <w:tcBorders>
              <w:top w:val="single" w:sz="8" w:color="0000FF"/>
            </w:tcBorders>
            <w:gridSpan w:val="14"/>
          </w:tcPr>
          <w:p>
            <w:pPr>
              <w:spacing w:after="0"/>
              <w:rPr>
                <w:sz w:val="16"/>
                <w:szCs w:val="16"/>
                <w:color w:val="auto"/>
              </w:rPr>
            </w:pPr>
          </w:p>
        </w:tc>
        <w:tc>
          <w:tcPr>
            <w:tcW w:w="260" w:type="dxa"/>
            <w:vAlign w:val="bottom"/>
            <w:gridSpan w:val="9"/>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7"/>
          </w:tcPr>
          <w:p>
            <w:pPr>
              <w:spacing w:after="0"/>
              <w:rPr>
                <w:rFonts w:ascii="Arial" w:cs="Arial" w:eastAsia="Arial" w:hAnsi="Arial"/>
                <w:sz w:val="17"/>
                <w:szCs w:val="17"/>
                <w:color w:val="0000FF"/>
              </w:rPr>
            </w:pPr>
            <w:hyperlink w:anchor="page86">
              <w:r>
                <w:rPr>
                  <w:rFonts w:ascii="Arial" w:cs="Arial" w:eastAsia="Arial" w:hAnsi="Arial"/>
                  <w:sz w:val="17"/>
                  <w:szCs w:val="17"/>
                  <w:color w:val="0000FF"/>
                </w:rPr>
                <w:t>Employment Agreement, dated as of June 24, 2015, by and between Stephen Cavoli and Virtu Financial Operating</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w w:val="97"/>
              </w:rPr>
            </w:pPr>
            <w:hyperlink w:anchor="page86">
              <w:r>
                <w:rPr>
                  <w:rFonts w:ascii="Arial" w:cs="Arial" w:eastAsia="Arial" w:hAnsi="Arial"/>
                  <w:sz w:val="17"/>
                  <w:szCs w:val="17"/>
                  <w:color w:val="0000FF"/>
                  <w:w w:val="97"/>
                </w:rPr>
                <w:t xml:space="preserve">LLC </w:t>
              </w:r>
              <w:r>
                <w:rPr>
                  <w:rFonts w:ascii="Arial" w:cs="Arial" w:eastAsia="Arial" w:hAnsi="Arial"/>
                  <w:sz w:val="17"/>
                  <w:szCs w:val="17"/>
                  <w:color w:val="000000"/>
                  <w:w w:val="97"/>
                </w:rPr>
                <w:t>(incorporated by reference to Exhibit 10.7 to the Company's Quarterly Report on Form 10-Q (File No. 001-</w:t>
              </w:r>
            </w:hyperlink>
            <w:r>
              <w:rPr>
                <w:rFonts w:ascii="Arial" w:cs="Arial" w:eastAsia="Arial" w:hAnsi="Arial"/>
                <w:sz w:val="17"/>
                <w:szCs w:val="17"/>
                <w:color w:val="0000FF"/>
                <w:w w:val="97"/>
              </w:rPr>
              <w:t xml:space="preserve">37352), </w:t>
            </w:r>
            <w:r>
              <w:rPr>
                <w:rFonts w:ascii="Arial" w:cs="Arial" w:eastAsia="Arial" w:hAnsi="Arial"/>
                <w:sz w:val="17"/>
                <w:szCs w:val="17"/>
                <w:color w:val="000000"/>
                <w:w w:val="97"/>
              </w:rPr>
              <w:t>filed on</w:t>
            </w: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sz w:val="20"/>
                <w:szCs w:val="20"/>
                <w:color w:val="auto"/>
              </w:rPr>
            </w:pPr>
            <w:r>
              <w:rPr>
                <w:rFonts w:ascii="Arial" w:cs="Arial" w:eastAsia="Arial" w:hAnsi="Arial"/>
                <w:sz w:val="17"/>
                <w:szCs w:val="17"/>
                <w:color w:val="auto"/>
              </w:rPr>
              <w:t>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rFonts w:ascii="Arial" w:cs="Arial" w:eastAsia="Arial" w:hAnsi="Arial"/>
                <w:sz w:val="17"/>
                <w:szCs w:val="17"/>
                <w:color w:val="0000FF"/>
                <w:w w:val="96"/>
              </w:rPr>
            </w:pPr>
            <w:hyperlink w:anchor="page89">
              <w:r>
                <w:rPr>
                  <w:rFonts w:ascii="Arial" w:cs="Arial" w:eastAsia="Arial" w:hAnsi="Arial"/>
                  <w:sz w:val="17"/>
                  <w:szCs w:val="17"/>
                  <w:color w:val="0000FF"/>
                  <w:w w:val="96"/>
                </w:rPr>
                <w:t>Virtu Financial, Inc. 2015 Management Incentive Plan Employee Restricted Stock Unit Award Agreement, dated as of August 24,</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80" w:type="dxa"/>
            <w:vAlign w:val="bottom"/>
            <w:tcBorders>
              <w:top w:val="single" w:sz="8" w:color="0000FF"/>
            </w:tcBorders>
            <w:gridSpan w:val="19"/>
          </w:tcPr>
          <w:p>
            <w:pPr>
              <w:spacing w:after="0" w:line="190" w:lineRule="exact"/>
              <w:rPr>
                <w:rFonts w:ascii="Arial" w:cs="Arial" w:eastAsia="Arial" w:hAnsi="Arial"/>
                <w:sz w:val="17"/>
                <w:szCs w:val="17"/>
                <w:color w:val="0000FF"/>
                <w:w w:val="98"/>
              </w:rPr>
            </w:pPr>
            <w:hyperlink w:anchor="page89">
              <w:r>
                <w:rPr>
                  <w:rFonts w:ascii="Arial" w:cs="Arial" w:eastAsia="Arial" w:hAnsi="Arial"/>
                  <w:sz w:val="17"/>
                  <w:szCs w:val="17"/>
                  <w:color w:val="0000FF"/>
                  <w:w w:val="98"/>
                </w:rPr>
                <w:t xml:space="preserve">2015, by and between Virtu Financial, Inc. and Stephen Cavoli </w:t>
              </w:r>
              <w:r>
                <w:rPr>
                  <w:rFonts w:ascii="Arial" w:cs="Arial" w:eastAsia="Arial" w:hAnsi="Arial"/>
                  <w:sz w:val="17"/>
                  <w:szCs w:val="17"/>
                  <w:color w:val="000000"/>
                  <w:w w:val="98"/>
                </w:rPr>
                <w:t>(incorporated by reference to Exhibit 10.8 to the Company's</w:t>
              </w:r>
            </w:hyperlink>
          </w:p>
        </w:tc>
        <w:tc>
          <w:tcPr>
            <w:tcW w:w="240" w:type="dxa"/>
            <w:vAlign w:val="bottom"/>
            <w:gridSpan w:val="8"/>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sz w:val="20"/>
                <w:szCs w:val="20"/>
                <w:color w:val="auto"/>
              </w:rPr>
            </w:pPr>
            <w:r>
              <w:rPr>
                <w:rFonts w:ascii="Arial" w:cs="Arial" w:eastAsia="Arial" w:hAnsi="Arial"/>
                <w:sz w:val="17"/>
                <w:szCs w:val="17"/>
                <w:color w:val="auto"/>
              </w:rPr>
              <w:t>Quarterly Report on Form 10-Q (File No. 001-37352), filed on 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rFonts w:ascii="Arial" w:cs="Arial" w:eastAsia="Arial" w:hAnsi="Arial"/>
                <w:sz w:val="17"/>
                <w:szCs w:val="17"/>
                <w:color w:val="0000FF"/>
                <w:w w:val="98"/>
              </w:rPr>
            </w:pPr>
            <w:hyperlink w:anchor="page101">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7"/>
          </w:tcPr>
          <w:p>
            <w:pPr>
              <w:spacing w:after="0" w:line="190" w:lineRule="exact"/>
              <w:rPr>
                <w:rFonts w:ascii="Arial" w:cs="Arial" w:eastAsia="Arial" w:hAnsi="Arial"/>
                <w:sz w:val="17"/>
                <w:szCs w:val="17"/>
                <w:color w:val="0000FF"/>
                <w:w w:val="94"/>
              </w:rPr>
            </w:pPr>
            <w:hyperlink w:anchor="page101">
              <w:r>
                <w:rPr>
                  <w:rFonts w:ascii="Arial" w:cs="Arial" w:eastAsia="Arial" w:hAnsi="Arial"/>
                  <w:sz w:val="17"/>
                  <w:szCs w:val="17"/>
                  <w:color w:val="0000FF"/>
                  <w:w w:val="94"/>
                </w:rPr>
                <w:t xml:space="preserve">dated as of December 31, 2016, by and between Virtu Financial, Inc. and Stephen Cavoli </w:t>
              </w:r>
              <w:r>
                <w:rPr>
                  <w:rFonts w:ascii="Arial" w:cs="Arial" w:eastAsia="Arial" w:hAnsi="Arial"/>
                  <w:sz w:val="17"/>
                  <w:szCs w:val="17"/>
                  <w:color w:val="000000"/>
                  <w:w w:val="94"/>
                </w:rPr>
                <w:t xml:space="preserve">(incorporated by reference to Exhibit </w:t>
              </w:r>
            </w:hyperlink>
            <w:r>
              <w:rPr>
                <w:rFonts w:ascii="Arial" w:cs="Arial" w:eastAsia="Arial" w:hAnsi="Arial"/>
                <w:sz w:val="17"/>
                <w:szCs w:val="17"/>
                <w:color w:val="0000FF"/>
                <w:w w:val="94"/>
              </w:rPr>
              <w:t>10.9</w:t>
            </w: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80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sz w:val="20"/>
                <w:szCs w:val="20"/>
                <w:color w:val="auto"/>
              </w:rPr>
            </w:pPr>
            <w:r>
              <w:rPr>
                <w:rFonts w:ascii="Arial" w:cs="Arial" w:eastAsia="Arial" w:hAnsi="Arial"/>
                <w:sz w:val="17"/>
                <w:szCs w:val="17"/>
                <w:color w:val="auto"/>
              </w:rPr>
              <w:t>to the Company's Quarterly Report on Form 10-Q (File No. 001-37352), filed on May 7, 2018).</w:t>
            </w:r>
          </w:p>
        </w:tc>
      </w:tr>
      <w:tr>
        <w:trPr>
          <w:trHeight w:val="434"/>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7"/>
          </w:tcPr>
          <w:p>
            <w:pPr>
              <w:spacing w:after="0"/>
              <w:rPr>
                <w:rFonts w:ascii="Arial" w:cs="Arial" w:eastAsia="Arial" w:hAnsi="Arial"/>
                <w:sz w:val="17"/>
                <w:szCs w:val="17"/>
                <w:color w:val="0000FF"/>
                <w:w w:val="93"/>
              </w:rPr>
            </w:pPr>
            <w:hyperlink w:anchor="page113">
              <w:r>
                <w:rPr>
                  <w:rFonts w:ascii="Arial" w:cs="Arial" w:eastAsia="Arial" w:hAnsi="Arial"/>
                  <w:sz w:val="17"/>
                  <w:szCs w:val="17"/>
                  <w:color w:val="0000FF"/>
                  <w:w w:val="93"/>
                </w:rPr>
                <w:t>Virtu Financial, Inc. Amended and Restated 2015 Management Incentive Plan Employee Restricted Stock Unit Agreement, dated as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40" w:type="dxa"/>
            <w:vAlign w:val="bottom"/>
            <w:tcBorders>
              <w:top w:val="single" w:sz="8" w:color="0000FF"/>
            </w:tcBorders>
            <w:gridSpan w:val="23"/>
          </w:tcPr>
          <w:p>
            <w:pPr>
              <w:spacing w:after="0" w:line="190" w:lineRule="exact"/>
              <w:rPr>
                <w:rFonts w:ascii="Arial" w:cs="Arial" w:eastAsia="Arial" w:hAnsi="Arial"/>
                <w:sz w:val="17"/>
                <w:szCs w:val="17"/>
                <w:color w:val="0000FF"/>
                <w:w w:val="97"/>
              </w:rPr>
            </w:pPr>
            <w:hyperlink w:anchor="page113">
              <w:r>
                <w:rPr>
                  <w:rFonts w:ascii="Arial" w:cs="Arial" w:eastAsia="Arial" w:hAnsi="Arial"/>
                  <w:sz w:val="17"/>
                  <w:szCs w:val="17"/>
                  <w:color w:val="0000FF"/>
                  <w:w w:val="97"/>
                </w:rPr>
                <w:t xml:space="preserve">of March 21, 2018, by and between Virtu Financial, Inc. and Joseph Molluso </w:t>
              </w:r>
              <w:r>
                <w:rPr>
                  <w:rFonts w:ascii="Arial" w:cs="Arial" w:eastAsia="Arial" w:hAnsi="Arial"/>
                  <w:sz w:val="17"/>
                  <w:szCs w:val="17"/>
                  <w:color w:val="000000"/>
                  <w:w w:val="97"/>
                </w:rPr>
                <w:t>(incorporated by reference to Exhibit 10.10 to the</w:t>
              </w:r>
            </w:hyperlink>
          </w:p>
        </w:tc>
        <w:tc>
          <w:tcPr>
            <w:tcW w:w="80" w:type="dxa"/>
            <w:vAlign w:val="bottom"/>
            <w:gridSpan w:val="4"/>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sz w:val="20"/>
                <w:szCs w:val="20"/>
                <w:color w:val="auto"/>
              </w:rPr>
            </w:pPr>
            <w:r>
              <w:rPr>
                <w:rFonts w:ascii="Arial" w:cs="Arial" w:eastAsia="Arial" w:hAnsi="Arial"/>
                <w:sz w:val="17"/>
                <w:szCs w:val="17"/>
                <w:color w:val="auto"/>
              </w:rPr>
              <w:t>Company's Quarterly Report on Form 10-Q (File No. 001-373352), filed on May 7, 2018).</w:t>
            </w:r>
          </w:p>
        </w:tc>
      </w:tr>
      <w:tr>
        <w:trPr>
          <w:trHeight w:val="224"/>
        </w:trPr>
        <w:tc>
          <w:tcPr>
            <w:tcW w:w="1500" w:type="dxa"/>
            <w:vAlign w:val="bottom"/>
          </w:tcPr>
          <w:p>
            <w:pPr>
              <w:ind w:left="40"/>
              <w:spacing w:after="0"/>
              <w:rPr>
                <w:sz w:val="20"/>
                <w:szCs w:val="20"/>
                <w:color w:val="auto"/>
              </w:rPr>
            </w:pPr>
            <w:r>
              <w:rPr>
                <w:rFonts w:ascii="Arial" w:cs="Arial" w:eastAsia="Arial" w:hAnsi="Arial"/>
                <w:sz w:val="17"/>
                <w:szCs w:val="17"/>
                <w:color w:val="auto"/>
              </w:rPr>
              <w:t>10.11</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320" w:type="dxa"/>
            <w:vAlign w:val="bottom"/>
            <w:gridSpan w:val="27"/>
          </w:tcPr>
          <w:p>
            <w:pPr>
              <w:spacing w:after="0"/>
              <w:rPr>
                <w:rFonts w:ascii="Arial" w:cs="Arial" w:eastAsia="Arial" w:hAnsi="Arial"/>
                <w:sz w:val="17"/>
                <w:szCs w:val="17"/>
                <w:color w:val="0000FF"/>
                <w:w w:val="98"/>
              </w:rPr>
            </w:pPr>
            <w:hyperlink r:id="rId29">
              <w:r>
                <w:rPr>
                  <w:rFonts w:ascii="Arial" w:cs="Arial" w:eastAsia="Arial" w:hAnsi="Arial"/>
                  <w:sz w:val="17"/>
                  <w:szCs w:val="17"/>
                  <w:color w:val="0000FF"/>
                  <w:w w:val="98"/>
                </w:rPr>
                <w:t>Underwriting Agreement, dated May 10, 2018, by and among Virtu Financial, Inc., Virtu Financial LLC, the selling stockholders</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5780" w:type="dxa"/>
            <w:vAlign w:val="bottom"/>
            <w:gridSpan w:val="1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120" w:type="dxa"/>
            <w:vAlign w:val="bottom"/>
            <w:tcBorders>
              <w:bottom w:val="single" w:sz="8" w:color="0000FF"/>
            </w:tcBorders>
            <w:gridSpan w:val="21"/>
          </w:tcPr>
          <w:p>
            <w:pPr>
              <w:spacing w:after="0" w:line="190" w:lineRule="exact"/>
              <w:rPr>
                <w:rFonts w:ascii="Arial" w:cs="Arial" w:eastAsia="Arial" w:hAnsi="Arial"/>
                <w:sz w:val="17"/>
                <w:szCs w:val="17"/>
                <w:color w:val="0000FF"/>
                <w:w w:val="93"/>
              </w:rPr>
            </w:pPr>
            <w:hyperlink r:id="rId29">
              <w:r>
                <w:rPr>
                  <w:rFonts w:ascii="Arial" w:cs="Arial" w:eastAsia="Arial" w:hAnsi="Arial"/>
                  <w:sz w:val="17"/>
                  <w:szCs w:val="17"/>
                  <w:color w:val="0000FF"/>
                  <w:w w:val="93"/>
                </w:rPr>
                <w:t>party thereto and the Underwriters (incorporated herein by reference to Exhibit 1.1 to the Company’s Current Report on Form 8-K</w:t>
              </w:r>
            </w:hyperlink>
          </w:p>
        </w:tc>
        <w:tc>
          <w:tcPr>
            <w:tcW w:w="200" w:type="dxa"/>
            <w:vAlign w:val="bottom"/>
            <w:gridSpan w:val="6"/>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40" w:type="dxa"/>
            <w:vAlign w:val="bottom"/>
            <w:tcBorders>
              <w:bottom w:val="single" w:sz="8" w:color="0000FF"/>
            </w:tcBorders>
            <w:gridSpan w:val="3"/>
          </w:tcPr>
          <w:p>
            <w:pPr>
              <w:spacing w:after="0" w:line="190" w:lineRule="exact"/>
              <w:rPr>
                <w:rFonts w:ascii="Arial" w:cs="Arial" w:eastAsia="Arial" w:hAnsi="Arial"/>
                <w:sz w:val="17"/>
                <w:szCs w:val="17"/>
                <w:color w:val="0000FF"/>
                <w:w w:val="95"/>
              </w:rPr>
            </w:pPr>
            <w:hyperlink r:id="rId29">
              <w:r>
                <w:rPr>
                  <w:rFonts w:ascii="Arial" w:cs="Arial" w:eastAsia="Arial" w:hAnsi="Arial"/>
                  <w:sz w:val="17"/>
                  <w:szCs w:val="17"/>
                  <w:color w:val="0000FF"/>
                  <w:w w:val="95"/>
                </w:rPr>
                <w:t>(File No. 001-37352), filed on May 15, 2018).</w:t>
              </w:r>
            </w:hyperlink>
          </w:p>
        </w:tc>
        <w:tc>
          <w:tcPr>
            <w:tcW w:w="6080" w:type="dxa"/>
            <w:vAlign w:val="bottom"/>
            <w:gridSpan w:val="24"/>
          </w:tcPr>
          <w:p>
            <w:pPr>
              <w:spacing w:after="0"/>
              <w:rPr>
                <w:sz w:val="16"/>
                <w:szCs w:val="16"/>
                <w:color w:val="auto"/>
              </w:rPr>
            </w:pPr>
          </w:p>
        </w:tc>
      </w:tr>
      <w:tr>
        <w:trPr>
          <w:trHeight w:val="491"/>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gridSpan w:val="5"/>
          </w:tcPr>
          <w:p>
            <w:pPr>
              <w:jc w:val="right"/>
              <w:ind w:right="500"/>
              <w:spacing w:after="0"/>
              <w:rPr>
                <w:sz w:val="20"/>
                <w:szCs w:val="20"/>
                <w:color w:val="auto"/>
              </w:rPr>
            </w:pPr>
            <w:r>
              <w:rPr>
                <w:rFonts w:ascii="Arial" w:cs="Arial" w:eastAsia="Arial" w:hAnsi="Arial"/>
                <w:sz w:val="17"/>
                <w:szCs w:val="17"/>
                <w:color w:val="auto"/>
              </w:rPr>
              <w:t>79</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4"/>
        </w:trPr>
        <w:tc>
          <w:tcPr>
            <w:tcW w:w="1240" w:type="dxa"/>
            <w:vAlign w:val="bottom"/>
          </w:tcPr>
          <w:p>
            <w:pPr>
              <w:ind w:left="40"/>
              <w:spacing w:after="0"/>
              <w:rPr>
                <w:sz w:val="20"/>
                <w:szCs w:val="20"/>
                <w:color w:val="auto"/>
              </w:rPr>
            </w:pPr>
            <w:r>
              <w:rPr>
                <w:rFonts w:ascii="Arial" w:cs="Arial" w:eastAsia="Arial" w:hAnsi="Arial"/>
                <w:sz w:val="17"/>
                <w:szCs w:val="17"/>
                <w:color w:val="auto"/>
              </w:rPr>
              <w:t>10.12</w:t>
            </w:r>
          </w:p>
        </w:tc>
        <w:tc>
          <w:tcPr>
            <w:tcW w:w="860" w:type="dxa"/>
            <w:vAlign w:val="bottom"/>
          </w:tcPr>
          <w:p>
            <w:pPr>
              <w:spacing w:after="0"/>
              <w:rPr>
                <w:sz w:val="24"/>
                <w:szCs w:val="24"/>
                <w:color w:val="auto"/>
              </w:rPr>
            </w:pPr>
          </w:p>
        </w:tc>
        <w:tc>
          <w:tcPr>
            <w:tcW w:w="8580" w:type="dxa"/>
            <w:vAlign w:val="bottom"/>
            <w:tcBorders>
              <w:bottom w:val="single" w:sz="8" w:color="0000FF"/>
            </w:tcBorders>
            <w:gridSpan w:val="10"/>
          </w:tcPr>
          <w:p>
            <w:pPr>
              <w:spacing w:after="0"/>
              <w:rPr>
                <w:rFonts w:ascii="Arial" w:cs="Arial" w:eastAsia="Arial" w:hAnsi="Arial"/>
                <w:sz w:val="17"/>
                <w:szCs w:val="17"/>
                <w:color w:val="0000FF"/>
                <w:w w:val="93"/>
              </w:rPr>
            </w:pPr>
            <w:hyperlink r:id="rId30">
              <w:r>
                <w:rPr>
                  <w:rFonts w:ascii="Arial" w:cs="Arial" w:eastAsia="Arial" w:hAnsi="Arial"/>
                  <w:sz w:val="17"/>
                  <w:szCs w:val="17"/>
                  <w:color w:val="0000FF"/>
                  <w:w w:val="93"/>
                </w:rPr>
                <w:t>Amendment No. 1 to the Amended and Restated Registration Rights Agreement, dated May 10, 2018, by and among Virtu</w:t>
              </w:r>
            </w:hyperlink>
          </w:p>
        </w:tc>
        <w:tc>
          <w:tcPr>
            <w:tcW w:w="680" w:type="dxa"/>
            <w:vAlign w:val="bottom"/>
            <w:gridSpan w:val="12"/>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tcBorders>
              <w:bottom w:val="single" w:sz="8" w:color="0000FF"/>
            </w:tcBorders>
            <w:gridSpan w:val="22"/>
          </w:tcPr>
          <w:p>
            <w:pPr>
              <w:spacing w:after="0" w:line="190" w:lineRule="exact"/>
              <w:rPr>
                <w:rFonts w:ascii="Arial" w:cs="Arial" w:eastAsia="Arial" w:hAnsi="Arial"/>
                <w:sz w:val="17"/>
                <w:szCs w:val="17"/>
                <w:color w:val="0000FF"/>
                <w:w w:val="94"/>
              </w:rPr>
            </w:pPr>
            <w:hyperlink r:id="rId30">
              <w:r>
                <w:rPr>
                  <w:rFonts w:ascii="Arial" w:cs="Arial" w:eastAsia="Arial" w:hAnsi="Arial"/>
                  <w:sz w:val="17"/>
                  <w:szCs w:val="17"/>
                  <w:color w:val="0000FF"/>
                  <w:w w:val="94"/>
                </w:rPr>
                <w:t>Financial, Inc., TJMT Holdings LLC, North Island Holdings I, LP, Havelock Fund Investments Pte Ltd and Aranda Investments Pte.</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0" w:type="dxa"/>
            <w:vAlign w:val="bottom"/>
            <w:tcBorders>
              <w:bottom w:val="single" w:sz="8" w:color="0000FF"/>
            </w:tcBorders>
            <w:gridSpan w:val="19"/>
          </w:tcPr>
          <w:p>
            <w:pPr>
              <w:spacing w:after="0" w:line="190" w:lineRule="exact"/>
              <w:rPr>
                <w:rFonts w:ascii="Arial" w:cs="Arial" w:eastAsia="Arial" w:hAnsi="Arial"/>
                <w:sz w:val="17"/>
                <w:szCs w:val="17"/>
                <w:color w:val="0000FF"/>
                <w:w w:val="94"/>
              </w:rPr>
            </w:pPr>
            <w:hyperlink r:id="rId30">
              <w:r>
                <w:rPr>
                  <w:rFonts w:ascii="Arial" w:cs="Arial" w:eastAsia="Arial" w:hAnsi="Arial"/>
                  <w:sz w:val="17"/>
                  <w:szCs w:val="17"/>
                  <w:color w:val="0000FF"/>
                  <w:w w:val="94"/>
                </w:rPr>
                <w:t>Ltd (incorporated herein by reference to Exhibit 10.1 to the Company’s Current Report on Form 8-K (File No. 001-37352), filed on</w:t>
              </w:r>
            </w:hyperlink>
          </w:p>
        </w:tc>
        <w:tc>
          <w:tcPr>
            <w:tcW w:w="60" w:type="dxa"/>
            <w:vAlign w:val="bottom"/>
            <w:gridSpan w:val="3"/>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Borders>
              <w:bottom w:val="single" w:sz="8" w:color="0000FF"/>
            </w:tcBorders>
          </w:tcPr>
          <w:p>
            <w:pPr>
              <w:spacing w:after="0" w:line="190" w:lineRule="exact"/>
              <w:rPr>
                <w:rFonts w:ascii="Arial" w:cs="Arial" w:eastAsia="Arial" w:hAnsi="Arial"/>
                <w:sz w:val="17"/>
                <w:szCs w:val="17"/>
                <w:color w:val="0000FF"/>
                <w:w w:val="93"/>
              </w:rPr>
            </w:pPr>
            <w:hyperlink r:id="rId30">
              <w:r>
                <w:rPr>
                  <w:rFonts w:ascii="Arial" w:cs="Arial" w:eastAsia="Arial" w:hAnsi="Arial"/>
                  <w:sz w:val="17"/>
                  <w:szCs w:val="17"/>
                  <w:color w:val="0000FF"/>
                  <w:w w:val="93"/>
                </w:rPr>
                <w:t>May 15, 2018).</w:t>
              </w:r>
            </w:hyperlink>
          </w:p>
        </w:tc>
        <w:tc>
          <w:tcPr>
            <w:tcW w:w="8180" w:type="dxa"/>
            <w:vAlign w:val="bottom"/>
            <w:gridSpan w:val="21"/>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10.13</w:t>
            </w:r>
          </w:p>
        </w:tc>
        <w:tc>
          <w:tcPr>
            <w:tcW w:w="860" w:type="dxa"/>
            <w:vAlign w:val="bottom"/>
          </w:tcPr>
          <w:p>
            <w:pPr>
              <w:spacing w:after="0"/>
              <w:rPr>
                <w:sz w:val="21"/>
                <w:szCs w:val="21"/>
                <w:color w:val="auto"/>
              </w:rPr>
            </w:pPr>
          </w:p>
        </w:tc>
        <w:tc>
          <w:tcPr>
            <w:tcW w:w="9260" w:type="dxa"/>
            <w:vAlign w:val="bottom"/>
            <w:tcBorders>
              <w:bottom w:val="single" w:sz="8" w:color="0000FF"/>
            </w:tcBorders>
            <w:gridSpan w:val="22"/>
          </w:tcPr>
          <w:p>
            <w:pPr>
              <w:spacing w:after="0"/>
              <w:rPr>
                <w:rFonts w:ascii="Arial" w:cs="Arial" w:eastAsia="Arial" w:hAnsi="Arial"/>
                <w:sz w:val="17"/>
                <w:szCs w:val="17"/>
                <w:color w:val="0000FF"/>
                <w:w w:val="93"/>
              </w:rPr>
            </w:pPr>
            <w:hyperlink r:id="rId31">
              <w:r>
                <w:rPr>
                  <w:rFonts w:ascii="Arial" w:cs="Arial" w:eastAsia="Arial" w:hAnsi="Arial"/>
                  <w:sz w:val="17"/>
                  <w:szCs w:val="17"/>
                  <w:color w:val="0000FF"/>
                  <w:w w:val="93"/>
                </w:rPr>
                <w:t>Amendment No. 1 to Amended and Restated Lock-up Waivers Agreement, dated May 10, 2018, by and among Virtu Financial, Inc.,</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40" w:type="dxa"/>
            <w:vAlign w:val="bottom"/>
            <w:tcBorders>
              <w:bottom w:val="single" w:sz="8" w:color="0000FF"/>
            </w:tcBorders>
            <w:gridSpan w:val="21"/>
          </w:tcPr>
          <w:p>
            <w:pPr>
              <w:spacing w:after="0" w:line="190" w:lineRule="exact"/>
              <w:rPr>
                <w:rFonts w:ascii="Arial" w:cs="Arial" w:eastAsia="Arial" w:hAnsi="Arial"/>
                <w:sz w:val="17"/>
                <w:szCs w:val="17"/>
                <w:color w:val="0000FF"/>
                <w:w w:val="95"/>
              </w:rPr>
            </w:pPr>
            <w:hyperlink r:id="rId31">
              <w:r>
                <w:rPr>
                  <w:rFonts w:ascii="Arial" w:cs="Arial" w:eastAsia="Arial" w:hAnsi="Arial"/>
                  <w:sz w:val="17"/>
                  <w:szCs w:val="17"/>
                  <w:color w:val="0000FF"/>
                  <w:w w:val="95"/>
                </w:rPr>
                <w:t>TJMT Holdings LLC, Mr. Vincent Viola, Havelock Fund Investments Pte Ltd, Aranda Investments Pte. Ltd., North Island Holdings</w:t>
              </w:r>
            </w:hyperlink>
          </w:p>
        </w:tc>
        <w:tc>
          <w:tcPr>
            <w:tcW w:w="2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22"/>
          </w:tcPr>
          <w:p>
            <w:pPr>
              <w:spacing w:after="0" w:line="190" w:lineRule="exact"/>
              <w:rPr>
                <w:rFonts w:ascii="Arial" w:cs="Arial" w:eastAsia="Arial" w:hAnsi="Arial"/>
                <w:sz w:val="17"/>
                <w:szCs w:val="17"/>
                <w:color w:val="0000FF"/>
                <w:w w:val="98"/>
              </w:rPr>
            </w:pPr>
            <w:hyperlink r:id="rId31">
              <w:r>
                <w:rPr>
                  <w:rFonts w:ascii="Arial" w:cs="Arial" w:eastAsia="Arial" w:hAnsi="Arial"/>
                  <w:sz w:val="17"/>
                  <w:szCs w:val="17"/>
                  <w:color w:val="0000FF"/>
                  <w:w w:val="98"/>
                </w:rPr>
                <w:t>I, LP and the stockholders named therein (incorporated herein by reference to Exhibit 99.8 to the Report on Schedule 13D of</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720" w:type="dxa"/>
            <w:vAlign w:val="bottom"/>
            <w:tcBorders>
              <w:top w:val="single" w:sz="8" w:color="0000FF"/>
            </w:tcBorders>
            <w:gridSpan w:val="12"/>
          </w:tcPr>
          <w:p>
            <w:pPr>
              <w:spacing w:after="0" w:line="190" w:lineRule="exact"/>
              <w:rPr>
                <w:rFonts w:ascii="Arial" w:cs="Arial" w:eastAsia="Arial" w:hAnsi="Arial"/>
                <w:sz w:val="17"/>
                <w:szCs w:val="17"/>
                <w:color w:val="0000FF"/>
              </w:rPr>
            </w:pPr>
            <w:hyperlink r:id="rId31">
              <w:r>
                <w:rPr>
                  <w:rFonts w:ascii="Arial" w:cs="Arial" w:eastAsia="Arial" w:hAnsi="Arial"/>
                  <w:sz w:val="17"/>
                  <w:szCs w:val="17"/>
                  <w:color w:val="0000FF"/>
                </w:rPr>
                <w:t>Vincent Viola (File No. 005-89306), filed on May 15, 2018).</w:t>
              </w:r>
            </w:hyperlink>
          </w:p>
        </w:tc>
        <w:tc>
          <w:tcPr>
            <w:tcW w:w="540" w:type="dxa"/>
            <w:vAlign w:val="bottom"/>
            <w:gridSpan w:val="10"/>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10.14</w:t>
            </w:r>
          </w:p>
        </w:tc>
        <w:tc>
          <w:tcPr>
            <w:tcW w:w="860" w:type="dxa"/>
            <w:vAlign w:val="bottom"/>
          </w:tcPr>
          <w:p>
            <w:pPr>
              <w:spacing w:after="0"/>
              <w:rPr>
                <w:sz w:val="21"/>
                <w:szCs w:val="21"/>
                <w:color w:val="auto"/>
              </w:rPr>
            </w:pPr>
          </w:p>
        </w:tc>
        <w:tc>
          <w:tcPr>
            <w:tcW w:w="9000" w:type="dxa"/>
            <w:vAlign w:val="bottom"/>
            <w:tcBorders>
              <w:bottom w:val="single" w:sz="8" w:color="0000FF"/>
            </w:tcBorders>
            <w:gridSpan w:val="16"/>
          </w:tcPr>
          <w:p>
            <w:pPr>
              <w:spacing w:after="0"/>
              <w:rPr>
                <w:rFonts w:ascii="Arial" w:cs="Arial" w:eastAsia="Arial" w:hAnsi="Arial"/>
                <w:sz w:val="17"/>
                <w:szCs w:val="17"/>
                <w:color w:val="0000FF"/>
                <w:w w:val="94"/>
              </w:rPr>
            </w:pPr>
            <w:hyperlink r:id="rId32">
              <w:r>
                <w:rPr>
                  <w:rFonts w:ascii="Arial" w:cs="Arial" w:eastAsia="Arial" w:hAnsi="Arial"/>
                  <w:sz w:val="17"/>
                  <w:szCs w:val="17"/>
                  <w:color w:val="0000FF"/>
                  <w:w w:val="94"/>
                </w:rPr>
                <w:t>Purchase Agreement, dated May 10, 2018, by and among Virtu Financial, Inc. and TJMT Holdings LLC (incorporated herein by</w:t>
              </w:r>
            </w:hyperlink>
          </w:p>
        </w:tc>
        <w:tc>
          <w:tcPr>
            <w:tcW w:w="260" w:type="dxa"/>
            <w:vAlign w:val="bottom"/>
            <w:gridSpan w:val="6"/>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22"/>
          </w:tcPr>
          <w:p>
            <w:pPr>
              <w:spacing w:after="0" w:line="190" w:lineRule="exact"/>
              <w:rPr>
                <w:rFonts w:ascii="Arial" w:cs="Arial" w:eastAsia="Arial" w:hAnsi="Arial"/>
                <w:sz w:val="17"/>
                <w:szCs w:val="17"/>
                <w:color w:val="0000FF"/>
              </w:rPr>
            </w:pPr>
            <w:hyperlink r:id="rId32">
              <w:r>
                <w:rPr>
                  <w:rFonts w:ascii="Arial" w:cs="Arial" w:eastAsia="Arial" w:hAnsi="Arial"/>
                  <w:sz w:val="17"/>
                  <w:szCs w:val="17"/>
                  <w:color w:val="0000FF"/>
                </w:rPr>
                <w:t>reference to Exhibit 10.2 to the Company’s Current Report on Form 8-K (File No. 001-37352), filed on May 15, 2018).</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10.15</w:t>
            </w:r>
          </w:p>
        </w:tc>
        <w:tc>
          <w:tcPr>
            <w:tcW w:w="860" w:type="dxa"/>
            <w:vAlign w:val="bottom"/>
          </w:tcPr>
          <w:p>
            <w:pPr>
              <w:spacing w:after="0"/>
              <w:rPr>
                <w:sz w:val="21"/>
                <w:szCs w:val="21"/>
                <w:color w:val="auto"/>
              </w:rPr>
            </w:pPr>
          </w:p>
        </w:tc>
        <w:tc>
          <w:tcPr>
            <w:tcW w:w="9260" w:type="dxa"/>
            <w:vAlign w:val="bottom"/>
            <w:gridSpan w:val="22"/>
          </w:tcPr>
          <w:p>
            <w:pPr>
              <w:spacing w:after="0"/>
              <w:rPr>
                <w:rFonts w:ascii="Arial" w:cs="Arial" w:eastAsia="Arial" w:hAnsi="Arial"/>
                <w:sz w:val="17"/>
                <w:szCs w:val="17"/>
                <w:color w:val="0000FF"/>
                <w:w w:val="97"/>
              </w:rPr>
            </w:pPr>
            <w:hyperlink r:id="rId33">
              <w:r>
                <w:rPr>
                  <w:rFonts w:ascii="Arial" w:cs="Arial" w:eastAsia="Arial" w:hAnsi="Arial"/>
                  <w:sz w:val="17"/>
                  <w:szCs w:val="17"/>
                  <w:color w:val="0000FF"/>
                  <w:w w:val="97"/>
                </w:rPr>
                <w:t>Lock-up Agreement, dated May 10, 2018, entered into by Vincent Viola (incorporated herein by reference to Exhibit 99.2 to the</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0" w:type="dxa"/>
            <w:vAlign w:val="bottom"/>
            <w:tcBorders>
              <w:top w:val="single" w:sz="8" w:color="0000FF"/>
              <w:bottom w:val="single" w:sz="8" w:color="0000FF"/>
            </w:tcBorders>
            <w:gridSpan w:val="6"/>
          </w:tcPr>
          <w:p>
            <w:pPr>
              <w:spacing w:after="0" w:line="190" w:lineRule="exact"/>
              <w:rPr>
                <w:rFonts w:ascii="Arial" w:cs="Arial" w:eastAsia="Arial" w:hAnsi="Arial"/>
                <w:sz w:val="17"/>
                <w:szCs w:val="17"/>
                <w:color w:val="0000FF"/>
                <w:w w:val="94"/>
              </w:rPr>
            </w:pPr>
            <w:hyperlink r:id="rId33">
              <w:r>
                <w:rPr>
                  <w:rFonts w:ascii="Arial" w:cs="Arial" w:eastAsia="Arial" w:hAnsi="Arial"/>
                  <w:sz w:val="17"/>
                  <w:szCs w:val="17"/>
                  <w:color w:val="0000FF"/>
                  <w:w w:val="94"/>
                </w:rPr>
                <w:t>Report on Schedule 13D of Vincent Viola (File No. 005-89306), filed on May 15, 2018).</w:t>
              </w:r>
            </w:hyperlink>
          </w:p>
        </w:tc>
        <w:tc>
          <w:tcPr>
            <w:tcW w:w="2740" w:type="dxa"/>
            <w:vAlign w:val="bottom"/>
            <w:tcBorders>
              <w:top w:val="single" w:sz="8" w:color="0000FF"/>
            </w:tcBorders>
            <w:gridSpan w:val="8"/>
          </w:tcPr>
          <w:p>
            <w:pPr>
              <w:spacing w:after="0"/>
              <w:rPr>
                <w:sz w:val="16"/>
                <w:szCs w:val="16"/>
                <w:color w:val="auto"/>
              </w:rPr>
            </w:pPr>
          </w:p>
        </w:tc>
        <w:tc>
          <w:tcPr>
            <w:tcW w:w="320" w:type="dxa"/>
            <w:vAlign w:val="bottom"/>
            <w:gridSpan w:val="8"/>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10.16</w:t>
            </w:r>
          </w:p>
        </w:tc>
        <w:tc>
          <w:tcPr>
            <w:tcW w:w="860" w:type="dxa"/>
            <w:vAlign w:val="bottom"/>
          </w:tcPr>
          <w:p>
            <w:pPr>
              <w:spacing w:after="0"/>
              <w:rPr>
                <w:sz w:val="21"/>
                <w:szCs w:val="21"/>
                <w:color w:val="auto"/>
              </w:rPr>
            </w:pPr>
          </w:p>
        </w:tc>
        <w:tc>
          <w:tcPr>
            <w:tcW w:w="9160" w:type="dxa"/>
            <w:vAlign w:val="bottom"/>
            <w:tcBorders>
              <w:bottom w:val="single" w:sz="8" w:color="0000FF"/>
            </w:tcBorders>
            <w:gridSpan w:val="18"/>
          </w:tcPr>
          <w:p>
            <w:pPr>
              <w:spacing w:after="0"/>
              <w:rPr>
                <w:rFonts w:ascii="Arial" w:cs="Arial" w:eastAsia="Arial" w:hAnsi="Arial"/>
                <w:sz w:val="17"/>
                <w:szCs w:val="17"/>
                <w:color w:val="0000FF"/>
                <w:w w:val="94"/>
              </w:rPr>
            </w:pPr>
            <w:hyperlink r:id="rId34">
              <w:r>
                <w:rPr>
                  <w:rFonts w:ascii="Arial" w:cs="Arial" w:eastAsia="Arial" w:hAnsi="Arial"/>
                  <w:sz w:val="17"/>
                  <w:szCs w:val="17"/>
                  <w:color w:val="0000FF"/>
                  <w:w w:val="94"/>
                </w:rPr>
                <w:t>Lock-up Agreement, dated May 10, 2018, entered into by Michael T. Viola (incorporated herein by reference to Exhibit 99.3 to the</w:t>
              </w:r>
            </w:hyperlink>
          </w:p>
        </w:tc>
        <w:tc>
          <w:tcPr>
            <w:tcW w:w="100" w:type="dxa"/>
            <w:vAlign w:val="bottom"/>
            <w:gridSpan w:val="4"/>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0" w:type="dxa"/>
            <w:vAlign w:val="bottom"/>
            <w:tcBorders>
              <w:bottom w:val="single" w:sz="8" w:color="0000FF"/>
            </w:tcBorders>
            <w:gridSpan w:val="6"/>
          </w:tcPr>
          <w:p>
            <w:pPr>
              <w:spacing w:after="0" w:line="190" w:lineRule="exact"/>
              <w:rPr>
                <w:rFonts w:ascii="Arial" w:cs="Arial" w:eastAsia="Arial" w:hAnsi="Arial"/>
                <w:sz w:val="17"/>
                <w:szCs w:val="17"/>
                <w:color w:val="0000FF"/>
                <w:w w:val="94"/>
              </w:rPr>
            </w:pPr>
            <w:hyperlink r:id="rId34">
              <w:r>
                <w:rPr>
                  <w:rFonts w:ascii="Arial" w:cs="Arial" w:eastAsia="Arial" w:hAnsi="Arial"/>
                  <w:sz w:val="17"/>
                  <w:szCs w:val="17"/>
                  <w:color w:val="0000FF"/>
                  <w:w w:val="94"/>
                </w:rPr>
                <w:t>Report on Schedule 13D of Vincent Viola (File No. 005-89306), filed on May 15, 2018).</w:t>
              </w:r>
            </w:hyperlink>
          </w:p>
        </w:tc>
        <w:tc>
          <w:tcPr>
            <w:tcW w:w="3060" w:type="dxa"/>
            <w:vAlign w:val="bottom"/>
            <w:gridSpan w:val="16"/>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10.17</w:t>
            </w:r>
          </w:p>
        </w:tc>
        <w:tc>
          <w:tcPr>
            <w:tcW w:w="860" w:type="dxa"/>
            <w:vAlign w:val="bottom"/>
          </w:tcPr>
          <w:p>
            <w:pPr>
              <w:spacing w:after="0"/>
              <w:rPr>
                <w:sz w:val="21"/>
                <w:szCs w:val="21"/>
                <w:color w:val="auto"/>
              </w:rPr>
            </w:pPr>
          </w:p>
        </w:tc>
        <w:tc>
          <w:tcPr>
            <w:tcW w:w="9220" w:type="dxa"/>
            <w:vAlign w:val="bottom"/>
            <w:tcBorders>
              <w:bottom w:val="single" w:sz="8" w:color="0000FF"/>
            </w:tcBorders>
            <w:gridSpan w:val="20"/>
          </w:tcPr>
          <w:p>
            <w:pPr>
              <w:spacing w:after="0"/>
              <w:rPr>
                <w:rFonts w:ascii="Arial" w:cs="Arial" w:eastAsia="Arial" w:hAnsi="Arial"/>
                <w:sz w:val="17"/>
                <w:szCs w:val="17"/>
                <w:color w:val="0000FF"/>
                <w:w w:val="94"/>
              </w:rPr>
            </w:pPr>
            <w:hyperlink r:id="rId35">
              <w:r>
                <w:rPr>
                  <w:rFonts w:ascii="Arial" w:cs="Arial" w:eastAsia="Arial" w:hAnsi="Arial"/>
                  <w:sz w:val="17"/>
                  <w:szCs w:val="17"/>
                  <w:color w:val="0000FF"/>
                  <w:w w:val="94"/>
                </w:rPr>
                <w:t>Lock-up Agreement, dated May 10, 2018, entered into by TJMT Holdings LLC (incorporated herein by reference to Exhibit 99.4 to</w:t>
              </w:r>
            </w:hyperlink>
          </w:p>
        </w:tc>
        <w:tc>
          <w:tcPr>
            <w:tcW w:w="40" w:type="dxa"/>
            <w:vAlign w:val="bottom"/>
            <w:gridSpan w:val="2"/>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60" w:type="dxa"/>
            <w:vAlign w:val="bottom"/>
            <w:tcBorders>
              <w:bottom w:val="single" w:sz="8" w:color="0000FF"/>
            </w:tcBorders>
            <w:gridSpan w:val="7"/>
          </w:tcPr>
          <w:p>
            <w:pPr>
              <w:spacing w:after="0" w:line="190" w:lineRule="exact"/>
              <w:rPr>
                <w:rFonts w:ascii="Arial" w:cs="Arial" w:eastAsia="Arial" w:hAnsi="Arial"/>
                <w:sz w:val="17"/>
                <w:szCs w:val="17"/>
                <w:color w:val="0000FF"/>
                <w:w w:val="94"/>
              </w:rPr>
            </w:pPr>
            <w:hyperlink r:id="rId35">
              <w:r>
                <w:rPr>
                  <w:rFonts w:ascii="Arial" w:cs="Arial" w:eastAsia="Arial" w:hAnsi="Arial"/>
                  <w:sz w:val="17"/>
                  <w:szCs w:val="17"/>
                  <w:color w:val="0000FF"/>
                  <w:w w:val="94"/>
                </w:rPr>
                <w:t>the Report on Schedule 13D of Vincent Viola (File No. 005-89306), filed on May 15, 2018).</w:t>
              </w:r>
            </w:hyperlink>
          </w:p>
        </w:tc>
        <w:tc>
          <w:tcPr>
            <w:tcW w:w="2800" w:type="dxa"/>
            <w:vAlign w:val="bottom"/>
            <w:gridSpan w:val="15"/>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10.18</w:t>
            </w:r>
          </w:p>
        </w:tc>
        <w:tc>
          <w:tcPr>
            <w:tcW w:w="860" w:type="dxa"/>
            <w:vAlign w:val="bottom"/>
          </w:tcPr>
          <w:p>
            <w:pPr>
              <w:spacing w:after="0"/>
              <w:rPr>
                <w:sz w:val="21"/>
                <w:szCs w:val="21"/>
                <w:color w:val="auto"/>
              </w:rPr>
            </w:pPr>
          </w:p>
        </w:tc>
        <w:tc>
          <w:tcPr>
            <w:tcW w:w="9240" w:type="dxa"/>
            <w:vAlign w:val="bottom"/>
            <w:tcBorders>
              <w:bottom w:val="single" w:sz="8" w:color="0000FF"/>
            </w:tcBorders>
            <w:gridSpan w:val="21"/>
          </w:tcPr>
          <w:p>
            <w:pPr>
              <w:spacing w:after="0"/>
              <w:rPr>
                <w:rFonts w:ascii="Arial" w:cs="Arial" w:eastAsia="Arial" w:hAnsi="Arial"/>
                <w:sz w:val="17"/>
                <w:szCs w:val="17"/>
                <w:color w:val="0000FF"/>
                <w:w w:val="94"/>
              </w:rPr>
            </w:pPr>
            <w:hyperlink r:id="rId36">
              <w:r>
                <w:rPr>
                  <w:rFonts w:ascii="Arial" w:cs="Arial" w:eastAsia="Arial" w:hAnsi="Arial"/>
                  <w:sz w:val="17"/>
                  <w:szCs w:val="17"/>
                  <w:color w:val="0000FF"/>
                  <w:w w:val="94"/>
                </w:rPr>
                <w:t>Lock-up Agreement, dated May 10, 2018, entered into by Virtu Employee Holdco LLC (incorporated herein by reference to Exhibit</w:t>
              </w:r>
            </w:hyperlink>
          </w:p>
        </w:tc>
        <w:tc>
          <w:tcPr>
            <w:tcW w:w="20" w:type="dxa"/>
            <w:vAlign w:val="bottom"/>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22"/>
          </w:tcPr>
          <w:p>
            <w:pPr>
              <w:spacing w:after="0" w:line="190" w:lineRule="exact"/>
              <w:rPr>
                <w:rFonts w:ascii="Arial" w:cs="Arial" w:eastAsia="Arial" w:hAnsi="Arial"/>
                <w:sz w:val="17"/>
                <w:szCs w:val="17"/>
                <w:color w:val="0000FF"/>
              </w:rPr>
            </w:pPr>
            <w:hyperlink r:id="rId36">
              <w:r>
                <w:rPr>
                  <w:rFonts w:ascii="Arial" w:cs="Arial" w:eastAsia="Arial" w:hAnsi="Arial"/>
                  <w:sz w:val="17"/>
                  <w:szCs w:val="17"/>
                  <w:color w:val="0000FF"/>
                </w:rPr>
                <w:t>99.</w:t>
              </w:r>
              <w:r>
                <w:rPr>
                  <w:rFonts w:ascii="Arial" w:cs="Arial" w:eastAsia="Arial" w:hAnsi="Arial"/>
                  <w:sz w:val="17"/>
                  <w:szCs w:val="17"/>
                  <w:u w:val="single" w:color="auto"/>
                  <w:color w:val="0000FF"/>
                </w:rPr>
                <w:t>5</w:t>
              </w:r>
              <w:r>
                <w:rPr>
                  <w:rFonts w:ascii="Arial" w:cs="Arial" w:eastAsia="Arial" w:hAnsi="Arial"/>
                  <w:sz w:val="17"/>
                  <w:szCs w:val="17"/>
                  <w:color w:val="0000FF"/>
                </w:rPr>
                <w:t xml:space="preserve"> to the Report on Schedule 13D of Vincent Viola (File No. 005-89306), filed on May 15, 2018).</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31.1*</w:t>
            </w:r>
          </w:p>
        </w:tc>
        <w:tc>
          <w:tcPr>
            <w:tcW w:w="860" w:type="dxa"/>
            <w:vAlign w:val="bottom"/>
          </w:tcPr>
          <w:p>
            <w:pPr>
              <w:spacing w:after="0"/>
              <w:rPr>
                <w:sz w:val="21"/>
                <w:szCs w:val="21"/>
                <w:color w:val="auto"/>
              </w:rPr>
            </w:pPr>
          </w:p>
        </w:tc>
        <w:tc>
          <w:tcPr>
            <w:tcW w:w="9260" w:type="dxa"/>
            <w:vAlign w:val="bottom"/>
            <w:gridSpan w:val="22"/>
          </w:tcPr>
          <w:p>
            <w:pPr>
              <w:spacing w:after="0"/>
              <w:rPr>
                <w:rFonts w:ascii="Arial" w:cs="Arial" w:eastAsia="Arial" w:hAnsi="Arial"/>
                <w:sz w:val="17"/>
                <w:szCs w:val="17"/>
                <w:color w:val="0000FF"/>
                <w:w w:val="99"/>
              </w:rPr>
            </w:pPr>
            <w:hyperlink w:anchor="page117">
              <w:r>
                <w:rPr>
                  <w:rFonts w:ascii="Arial" w:cs="Arial" w:eastAsia="Arial" w:hAnsi="Arial"/>
                  <w:sz w:val="17"/>
                  <w:szCs w:val="17"/>
                  <w:color w:val="0000FF"/>
                  <w:w w:val="99"/>
                </w:rPr>
                <w:t>Certification of Chief Executive Officer required by Rule 13a-14(a)/15d-14(a) under the Securities Exchange Act of 1934, as</w:t>
              </w:r>
            </w:hyperlink>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740" w:type="dxa"/>
            <w:vAlign w:val="bottom"/>
            <w:tcBorders>
              <w:top w:val="single" w:sz="8" w:color="0000FF"/>
            </w:tcBorders>
            <w:gridSpan w:val="13"/>
          </w:tcPr>
          <w:p>
            <w:pPr>
              <w:spacing w:after="0" w:line="190" w:lineRule="exact"/>
              <w:rPr>
                <w:rFonts w:ascii="Arial" w:cs="Arial" w:eastAsia="Arial" w:hAnsi="Arial"/>
                <w:sz w:val="17"/>
                <w:szCs w:val="17"/>
                <w:color w:val="0000FF"/>
              </w:rPr>
            </w:pPr>
            <w:hyperlink w:anchor="page117">
              <w:r>
                <w:rPr>
                  <w:rFonts w:ascii="Arial" w:cs="Arial" w:eastAsia="Arial" w:hAnsi="Arial"/>
                  <w:sz w:val="17"/>
                  <w:szCs w:val="17"/>
                  <w:color w:val="0000FF"/>
                </w:rPr>
                <w:t>amended, as adopted pursuant to Section 302 of the Sarbanes-Oxley Act of 2002.</w:t>
              </w:r>
            </w:hyperlink>
          </w:p>
        </w:tc>
        <w:tc>
          <w:tcPr>
            <w:tcW w:w="520" w:type="dxa"/>
            <w:vAlign w:val="bottom"/>
            <w:gridSpan w:val="9"/>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31.2*</w:t>
            </w:r>
          </w:p>
        </w:tc>
        <w:tc>
          <w:tcPr>
            <w:tcW w:w="860" w:type="dxa"/>
            <w:vAlign w:val="bottom"/>
          </w:tcPr>
          <w:p>
            <w:pPr>
              <w:spacing w:after="0"/>
              <w:rPr>
                <w:sz w:val="21"/>
                <w:szCs w:val="21"/>
                <w:color w:val="auto"/>
              </w:rPr>
            </w:pPr>
          </w:p>
        </w:tc>
        <w:tc>
          <w:tcPr>
            <w:tcW w:w="8700" w:type="dxa"/>
            <w:vAlign w:val="bottom"/>
            <w:tcBorders>
              <w:bottom w:val="single" w:sz="8" w:color="0000FF"/>
            </w:tcBorders>
            <w:gridSpan w:val="11"/>
          </w:tcPr>
          <w:p>
            <w:pPr>
              <w:spacing w:after="0"/>
              <w:rPr>
                <w:rFonts w:ascii="Arial" w:cs="Arial" w:eastAsia="Arial" w:hAnsi="Arial"/>
                <w:sz w:val="17"/>
                <w:szCs w:val="17"/>
                <w:color w:val="0000FF"/>
                <w:w w:val="94"/>
              </w:rPr>
            </w:pPr>
            <w:hyperlink w:anchor="page118">
              <w:r>
                <w:rPr>
                  <w:rFonts w:ascii="Arial" w:cs="Arial" w:eastAsia="Arial" w:hAnsi="Arial"/>
                  <w:sz w:val="17"/>
                  <w:szCs w:val="17"/>
                  <w:color w:val="0000FF"/>
                  <w:w w:val="94"/>
                </w:rPr>
                <w:t>Certification of Chief Financial Officer required by Rule 13a-14(a)/15d-14(a) under the Securities Exchange Act of 1934, as</w:t>
              </w:r>
            </w:hyperlink>
          </w:p>
        </w:tc>
        <w:tc>
          <w:tcPr>
            <w:tcW w:w="560" w:type="dxa"/>
            <w:vAlign w:val="bottom"/>
            <w:gridSpan w:val="11"/>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60" w:type="dxa"/>
            <w:vAlign w:val="bottom"/>
            <w:gridSpan w:val="22"/>
          </w:tcPr>
          <w:p>
            <w:pPr>
              <w:spacing w:after="0" w:line="190" w:lineRule="exact"/>
              <w:rPr>
                <w:rFonts w:ascii="Arial" w:cs="Arial" w:eastAsia="Arial" w:hAnsi="Arial"/>
                <w:sz w:val="17"/>
                <w:szCs w:val="17"/>
                <w:color w:val="0000FF"/>
              </w:rPr>
            </w:pPr>
            <w:hyperlink w:anchor="page118">
              <w:r>
                <w:rPr>
                  <w:rFonts w:ascii="Arial" w:cs="Arial" w:eastAsia="Arial" w:hAnsi="Arial"/>
                  <w:sz w:val="17"/>
                  <w:szCs w:val="17"/>
                  <w:color w:val="0000FF"/>
                </w:rPr>
                <w:t>amended, as adopted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32.1*</w:t>
            </w:r>
          </w:p>
        </w:tc>
        <w:tc>
          <w:tcPr>
            <w:tcW w:w="860" w:type="dxa"/>
            <w:vAlign w:val="bottom"/>
          </w:tcPr>
          <w:p>
            <w:pPr>
              <w:spacing w:after="0"/>
              <w:rPr>
                <w:sz w:val="21"/>
                <w:szCs w:val="21"/>
                <w:color w:val="auto"/>
              </w:rPr>
            </w:pPr>
          </w:p>
        </w:tc>
        <w:tc>
          <w:tcPr>
            <w:tcW w:w="9020" w:type="dxa"/>
            <w:vAlign w:val="bottom"/>
            <w:tcBorders>
              <w:bottom w:val="single" w:sz="8" w:color="0000FF"/>
            </w:tcBorders>
            <w:gridSpan w:val="17"/>
          </w:tcPr>
          <w:p>
            <w:pPr>
              <w:spacing w:after="0"/>
              <w:rPr>
                <w:rFonts w:ascii="Arial" w:cs="Arial" w:eastAsia="Arial" w:hAnsi="Arial"/>
                <w:sz w:val="17"/>
                <w:szCs w:val="17"/>
                <w:color w:val="0000FF"/>
                <w:w w:val="93"/>
              </w:rPr>
            </w:pPr>
            <w:hyperlink w:anchor="page119">
              <w:r>
                <w:rPr>
                  <w:rFonts w:ascii="Arial" w:cs="Arial" w:eastAsia="Arial" w:hAnsi="Arial"/>
                  <w:sz w:val="17"/>
                  <w:szCs w:val="17"/>
                  <w:color w:val="0000FF"/>
                  <w:w w:val="93"/>
                </w:rPr>
                <w:t>Certification of Chief Executive Officer pursuant to 18 U.S.C. Section 1350, as adopted pursuant to Section 906 of the Sarbanes-</w:t>
              </w:r>
            </w:hyperlink>
          </w:p>
        </w:tc>
        <w:tc>
          <w:tcPr>
            <w:tcW w:w="240" w:type="dxa"/>
            <w:vAlign w:val="bottom"/>
            <w:gridSpan w:val="5"/>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40" w:type="dxa"/>
            <w:vAlign w:val="bottom"/>
            <w:tcBorders>
              <w:bottom w:val="single" w:sz="8" w:color="0000FF"/>
            </w:tcBorders>
            <w:gridSpan w:val="3"/>
          </w:tcPr>
          <w:p>
            <w:pPr>
              <w:spacing w:after="0" w:line="190" w:lineRule="exact"/>
              <w:rPr>
                <w:rFonts w:ascii="Arial" w:cs="Arial" w:eastAsia="Arial" w:hAnsi="Arial"/>
                <w:sz w:val="17"/>
                <w:szCs w:val="17"/>
                <w:color w:val="0000FF"/>
                <w:w w:val="95"/>
              </w:rPr>
            </w:pPr>
            <w:hyperlink w:anchor="page119">
              <w:r>
                <w:rPr>
                  <w:rFonts w:ascii="Arial" w:cs="Arial" w:eastAsia="Arial" w:hAnsi="Arial"/>
                  <w:sz w:val="17"/>
                  <w:szCs w:val="17"/>
                  <w:color w:val="0000FF"/>
                  <w:w w:val="95"/>
                </w:rPr>
                <w:t>Oxley Act of 2002 (furnished herewith).</w:t>
              </w:r>
            </w:hyperlink>
          </w:p>
        </w:tc>
        <w:tc>
          <w:tcPr>
            <w:tcW w:w="6420" w:type="dxa"/>
            <w:vAlign w:val="bottom"/>
            <w:gridSpan w:val="19"/>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32.2*</w:t>
            </w:r>
          </w:p>
        </w:tc>
        <w:tc>
          <w:tcPr>
            <w:tcW w:w="860" w:type="dxa"/>
            <w:vAlign w:val="bottom"/>
          </w:tcPr>
          <w:p>
            <w:pPr>
              <w:spacing w:after="0"/>
              <w:rPr>
                <w:sz w:val="21"/>
                <w:szCs w:val="21"/>
                <w:color w:val="auto"/>
              </w:rPr>
            </w:pPr>
          </w:p>
        </w:tc>
        <w:tc>
          <w:tcPr>
            <w:tcW w:w="8980" w:type="dxa"/>
            <w:vAlign w:val="bottom"/>
            <w:tcBorders>
              <w:bottom w:val="single" w:sz="8" w:color="0000FF"/>
            </w:tcBorders>
            <w:gridSpan w:val="15"/>
          </w:tcPr>
          <w:p>
            <w:pPr>
              <w:spacing w:after="0"/>
              <w:rPr>
                <w:rFonts w:ascii="Arial" w:cs="Arial" w:eastAsia="Arial" w:hAnsi="Arial"/>
                <w:sz w:val="17"/>
                <w:szCs w:val="17"/>
                <w:color w:val="0000FF"/>
                <w:w w:val="93"/>
              </w:rPr>
            </w:pPr>
            <w:hyperlink w:anchor="page120">
              <w:r>
                <w:rPr>
                  <w:rFonts w:ascii="Arial" w:cs="Arial" w:eastAsia="Arial" w:hAnsi="Arial"/>
                  <w:sz w:val="17"/>
                  <w:szCs w:val="17"/>
                  <w:color w:val="0000FF"/>
                  <w:w w:val="93"/>
                </w:rPr>
                <w:t>Certification of Chief Financial Officer pursuant to 18 U.S.C. Section 1350, as adopted pursuant to Section 906 of the Sarbanes-</w:t>
              </w:r>
            </w:hyperlink>
          </w:p>
        </w:tc>
        <w:tc>
          <w:tcPr>
            <w:tcW w:w="280" w:type="dxa"/>
            <w:vAlign w:val="bottom"/>
            <w:gridSpan w:val="7"/>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20" w:type="dxa"/>
            <w:vAlign w:val="bottom"/>
            <w:tcBorders>
              <w:bottom w:val="single" w:sz="8" w:color="0000FF"/>
            </w:tcBorders>
            <w:gridSpan w:val="2"/>
          </w:tcPr>
          <w:p>
            <w:pPr>
              <w:spacing w:after="0" w:line="190" w:lineRule="exact"/>
              <w:rPr>
                <w:rFonts w:ascii="Arial" w:cs="Arial" w:eastAsia="Arial" w:hAnsi="Arial"/>
                <w:sz w:val="17"/>
                <w:szCs w:val="17"/>
                <w:color w:val="0000FF"/>
                <w:w w:val="95"/>
              </w:rPr>
            </w:pPr>
            <w:hyperlink w:anchor="page120">
              <w:r>
                <w:rPr>
                  <w:rFonts w:ascii="Arial" w:cs="Arial" w:eastAsia="Arial" w:hAnsi="Arial"/>
                  <w:sz w:val="17"/>
                  <w:szCs w:val="17"/>
                  <w:color w:val="0000FF"/>
                  <w:w w:val="95"/>
                </w:rPr>
                <w:t>Oxley Act of 2002 (furnished herewith).</w:t>
              </w:r>
            </w:hyperlink>
          </w:p>
        </w:tc>
        <w:tc>
          <w:tcPr>
            <w:tcW w:w="6440" w:type="dxa"/>
            <w:vAlign w:val="bottom"/>
            <w:gridSpan w:val="20"/>
          </w:tcPr>
          <w:p>
            <w:pPr>
              <w:spacing w:after="0"/>
              <w:rPr>
                <w:sz w:val="16"/>
                <w:szCs w:val="16"/>
                <w:color w:val="auto"/>
              </w:rPr>
            </w:pPr>
          </w:p>
        </w:tc>
      </w:tr>
      <w:tr>
        <w:trPr>
          <w:trHeight w:val="281"/>
        </w:trPr>
        <w:tc>
          <w:tcPr>
            <w:tcW w:w="1240" w:type="dxa"/>
            <w:vAlign w:val="bottom"/>
          </w:tcPr>
          <w:p>
            <w:pPr>
              <w:ind w:left="40"/>
              <w:spacing w:after="0"/>
              <w:rPr>
                <w:sz w:val="20"/>
                <w:szCs w:val="20"/>
                <w:color w:val="auto"/>
              </w:rPr>
            </w:pPr>
            <w:r>
              <w:rPr>
                <w:rFonts w:ascii="Arial" w:cs="Arial" w:eastAsia="Arial" w:hAnsi="Arial"/>
                <w:sz w:val="17"/>
                <w:szCs w:val="17"/>
                <w:color w:val="auto"/>
              </w:rPr>
              <w:t>101.INS</w:t>
            </w:r>
          </w:p>
        </w:tc>
        <w:tc>
          <w:tcPr>
            <w:tcW w:w="86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Instance Document</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101.SCH</w:t>
            </w:r>
          </w:p>
        </w:tc>
        <w:tc>
          <w:tcPr>
            <w:tcW w:w="860" w:type="dxa"/>
            <w:vAlign w:val="bottom"/>
          </w:tcPr>
          <w:p>
            <w:pPr>
              <w:spacing w:after="0"/>
              <w:rPr>
                <w:sz w:val="22"/>
                <w:szCs w:val="22"/>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101.CAL</w:t>
            </w:r>
          </w:p>
        </w:tc>
        <w:tc>
          <w:tcPr>
            <w:tcW w:w="860" w:type="dxa"/>
            <w:vAlign w:val="bottom"/>
          </w:tcPr>
          <w:p>
            <w:pPr>
              <w:spacing w:after="0"/>
              <w:rPr>
                <w:sz w:val="22"/>
                <w:szCs w:val="22"/>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860" w:type="dxa"/>
            <w:vAlign w:val="bottom"/>
          </w:tcPr>
          <w:p>
            <w:pPr>
              <w:spacing w:after="0"/>
              <w:rPr>
                <w:sz w:val="22"/>
                <w:szCs w:val="22"/>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860" w:type="dxa"/>
            <w:vAlign w:val="bottom"/>
          </w:tcPr>
          <w:p>
            <w:pPr>
              <w:spacing w:after="0"/>
              <w:rPr>
                <w:sz w:val="22"/>
                <w:szCs w:val="22"/>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860" w:type="dxa"/>
            <w:vAlign w:val="bottom"/>
          </w:tcPr>
          <w:p>
            <w:pPr>
              <w:spacing w:after="0"/>
              <w:rPr>
                <w:sz w:val="22"/>
                <w:szCs w:val="22"/>
                <w:color w:val="auto"/>
              </w:rPr>
            </w:pPr>
          </w:p>
        </w:tc>
        <w:tc>
          <w:tcPr>
            <w:tcW w:w="9260" w:type="dxa"/>
            <w:vAlign w:val="bottom"/>
            <w:gridSpan w:val="22"/>
          </w:tcPr>
          <w:p>
            <w:pPr>
              <w:spacing w:after="0"/>
              <w:rPr>
                <w:sz w:val="20"/>
                <w:szCs w:val="20"/>
                <w:color w:val="auto"/>
              </w:rPr>
            </w:pPr>
            <w:r>
              <w:rPr>
                <w:rFonts w:ascii="Arial" w:cs="Arial" w:eastAsia="Arial" w:hAnsi="Arial"/>
                <w:sz w:val="17"/>
                <w:szCs w:val="17"/>
                <w:color w:val="auto"/>
              </w:rPr>
              <w:t>XBRL Taxonomy Extension Definition Document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360"/>
          </w:cols>
          <w:pgMar w:left="240" w:top="115" w:right="29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2980"/>
              <w:spacing w:after="0"/>
              <w:rPr>
                <w:sz w:val="20"/>
                <w:szCs w:val="20"/>
                <w:color w:val="auto"/>
              </w:rPr>
            </w:pPr>
            <w:r>
              <w:rPr>
                <w:rFonts w:ascii="Arial" w:cs="Arial" w:eastAsia="Arial" w:hAnsi="Arial"/>
                <w:sz w:val="17"/>
                <w:szCs w:val="17"/>
                <w:b w:val="1"/>
                <w:bCs w:val="1"/>
                <w:color w:val="auto"/>
              </w:rPr>
              <w:t>EXHIBIT INDEX</w:t>
            </w:r>
          </w:p>
        </w:tc>
      </w:tr>
      <w:tr>
        <w:trPr>
          <w:trHeight w:val="560"/>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9"/>
                <w:szCs w:val="19"/>
                <w:color w:val="auto"/>
              </w:rPr>
            </w:pPr>
          </w:p>
        </w:tc>
        <w:tc>
          <w:tcPr>
            <w:tcW w:w="9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7"/>
              </w:rPr>
              <w:t>Amended and Restated Certificate of Incorporation of Virtu Financial, Inc. (incorporated herein by reference to Exhibit 3.1 to the</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Company's Quarterly 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Amended and Restated By-laws of Virtu Financial, Inc. (incorporated herein by reference to Exhibit 3.2 to the Company's Quarterly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Amended and Restated Registration Rights Agreement, dated April 20, 2017, by and among Virtu Financial, Inc., TJMT Holdings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7"/>
              </w:rPr>
              <w:t>LLC, Aranda Investments Pte. Ltd., Havelock Fund Investments Pte Ltd., North Island Holdings I, LP and the additional holders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named therein (incorporated herein by reference to Exhibit 10.3 to the Company’s Quarterly Report on Form 10-Q (File No. 001-</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37352), filed on May 10, 2017).</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Joseph Molluso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10.8 to the Company’s Annual Report on Form 10-K (File No. 001-37352), filed on March 13, 2018).</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Douglas A. Cifu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10.9 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Virtu Financial, Inc. 2015 Amended and Restated Management Incentive Plan Employee Restricted Stock Award Agreement, dated</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as of February 2, 2018, by and between Virtu Financial, Inc. and Douglas A. Cifu (incorporated herein by reference to Exhibit 10.10</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2"/>
              </w:rPr>
              <w:t>Amendment No. 1, dated as of January 2, 2018, to the Fourth Amended and Restated Credit Agreement, dated June 30, 2017, by and</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between Virtu Financial LLC, VFH Parent LLC, the lenders party thereto and JPMorgan Chase Bank, N.A. (incorporated herein by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reference to Exhibit 10.29 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Third Amendment, dated as of January 5, 2018, to the Third Amended and Restated Limited Liability Company Agreement of Virtu</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Financial LLC, dated as of April 15, 2015 (incorporated herein by reference to Exhibit 10.30 to the Company’s Annual Report on</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Employment Agreement, dated as of June 24, 2015, by and between Stephen Cavoli and Virtu Financial Operating LLC</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(incorporated by reference to Exhibit 10.7 to the Company’s Quarterly Report on Form 10-Q (File No. 001-37352), filed on May 7,</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Virtu Financial, Inc. 2015 Management Incentive Plan Employee Restricted Stock Unit Award Agreement, dated as of August 24,</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2015, by and between Virtu Financial, Inc. and Stephen Cavoli (incorporated by reference to Exhibit 10.8 to the Company’s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December 31, 2016, by and between Virtu Financial, Inc. and Stephen Cavoli (incorporated by reference to Exhibit 10.9</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to the Company’s 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3"/>
              </w:rPr>
              <w:t>Virtu Financial, Inc. Amended and Restated 2015 Management Incentive Plan Employee Restricted Stock Unit Agreement, dated as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of March 21, 2018, by and between Virtu Financial, Inc. and Joseph Molluso (incorporated by reference to Exhibit 10.10 to the</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Company’s Quarterly Report on Form 10-Q (File No. 001-37352), filed on May 7,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Underwriting Agreement, dated May 10, 2018, by and among Virtu Financial, Inc., Virtu Financial LLC, the selling stockholders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party thereto and the Underwriters (incorporated herein by reference to Exhibit 1.1 to the Company’s Current Report on Form 8-K</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(File No. 001-37352), filed on May 15,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Amendment No. 1 to the Amended and Restated Registration Rights Agreement, dated May 10, 2018, by and among Virtu</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Financial, Inc., TJMT Holdings LLC, North Island Holdings I, LP, Havelock Fund Investments Pte Ltd and Aranda Investments Pte.</w:t>
            </w:r>
          </w:p>
        </w:tc>
      </w:tr>
    </w:tbl>
    <w:p>
      <w:pPr>
        <w:ind w:left="2100" w:right="120"/>
        <w:spacing w:after="0" w:line="275" w:lineRule="auto"/>
        <w:rPr>
          <w:sz w:val="20"/>
          <w:szCs w:val="20"/>
          <w:color w:val="auto"/>
        </w:rPr>
      </w:pPr>
      <w:r>
        <w:rPr>
          <w:rFonts w:ascii="Arial" w:cs="Arial" w:eastAsia="Arial" w:hAnsi="Arial"/>
          <w:sz w:val="17"/>
          <w:szCs w:val="17"/>
          <w:color w:val="auto"/>
        </w:rPr>
        <w:t>Ltd (incorporated herein by reference to Exhibit 10.1 to the Company’s Current Report on Form 8-K (File No. 001-37352), filed on May 15,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12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10120" w:type="dxa"/>
            <w:vAlign w:val="bottom"/>
          </w:tcPr>
          <w:p>
            <w:pPr>
              <w:spacing w:after="0"/>
              <w:rPr>
                <w:sz w:val="16"/>
                <w:szCs w:val="16"/>
                <w:color w:val="auto"/>
              </w:rPr>
            </w:pPr>
          </w:p>
        </w:tc>
      </w:tr>
      <w:tr>
        <w:trPr>
          <w:trHeight w:val="611"/>
        </w:trPr>
        <w:tc>
          <w:tcPr>
            <w:tcW w:w="1240" w:type="dxa"/>
            <w:vAlign w:val="bottom"/>
          </w:tcPr>
          <w:p>
            <w:pPr>
              <w:ind w:left="40"/>
              <w:spacing w:after="0"/>
              <w:rPr>
                <w:sz w:val="20"/>
                <w:szCs w:val="20"/>
                <w:color w:val="auto"/>
              </w:rPr>
            </w:pPr>
            <w:r>
              <w:rPr>
                <w:rFonts w:ascii="Arial" w:cs="Arial" w:eastAsia="Arial" w:hAnsi="Arial"/>
                <w:sz w:val="17"/>
                <w:szCs w:val="17"/>
                <w:color w:val="auto"/>
              </w:rPr>
              <w:t>10.13</w:t>
            </w:r>
          </w:p>
        </w:tc>
        <w:tc>
          <w:tcPr>
            <w:tcW w:w="10120" w:type="dxa"/>
            <w:vAlign w:val="bottom"/>
          </w:tcPr>
          <w:p>
            <w:pPr>
              <w:ind w:left="860"/>
              <w:spacing w:after="0"/>
              <w:rPr>
                <w:sz w:val="20"/>
                <w:szCs w:val="20"/>
                <w:color w:val="auto"/>
              </w:rPr>
            </w:pPr>
            <w:r>
              <w:rPr>
                <w:rFonts w:ascii="Arial" w:cs="Arial" w:eastAsia="Arial" w:hAnsi="Arial"/>
                <w:sz w:val="17"/>
                <w:szCs w:val="17"/>
                <w:color w:val="auto"/>
                <w:w w:val="93"/>
              </w:rPr>
              <w:t>Amendment No. 1 to Amended and Restated Lock-up Waivers Agreement, dated May 10, 2018, by and among Virtu Financial, Inc.,</w:t>
            </w:r>
          </w:p>
        </w:tc>
      </w:tr>
      <w:tr>
        <w:trPr>
          <w:trHeight w:val="210"/>
        </w:trPr>
        <w:tc>
          <w:tcPr>
            <w:tcW w:w="1240" w:type="dxa"/>
            <w:vAlign w:val="bottom"/>
          </w:tcPr>
          <w:p>
            <w:pPr>
              <w:spacing w:after="0"/>
              <w:rPr>
                <w:sz w:val="18"/>
                <w:szCs w:val="18"/>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TJMT Holdings LLC, Mr. Vincent Viola, Havelock Fund Investments Pte Ltd, Aranda Investments Pte. Ltd., North Island Holdings</w:t>
            </w:r>
          </w:p>
        </w:tc>
      </w:tr>
      <w:tr>
        <w:trPr>
          <w:trHeight w:val="210"/>
        </w:trPr>
        <w:tc>
          <w:tcPr>
            <w:tcW w:w="1240" w:type="dxa"/>
            <w:vAlign w:val="bottom"/>
          </w:tcPr>
          <w:p>
            <w:pPr>
              <w:spacing w:after="0"/>
              <w:rPr>
                <w:sz w:val="18"/>
                <w:szCs w:val="18"/>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w w:val="98"/>
              </w:rPr>
              <w:t>I, LP and the stockholders named therein (incorporated herein by reference to Exhibit 99.8 to the Report on Schedule 13D of</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10.14</w:t>
            </w:r>
          </w:p>
        </w:tc>
        <w:tc>
          <w:tcPr>
            <w:tcW w:w="10120" w:type="dxa"/>
            <w:vAlign w:val="bottom"/>
          </w:tcPr>
          <w:p>
            <w:pPr>
              <w:ind w:left="860"/>
              <w:spacing w:after="0"/>
              <w:rPr>
                <w:sz w:val="20"/>
                <w:szCs w:val="20"/>
                <w:color w:val="auto"/>
              </w:rPr>
            </w:pPr>
            <w:r>
              <w:rPr>
                <w:rFonts w:ascii="Arial" w:cs="Arial" w:eastAsia="Arial" w:hAnsi="Arial"/>
                <w:sz w:val="17"/>
                <w:szCs w:val="17"/>
                <w:color w:val="auto"/>
                <w:w w:val="96"/>
              </w:rPr>
              <w:t>Purchase Agreement, dated May 10, 2018, by and among Virtu Financial, Inc. and TJMT Holdings LLC (incorporated herein by</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reference to Exhibit 10.2 to the Company’s Current Report on Form 8-K (File No. 001-37352),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10.15</w:t>
            </w:r>
          </w:p>
        </w:tc>
        <w:tc>
          <w:tcPr>
            <w:tcW w:w="10120" w:type="dxa"/>
            <w:vAlign w:val="bottom"/>
          </w:tcPr>
          <w:p>
            <w:pPr>
              <w:ind w:left="860"/>
              <w:spacing w:after="0"/>
              <w:rPr>
                <w:sz w:val="20"/>
                <w:szCs w:val="20"/>
                <w:color w:val="auto"/>
              </w:rPr>
            </w:pPr>
            <w:r>
              <w:rPr>
                <w:rFonts w:ascii="Arial" w:cs="Arial" w:eastAsia="Arial" w:hAnsi="Arial"/>
                <w:sz w:val="17"/>
                <w:szCs w:val="17"/>
                <w:color w:val="auto"/>
                <w:w w:val="97"/>
              </w:rPr>
              <w:t>Lock-up Agreement, dated May 10, 2018, entered into by Vincent Viola (incorporated herein by reference to Exhibit 99.2 to the</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10.16</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Lock-up Agreement, dated May 10, 2018, entered into by Michael T. Viola (incorporated herein by reference to Exhibit 99.3 to the</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10.17</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Lock-up Agreement, dated May 10, 2018, entered into by TJMT Holdings LLC (incorporated herein by reference to Exhibit 99.4 to</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the 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10.18</w:t>
            </w:r>
          </w:p>
        </w:tc>
        <w:tc>
          <w:tcPr>
            <w:tcW w:w="10120" w:type="dxa"/>
            <w:vAlign w:val="bottom"/>
          </w:tcPr>
          <w:p>
            <w:pPr>
              <w:ind w:left="860"/>
              <w:spacing w:after="0"/>
              <w:rPr>
                <w:sz w:val="20"/>
                <w:szCs w:val="20"/>
                <w:color w:val="auto"/>
              </w:rPr>
            </w:pPr>
            <w:r>
              <w:rPr>
                <w:rFonts w:ascii="Arial" w:cs="Arial" w:eastAsia="Arial" w:hAnsi="Arial"/>
                <w:sz w:val="17"/>
                <w:szCs w:val="17"/>
                <w:color w:val="auto"/>
                <w:w w:val="94"/>
              </w:rPr>
              <w:t>Lock-up Agreement, dated May 10, 2018, entered into by Virtu Employee Holdco LLC (incorporated herein by reference to Exhibit</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99.5 to the Report on Schedule 13D of Vincent Viola (File No. 005-89306), filed on May 15, 2018).</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31.1*</w:t>
            </w:r>
          </w:p>
        </w:tc>
        <w:tc>
          <w:tcPr>
            <w:tcW w:w="10120" w:type="dxa"/>
            <w:vAlign w:val="bottom"/>
          </w:tcPr>
          <w:p>
            <w:pPr>
              <w:ind w:left="860"/>
              <w:spacing w:after="0"/>
              <w:rPr>
                <w:sz w:val="20"/>
                <w:szCs w:val="20"/>
                <w:color w:val="auto"/>
              </w:rPr>
            </w:pPr>
            <w:r>
              <w:rPr>
                <w:rFonts w:ascii="Arial" w:cs="Arial" w:eastAsia="Arial" w:hAnsi="Arial"/>
                <w:sz w:val="17"/>
                <w:szCs w:val="17"/>
                <w:color w:val="auto"/>
                <w:w w:val="99"/>
              </w:rPr>
              <w:t>Certification of Chief Executive Officer required by Rule 13a-14(a)/15d-14(a) under the Securities Exchange Act of 1934, as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31.2*</w:t>
            </w:r>
          </w:p>
        </w:tc>
        <w:tc>
          <w:tcPr>
            <w:tcW w:w="10120" w:type="dxa"/>
            <w:vAlign w:val="bottom"/>
          </w:tcPr>
          <w:p>
            <w:pPr>
              <w:ind w:left="860"/>
              <w:spacing w:after="0"/>
              <w:rPr>
                <w:sz w:val="20"/>
                <w:szCs w:val="20"/>
                <w:color w:val="auto"/>
              </w:rPr>
            </w:pPr>
            <w:r>
              <w:rPr>
                <w:rFonts w:ascii="Arial" w:cs="Arial" w:eastAsia="Arial" w:hAnsi="Arial"/>
                <w:sz w:val="17"/>
                <w:szCs w:val="17"/>
                <w:color w:val="auto"/>
              </w:rPr>
              <w:t>Certification of Chief Financial Officer required by Rule 13a-14(a)/15d-14(a) under the Securities Exchange Act of 1934, as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32.1*</w:t>
            </w:r>
          </w:p>
        </w:tc>
        <w:tc>
          <w:tcPr>
            <w:tcW w:w="10120" w:type="dxa"/>
            <w:vAlign w:val="bottom"/>
          </w:tcPr>
          <w:p>
            <w:pPr>
              <w:ind w:left="860"/>
              <w:spacing w:after="0"/>
              <w:rPr>
                <w:sz w:val="20"/>
                <w:szCs w:val="20"/>
                <w:color w:val="auto"/>
              </w:rPr>
            </w:pPr>
            <w:r>
              <w:rPr>
                <w:rFonts w:ascii="Arial" w:cs="Arial" w:eastAsia="Arial" w:hAnsi="Arial"/>
                <w:sz w:val="17"/>
                <w:szCs w:val="17"/>
                <w:color w:val="auto"/>
                <w:w w:val="95"/>
              </w:rPr>
              <w:t>Certification of Chief Executive Officer pursuant to 18 U.S.C. Section 1350, as adopted pursuant to Section 906 of the Sarbanes-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Oxley Act of 2002 (furnished herewith).</w:t>
            </w:r>
          </w:p>
        </w:tc>
      </w:tr>
      <w:tr>
        <w:trPr>
          <w:trHeight w:val="251"/>
        </w:trPr>
        <w:tc>
          <w:tcPr>
            <w:tcW w:w="1240" w:type="dxa"/>
            <w:vAlign w:val="bottom"/>
          </w:tcPr>
          <w:p>
            <w:pPr>
              <w:ind w:left="40"/>
              <w:spacing w:after="0"/>
              <w:rPr>
                <w:sz w:val="20"/>
                <w:szCs w:val="20"/>
                <w:color w:val="auto"/>
              </w:rPr>
            </w:pPr>
            <w:r>
              <w:rPr>
                <w:rFonts w:ascii="Arial" w:cs="Arial" w:eastAsia="Arial" w:hAnsi="Arial"/>
                <w:sz w:val="17"/>
                <w:szCs w:val="17"/>
                <w:color w:val="auto"/>
              </w:rPr>
              <w:t>32.2*</w:t>
            </w:r>
          </w:p>
        </w:tc>
        <w:tc>
          <w:tcPr>
            <w:tcW w:w="10120" w:type="dxa"/>
            <w:vAlign w:val="bottom"/>
          </w:tcPr>
          <w:p>
            <w:pPr>
              <w:ind w:left="860"/>
              <w:spacing w:after="0"/>
              <w:rPr>
                <w:sz w:val="20"/>
                <w:szCs w:val="20"/>
                <w:color w:val="auto"/>
              </w:rPr>
            </w:pPr>
            <w:r>
              <w:rPr>
                <w:rFonts w:ascii="Arial" w:cs="Arial" w:eastAsia="Arial" w:hAnsi="Arial"/>
                <w:sz w:val="17"/>
                <w:szCs w:val="17"/>
                <w:color w:val="auto"/>
                <w:w w:val="96"/>
              </w:rPr>
              <w:t>Certification of Chief Financial Officer pursuant to 18 U.S.C. Section 1350, as adopted pursuant to Section 906 of the Sarbanes-</w:t>
            </w:r>
          </w:p>
        </w:tc>
      </w:tr>
      <w:tr>
        <w:trPr>
          <w:trHeight w:val="222"/>
        </w:trPr>
        <w:tc>
          <w:tcPr>
            <w:tcW w:w="1240" w:type="dxa"/>
            <w:vAlign w:val="bottom"/>
          </w:tcPr>
          <w:p>
            <w:pPr>
              <w:spacing w:after="0"/>
              <w:rPr>
                <w:sz w:val="19"/>
                <w:szCs w:val="19"/>
                <w:color w:val="auto"/>
              </w:rPr>
            </w:pPr>
          </w:p>
        </w:tc>
        <w:tc>
          <w:tcPr>
            <w:tcW w:w="10120" w:type="dxa"/>
            <w:vAlign w:val="bottom"/>
          </w:tcPr>
          <w:p>
            <w:pPr>
              <w:ind w:left="860"/>
              <w:spacing w:after="0"/>
              <w:rPr>
                <w:sz w:val="20"/>
                <w:szCs w:val="20"/>
                <w:color w:val="auto"/>
              </w:rPr>
            </w:pPr>
            <w:r>
              <w:rPr>
                <w:rFonts w:ascii="Arial" w:cs="Arial" w:eastAsia="Arial" w:hAnsi="Arial"/>
                <w:sz w:val="17"/>
                <w:szCs w:val="17"/>
                <w:color w:val="auto"/>
              </w:rPr>
              <w:t>Oxley Act of 2002 (furnished herewith).</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101.INS</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Instance Document</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101.SCH</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101.CAL</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10120" w:type="dxa"/>
            <w:vAlign w:val="bottom"/>
          </w:tcPr>
          <w:p>
            <w:pPr>
              <w:ind w:left="860"/>
              <w:spacing w:after="0"/>
              <w:rPr>
                <w:sz w:val="20"/>
                <w:szCs w:val="20"/>
                <w:color w:val="auto"/>
              </w:rPr>
            </w:pPr>
            <w:r>
              <w:rPr>
                <w:rFonts w:ascii="Arial" w:cs="Arial" w:eastAsia="Arial" w:hAnsi="Arial"/>
                <w:sz w:val="17"/>
                <w:szCs w:val="17"/>
                <w:color w:val="auto"/>
              </w:rPr>
              <w:t>XBRL Taxonomy Extension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60"/>
          </w:cols>
          <w:pgMar w:left="240" w:top="115" w:right="29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440" w:type="dxa"/>
            <w:vAlign w:val="bottom"/>
            <w:gridSpan w:val="2"/>
          </w:tcPr>
          <w:p>
            <w:pPr>
              <w:ind w:left="600"/>
              <w:spacing w:after="0"/>
              <w:rPr>
                <w:sz w:val="20"/>
                <w:szCs w:val="20"/>
                <w:color w:val="auto"/>
              </w:rPr>
            </w:pPr>
            <w:r>
              <w:rPr>
                <w:rFonts w:ascii="Arial" w:cs="Arial" w:eastAsia="Arial" w:hAnsi="Arial"/>
                <w:sz w:val="17"/>
                <w:szCs w:val="17"/>
                <w:color w:val="auto"/>
              </w:rPr>
              <w:t>Virtu Financial, Inc.</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2080" w:type="dxa"/>
            <w:vAlign w:val="bottom"/>
          </w:tcPr>
          <w:p>
            <w:pPr>
              <w:ind w:left="400"/>
              <w:spacing w:after="0"/>
              <w:rPr>
                <w:sz w:val="20"/>
                <w:szCs w:val="20"/>
                <w:color w:val="auto"/>
              </w:rPr>
            </w:pPr>
            <w:r>
              <w:rPr>
                <w:rFonts w:ascii="Arial" w:cs="Arial" w:eastAsia="Arial" w:hAnsi="Arial"/>
                <w:sz w:val="17"/>
                <w:szCs w:val="17"/>
                <w:color w:val="auto"/>
              </w:rPr>
              <w:t>August 6, 2018</w:t>
            </w:r>
          </w:p>
        </w:tc>
        <w:tc>
          <w:tcPr>
            <w:tcW w:w="1140" w:type="dxa"/>
            <w:vAlign w:val="bottom"/>
          </w:tcPr>
          <w:p>
            <w:pPr>
              <w:ind w:left="60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Douglas A. Cifu</w:t>
            </w:r>
          </w:p>
        </w:tc>
      </w:tr>
      <w:tr>
        <w:trPr>
          <w:trHeight w:val="27"/>
        </w:trPr>
        <w:tc>
          <w:tcPr>
            <w:tcW w:w="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Douglas A. Cifu</w:t>
            </w:r>
          </w:p>
        </w:tc>
      </w:tr>
      <w:tr>
        <w:trPr>
          <w:trHeight w:val="262"/>
        </w:trPr>
        <w:tc>
          <w:tcPr>
            <w:tcW w:w="8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2080" w:type="dxa"/>
            <w:vAlign w:val="bottom"/>
          </w:tcPr>
          <w:p>
            <w:pPr>
              <w:ind w:left="400"/>
              <w:spacing w:after="0"/>
              <w:rPr>
                <w:sz w:val="20"/>
                <w:szCs w:val="20"/>
                <w:color w:val="auto"/>
              </w:rPr>
            </w:pPr>
            <w:r>
              <w:rPr>
                <w:rFonts w:ascii="Arial" w:cs="Arial" w:eastAsia="Arial" w:hAnsi="Arial"/>
                <w:sz w:val="17"/>
                <w:szCs w:val="17"/>
                <w:color w:val="auto"/>
              </w:rPr>
              <w:t>August 6, 2018</w:t>
            </w:r>
          </w:p>
        </w:tc>
        <w:tc>
          <w:tcPr>
            <w:tcW w:w="1140" w:type="dxa"/>
            <w:vAlign w:val="bottom"/>
          </w:tcPr>
          <w:p>
            <w:pPr>
              <w:ind w:left="60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Joseph Molluso</w:t>
            </w:r>
          </w:p>
        </w:tc>
      </w:tr>
      <w:tr>
        <w:trPr>
          <w:trHeight w:val="27"/>
        </w:trPr>
        <w:tc>
          <w:tcPr>
            <w:tcW w:w="8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Joseph Molluso</w:t>
            </w:r>
          </w:p>
        </w:tc>
      </w:tr>
      <w:tr>
        <w:trPr>
          <w:trHeight w:val="262"/>
        </w:trPr>
        <w:tc>
          <w:tcPr>
            <w:tcW w:w="8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472"/>
        </w:trPr>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7"/>
                <w:szCs w:val="17"/>
                <w:color w:val="auto"/>
              </w:rPr>
              <w:t>83</w:t>
            </w:r>
          </w:p>
        </w:tc>
      </w:tr>
    </w:tbl>
    <w:p>
      <w:pPr>
        <w:sectPr>
          <w:pgSz w:w="11900" w:h="16838" w:orient="portrait"/>
          <w:cols w:equalWidth="0" w:num="1">
            <w:col w:w="11420"/>
          </w:cols>
          <w:pgMar w:left="240" w:top="12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30"/>
          <w:szCs w:val="30"/>
          <w:b w:val="1"/>
          <w:bCs w:val="1"/>
          <w:color w:val="1F1F1F"/>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74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6750" cy="274955"/>
                    </a:xfrm>
                    <a:prstGeom prst="rect">
                      <a:avLst/>
                    </a:prstGeom>
                    <a:noFill/>
                  </pic:spPr>
                </pic:pic>
              </a:graphicData>
            </a:graphic>
          </wp:anchor>
        </w:drawing>
        <w:t>Virtu Financial Operating LLC</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9"/>
          <w:szCs w:val="19"/>
          <w:color w:val="1F1F1F"/>
        </w:rPr>
        <w:t>900 Third Avenue, 29</w:t>
      </w:r>
      <w:r>
        <w:rPr>
          <w:rFonts w:ascii="Arial" w:cs="Arial" w:eastAsia="Arial" w:hAnsi="Arial"/>
          <w:sz w:val="13"/>
          <w:szCs w:val="13"/>
          <w:color w:val="1F1F1F"/>
        </w:rPr>
        <w:t>th</w:t>
      </w:r>
      <w:r>
        <w:rPr>
          <w:rFonts w:ascii="Arial" w:cs="Arial" w:eastAsia="Arial" w:hAnsi="Arial"/>
          <w:sz w:val="19"/>
          <w:szCs w:val="19"/>
          <w:color w:val="1F1F1F"/>
        </w:rPr>
        <w:t xml:space="preserve"> Fl. New York, New York 10022 </w:t>
      </w:r>
      <w:r>
        <w:rPr>
          <w:rFonts w:ascii="Arial" w:cs="Arial" w:eastAsia="Arial" w:hAnsi="Arial"/>
          <w:sz w:val="17"/>
          <w:szCs w:val="17"/>
          <w:color w:val="1F1F1F"/>
        </w:rPr>
        <w:t>Telephone:</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212.418.0100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Facsimile: 212.418.0123</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June 24, 2015</w:t>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Mr. Stephen Cavoli</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383B62"/>
        </w:rPr>
        <w:t xml:space="preserve">step </w:t>
      </w:r>
      <w:r>
        <w:rPr>
          <w:rFonts w:ascii="Arial" w:cs="Arial" w:eastAsia="Arial" w:hAnsi="Arial"/>
          <w:sz w:val="17"/>
          <w:szCs w:val="17"/>
          <w:u w:val="single" w:color="auto"/>
          <w:color w:val="2F313A"/>
        </w:rPr>
        <w:t>h</w:t>
      </w:r>
      <w:r>
        <w:rPr>
          <w:rFonts w:ascii="Arial" w:cs="Arial" w:eastAsia="Arial" w:hAnsi="Arial"/>
          <w:sz w:val="17"/>
          <w:szCs w:val="17"/>
          <w:u w:val="single" w:color="auto"/>
          <w:color w:val="383B62"/>
        </w:rPr>
        <w:t>encav oli@gmai</w:t>
      </w:r>
      <w:r>
        <w:rPr>
          <w:rFonts w:ascii="Arial" w:cs="Arial" w:eastAsia="Arial" w:hAnsi="Arial"/>
          <w:sz w:val="17"/>
          <w:szCs w:val="17"/>
          <w:u w:val="single" w:color="auto"/>
          <w:color w:val="381864"/>
        </w:rPr>
        <w:t>l</w:t>
      </w:r>
      <w:r>
        <w:rPr>
          <w:rFonts w:ascii="Arial" w:cs="Arial" w:eastAsia="Arial" w:hAnsi="Arial"/>
          <w:sz w:val="17"/>
          <w:szCs w:val="17"/>
          <w:u w:val="single" w:color="auto"/>
          <w:color w:val="494F69"/>
        </w:rPr>
        <w:t>.com</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Dear Stephen</w:t>
      </w:r>
      <w:r>
        <w:rPr>
          <w:rFonts w:ascii="Arial" w:cs="Arial" w:eastAsia="Arial" w:hAnsi="Arial"/>
          <w:sz w:val="17"/>
          <w:szCs w:val="17"/>
          <w:color w:val="2F313A"/>
        </w:rPr>
        <w:t>:</w:t>
      </w:r>
    </w:p>
    <w:p>
      <w:pPr>
        <w:spacing w:after="0" w:line="211"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Virtu Financial Operating LLC, a Delaware limited liability company (the "Company"), is pleased to offer you the position of Senior Vice President, Strategy and Market Development, with a start date of September 28, 2015 (the "Start Date"). This letter is intended to describe the terms and conditions of your employment with the Company, effective your start date, and to welcome you to the Company.</w:t>
      </w:r>
    </w:p>
    <w:p>
      <w:pPr>
        <w:spacing w:after="0" w:line="170"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You will report to Douglas A. Cifu, Chief Executive Officer of Virtu Financial. This is a full-time regular position, and you agree to devote all of your business time and attention to the business of the Company and, where appropriate, its affiliates. Your starting salary will be the bi-weekly equivalent of Four Hundred Thousand Dollars ($400,000) per year, payable in accordance with our normal payroll procedures.</w:t>
      </w:r>
    </w:p>
    <w:p>
      <w:pPr>
        <w:spacing w:after="0" w:line="157" w:lineRule="exact"/>
        <w:rPr>
          <w:sz w:val="20"/>
          <w:szCs w:val="20"/>
          <w:color w:val="auto"/>
        </w:rPr>
      </w:pPr>
    </w:p>
    <w:p>
      <w:pPr>
        <w:jc w:val="both"/>
        <w:ind w:left="40" w:firstLine="604"/>
        <w:spacing w:after="0" w:line="315" w:lineRule="auto"/>
        <w:rPr>
          <w:sz w:val="20"/>
          <w:szCs w:val="20"/>
          <w:color w:val="auto"/>
        </w:rPr>
      </w:pPr>
      <w:r>
        <w:rPr>
          <w:rFonts w:ascii="Arial" w:cs="Arial" w:eastAsia="Arial" w:hAnsi="Arial"/>
          <w:sz w:val="15"/>
          <w:szCs w:val="15"/>
          <w:color w:val="1F1F1F"/>
        </w:rPr>
        <w:t>You will also be eligible for discretionary bonuses, in the sole and absolute discretion of the Company. You understand that all bonuses are discretionary and are not considered earned until final approval by the Company, and you must be an employee of the Company or one of its affiliates on the date that bonuses are paid by the Company for such year in order to be eligible for any bonus for such period. For the year ended December 31, 2015, you will receive a minimum bonus of Three Hundred Fifty Thousand ($350,000), provided you are employed by the Company or any of its affiliates when bonuses are paid for such year.</w:t>
      </w:r>
    </w:p>
    <w:p>
      <w:pPr>
        <w:spacing w:after="0" w:line="131" w:lineRule="exact"/>
        <w:rPr>
          <w:sz w:val="20"/>
          <w:szCs w:val="20"/>
          <w:color w:val="auto"/>
        </w:rPr>
      </w:pPr>
    </w:p>
    <w:p>
      <w:pPr>
        <w:jc w:val="both"/>
        <w:ind w:left="40" w:firstLine="604"/>
        <w:spacing w:after="0" w:line="265" w:lineRule="auto"/>
        <w:rPr>
          <w:sz w:val="20"/>
          <w:szCs w:val="20"/>
          <w:color w:val="auto"/>
        </w:rPr>
      </w:pPr>
      <w:r>
        <w:rPr>
          <w:rFonts w:ascii="Arial" w:cs="Arial" w:eastAsia="Arial" w:hAnsi="Arial"/>
          <w:sz w:val="17"/>
          <w:szCs w:val="17"/>
          <w:color w:val="1F1F1F"/>
        </w:rPr>
        <w:t>You will also receive as of your start date a grant (the "Grant") of Restricted Stock Units ("RSUs") in Virtu Financial, Inc. ("VF Inc.") in an amount equal to Two Million Dollars ($2,000,000) divided by the closing price of VF Inc.'s Class A Common Stock as of your start date, which RSUs shall vest in four equal installments on the first, second, third and fourth anniversaries of your start date, and which grant shall be subject to the approval of VF Inc.'s Compensation Committee and the terms and conditions of VF Inc.'s 2015 Management Incentive Plan and the terms and conditions of the definitive award documentation.</w:t>
      </w:r>
    </w:p>
    <w:p>
      <w:pPr>
        <w:spacing w:after="0" w:line="168"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7"/>
          <w:szCs w:val="17"/>
          <w:color w:val="1F1F1F"/>
        </w:rPr>
        <w:t>In addition, after any applicable waiting period, you will be eligible for all employee benefits offered by the Company to employees in similar positions. The Company retains the right to modify or change its benefits and compensation policy from time to time, as it deems necessary. The Company also retains the right to assign your employment agreement to a Company affiliate or require that your employment be based in any office of the Company or its affiliates. For avoidance of doubt, the position is exempt from overtime requirements.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320" w:top="1114" w:right="239" w:bottom="1440" w:gutter="0" w:footer="0" w:header="0"/>
        </w:sectPr>
      </w:pPr>
    </w:p>
    <w:bookmarkStart w:id="86" w:name="page87"/>
    <w:bookmarkEnd w:id="86"/>
    <w:p>
      <w:pPr>
        <w:ind w:left="40"/>
        <w:spacing w:after="0"/>
        <w:rPr>
          <w:sz w:val="20"/>
          <w:szCs w:val="20"/>
          <w:color w:val="auto"/>
        </w:rPr>
      </w:pPr>
      <w:r>
        <w:rPr>
          <w:rFonts w:ascii="Arial" w:cs="Arial" w:eastAsia="Arial" w:hAnsi="Arial"/>
          <w:sz w:val="18"/>
          <w:szCs w:val="18"/>
          <w:u w:val="single" w:color="auto"/>
          <w:color w:val="343434"/>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74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6750" cy="274955"/>
                    </a:xfrm>
                    <a:prstGeom prst="rect">
                      <a:avLst/>
                    </a:prstGeom>
                    <a:noFill/>
                  </pic:spPr>
                </pic:pic>
              </a:graphicData>
            </a:graphic>
          </wp:anchor>
        </w:drawing>
        <w:t>At-Will Employment Agreement</w:t>
      </w:r>
    </w:p>
    <w:p>
      <w:pPr>
        <w:spacing w:after="0" w:line="210" w:lineRule="exact"/>
        <w:rPr>
          <w:sz w:val="20"/>
          <w:szCs w:val="20"/>
          <w:color w:val="auto"/>
        </w:rPr>
      </w:pPr>
    </w:p>
    <w:p>
      <w:pPr>
        <w:jc w:val="both"/>
        <w:ind w:left="20" w:firstLine="591"/>
        <w:spacing w:after="0" w:line="283" w:lineRule="auto"/>
        <w:rPr>
          <w:sz w:val="20"/>
          <w:szCs w:val="20"/>
          <w:color w:val="auto"/>
        </w:rPr>
      </w:pPr>
      <w:r>
        <w:rPr>
          <w:rFonts w:ascii="Arial" w:cs="Arial" w:eastAsia="Arial" w:hAnsi="Arial"/>
          <w:sz w:val="16"/>
          <w:szCs w:val="16"/>
          <w:color w:val="1F1F1F"/>
        </w:rPr>
        <w:t>Your employment with the Company is "at-will." Therefore, your employment relationship with the Company is for an unspecified duration and can be terminated at any time, with or without cause or notice, for any reason or no reason whatsoever, at the option of either Company or you. 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 Company officer explicitly stating that your employment is no longer at-will.</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343434"/>
        </w:rPr>
        <w:t xml:space="preserve">Company Policies </w:t>
      </w:r>
      <w:r>
        <w:rPr>
          <w:rFonts w:ascii="Arial" w:cs="Arial" w:eastAsia="Arial" w:hAnsi="Arial"/>
          <w:sz w:val="17"/>
          <w:szCs w:val="17"/>
          <w:u w:val="single" w:color="auto"/>
          <w:color w:val="343434"/>
        </w:rPr>
        <w:t>and</w:t>
      </w:r>
      <w:r>
        <w:rPr>
          <w:rFonts w:ascii="Arial" w:cs="Arial" w:eastAsia="Arial" w:hAnsi="Arial"/>
          <w:sz w:val="18"/>
          <w:szCs w:val="18"/>
          <w:u w:val="single" w:color="auto"/>
          <w:color w:val="343434"/>
        </w:rPr>
        <w:t xml:space="preserve"> Agreements</w:t>
      </w:r>
    </w:p>
    <w:p>
      <w:pPr>
        <w:spacing w:after="0" w:line="210" w:lineRule="exact"/>
        <w:rPr>
          <w:sz w:val="20"/>
          <w:szCs w:val="20"/>
          <w:color w:val="auto"/>
        </w:rPr>
      </w:pPr>
    </w:p>
    <w:p>
      <w:pPr>
        <w:jc w:val="both"/>
        <w:ind w:left="20" w:firstLine="591"/>
        <w:spacing w:after="0" w:line="290" w:lineRule="auto"/>
        <w:rPr>
          <w:sz w:val="20"/>
          <w:szCs w:val="20"/>
          <w:color w:val="auto"/>
        </w:rPr>
      </w:pPr>
      <w:r>
        <w:rPr>
          <w:rFonts w:ascii="Arial" w:cs="Arial" w:eastAsia="Arial" w:hAnsi="Arial"/>
          <w:sz w:val="16"/>
          <w:szCs w:val="16"/>
          <w:color w:val="1F1F1F"/>
        </w:rPr>
        <w:t xml:space="preserve">As an employee of the Company, you will be expected to abide by the Company's rules, regulations, policies and practices. </w:t>
      </w:r>
      <w:r>
        <w:rPr>
          <w:rFonts w:ascii="Arial" w:cs="Arial" w:eastAsia="Arial" w:hAnsi="Arial"/>
          <w:sz w:val="14"/>
          <w:szCs w:val="14"/>
          <w:color w:val="1F1F1F"/>
        </w:rPr>
        <w:t>In</w:t>
      </w:r>
      <w:r>
        <w:rPr>
          <w:rFonts w:ascii="Arial" w:cs="Arial" w:eastAsia="Arial" w:hAnsi="Arial"/>
          <w:sz w:val="16"/>
          <w:szCs w:val="16"/>
          <w:color w:val="1F1F1F"/>
        </w:rPr>
        <w:t xml:space="preserve"> addition, as a condition of your employment, we will ask you to sign a Proprietary Invention Assignment, Noncompetition and Confidentiality Agreement which requires, among other provisions, the assignment of patent rights to any invention made during your employment at the Company. You will also be required to submit satisfactory documentation regarding your identification and right to work in the United States no later than three days after your employment begins.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1F1F1F"/>
        </w:rPr>
        <w:t>Mutual Arbitration</w:t>
      </w:r>
    </w:p>
    <w:p>
      <w:pPr>
        <w:spacing w:after="0" w:line="224" w:lineRule="exact"/>
        <w:rPr>
          <w:sz w:val="20"/>
          <w:szCs w:val="20"/>
          <w:color w:val="auto"/>
        </w:rPr>
      </w:pPr>
    </w:p>
    <w:p>
      <w:pPr>
        <w:jc w:val="both"/>
        <w:ind w:left="20" w:firstLine="591"/>
        <w:spacing w:after="0" w:line="278" w:lineRule="auto"/>
        <w:rPr>
          <w:sz w:val="20"/>
          <w:szCs w:val="20"/>
          <w:color w:val="auto"/>
        </w:rPr>
      </w:pPr>
      <w:r>
        <w:rPr>
          <w:rFonts w:ascii="Arial" w:cs="Arial" w:eastAsia="Arial" w:hAnsi="Arial"/>
          <w:sz w:val="16"/>
          <w:szCs w:val="16"/>
          <w:color w:val="1F1F1F"/>
        </w:rPr>
        <w:t>You and the Company both knowingly and voluntarily agree to a pre-dispute arbitration clause so that should any controversy or dispute arise in connection with your employment, the cessation of your employment or the interpretation of this offer letter, you and the Company agree to arbitration any and all such claims at a site in New York, before a neutral panel of the American Arbitration Association or JAMS, as dictated by the underlying facts and circumstances giving rise to your clairn(s). Where no such forum is required by regulatory rules or directed by a court of competent jurisdiction, such forum shall be selected at the sole discretion of the Company. In the course of any arbitration pursuant to this offer letter, you and the Company agree: (a) to request that a written award be issued by the panel, and (b) that each side is entitled to receive any and all relief they would be entitled to receive in a court proceeding. You and the Company knowingly and voluntarily agree to enter into this arbitration clause and 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you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1F1F1F"/>
        </w:rPr>
        <w:t xml:space="preserve">Verification </w:t>
      </w:r>
      <w:r>
        <w:rPr>
          <w:rFonts w:ascii="Arial" w:cs="Arial" w:eastAsia="Arial" w:hAnsi="Arial"/>
          <w:sz w:val="18"/>
          <w:szCs w:val="18"/>
          <w:u w:val="single" w:color="auto"/>
          <w:color w:val="343434"/>
        </w:rPr>
        <w:t>o</w:t>
      </w:r>
      <w:r>
        <w:rPr>
          <w:rFonts w:ascii="Arial" w:cs="Arial" w:eastAsia="Arial" w:hAnsi="Arial"/>
          <w:sz w:val="18"/>
          <w:szCs w:val="18"/>
          <w:u w:val="single" w:color="auto"/>
          <w:color w:val="4F4F4F"/>
        </w:rPr>
        <w:t>f</w:t>
      </w:r>
      <w:r>
        <w:rPr>
          <w:rFonts w:ascii="Arial" w:cs="Arial" w:eastAsia="Arial" w:hAnsi="Arial"/>
          <w:sz w:val="18"/>
          <w:szCs w:val="18"/>
          <w:u w:val="single" w:color="auto"/>
          <w:color w:val="1F1F1F"/>
        </w:rPr>
        <w:t xml:space="preserve"> </w:t>
      </w:r>
      <w:r>
        <w:rPr>
          <w:rFonts w:ascii="Arial" w:cs="Arial" w:eastAsia="Arial" w:hAnsi="Arial"/>
          <w:sz w:val="17"/>
          <w:szCs w:val="17"/>
          <w:u w:val="single" w:color="auto"/>
          <w:color w:val="343434"/>
        </w:rPr>
        <w:t>Re</w:t>
      </w:r>
      <w:r>
        <w:rPr>
          <w:rFonts w:ascii="Arial" w:cs="Arial" w:eastAsia="Arial" w:hAnsi="Arial"/>
          <w:sz w:val="17"/>
          <w:szCs w:val="17"/>
          <w:u w:val="single" w:color="auto"/>
          <w:color w:val="4F4F4F"/>
        </w:rPr>
        <w:t>s</w:t>
      </w:r>
      <w:r>
        <w:rPr>
          <w:rFonts w:ascii="Arial" w:cs="Arial" w:eastAsia="Arial" w:hAnsi="Arial"/>
          <w:sz w:val="17"/>
          <w:szCs w:val="17"/>
          <w:u w:val="single" w:color="auto"/>
          <w:color w:val="343434"/>
        </w:rPr>
        <w:t>ume</w:t>
      </w:r>
      <w:r>
        <w:rPr>
          <w:rFonts w:ascii="Arial" w:cs="Arial" w:eastAsia="Arial" w:hAnsi="Arial"/>
          <w:sz w:val="18"/>
          <w:szCs w:val="18"/>
          <w:u w:val="single" w:color="auto"/>
          <w:color w:val="1F1F1F"/>
        </w:rPr>
        <w:t xml:space="preserve"> </w:t>
      </w:r>
      <w:r>
        <w:rPr>
          <w:rFonts w:ascii="Arial" w:cs="Arial" w:eastAsia="Arial" w:hAnsi="Arial"/>
          <w:sz w:val="18"/>
          <w:szCs w:val="18"/>
          <w:u w:val="single" w:color="auto"/>
          <w:color w:val="343434"/>
        </w:rPr>
        <w:t>and Job Application</w:t>
      </w:r>
    </w:p>
    <w:p>
      <w:pPr>
        <w:spacing w:after="0" w:line="22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7"/>
          <w:szCs w:val="17"/>
          <w:color w:val="1F1F1F"/>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all parties and persons from any and all liability for any damages that may result from furnishing such information to the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360" w:top="1102" w:right="2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17"/>
          <w:szCs w:val="17"/>
          <w:color w:val="212121"/>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74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6750" cy="274955"/>
                    </a:xfrm>
                    <a:prstGeom prst="rect">
                      <a:avLst/>
                    </a:prstGeom>
                    <a:noFill/>
                  </pic:spPr>
                </pic:pic>
              </a:graphicData>
            </a:graphic>
          </wp:anchor>
        </w:drawing>
        <w:t>Company as well as from any use or disclosure of such information by the Company or any of its agents, employees, or representatives. You understand that any misinterpretation, falsification, or material omission of information on this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177"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7"/>
          <w:szCs w:val="17"/>
          <w:color w:val="212121"/>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w:t>
      </w:r>
    </w:p>
    <w:p>
      <w:pPr>
        <w:spacing w:after="0" w:line="164" w:lineRule="exact"/>
        <w:rPr>
          <w:sz w:val="20"/>
          <w:szCs w:val="20"/>
          <w:color w:val="auto"/>
        </w:rPr>
      </w:pPr>
    </w:p>
    <w:p>
      <w:pPr>
        <w:jc w:val="both"/>
        <w:ind w:firstLine="604"/>
        <w:spacing w:after="0" w:line="310" w:lineRule="auto"/>
        <w:rPr>
          <w:sz w:val="20"/>
          <w:szCs w:val="20"/>
          <w:color w:val="auto"/>
        </w:rPr>
      </w:pPr>
      <w:r>
        <w:rPr>
          <w:rFonts w:ascii="Arial" w:cs="Arial" w:eastAsia="Arial" w:hAnsi="Arial"/>
          <w:sz w:val="15"/>
          <w:szCs w:val="15"/>
          <w:color w:val="212121"/>
        </w:rPr>
        <w:t>You agree that you will not disparage the Company, its members, officers, directors, employees or independent contractors in any manner harmful to its business or personal reputation, and you agree to keep confidential any non-public information regarding the Company, its members, officers, directors, employees or independent contractors. You also agree that you will perform your job duties to the best of your abilities at all times. You agree that you will not disclose any confidential proprietary information or trade secrets acquired during your employment with the Company and that this obligation shall continue after your employment with the Company ends.</w:t>
      </w:r>
    </w:p>
    <w:p>
      <w:pPr>
        <w:spacing w:after="0" w:line="146" w:lineRule="exact"/>
        <w:rPr>
          <w:sz w:val="20"/>
          <w:szCs w:val="20"/>
          <w:color w:val="auto"/>
        </w:rPr>
      </w:pPr>
    </w:p>
    <w:p>
      <w:pPr>
        <w:jc w:val="both"/>
        <w:ind w:firstLine="604"/>
        <w:spacing w:after="0" w:line="319" w:lineRule="auto"/>
        <w:rPr>
          <w:sz w:val="20"/>
          <w:szCs w:val="20"/>
          <w:color w:val="auto"/>
        </w:rPr>
      </w:pPr>
      <w:r>
        <w:rPr>
          <w:rFonts w:ascii="Arial" w:cs="Arial" w:eastAsia="Arial" w:hAnsi="Arial"/>
          <w:sz w:val="15"/>
          <w:szCs w:val="15"/>
          <w:color w:val="212121"/>
        </w:rPr>
        <w:t>This letter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letter may not be modified or amended, except by a written agreement signed by you and a Company officer.</w:t>
      </w:r>
    </w:p>
    <w:p>
      <w:pPr>
        <w:spacing w:after="0" w:line="139" w:lineRule="exact"/>
        <w:rPr>
          <w:sz w:val="20"/>
          <w:szCs w:val="20"/>
          <w:color w:val="auto"/>
        </w:rPr>
      </w:pPr>
    </w:p>
    <w:p>
      <w:pPr>
        <w:jc w:val="both"/>
        <w:ind w:right="140" w:firstLine="604"/>
        <w:spacing w:after="0" w:line="267" w:lineRule="auto"/>
        <w:rPr>
          <w:sz w:val="20"/>
          <w:szCs w:val="20"/>
          <w:color w:val="auto"/>
        </w:rPr>
      </w:pPr>
      <w:r>
        <w:rPr>
          <w:rFonts w:ascii="Arial" w:cs="Arial" w:eastAsia="Arial" w:hAnsi="Arial"/>
          <w:sz w:val="17"/>
          <w:szCs w:val="17"/>
          <w:color w:val="212121"/>
        </w:rPr>
        <w:t xml:space="preserve">To acknowledge acceptance of the terms above, please sign a copy of this letter and fax it to the Company's General Counsel, Justin Waldie, at (212) 418-0123, or return via email to </w:t>
      </w:r>
      <w:r>
        <w:rPr>
          <w:rFonts w:ascii="Arial" w:cs="Arial" w:eastAsia="Arial" w:hAnsi="Arial"/>
          <w:sz w:val="17"/>
          <w:szCs w:val="17"/>
          <w:color w:val="1D2149"/>
        </w:rPr>
        <w:t>jwaldie</w:t>
      </w:r>
      <w:r>
        <w:rPr>
          <w:rFonts w:ascii="Arial" w:cs="Arial" w:eastAsia="Arial" w:hAnsi="Arial"/>
          <w:sz w:val="17"/>
          <w:szCs w:val="17"/>
          <w:color w:val="212121"/>
        </w:rPr>
        <w:t xml:space="preserve"> </w:t>
      </w:r>
      <w:r>
        <w:rPr>
          <w:rFonts w:ascii="Arial" w:cs="Arial" w:eastAsia="Arial" w:hAnsi="Arial"/>
          <w:sz w:val="17"/>
          <w:szCs w:val="17"/>
          <w:color w:val="525472"/>
        </w:rPr>
        <w:t>@</w:t>
      </w:r>
      <w:r>
        <w:rPr>
          <w:rFonts w:ascii="Arial" w:cs="Arial" w:eastAsia="Arial" w:hAnsi="Arial"/>
          <w:sz w:val="17"/>
          <w:szCs w:val="17"/>
          <w:color w:val="363860"/>
        </w:rPr>
        <w:t>virtu.com</w:t>
      </w:r>
      <w:r>
        <w:rPr>
          <w:rFonts w:ascii="Arial" w:cs="Arial" w:eastAsia="Arial" w:hAnsi="Arial"/>
          <w:sz w:val="17"/>
          <w:szCs w:val="17"/>
          <w:color w:val="212121"/>
        </w:rPr>
        <w:t>. If you have any questions regarding your employment here at Virtu Financial Operating LLC, please feel free to call Justin at (212) 418-0113.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42545</wp:posOffset>
            </wp:positionV>
            <wp:extent cx="72758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391" w:lineRule="exact"/>
        <w:rPr>
          <w:sz w:val="20"/>
          <w:szCs w:val="20"/>
          <w:color w:val="auto"/>
        </w:rPr>
      </w:pPr>
    </w:p>
    <w:p>
      <w:pPr>
        <w:ind w:left="620"/>
        <w:spacing w:after="0"/>
        <w:rPr>
          <w:sz w:val="20"/>
          <w:szCs w:val="20"/>
          <w:color w:val="auto"/>
        </w:rPr>
      </w:pPr>
      <w:r>
        <w:rPr>
          <w:rFonts w:ascii="Arial" w:cs="Arial" w:eastAsia="Arial" w:hAnsi="Arial"/>
          <w:sz w:val="17"/>
          <w:szCs w:val="17"/>
          <w:color w:val="212121"/>
        </w:rPr>
        <w:t>Stephen, we are excited about you joining our team. We all look forward to working with you!</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7"/>
          <w:szCs w:val="17"/>
          <w:color w:val="212121"/>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262255</wp:posOffset>
            </wp:positionV>
            <wp:extent cx="4133850" cy="204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413385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1132" w:right="239" w:bottom="1440" w:gutter="0" w:footer="0" w:header="0"/>
        </w:sectPr>
      </w:pPr>
    </w:p>
    <w:bookmarkStart w:id="88" w:name="page89"/>
    <w:bookmarkEnd w:id="88"/>
    <w:p>
      <w:pPr>
        <w:jc w:val="center"/>
        <w:ind w:left="2340"/>
        <w:spacing w:after="0"/>
        <w:rPr>
          <w:sz w:val="20"/>
          <w:szCs w:val="20"/>
          <w:color w:val="auto"/>
        </w:rPr>
      </w:pPr>
      <w:r>
        <w:rPr>
          <w:rFonts w:ascii="Arial" w:cs="Arial" w:eastAsia="Arial" w:hAnsi="Arial"/>
          <w:sz w:val="17"/>
          <w:szCs w:val="17"/>
          <w:b w:val="1"/>
          <w:bCs w:val="1"/>
          <w:color w:val="232323"/>
        </w:rPr>
        <w:t>VIRTU FINANCIAL, INC.</w:t>
      </w:r>
    </w:p>
    <w:p>
      <w:pPr>
        <w:spacing w:after="0" w:line="41" w:lineRule="exact"/>
        <w:rPr>
          <w:sz w:val="20"/>
          <w:szCs w:val="20"/>
          <w:color w:val="auto"/>
        </w:rPr>
      </w:pPr>
    </w:p>
    <w:p>
      <w:pPr>
        <w:ind w:left="1724" w:right="2300" w:firstLine="2869"/>
        <w:spacing w:after="0" w:line="281" w:lineRule="auto"/>
        <w:rPr>
          <w:sz w:val="20"/>
          <w:szCs w:val="20"/>
          <w:color w:val="auto"/>
        </w:rPr>
      </w:pPr>
      <w:r>
        <w:rPr>
          <w:rFonts w:ascii="Arial" w:cs="Arial" w:eastAsia="Arial" w:hAnsi="Arial"/>
          <w:sz w:val="17"/>
          <w:szCs w:val="17"/>
          <w:b w:val="1"/>
          <w:bCs w:val="1"/>
          <w:color w:val="232323"/>
        </w:rPr>
        <w:t xml:space="preserve">2015 MANAGEMENT INCENTIVE PLAN EMPLOYEE </w:t>
      </w:r>
      <w:r>
        <w:rPr>
          <w:rFonts w:ascii="Arial" w:cs="Arial" w:eastAsia="Arial" w:hAnsi="Arial"/>
          <w:sz w:val="17"/>
          <w:szCs w:val="17"/>
          <w:b w:val="1"/>
          <w:bCs w:val="1"/>
          <w:u w:val="single" w:color="auto"/>
          <w:color w:val="232323"/>
        </w:rPr>
        <w:t>RESTRICTED STOCK UNIT AWARD AGREEMENT</w:t>
      </w:r>
    </w:p>
    <w:p>
      <w:pPr>
        <w:spacing w:after="0" w:line="99" w:lineRule="exact"/>
        <w:rPr>
          <w:sz w:val="20"/>
          <w:szCs w:val="20"/>
          <w:color w:val="auto"/>
        </w:rPr>
      </w:pPr>
    </w:p>
    <w:p>
      <w:pPr>
        <w:ind w:left="24" w:right="200" w:firstLine="604"/>
        <w:spacing w:after="0" w:line="290" w:lineRule="auto"/>
        <w:rPr>
          <w:sz w:val="20"/>
          <w:szCs w:val="20"/>
          <w:color w:val="auto"/>
        </w:rPr>
      </w:pPr>
      <w:r>
        <w:rPr>
          <w:rFonts w:ascii="Arial" w:cs="Arial" w:eastAsia="Arial" w:hAnsi="Arial"/>
          <w:sz w:val="17"/>
          <w:szCs w:val="17"/>
          <w:color w:val="232323"/>
        </w:rPr>
        <w:t xml:space="preserve">THIS RESTRICTED STOCK UNIT AWARD AGREEMENT (the </w:t>
      </w:r>
      <w:r>
        <w:rPr>
          <w:rFonts w:ascii="Arial" w:cs="Arial" w:eastAsia="Arial" w:hAnsi="Arial"/>
          <w:sz w:val="17"/>
          <w:szCs w:val="17"/>
          <w:u w:val="single" w:color="auto"/>
          <w:color w:val="232323"/>
        </w:rPr>
        <w:t>'Agreement"),</w:t>
      </w:r>
      <w:r>
        <w:rPr>
          <w:rFonts w:ascii="Arial" w:cs="Arial" w:eastAsia="Arial" w:hAnsi="Arial"/>
          <w:sz w:val="17"/>
          <w:szCs w:val="17"/>
          <w:color w:val="232323"/>
        </w:rPr>
        <w:t xml:space="preserve"> is entered into as of August 24, 2015 (the </w:t>
      </w:r>
      <w:r>
        <w:rPr>
          <w:rFonts w:ascii="Arial" w:cs="Arial" w:eastAsia="Arial" w:hAnsi="Arial"/>
          <w:sz w:val="17"/>
          <w:szCs w:val="17"/>
          <w:u w:val="single" w:color="auto"/>
          <w:color w:val="232323"/>
        </w:rPr>
        <w:t>"Date</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of Grant"),</w:t>
      </w:r>
      <w:r>
        <w:rPr>
          <w:rFonts w:ascii="Arial" w:cs="Arial" w:eastAsia="Arial" w:hAnsi="Arial"/>
          <w:sz w:val="17"/>
          <w:szCs w:val="17"/>
          <w:color w:val="232323"/>
        </w:rPr>
        <w:t xml:space="preserve"> by and between Virtu Financial, Inc., a Delaware corporation (the </w:t>
      </w:r>
      <w:r>
        <w:rPr>
          <w:rFonts w:ascii="Arial" w:cs="Arial" w:eastAsia="Arial" w:hAnsi="Arial"/>
          <w:sz w:val="17"/>
          <w:szCs w:val="17"/>
          <w:u w:val="single" w:color="auto"/>
          <w:color w:val="232323"/>
        </w:rPr>
        <w:t>"Company"),</w:t>
      </w:r>
      <w:r>
        <w:rPr>
          <w:rFonts w:ascii="Arial" w:cs="Arial" w:eastAsia="Arial" w:hAnsi="Arial"/>
          <w:sz w:val="17"/>
          <w:szCs w:val="17"/>
          <w:color w:val="232323"/>
        </w:rPr>
        <w:t xml:space="preserve"> and Stephen Cavoli (the </w:t>
      </w:r>
      <w:r>
        <w:rPr>
          <w:rFonts w:ascii="Arial" w:cs="Arial" w:eastAsia="Arial" w:hAnsi="Arial"/>
          <w:sz w:val="17"/>
          <w:szCs w:val="17"/>
          <w:u w:val="single" w:color="auto"/>
          <w:color w:val="232323"/>
        </w:rPr>
        <w:t>"Participant')</w:t>
      </w:r>
      <w:r>
        <w:rPr>
          <w:rFonts w:ascii="Arial" w:cs="Arial" w:eastAsia="Arial" w:hAnsi="Arial"/>
          <w:sz w:val="17"/>
          <w:szCs w:val="17"/>
          <w:color w:val="232323"/>
        </w:rPr>
        <w:t>.</w:t>
      </w:r>
    </w:p>
    <w:p>
      <w:pPr>
        <w:spacing w:after="0" w:line="105" w:lineRule="exact"/>
        <w:rPr>
          <w:sz w:val="20"/>
          <w:szCs w:val="20"/>
          <w:color w:val="auto"/>
        </w:rPr>
      </w:pPr>
    </w:p>
    <w:p>
      <w:pPr>
        <w:ind w:left="24" w:right="340" w:firstLine="604"/>
        <w:spacing w:after="0" w:line="290" w:lineRule="auto"/>
        <w:rPr>
          <w:sz w:val="20"/>
          <w:szCs w:val="20"/>
          <w:color w:val="auto"/>
        </w:rPr>
      </w:pPr>
      <w:r>
        <w:rPr>
          <w:rFonts w:ascii="Arial" w:cs="Arial" w:eastAsia="Arial" w:hAnsi="Arial"/>
          <w:sz w:val="17"/>
          <w:szCs w:val="17"/>
          <w:color w:val="232323"/>
        </w:rPr>
        <w:t xml:space="preserve">WHEREAS, the Company has adopted the Virtu Financial, Inc. 2015 Management Incentive Plan (the </w:t>
      </w:r>
      <w:r>
        <w:rPr>
          <w:rFonts w:ascii="Arial" w:cs="Arial" w:eastAsia="Arial" w:hAnsi="Arial"/>
          <w:sz w:val="17"/>
          <w:szCs w:val="17"/>
          <w:u w:val="single" w:color="auto"/>
          <w:color w:val="232323"/>
        </w:rPr>
        <w:t>"Plan")</w:t>
      </w:r>
      <w:r>
        <w:rPr>
          <w:rFonts w:ascii="Arial" w:cs="Arial" w:eastAsia="Arial" w:hAnsi="Arial"/>
          <w:sz w:val="17"/>
          <w:szCs w:val="17"/>
          <w:color w:val="232323"/>
        </w:rPr>
        <w:t xml:space="preserve">, pursuant to which Restricted Stock Units </w:t>
      </w:r>
      <w:r>
        <w:rPr>
          <w:rFonts w:ascii="Arial" w:cs="Arial" w:eastAsia="Arial" w:hAnsi="Arial"/>
          <w:sz w:val="17"/>
          <w:szCs w:val="17"/>
          <w:u w:val="single" w:color="auto"/>
          <w:color w:val="232323"/>
        </w:rPr>
        <w:t>("RSUs")</w:t>
      </w:r>
      <w:r>
        <w:rPr>
          <w:rFonts w:ascii="Arial" w:cs="Arial" w:eastAsia="Arial" w:hAnsi="Arial"/>
          <w:sz w:val="17"/>
          <w:szCs w:val="17"/>
          <w:color w:val="232323"/>
        </w:rPr>
        <w:t xml:space="preserve"> may be granted; and</w:t>
      </w:r>
    </w:p>
    <w:p>
      <w:pPr>
        <w:spacing w:after="0" w:line="105" w:lineRule="exact"/>
        <w:rPr>
          <w:sz w:val="20"/>
          <w:szCs w:val="20"/>
          <w:color w:val="auto"/>
        </w:rPr>
      </w:pPr>
    </w:p>
    <w:p>
      <w:pPr>
        <w:ind w:left="24" w:right="380" w:firstLine="604"/>
        <w:spacing w:after="0" w:line="290" w:lineRule="auto"/>
        <w:rPr>
          <w:sz w:val="20"/>
          <w:szCs w:val="20"/>
          <w:color w:val="auto"/>
        </w:rPr>
      </w:pPr>
      <w:r>
        <w:rPr>
          <w:rFonts w:ascii="Arial" w:cs="Arial" w:eastAsia="Arial" w:hAnsi="Arial"/>
          <w:sz w:val="17"/>
          <w:szCs w:val="17"/>
          <w:color w:val="232323"/>
        </w:rPr>
        <w:t>WHEREAS, the Board of Directors of the Company has determined that it is in the best interests of the Company and its stockholders to grant the RSUs provided for herein to the Participant subject to the terms set forth herein.</w:t>
      </w:r>
    </w:p>
    <w:p>
      <w:pPr>
        <w:spacing w:after="0" w:line="105" w:lineRule="exact"/>
        <w:rPr>
          <w:sz w:val="20"/>
          <w:szCs w:val="20"/>
          <w:color w:val="auto"/>
        </w:rPr>
      </w:pPr>
    </w:p>
    <w:p>
      <w:pPr>
        <w:ind w:left="24" w:right="180" w:firstLine="604"/>
        <w:spacing w:after="0" w:line="360" w:lineRule="auto"/>
        <w:rPr>
          <w:sz w:val="20"/>
          <w:szCs w:val="20"/>
          <w:color w:val="auto"/>
        </w:rPr>
      </w:pPr>
      <w:r>
        <w:rPr>
          <w:rFonts w:ascii="Arial" w:cs="Arial" w:eastAsia="Arial" w:hAnsi="Arial"/>
          <w:sz w:val="15"/>
          <w:szCs w:val="15"/>
          <w:color w:val="232323"/>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3" w:lineRule="exact"/>
        <w:rPr>
          <w:sz w:val="20"/>
          <w:szCs w:val="20"/>
          <w:color w:val="auto"/>
        </w:rPr>
      </w:pPr>
    </w:p>
    <w:p>
      <w:pPr>
        <w:ind w:left="604" w:hanging="604"/>
        <w:spacing w:after="0"/>
        <w:tabs>
          <w:tab w:leader="none" w:pos="60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232323"/>
        </w:rPr>
        <w:t>Grant of Restricted Stock Units.</w:t>
      </w:r>
    </w:p>
    <w:p>
      <w:pPr>
        <w:spacing w:after="0" w:line="269" w:lineRule="exact"/>
        <w:rPr>
          <w:rFonts w:ascii="Arial" w:cs="Arial" w:eastAsia="Arial" w:hAnsi="Arial"/>
          <w:sz w:val="17"/>
          <w:szCs w:val="17"/>
          <w:b w:val="1"/>
          <w:bCs w:val="1"/>
          <w:color w:val="auto"/>
        </w:rPr>
      </w:pPr>
    </w:p>
    <w:p>
      <w:pPr>
        <w:ind w:left="4" w:right="120" w:firstLine="600"/>
        <w:spacing w:after="0" w:line="289" w:lineRule="auto"/>
        <w:tabs>
          <w:tab w:leader="none" w:pos="996" w:val="left"/>
        </w:tabs>
        <w:numPr>
          <w:ilvl w:val="1"/>
          <w:numId w:val="19"/>
        </w:numPr>
        <w:rPr>
          <w:rFonts w:ascii="Arial" w:cs="Arial" w:eastAsia="Arial" w:hAnsi="Arial"/>
          <w:sz w:val="19"/>
          <w:szCs w:val="19"/>
          <w:color w:val="auto"/>
        </w:rPr>
      </w:pPr>
      <w:r>
        <w:rPr>
          <w:rFonts w:ascii="Arial" w:cs="Arial" w:eastAsia="Arial" w:hAnsi="Arial"/>
          <w:sz w:val="17"/>
          <w:szCs w:val="17"/>
          <w:u w:val="single" w:color="auto"/>
          <w:color w:val="232323"/>
        </w:rPr>
        <w:t>Grant</w:t>
      </w:r>
      <w:r>
        <w:rPr>
          <w:rFonts w:ascii="Arial" w:cs="Arial" w:eastAsia="Arial" w:hAnsi="Arial"/>
          <w:sz w:val="17"/>
          <w:szCs w:val="17"/>
          <w:color w:val="232323"/>
        </w:rPr>
        <w:t>. The Company hereby grants to the Participant a total of93,765 RSUs, on the terms and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97" w:lineRule="exact"/>
        <w:rPr>
          <w:rFonts w:ascii="Arial" w:cs="Arial" w:eastAsia="Arial" w:hAnsi="Arial"/>
          <w:sz w:val="19"/>
          <w:szCs w:val="19"/>
          <w:color w:val="auto"/>
        </w:rPr>
      </w:pPr>
    </w:p>
    <w:p>
      <w:pPr>
        <w:ind w:left="4" w:firstLine="600"/>
        <w:spacing w:after="0" w:line="289" w:lineRule="auto"/>
        <w:tabs>
          <w:tab w:leader="none" w:pos="1007" w:val="left"/>
        </w:tabs>
        <w:numPr>
          <w:ilvl w:val="2"/>
          <w:numId w:val="19"/>
        </w:numPr>
        <w:rPr>
          <w:rFonts w:ascii="Arial" w:cs="Arial" w:eastAsia="Arial" w:hAnsi="Arial"/>
          <w:sz w:val="19"/>
          <w:szCs w:val="19"/>
          <w:color w:val="auto"/>
        </w:rPr>
      </w:pPr>
      <w:r>
        <w:rPr>
          <w:rFonts w:ascii="Arial" w:cs="Arial" w:eastAsia="Arial" w:hAnsi="Arial"/>
          <w:sz w:val="17"/>
          <w:szCs w:val="17"/>
          <w:u w:val="single" w:color="auto"/>
          <w:color w:val="232323"/>
        </w:rPr>
        <w:t>Incorporation</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by</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Reference.</w:t>
      </w:r>
      <w:r>
        <w:rPr>
          <w:rFonts w:ascii="Arial" w:cs="Arial" w:eastAsia="Arial" w:hAnsi="Arial"/>
          <w:sz w:val="17"/>
          <w:szCs w:val="17"/>
          <w:color w:val="232323"/>
        </w:rPr>
        <w:t xml:space="preserve">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9" w:lineRule="exact"/>
        <w:rPr>
          <w:rFonts w:ascii="Arial" w:cs="Arial" w:eastAsia="Arial" w:hAnsi="Arial"/>
          <w:sz w:val="19"/>
          <w:szCs w:val="19"/>
          <w:color w:val="auto"/>
        </w:rPr>
      </w:pPr>
    </w:p>
    <w:p>
      <w:pPr>
        <w:ind w:left="604" w:hanging="604"/>
        <w:spacing w:after="0"/>
        <w:tabs>
          <w:tab w:leader="none" w:pos="60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232323"/>
        </w:rPr>
        <w:t>Vesting; Settlement.</w:t>
      </w:r>
    </w:p>
    <w:p>
      <w:pPr>
        <w:spacing w:after="0" w:line="256" w:lineRule="exact"/>
        <w:rPr>
          <w:rFonts w:ascii="Arial" w:cs="Arial" w:eastAsia="Arial" w:hAnsi="Arial"/>
          <w:sz w:val="17"/>
          <w:szCs w:val="17"/>
          <w:b w:val="1"/>
          <w:bCs w:val="1"/>
          <w:color w:val="auto"/>
        </w:rPr>
      </w:pPr>
    </w:p>
    <w:p>
      <w:pPr>
        <w:ind w:left="4" w:right="20" w:firstLine="600"/>
        <w:spacing w:after="0" w:line="289" w:lineRule="auto"/>
        <w:tabs>
          <w:tab w:leader="none" w:pos="996" w:val="left"/>
        </w:tabs>
        <w:numPr>
          <w:ilvl w:val="1"/>
          <w:numId w:val="19"/>
        </w:numPr>
        <w:rPr>
          <w:rFonts w:ascii="Arial" w:cs="Arial" w:eastAsia="Arial" w:hAnsi="Arial"/>
          <w:sz w:val="19"/>
          <w:szCs w:val="19"/>
          <w:color w:val="auto"/>
        </w:rPr>
      </w:pPr>
      <w:r>
        <w:rPr>
          <w:rFonts w:ascii="Arial" w:cs="Arial" w:eastAsia="Arial" w:hAnsi="Arial"/>
          <w:sz w:val="17"/>
          <w:szCs w:val="17"/>
          <w:color w:val="232323"/>
        </w:rPr>
        <w:t xml:space="preserve">Except as may otherwise be provided herein, subject to the Participant's continued employment or service with the Company or an Affiliate, the RSUs shall vest in equal installments on each of the first four (4) anniversaries of the Date of Grant (each such date, a </w:t>
      </w:r>
      <w:r>
        <w:rPr>
          <w:rFonts w:ascii="Arial" w:cs="Arial" w:eastAsia="Arial" w:hAnsi="Arial"/>
          <w:sz w:val="17"/>
          <w:szCs w:val="17"/>
          <w:u w:val="single" w:color="auto"/>
          <w:color w:val="232323"/>
        </w:rPr>
        <w:t>"Vesting</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Date").</w:t>
      </w:r>
      <w:r>
        <w:rPr>
          <w:rFonts w:ascii="Arial" w:cs="Arial" w:eastAsia="Arial" w:hAnsi="Arial"/>
          <w:sz w:val="17"/>
          <w:szCs w:val="17"/>
          <w:color w:val="232323"/>
        </w:rPr>
        <w:t xml:space="preserve">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99" w:lineRule="exact"/>
        <w:rPr>
          <w:rFonts w:ascii="Arial" w:cs="Arial" w:eastAsia="Arial" w:hAnsi="Arial"/>
          <w:sz w:val="19"/>
          <w:szCs w:val="19"/>
          <w:color w:val="auto"/>
        </w:rPr>
      </w:pPr>
    </w:p>
    <w:p>
      <w:pPr>
        <w:ind w:left="4" w:right="400" w:firstLine="587"/>
        <w:spacing w:after="0" w:line="294" w:lineRule="auto"/>
        <w:tabs>
          <w:tab w:leader="none" w:pos="993" w:val="left"/>
        </w:tabs>
        <w:numPr>
          <w:ilvl w:val="1"/>
          <w:numId w:val="19"/>
        </w:numPr>
        <w:rPr>
          <w:rFonts w:ascii="Arial" w:cs="Arial" w:eastAsia="Arial" w:hAnsi="Arial"/>
          <w:sz w:val="19"/>
          <w:szCs w:val="19"/>
          <w:color w:val="auto"/>
        </w:rPr>
      </w:pPr>
      <w:r>
        <w:rPr>
          <w:rFonts w:ascii="Arial" w:cs="Arial" w:eastAsia="Arial" w:hAnsi="Arial"/>
          <w:sz w:val="17"/>
          <w:szCs w:val="17"/>
          <w:color w:val="232323"/>
        </w:rPr>
        <w:t>Vested RSUs shall be settled within ten (10) days following the Vesting Date for such RSUs in shares of Class A Common Stock, or cash, as determined by the Committee in its sole discretion.</w:t>
      </w:r>
    </w:p>
    <w:p>
      <w:pPr>
        <w:sectPr>
          <w:pgSz w:w="11900" w:h="16838" w:orient="portrait"/>
          <w:cols w:equalWidth="0" w:num="1">
            <w:col w:w="11224"/>
          </w:cols>
          <w:pgMar w:left="376" w:top="239" w:right="299" w:bottom="1440" w:gutter="0" w:footer="0" w:header="0"/>
        </w:sectPr>
      </w:pPr>
    </w:p>
    <w:bookmarkStart w:id="89" w:name="page90"/>
    <w:bookmarkEnd w:id="89"/>
    <w:p>
      <w:pPr>
        <w:jc w:val="both"/>
        <w:ind w:right="260" w:firstLine="2"/>
        <w:spacing w:after="0" w:line="336" w:lineRule="auto"/>
        <w:tabs>
          <w:tab w:leader="none" w:pos="72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Dividend Equivalents. </w:t>
      </w:r>
      <w:r>
        <w:rPr>
          <w:rFonts w:ascii="Arial" w:cs="Arial" w:eastAsia="Arial" w:hAnsi="Arial"/>
          <w:sz w:val="16"/>
          <w:szCs w:val="16"/>
          <w:color w:val="212121"/>
        </w:rPr>
        <w:t>In the event of any issuance of a cash dividend on the shares of Class A Common Stock (a</w:t>
      </w:r>
      <w:r>
        <w:rPr>
          <w:rFonts w:ascii="Arial" w:cs="Arial" w:eastAsia="Arial" w:hAnsi="Arial"/>
          <w:sz w:val="18"/>
          <w:szCs w:val="18"/>
          <w:b w:val="1"/>
          <w:bCs w:val="1"/>
          <w:color w:val="212121"/>
        </w:rPr>
        <w:t xml:space="preserve"> </w:t>
      </w:r>
      <w:r>
        <w:rPr>
          <w:rFonts w:ascii="Arial" w:cs="Arial" w:eastAsia="Arial" w:hAnsi="Arial"/>
          <w:sz w:val="16"/>
          <w:szCs w:val="16"/>
          <w:u w:val="single" w:color="auto"/>
          <w:color w:val="212121"/>
        </w:rPr>
        <w:t>"Dividend")</w:t>
      </w:r>
      <w:r>
        <w:rPr>
          <w:rFonts w:ascii="Arial" w:cs="Arial" w:eastAsia="Arial" w:hAnsi="Arial"/>
          <w:sz w:val="16"/>
          <w:szCs w:val="16"/>
          <w:color w:val="212121"/>
        </w:rPr>
        <w:t>, the Participant shall be</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credited, as of the payment date for such Dividend, with an additional number ofRSUs (each, an </w:t>
      </w:r>
      <w:r>
        <w:rPr>
          <w:rFonts w:ascii="Arial" w:cs="Arial" w:eastAsia="Arial" w:hAnsi="Arial"/>
          <w:sz w:val="16"/>
          <w:szCs w:val="16"/>
          <w:u w:val="single" w:color="auto"/>
          <w:color w:val="212121"/>
        </w:rPr>
        <w:t>"Additional</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RSU")</w:t>
      </w:r>
      <w:r>
        <w:rPr>
          <w:rFonts w:ascii="Arial" w:cs="Arial" w:eastAsia="Arial" w:hAnsi="Arial"/>
          <w:sz w:val="16"/>
          <w:szCs w:val="16"/>
          <w:color w:val="212121"/>
        </w:rPr>
        <w:t xml:space="preserve"> equal to the quotient obtained by dividing (a) the product of (i) the number of RSUs granted pursuant to this Agreement and outstanding as of the record date for such Dividend multiplied by (ii) the amount of the Dividend per share, divided by</w:t>
      </w:r>
    </w:p>
    <w:p>
      <w:pPr>
        <w:spacing w:after="0" w:line="3" w:lineRule="exact"/>
        <w:rPr>
          <w:sz w:val="20"/>
          <w:szCs w:val="20"/>
          <w:color w:val="auto"/>
        </w:rPr>
      </w:pPr>
    </w:p>
    <w:p>
      <w:pPr>
        <w:ind w:right="220" w:firstLine="2"/>
        <w:spacing w:after="0" w:line="310" w:lineRule="auto"/>
        <w:tabs>
          <w:tab w:leader="none" w:pos="235" w:val="left"/>
        </w:tabs>
        <w:numPr>
          <w:ilvl w:val="0"/>
          <w:numId w:val="21"/>
        </w:numPr>
        <w:rPr>
          <w:rFonts w:ascii="Arial" w:cs="Arial" w:eastAsia="Arial" w:hAnsi="Arial"/>
          <w:sz w:val="16"/>
          <w:szCs w:val="16"/>
          <w:color w:val="212121"/>
        </w:rPr>
      </w:pPr>
      <w:r>
        <w:rPr>
          <w:rFonts w:ascii="Arial" w:cs="Arial" w:eastAsia="Arial" w:hAnsi="Arial"/>
          <w:sz w:val="16"/>
          <w:szCs w:val="16"/>
          <w:color w:val="212121"/>
        </w:rPr>
        <w:t>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07" w:lineRule="exact"/>
        <w:rPr>
          <w:sz w:val="20"/>
          <w:szCs w:val="20"/>
          <w:color w:val="auto"/>
        </w:rPr>
      </w:pPr>
    </w:p>
    <w:p>
      <w:pPr>
        <w:ind w:left="600" w:hanging="598"/>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12121"/>
        </w:rPr>
        <w:t>Termination of Employment or Service.</w:t>
      </w:r>
    </w:p>
    <w:p>
      <w:pPr>
        <w:spacing w:after="0" w:line="235" w:lineRule="exact"/>
        <w:rPr>
          <w:sz w:val="20"/>
          <w:szCs w:val="20"/>
          <w:color w:val="auto"/>
        </w:rPr>
      </w:pPr>
    </w:p>
    <w:p>
      <w:pPr>
        <w:ind w:right="60" w:firstLine="591"/>
        <w:spacing w:after="0" w:line="278" w:lineRule="auto"/>
        <w:rPr>
          <w:sz w:val="20"/>
          <w:szCs w:val="20"/>
          <w:color w:val="auto"/>
        </w:rPr>
      </w:pPr>
      <w:r>
        <w:rPr>
          <w:rFonts w:ascii="Arial" w:cs="Arial" w:eastAsia="Arial" w:hAnsi="Arial"/>
          <w:sz w:val="17"/>
          <w:szCs w:val="17"/>
          <w:color w:val="212121"/>
        </w:rPr>
        <w:t>If the Participant's employment or service with the Company and its Affiliates terminates for any reason, all unvested RSUs shall be cancelled immediately and the Participant shall not be entitled to receive any payments with respect thereto.</w:t>
      </w:r>
    </w:p>
    <w:p>
      <w:pPr>
        <w:spacing w:after="0" w:line="169" w:lineRule="exact"/>
        <w:rPr>
          <w:sz w:val="20"/>
          <w:szCs w:val="20"/>
          <w:color w:val="auto"/>
        </w:rPr>
      </w:pPr>
    </w:p>
    <w:p>
      <w:pPr>
        <w:ind w:right="220" w:firstLine="2"/>
        <w:spacing w:after="0" w:line="353" w:lineRule="auto"/>
        <w:tabs>
          <w:tab w:leader="none" w:pos="72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Rights as a Stockholder. </w:t>
      </w:r>
      <w:r>
        <w:rPr>
          <w:rFonts w:ascii="Arial" w:cs="Arial" w:eastAsia="Arial" w:hAnsi="Arial"/>
          <w:sz w:val="16"/>
          <w:szCs w:val="16"/>
          <w:color w:val="212121"/>
        </w:rPr>
        <w:t>The Participant shall not be deemed for any purpose to be the owner of any shares of Class A Common Stock underlying the</w:t>
      </w:r>
      <w:r>
        <w:rPr>
          <w:rFonts w:ascii="Arial" w:cs="Arial" w:eastAsia="Arial" w:hAnsi="Arial"/>
          <w:sz w:val="18"/>
          <w:szCs w:val="18"/>
          <w:b w:val="1"/>
          <w:bCs w:val="1"/>
          <w:color w:val="212121"/>
        </w:rPr>
        <w:t xml:space="preserve"> </w:t>
      </w:r>
      <w:r>
        <w:rPr>
          <w:rFonts w:ascii="Arial" w:cs="Arial" w:eastAsia="Arial" w:hAnsi="Arial"/>
          <w:sz w:val="16"/>
          <w:szCs w:val="16"/>
          <w:color w:val="212121"/>
        </w:rPr>
        <w:t>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27" w:lineRule="exact"/>
        <w:rPr>
          <w:rFonts w:ascii="Arial" w:cs="Arial" w:eastAsia="Arial" w:hAnsi="Arial"/>
          <w:sz w:val="18"/>
          <w:szCs w:val="18"/>
          <w:b w:val="1"/>
          <w:bCs w:val="1"/>
          <w:color w:val="auto"/>
        </w:rPr>
      </w:pPr>
    </w:p>
    <w:p>
      <w:pPr>
        <w:ind w:left="600" w:hanging="598"/>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Compliance with Legal Requirements.</w:t>
      </w:r>
    </w:p>
    <w:p>
      <w:pPr>
        <w:spacing w:after="0" w:line="260" w:lineRule="exact"/>
        <w:rPr>
          <w:rFonts w:ascii="Arial" w:cs="Arial" w:eastAsia="Arial" w:hAnsi="Arial"/>
          <w:sz w:val="18"/>
          <w:szCs w:val="18"/>
          <w:b w:val="1"/>
          <w:bCs w:val="1"/>
          <w:color w:val="auto"/>
        </w:rPr>
      </w:pPr>
    </w:p>
    <w:p>
      <w:pPr>
        <w:ind w:right="280" w:firstLine="593"/>
        <w:spacing w:after="0" w:line="349" w:lineRule="auto"/>
        <w:tabs>
          <w:tab w:leader="none" w:pos="979" w:val="left"/>
        </w:tabs>
        <w:numPr>
          <w:ilvl w:val="1"/>
          <w:numId w:val="23"/>
        </w:numPr>
        <w:rPr>
          <w:rFonts w:ascii="Arial" w:cs="Arial" w:eastAsia="Arial" w:hAnsi="Arial"/>
          <w:sz w:val="17"/>
          <w:szCs w:val="17"/>
          <w:color w:val="auto"/>
        </w:rPr>
      </w:pPr>
      <w:r>
        <w:rPr>
          <w:rFonts w:ascii="Arial" w:cs="Arial" w:eastAsia="Arial" w:hAnsi="Arial"/>
          <w:sz w:val="15"/>
          <w:szCs w:val="15"/>
          <w:u w:val="single" w:color="auto"/>
          <w:color w:val="343434"/>
        </w:rPr>
        <w:t>Generally.</w:t>
      </w:r>
      <w:r>
        <w:rPr>
          <w:rFonts w:ascii="Arial" w:cs="Arial" w:eastAsia="Arial" w:hAnsi="Arial"/>
          <w:sz w:val="15"/>
          <w:szCs w:val="15"/>
          <w:color w:val="343434"/>
        </w:rPr>
        <w:t xml:space="preserve"> </w:t>
      </w:r>
      <w:r>
        <w:rPr>
          <w:rFonts w:ascii="Arial" w:cs="Arial" w:eastAsia="Arial" w:hAnsi="Arial"/>
          <w:sz w:val="15"/>
          <w:szCs w:val="15"/>
          <w:color w:val="212121"/>
        </w:rPr>
        <w:t>The granting and settlement of the RSUs, and any other obligations of the Company under this Agreement, shall be subject to all applicable</w:t>
      </w:r>
      <w:r>
        <w:rPr>
          <w:rFonts w:ascii="Arial" w:cs="Arial" w:eastAsia="Arial" w:hAnsi="Arial"/>
          <w:sz w:val="15"/>
          <w:szCs w:val="15"/>
          <w:color w:val="343434"/>
        </w:rPr>
        <w:t xml:space="preserve"> </w:t>
      </w:r>
      <w:r>
        <w:rPr>
          <w:rFonts w:ascii="Arial" w:cs="Arial" w:eastAsia="Arial" w:hAnsi="Arial"/>
          <w:sz w:val="15"/>
          <w:szCs w:val="15"/>
          <w:color w:val="212121"/>
        </w:rPr>
        <w:t>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3" w:lineRule="exact"/>
        <w:rPr>
          <w:rFonts w:ascii="Arial" w:cs="Arial" w:eastAsia="Arial" w:hAnsi="Arial"/>
          <w:sz w:val="17"/>
          <w:szCs w:val="17"/>
          <w:color w:val="auto"/>
        </w:rPr>
      </w:pPr>
    </w:p>
    <w:p>
      <w:pPr>
        <w:ind w:right="240" w:firstLine="593"/>
        <w:spacing w:after="0" w:line="281" w:lineRule="auto"/>
        <w:tabs>
          <w:tab w:leader="none" w:pos="990" w:val="left"/>
        </w:tabs>
        <w:numPr>
          <w:ilvl w:val="1"/>
          <w:numId w:val="23"/>
        </w:numPr>
        <w:rPr>
          <w:rFonts w:ascii="Arial" w:cs="Arial" w:eastAsia="Arial" w:hAnsi="Arial"/>
          <w:sz w:val="19"/>
          <w:szCs w:val="19"/>
          <w:color w:val="auto"/>
        </w:rPr>
      </w:pPr>
      <w:r>
        <w:rPr>
          <w:rFonts w:ascii="Arial" w:cs="Arial" w:eastAsia="Arial" w:hAnsi="Arial"/>
          <w:sz w:val="17"/>
          <w:szCs w:val="17"/>
          <w:u w:val="single" w:color="auto"/>
          <w:color w:val="343434"/>
        </w:rPr>
        <w:t>Taxes and Withholding.</w:t>
      </w:r>
      <w:r>
        <w:rPr>
          <w:rFonts w:ascii="Arial" w:cs="Arial" w:eastAsia="Arial" w:hAnsi="Arial"/>
          <w:sz w:val="17"/>
          <w:szCs w:val="17"/>
          <w:color w:val="343434"/>
        </w:rPr>
        <w:t xml:space="preserve"> </w:t>
      </w:r>
      <w:r>
        <w:rPr>
          <w:rFonts w:ascii="Arial" w:cs="Arial" w:eastAsia="Arial" w:hAnsi="Arial"/>
          <w:sz w:val="17"/>
          <w:szCs w:val="17"/>
          <w:color w:val="212121"/>
        </w:rPr>
        <w:t>Vesting and settlement of the RSUs shall be subject to the Participant satisfying any applicable U.S. federal, state and local tax</w:t>
      </w:r>
      <w:r>
        <w:rPr>
          <w:rFonts w:ascii="Arial" w:cs="Arial" w:eastAsia="Arial" w:hAnsi="Arial"/>
          <w:sz w:val="17"/>
          <w:szCs w:val="17"/>
          <w:color w:val="343434"/>
        </w:rPr>
        <w:t xml:space="preserve"> </w:t>
      </w:r>
      <w:r>
        <w:rPr>
          <w:rFonts w:ascii="Arial" w:cs="Arial" w:eastAsia="Arial" w:hAnsi="Arial"/>
          <w:sz w:val="17"/>
          <w:szCs w:val="17"/>
          <w:color w:val="212121"/>
        </w:rPr>
        <w:t>withholding obligations and non</w:t>
      </w:r>
    </w:p>
    <w:p>
      <w:pPr>
        <w:ind w:firstLine="13"/>
        <w:spacing w:after="0" w:line="283" w:lineRule="auto"/>
        <w:rPr>
          <w:rFonts w:ascii="Arial" w:cs="Arial" w:eastAsia="Arial" w:hAnsi="Arial"/>
          <w:sz w:val="19"/>
          <w:szCs w:val="19"/>
          <w:color w:val="auto"/>
        </w:rPr>
      </w:pPr>
      <w:r>
        <w:rPr>
          <w:rFonts w:ascii="Arial" w:cs="Arial" w:eastAsia="Arial" w:hAnsi="Arial"/>
          <w:sz w:val="16"/>
          <w:szCs w:val="16"/>
          <w:color w:val="212121"/>
        </w:rPr>
        <w:t>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66" w:lineRule="exact"/>
        <w:rPr>
          <w:rFonts w:ascii="Arial" w:cs="Arial" w:eastAsia="Arial" w:hAnsi="Arial"/>
          <w:sz w:val="19"/>
          <w:szCs w:val="19"/>
          <w:color w:val="auto"/>
        </w:rPr>
      </w:pPr>
    </w:p>
    <w:p>
      <w:pPr>
        <w:ind w:right="160" w:firstLine="2"/>
        <w:spacing w:after="0" w:line="353" w:lineRule="auto"/>
        <w:tabs>
          <w:tab w:leader="none" w:pos="71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Clawback. </w:t>
      </w:r>
      <w:r>
        <w:rPr>
          <w:rFonts w:ascii="Arial" w:cs="Arial" w:eastAsia="Arial" w:hAnsi="Arial"/>
          <w:sz w:val="16"/>
          <w:szCs w:val="16"/>
          <w:color w:val="212121"/>
        </w:rPr>
        <w:t>Notwithstanding anything to the contrary contained herein, the Committee may cancel the RSU award if the Participant, without the consent of</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6"/>
          <w:szCs w:val="16"/>
          <w:u w:val="single" w:color="auto"/>
          <w:color w:val="444444"/>
        </w:rPr>
        <w:t>Exh</w:t>
      </w:r>
      <w:r>
        <w:rPr>
          <w:rFonts w:ascii="Arial" w:cs="Arial" w:eastAsia="Arial" w:hAnsi="Arial"/>
          <w:sz w:val="16"/>
          <w:szCs w:val="16"/>
          <w:u w:val="single" w:color="auto"/>
          <w:color w:val="212121"/>
        </w:rPr>
        <w:t>i bit</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A</w:t>
      </w:r>
      <w:r>
        <w:rPr>
          <w:rFonts w:ascii="Arial" w:cs="Arial" w:eastAsia="Arial" w:hAnsi="Arial"/>
          <w:sz w:val="16"/>
          <w:szCs w:val="16"/>
          <w:color w:val="212121"/>
        </w:rPr>
        <w:t xml:space="preserve"> to this Agreement, as determined by the Committee. In</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4" w:right="239" w:bottom="1440" w:gutter="0" w:footer="0" w:header="0"/>
        </w:sectPr>
      </w:pPr>
    </w:p>
    <w:bookmarkStart w:id="90" w:name="page91"/>
    <w:bookmarkEnd w:id="90"/>
    <w:p>
      <w:pPr>
        <w:spacing w:after="0" w:line="262" w:lineRule="auto"/>
        <w:rPr>
          <w:sz w:val="20"/>
          <w:szCs w:val="20"/>
          <w:color w:val="auto"/>
        </w:rPr>
      </w:pPr>
      <w:r>
        <w:rPr>
          <w:rFonts w:ascii="Arial" w:cs="Arial" w:eastAsia="Arial" w:hAnsi="Arial"/>
          <w:sz w:val="17"/>
          <w:szCs w:val="17"/>
          <w:color w:val="212121"/>
        </w:rPr>
        <w:t xml:space="preserve">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w:t>
      </w:r>
      <w:r>
        <w:rPr>
          <w:rFonts w:ascii="Arial" w:cs="Arial" w:eastAsia="Arial" w:hAnsi="Arial"/>
          <w:sz w:val="16"/>
          <w:szCs w:val="16"/>
          <w:color w:val="212121"/>
        </w:rPr>
        <w:t>If</w:t>
      </w:r>
      <w:r>
        <w:rPr>
          <w:rFonts w:ascii="Arial" w:cs="Arial" w:eastAsia="Arial" w:hAnsi="Arial"/>
          <w:sz w:val="17"/>
          <w:szCs w:val="17"/>
          <w:color w:val="212121"/>
        </w:rPr>
        <w:t xml:space="preserve">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7" w:lineRule="exact"/>
        <w:rPr>
          <w:sz w:val="20"/>
          <w:szCs w:val="20"/>
          <w:color w:val="auto"/>
        </w:rPr>
      </w:pPr>
    </w:p>
    <w:p>
      <w:pPr>
        <w:ind w:left="600" w:hanging="597"/>
        <w:spacing w:after="0"/>
        <w:tabs>
          <w:tab w:leader="none" w:pos="6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212121"/>
        </w:rPr>
        <w:t>Restrictive Covenants.</w:t>
      </w:r>
    </w:p>
    <w:p>
      <w:pPr>
        <w:spacing w:after="0" w:line="256" w:lineRule="exact"/>
        <w:rPr>
          <w:rFonts w:ascii="Arial" w:cs="Arial" w:eastAsia="Arial" w:hAnsi="Arial"/>
          <w:sz w:val="17"/>
          <w:szCs w:val="17"/>
          <w:b w:val="1"/>
          <w:bCs w:val="1"/>
          <w:color w:val="auto"/>
        </w:rPr>
      </w:pPr>
    </w:p>
    <w:p>
      <w:pPr>
        <w:ind w:left="980" w:hanging="386"/>
        <w:spacing w:after="0"/>
        <w:tabs>
          <w:tab w:leader="none" w:pos="980" w:val="left"/>
        </w:tabs>
        <w:numPr>
          <w:ilvl w:val="1"/>
          <w:numId w:val="24"/>
        </w:numPr>
        <w:rPr>
          <w:rFonts w:ascii="Arial" w:cs="Arial" w:eastAsia="Arial" w:hAnsi="Arial"/>
          <w:sz w:val="19"/>
          <w:szCs w:val="19"/>
          <w:color w:val="auto"/>
        </w:rPr>
      </w:pPr>
      <w:r>
        <w:rPr>
          <w:rFonts w:ascii="Arial" w:cs="Arial" w:eastAsia="Arial" w:hAnsi="Arial"/>
          <w:sz w:val="17"/>
          <w:szCs w:val="17"/>
          <w:color w:val="212121"/>
        </w:rPr>
        <w:t xml:space="preserve">The Participant shall be subject to the confidentiality and restrictive covenants set forth on </w:t>
      </w:r>
      <w:r>
        <w:rPr>
          <w:rFonts w:ascii="Arial" w:cs="Arial" w:eastAsia="Arial" w:hAnsi="Arial"/>
          <w:sz w:val="17"/>
          <w:szCs w:val="17"/>
          <w:u w:val="single" w:color="auto"/>
          <w:color w:val="212121"/>
        </w:rPr>
        <w:t>Exhibit A</w:t>
      </w:r>
      <w:r>
        <w:rPr>
          <w:rFonts w:ascii="Arial" w:cs="Arial" w:eastAsia="Arial" w:hAnsi="Arial"/>
          <w:sz w:val="17"/>
          <w:szCs w:val="17"/>
          <w:color w:val="212121"/>
        </w:rPr>
        <w:t xml:space="preserve"> attached hereto.</w:t>
      </w:r>
    </w:p>
    <w:p>
      <w:pPr>
        <w:spacing w:after="0" w:line="240" w:lineRule="exact"/>
        <w:rPr>
          <w:rFonts w:ascii="Arial" w:cs="Arial" w:eastAsia="Arial" w:hAnsi="Arial"/>
          <w:sz w:val="19"/>
          <w:szCs w:val="19"/>
          <w:color w:val="auto"/>
        </w:rPr>
      </w:pPr>
    </w:p>
    <w:p>
      <w:pPr>
        <w:ind w:firstLine="607"/>
        <w:spacing w:after="0" w:line="289" w:lineRule="auto"/>
        <w:tabs>
          <w:tab w:leader="none" w:pos="1003" w:val="left"/>
        </w:tabs>
        <w:numPr>
          <w:ilvl w:val="2"/>
          <w:numId w:val="24"/>
        </w:numPr>
        <w:rPr>
          <w:rFonts w:ascii="Arial" w:cs="Arial" w:eastAsia="Arial" w:hAnsi="Arial"/>
          <w:sz w:val="19"/>
          <w:szCs w:val="19"/>
          <w:color w:val="auto"/>
        </w:rPr>
      </w:pPr>
      <w:r>
        <w:rPr>
          <w:rFonts w:ascii="Arial" w:cs="Arial" w:eastAsia="Arial" w:hAnsi="Arial"/>
          <w:sz w:val="17"/>
          <w:szCs w:val="17"/>
          <w:color w:val="212121"/>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67" w:lineRule="exact"/>
        <w:rPr>
          <w:rFonts w:ascii="Arial" w:cs="Arial" w:eastAsia="Arial" w:hAnsi="Arial"/>
          <w:sz w:val="19"/>
          <w:szCs w:val="19"/>
          <w:color w:val="auto"/>
        </w:rPr>
      </w:pPr>
    </w:p>
    <w:p>
      <w:pPr>
        <w:ind w:left="600" w:hanging="597"/>
        <w:spacing w:after="0"/>
        <w:tabs>
          <w:tab w:leader="none" w:pos="6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212121"/>
        </w:rPr>
        <w:t>Miscellaneous.</w:t>
      </w:r>
    </w:p>
    <w:p>
      <w:pPr>
        <w:spacing w:after="0" w:line="256" w:lineRule="exact"/>
        <w:rPr>
          <w:rFonts w:ascii="Arial" w:cs="Arial" w:eastAsia="Arial" w:hAnsi="Arial"/>
          <w:sz w:val="17"/>
          <w:szCs w:val="17"/>
          <w:b w:val="1"/>
          <w:bCs w:val="1"/>
          <w:color w:val="auto"/>
        </w:rPr>
      </w:pPr>
    </w:p>
    <w:p>
      <w:pPr>
        <w:ind w:right="100" w:firstLine="594"/>
        <w:spacing w:after="0" w:line="289" w:lineRule="auto"/>
        <w:tabs>
          <w:tab w:leader="none" w:pos="992" w:val="left"/>
        </w:tabs>
        <w:numPr>
          <w:ilvl w:val="1"/>
          <w:numId w:val="24"/>
        </w:numPr>
        <w:rPr>
          <w:rFonts w:ascii="Arial" w:cs="Arial" w:eastAsia="Arial" w:hAnsi="Arial"/>
          <w:sz w:val="19"/>
          <w:szCs w:val="19"/>
          <w:color w:val="auto"/>
        </w:rPr>
      </w:pPr>
      <w:r>
        <w:rPr>
          <w:rFonts w:ascii="Arial" w:cs="Arial" w:eastAsia="Arial" w:hAnsi="Arial"/>
          <w:sz w:val="17"/>
          <w:szCs w:val="17"/>
          <w:u w:val="single" w:color="auto"/>
          <w:color w:val="363636"/>
        </w:rPr>
        <w:t>Transferability</w:t>
      </w:r>
      <w:r>
        <w:rPr>
          <w:rFonts w:ascii="Arial" w:cs="Arial" w:eastAsia="Arial" w:hAnsi="Arial"/>
          <w:sz w:val="17"/>
          <w:szCs w:val="17"/>
          <w:color w:val="363636"/>
        </w:rPr>
        <w:t xml:space="preserve">. </w:t>
      </w:r>
      <w:r>
        <w:rPr>
          <w:rFonts w:ascii="Arial" w:cs="Arial" w:eastAsia="Arial" w:hAnsi="Arial"/>
          <w:sz w:val="17"/>
          <w:szCs w:val="17"/>
          <w:color w:val="212121"/>
        </w:rPr>
        <w:t>The RSUs may not be assigned, alienated, pledged, attached, sold or otherwise transferred or encumbered (a</w:t>
      </w:r>
      <w:r>
        <w:rPr>
          <w:rFonts w:ascii="Arial" w:cs="Arial" w:eastAsia="Arial" w:hAnsi="Arial"/>
          <w:sz w:val="17"/>
          <w:szCs w:val="17"/>
          <w:color w:val="363636"/>
        </w:rPr>
        <w:t xml:space="preserve"> </w:t>
      </w:r>
      <w:r>
        <w:rPr>
          <w:rFonts w:ascii="Arial" w:cs="Arial" w:eastAsia="Arial" w:hAnsi="Arial"/>
          <w:sz w:val="17"/>
          <w:szCs w:val="17"/>
          <w:u w:val="single" w:color="auto"/>
          <w:color w:val="212121"/>
        </w:rPr>
        <w:t>"Transfer")</w:t>
      </w:r>
      <w:r>
        <w:rPr>
          <w:rFonts w:ascii="Arial" w:cs="Arial" w:eastAsia="Arial" w:hAnsi="Arial"/>
          <w:sz w:val="17"/>
          <w:szCs w:val="17"/>
          <w:color w:val="363636"/>
        </w:rPr>
        <w:t xml:space="preserve"> </w:t>
      </w:r>
      <w:r>
        <w:rPr>
          <w:rFonts w:ascii="Arial" w:cs="Arial" w:eastAsia="Arial" w:hAnsi="Arial"/>
          <w:sz w:val="17"/>
          <w:szCs w:val="17"/>
          <w:color w:val="212121"/>
        </w:rPr>
        <w:t>by the</w:t>
      </w:r>
      <w:r>
        <w:rPr>
          <w:rFonts w:ascii="Arial" w:cs="Arial" w:eastAsia="Arial" w:hAnsi="Arial"/>
          <w:sz w:val="17"/>
          <w:szCs w:val="17"/>
          <w:color w:val="363636"/>
        </w:rPr>
        <w:t xml:space="preserve"> </w:t>
      </w:r>
      <w:r>
        <w:rPr>
          <w:rFonts w:ascii="Arial" w:cs="Arial" w:eastAsia="Arial" w:hAnsi="Arial"/>
          <w:sz w:val="17"/>
          <w:szCs w:val="17"/>
          <w:color w:val="212121"/>
        </w:rPr>
        <w:t>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98" w:lineRule="exact"/>
        <w:rPr>
          <w:rFonts w:ascii="Arial" w:cs="Arial" w:eastAsia="Arial" w:hAnsi="Arial"/>
          <w:sz w:val="19"/>
          <w:szCs w:val="19"/>
          <w:color w:val="auto"/>
        </w:rPr>
      </w:pPr>
    </w:p>
    <w:p>
      <w:pPr>
        <w:ind w:right="80" w:firstLine="594"/>
        <w:spacing w:after="0" w:line="298" w:lineRule="auto"/>
        <w:tabs>
          <w:tab w:leader="none" w:pos="1003" w:val="left"/>
        </w:tabs>
        <w:numPr>
          <w:ilvl w:val="1"/>
          <w:numId w:val="24"/>
        </w:numPr>
        <w:rPr>
          <w:rFonts w:ascii="Arial" w:cs="Arial" w:eastAsia="Arial" w:hAnsi="Arial"/>
          <w:sz w:val="17"/>
          <w:szCs w:val="17"/>
          <w:color w:val="auto"/>
        </w:rPr>
      </w:pPr>
      <w:r>
        <w:rPr>
          <w:rFonts w:ascii="Arial" w:cs="Arial" w:eastAsia="Arial" w:hAnsi="Arial"/>
          <w:sz w:val="16"/>
          <w:szCs w:val="16"/>
          <w:u w:val="single" w:color="auto"/>
          <w:color w:val="212121"/>
        </w:rPr>
        <w:t>Waiver.</w:t>
      </w:r>
      <w:r>
        <w:rPr>
          <w:rFonts w:ascii="Arial" w:cs="Arial" w:eastAsia="Arial" w:hAnsi="Arial"/>
          <w:sz w:val="16"/>
          <w:szCs w:val="16"/>
          <w:color w:val="212121"/>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1" w:lineRule="exact"/>
        <w:rPr>
          <w:rFonts w:ascii="Arial" w:cs="Arial" w:eastAsia="Arial" w:hAnsi="Arial"/>
          <w:sz w:val="17"/>
          <w:szCs w:val="17"/>
          <w:color w:val="auto"/>
        </w:rPr>
      </w:pPr>
    </w:p>
    <w:p>
      <w:pPr>
        <w:ind w:right="60"/>
        <w:spacing w:after="0" w:line="306" w:lineRule="auto"/>
        <w:rPr>
          <w:rFonts w:ascii="Arial" w:cs="Arial" w:eastAsia="Arial" w:hAnsi="Arial"/>
          <w:sz w:val="17"/>
          <w:szCs w:val="17"/>
          <w:color w:val="auto"/>
        </w:rPr>
      </w:pPr>
      <w:r>
        <w:rPr>
          <w:rFonts w:ascii="Arial" w:cs="Arial" w:eastAsia="Arial" w:hAnsi="Arial"/>
          <w:sz w:val="17"/>
          <w:szCs w:val="17"/>
          <w:color w:val="212121"/>
        </w:rPr>
        <w:t>a waiver of any right to damages. No waiver by any party of any breach of this Agreement shall be held to constitute a waiver of any other breach or a waiver of the continuation of the same breach.</w:t>
      </w:r>
    </w:p>
    <w:p>
      <w:pPr>
        <w:spacing w:after="0" w:line="145" w:lineRule="exact"/>
        <w:rPr>
          <w:sz w:val="20"/>
          <w:szCs w:val="20"/>
          <w:color w:val="auto"/>
        </w:rPr>
      </w:pPr>
    </w:p>
    <w:p>
      <w:pPr>
        <w:ind w:left="1200" w:hanging="619"/>
        <w:spacing w:after="0"/>
        <w:tabs>
          <w:tab w:leader="none" w:pos="1200" w:val="left"/>
        </w:tabs>
        <w:numPr>
          <w:ilvl w:val="0"/>
          <w:numId w:val="25"/>
        </w:numPr>
        <w:rPr>
          <w:rFonts w:ascii="Arial" w:cs="Arial" w:eastAsia="Arial" w:hAnsi="Arial"/>
          <w:sz w:val="19"/>
          <w:szCs w:val="19"/>
          <w:color w:val="auto"/>
        </w:rPr>
      </w:pPr>
      <w:r>
        <w:rPr>
          <w:rFonts w:ascii="Arial" w:cs="Arial" w:eastAsia="Arial" w:hAnsi="Arial"/>
          <w:sz w:val="17"/>
          <w:szCs w:val="17"/>
          <w:u w:val="single" w:color="auto"/>
          <w:color w:val="363636"/>
        </w:rPr>
        <w:t>Section 409A</w:t>
      </w:r>
      <w:r>
        <w:rPr>
          <w:rFonts w:ascii="Arial" w:cs="Arial" w:eastAsia="Arial" w:hAnsi="Arial"/>
          <w:sz w:val="17"/>
          <w:szCs w:val="17"/>
          <w:color w:val="363636"/>
        </w:rPr>
        <w:t xml:space="preserve">. </w:t>
      </w:r>
      <w:r>
        <w:rPr>
          <w:rFonts w:ascii="Arial" w:cs="Arial" w:eastAsia="Arial" w:hAnsi="Arial"/>
          <w:sz w:val="17"/>
          <w:szCs w:val="17"/>
          <w:color w:val="212121"/>
        </w:rPr>
        <w:t>The RSUs are intended to be exempt from, or compliant with,</w:t>
      </w:r>
    </w:p>
    <w:p>
      <w:pPr>
        <w:spacing w:after="0" w:line="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12121"/>
        </w:rPr>
        <w:t>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60" w:top="468" w:right="259" w:bottom="1440" w:gutter="0" w:footer="0" w:header="0"/>
        </w:sectPr>
      </w:pPr>
    </w:p>
    <w:bookmarkStart w:id="91" w:name="page92"/>
    <w:bookmarkEnd w:id="91"/>
    <w:p>
      <w:pPr>
        <w:ind w:left="20"/>
        <w:spacing w:after="0"/>
        <w:rPr>
          <w:sz w:val="20"/>
          <w:szCs w:val="20"/>
          <w:color w:val="auto"/>
        </w:rPr>
      </w:pPr>
      <w:r>
        <w:rPr>
          <w:rFonts w:ascii="Arial" w:cs="Arial" w:eastAsia="Arial" w:hAnsi="Arial"/>
          <w:sz w:val="17"/>
          <w:szCs w:val="17"/>
          <w:color w:val="212121"/>
        </w:rPr>
        <w:t>Agreement and does not guarantee that the RSUs will not be subject to interest and penalties under Section 409A.</w:t>
      </w:r>
    </w:p>
    <w:p>
      <w:pPr>
        <w:spacing w:after="0" w:line="251" w:lineRule="exact"/>
        <w:rPr>
          <w:sz w:val="20"/>
          <w:szCs w:val="20"/>
          <w:color w:val="auto"/>
        </w:rPr>
      </w:pPr>
    </w:p>
    <w:p>
      <w:pPr>
        <w:ind w:left="20" w:right="80" w:firstLine="586"/>
        <w:spacing w:after="0" w:line="289" w:lineRule="auto"/>
        <w:tabs>
          <w:tab w:leader="none" w:pos="1010" w:val="left"/>
        </w:tabs>
        <w:numPr>
          <w:ilvl w:val="1"/>
          <w:numId w:val="26"/>
        </w:numPr>
        <w:rPr>
          <w:rFonts w:ascii="Arial" w:cs="Arial" w:eastAsia="Arial" w:hAnsi="Arial"/>
          <w:sz w:val="19"/>
          <w:szCs w:val="19"/>
          <w:color w:val="auto"/>
        </w:rPr>
      </w:pPr>
      <w:r>
        <w:rPr>
          <w:rFonts w:ascii="Arial" w:cs="Arial" w:eastAsia="Arial" w:hAnsi="Arial"/>
          <w:sz w:val="17"/>
          <w:szCs w:val="17"/>
          <w:u w:val="single" w:color="auto"/>
          <w:color w:val="383838"/>
        </w:rPr>
        <w:t>General Assets.</w:t>
      </w:r>
      <w:r>
        <w:rPr>
          <w:rFonts w:ascii="Arial" w:cs="Arial" w:eastAsia="Arial" w:hAnsi="Arial"/>
          <w:sz w:val="17"/>
          <w:szCs w:val="17"/>
          <w:color w:val="383838"/>
        </w:rPr>
        <w:t xml:space="preserve"> </w:t>
      </w:r>
      <w:r>
        <w:rPr>
          <w:rFonts w:ascii="Arial" w:cs="Arial" w:eastAsia="Arial" w:hAnsi="Arial"/>
          <w:sz w:val="17"/>
          <w:szCs w:val="17"/>
          <w:color w:val="212121"/>
        </w:rPr>
        <w:t>All amounts credited in respect of the RSUs to the book-entry account under this Agreement shall continue for all purposes to be</w:t>
      </w:r>
      <w:r>
        <w:rPr>
          <w:rFonts w:ascii="Arial" w:cs="Arial" w:eastAsia="Arial" w:hAnsi="Arial"/>
          <w:sz w:val="17"/>
          <w:szCs w:val="17"/>
          <w:color w:val="383838"/>
        </w:rPr>
        <w:t xml:space="preserve"> </w:t>
      </w:r>
      <w:r>
        <w:rPr>
          <w:rFonts w:ascii="Arial" w:cs="Arial" w:eastAsia="Arial" w:hAnsi="Arial"/>
          <w:sz w:val="17"/>
          <w:szCs w:val="17"/>
          <w:color w:val="212121"/>
        </w:rPr>
        <w:t>part of the general assets of the Company. The Participant's interest in such account shall make the Participant only a general, unsecured creditor of the Company.</w:t>
      </w:r>
    </w:p>
    <w:p>
      <w:pPr>
        <w:spacing w:after="0" w:line="184" w:lineRule="exact"/>
        <w:rPr>
          <w:rFonts w:ascii="Arial" w:cs="Arial" w:eastAsia="Arial" w:hAnsi="Arial"/>
          <w:sz w:val="19"/>
          <w:szCs w:val="19"/>
          <w:color w:val="auto"/>
        </w:rPr>
      </w:pPr>
    </w:p>
    <w:p>
      <w:pPr>
        <w:ind w:left="20" w:right="20" w:firstLine="586"/>
        <w:spacing w:after="0" w:line="318" w:lineRule="auto"/>
        <w:tabs>
          <w:tab w:leader="none" w:pos="999" w:val="left"/>
        </w:tabs>
        <w:numPr>
          <w:ilvl w:val="1"/>
          <w:numId w:val="26"/>
        </w:numPr>
        <w:rPr>
          <w:rFonts w:ascii="Arial" w:cs="Arial" w:eastAsia="Arial" w:hAnsi="Arial"/>
          <w:sz w:val="17"/>
          <w:szCs w:val="17"/>
          <w:color w:val="auto"/>
        </w:rPr>
      </w:pPr>
      <w:r>
        <w:rPr>
          <w:rFonts w:ascii="Arial" w:cs="Arial" w:eastAsia="Arial" w:hAnsi="Arial"/>
          <w:sz w:val="16"/>
          <w:szCs w:val="16"/>
          <w:u w:val="single" w:color="auto"/>
          <w:color w:val="383838"/>
        </w:rPr>
        <w:t>Notices.</w:t>
      </w:r>
      <w:r>
        <w:rPr>
          <w:rFonts w:ascii="Arial" w:cs="Arial" w:eastAsia="Arial" w:hAnsi="Arial"/>
          <w:sz w:val="16"/>
          <w:szCs w:val="16"/>
          <w:color w:val="383838"/>
        </w:rPr>
        <w:t xml:space="preserve"> </w:t>
      </w:r>
      <w:r>
        <w:rPr>
          <w:rFonts w:ascii="Arial" w:cs="Arial" w:eastAsia="Arial" w:hAnsi="Arial"/>
          <w:sz w:val="16"/>
          <w:szCs w:val="16"/>
          <w:color w:val="212121"/>
        </w:rPr>
        <w:t>Any notices provided for in this Agreement or the Plan shall be in writing and shall be deemed sufficiently given if either hand delivered</w:t>
      </w:r>
      <w:r>
        <w:rPr>
          <w:rFonts w:ascii="Arial" w:cs="Arial" w:eastAsia="Arial" w:hAnsi="Arial"/>
          <w:sz w:val="16"/>
          <w:szCs w:val="16"/>
          <w:color w:val="383838"/>
        </w:rPr>
        <w:t xml:space="preserve"> </w:t>
      </w:r>
      <w:r>
        <w:rPr>
          <w:rFonts w:ascii="Arial" w:cs="Arial" w:eastAsia="Arial" w:hAnsi="Arial"/>
          <w:sz w:val="16"/>
          <w:szCs w:val="16"/>
          <w:color w:val="212121"/>
        </w:rPr>
        <w:t>or if sent by fax, pdf/email or overnight courier, or by postage paid first class mail. Notices sent by mail shall be deemed received three business days after mailing but in no event later than the date of actual receipt. Notices shall be directed, ifto the Participant, at the Participant's address indicated by the Company's records, or ifto the Company, to the attention of the General Counsel at the Company's principal executive office.</w:t>
      </w:r>
    </w:p>
    <w:p>
      <w:pPr>
        <w:spacing w:after="0" w:line="177" w:lineRule="exact"/>
        <w:rPr>
          <w:rFonts w:ascii="Arial" w:cs="Arial" w:eastAsia="Arial" w:hAnsi="Arial"/>
          <w:sz w:val="17"/>
          <w:szCs w:val="17"/>
          <w:color w:val="auto"/>
        </w:rPr>
      </w:pPr>
    </w:p>
    <w:p>
      <w:pPr>
        <w:ind w:right="620" w:firstLine="593"/>
        <w:spacing w:after="0" w:line="342" w:lineRule="auto"/>
        <w:tabs>
          <w:tab w:leader="none" w:pos="831"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auto"/>
        </w:rPr>
        <w:t>S</w:t>
      </w:r>
      <w:r>
        <w:rPr>
          <w:rFonts w:ascii="Arial" w:cs="Arial" w:eastAsia="Arial" w:hAnsi="Arial"/>
          <w:sz w:val="16"/>
          <w:szCs w:val="16"/>
          <w:u w:val="single" w:color="auto"/>
          <w:color w:val="383838"/>
        </w:rPr>
        <w:t>everability.</w:t>
      </w:r>
      <w:r>
        <w:rPr>
          <w:rFonts w:ascii="Arial" w:cs="Arial" w:eastAsia="Arial" w:hAnsi="Arial"/>
          <w:sz w:val="16"/>
          <w:szCs w:val="16"/>
          <w:color w:val="auto"/>
        </w:rPr>
        <w:t xml:space="preserve"> </w:t>
      </w:r>
      <w:r>
        <w:rPr>
          <w:rFonts w:ascii="Arial" w:cs="Arial" w:eastAsia="Arial" w:hAnsi="Arial"/>
          <w:sz w:val="16"/>
          <w:szCs w:val="16"/>
          <w:color w:val="212121"/>
        </w:rPr>
        <w:t>The invalidity or unenforceability of any provision of this Agreement shall not affect the validity or enforceability of any other</w:t>
      </w:r>
      <w:r>
        <w:rPr>
          <w:rFonts w:ascii="Arial" w:cs="Arial" w:eastAsia="Arial" w:hAnsi="Arial"/>
          <w:sz w:val="16"/>
          <w:szCs w:val="16"/>
          <w:color w:val="auto"/>
        </w:rPr>
        <w:t xml:space="preserve"> </w:t>
      </w:r>
      <w:r>
        <w:rPr>
          <w:rFonts w:ascii="Arial" w:cs="Arial" w:eastAsia="Arial" w:hAnsi="Arial"/>
          <w:sz w:val="16"/>
          <w:szCs w:val="16"/>
          <w:color w:val="212121"/>
        </w:rPr>
        <w:t>provision of this Agreement, and each other provision of this Agreement shall be severable and enforceable to the extent permitted by law.</w:t>
      </w:r>
    </w:p>
    <w:p>
      <w:pPr>
        <w:spacing w:after="0" w:line="154" w:lineRule="exact"/>
        <w:rPr>
          <w:rFonts w:ascii="Arial" w:cs="Arial" w:eastAsia="Arial" w:hAnsi="Arial"/>
          <w:sz w:val="17"/>
          <w:szCs w:val="17"/>
          <w:color w:val="auto"/>
        </w:rPr>
      </w:pPr>
    </w:p>
    <w:p>
      <w:pPr>
        <w:jc w:val="both"/>
        <w:ind w:firstLine="593"/>
        <w:spacing w:after="0" w:line="322" w:lineRule="auto"/>
        <w:tabs>
          <w:tab w:leader="none" w:pos="990"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383838"/>
        </w:rPr>
        <w:t>No Rights to Employment or Service</w:t>
      </w:r>
      <w:r>
        <w:rPr>
          <w:rFonts w:ascii="Arial" w:cs="Arial" w:eastAsia="Arial" w:hAnsi="Arial"/>
          <w:sz w:val="16"/>
          <w:szCs w:val="16"/>
          <w:color w:val="383838"/>
        </w:rPr>
        <w:t xml:space="preserve">. </w:t>
      </w:r>
      <w:r>
        <w:rPr>
          <w:rFonts w:ascii="Arial" w:cs="Arial" w:eastAsia="Arial" w:hAnsi="Arial"/>
          <w:sz w:val="16"/>
          <w:szCs w:val="16"/>
          <w:color w:val="212121"/>
        </w:rPr>
        <w:t>Nothing contained in this Agreement shall be construed as giving the Participant any right to be retained, in</w:t>
      </w:r>
      <w:r>
        <w:rPr>
          <w:rFonts w:ascii="Arial" w:cs="Arial" w:eastAsia="Arial" w:hAnsi="Arial"/>
          <w:sz w:val="16"/>
          <w:szCs w:val="16"/>
          <w:color w:val="383838"/>
        </w:rPr>
        <w:t xml:space="preserve"> </w:t>
      </w:r>
      <w:r>
        <w:rPr>
          <w:rFonts w:ascii="Arial" w:cs="Arial" w:eastAsia="Arial" w:hAnsi="Arial"/>
          <w:sz w:val="16"/>
          <w:szCs w:val="16"/>
          <w:color w:val="212121"/>
        </w:rPr>
        <w:t>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5" w:lineRule="exact"/>
        <w:rPr>
          <w:rFonts w:ascii="Arial" w:cs="Arial" w:eastAsia="Arial" w:hAnsi="Arial"/>
          <w:sz w:val="17"/>
          <w:szCs w:val="17"/>
          <w:color w:val="auto"/>
        </w:rPr>
      </w:pPr>
    </w:p>
    <w:p>
      <w:pPr>
        <w:ind w:right="40" w:firstLine="593"/>
        <w:spacing w:after="0" w:line="342" w:lineRule="auto"/>
        <w:tabs>
          <w:tab w:leader="none" w:pos="990"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383838"/>
        </w:rPr>
        <w:t>Fractional Shares</w:t>
      </w:r>
      <w:r>
        <w:rPr>
          <w:rFonts w:ascii="Arial" w:cs="Arial" w:eastAsia="Arial" w:hAnsi="Arial"/>
          <w:sz w:val="16"/>
          <w:szCs w:val="16"/>
          <w:color w:val="383838"/>
        </w:rPr>
        <w:t xml:space="preserve">. </w:t>
      </w:r>
      <w:r>
        <w:rPr>
          <w:rFonts w:ascii="Arial" w:cs="Arial" w:eastAsia="Arial" w:hAnsi="Arial"/>
          <w:sz w:val="16"/>
          <w:szCs w:val="16"/>
          <w:color w:val="212121"/>
        </w:rPr>
        <w:t>In lieu of issuing a fraction of a share of Class A Common Stock resulting from adjustment of the RSUs pursuant to Section 12</w:t>
      </w:r>
      <w:r>
        <w:rPr>
          <w:rFonts w:ascii="Arial" w:cs="Arial" w:eastAsia="Arial" w:hAnsi="Arial"/>
          <w:sz w:val="16"/>
          <w:szCs w:val="16"/>
          <w:color w:val="383838"/>
        </w:rPr>
        <w:t xml:space="preserve"> </w:t>
      </w:r>
      <w:r>
        <w:rPr>
          <w:rFonts w:ascii="Arial" w:cs="Arial" w:eastAsia="Arial" w:hAnsi="Arial"/>
          <w:sz w:val="16"/>
          <w:szCs w:val="16"/>
          <w:color w:val="212121"/>
        </w:rPr>
        <w:t>of the Plan or otherwise, the Company shall be entitled to pay to the Participant an amount in cash equal to the Fair Market Value of such fractional share.</w:t>
      </w:r>
    </w:p>
    <w:p>
      <w:pPr>
        <w:spacing w:after="0" w:line="154" w:lineRule="exact"/>
        <w:rPr>
          <w:rFonts w:ascii="Arial" w:cs="Arial" w:eastAsia="Arial" w:hAnsi="Arial"/>
          <w:sz w:val="17"/>
          <w:szCs w:val="17"/>
          <w:color w:val="auto"/>
        </w:rPr>
      </w:pPr>
    </w:p>
    <w:p>
      <w:pPr>
        <w:ind w:right="660" w:firstLine="593"/>
        <w:spacing w:after="0" w:line="294" w:lineRule="auto"/>
        <w:tabs>
          <w:tab w:leader="none" w:pos="947" w:val="left"/>
        </w:tabs>
        <w:numPr>
          <w:ilvl w:val="0"/>
          <w:numId w:val="27"/>
        </w:numPr>
        <w:rPr>
          <w:rFonts w:ascii="Arial" w:cs="Arial" w:eastAsia="Arial" w:hAnsi="Arial"/>
          <w:sz w:val="19"/>
          <w:szCs w:val="19"/>
          <w:color w:val="auto"/>
        </w:rPr>
      </w:pPr>
      <w:r>
        <w:rPr>
          <w:rFonts w:ascii="Arial" w:cs="Arial" w:eastAsia="Arial" w:hAnsi="Arial"/>
          <w:sz w:val="17"/>
          <w:szCs w:val="17"/>
          <w:u w:val="single" w:color="auto"/>
          <w:color w:val="383838"/>
        </w:rPr>
        <w:t>Beneficiary.</w:t>
      </w:r>
      <w:r>
        <w:rPr>
          <w:rFonts w:ascii="Arial" w:cs="Arial" w:eastAsia="Arial" w:hAnsi="Arial"/>
          <w:sz w:val="17"/>
          <w:szCs w:val="17"/>
          <w:color w:val="383838"/>
        </w:rPr>
        <w:t xml:space="preserve"> </w:t>
      </w:r>
      <w:r>
        <w:rPr>
          <w:rFonts w:ascii="Arial" w:cs="Arial" w:eastAsia="Arial" w:hAnsi="Arial"/>
          <w:sz w:val="17"/>
          <w:szCs w:val="17"/>
          <w:color w:val="212121"/>
        </w:rPr>
        <w:t>The Participant may file with the Committee a written designation of a beneficiary on such form as may be prescribed by the</w:t>
      </w:r>
      <w:r>
        <w:rPr>
          <w:rFonts w:ascii="Arial" w:cs="Arial" w:eastAsia="Arial" w:hAnsi="Arial"/>
          <w:sz w:val="17"/>
          <w:szCs w:val="17"/>
          <w:color w:val="383838"/>
        </w:rPr>
        <w:t xml:space="preserve"> </w:t>
      </w:r>
      <w:r>
        <w:rPr>
          <w:rFonts w:ascii="Arial" w:cs="Arial" w:eastAsia="Arial" w:hAnsi="Arial"/>
          <w:sz w:val="17"/>
          <w:szCs w:val="17"/>
          <w:color w:val="212121"/>
        </w:rPr>
        <w:t>Committee and may, from time to time, amend or revoke such designation.</w:t>
      </w:r>
    </w:p>
    <w:p>
      <w:pPr>
        <w:spacing w:after="0" w:line="149" w:lineRule="exact"/>
        <w:rPr>
          <w:sz w:val="20"/>
          <w:szCs w:val="20"/>
          <w:color w:val="auto"/>
        </w:rPr>
      </w:pPr>
    </w:p>
    <w:p>
      <w:pPr>
        <w:ind w:right="120" w:firstLine="593"/>
        <w:spacing w:after="0" w:line="290" w:lineRule="auto"/>
        <w:tabs>
          <w:tab w:leader="none" w:pos="940" w:val="left"/>
        </w:tabs>
        <w:numPr>
          <w:ilvl w:val="0"/>
          <w:numId w:val="28"/>
        </w:numPr>
        <w:rPr>
          <w:rFonts w:ascii="Arial" w:cs="Arial" w:eastAsia="Arial" w:hAnsi="Arial"/>
          <w:sz w:val="17"/>
          <w:szCs w:val="17"/>
          <w:color w:val="212121"/>
        </w:rPr>
      </w:pPr>
      <w:r>
        <w:rPr>
          <w:rFonts w:ascii="Arial" w:cs="Arial" w:eastAsia="Arial" w:hAnsi="Arial"/>
          <w:sz w:val="17"/>
          <w:szCs w:val="17"/>
          <w:u w:val="single" w:color="auto"/>
          <w:color w:val="383838"/>
        </w:rPr>
        <w:t>Successors</w:t>
      </w:r>
      <w:r>
        <w:rPr>
          <w:rFonts w:ascii="Arial" w:cs="Arial" w:eastAsia="Arial" w:hAnsi="Arial"/>
          <w:sz w:val="17"/>
          <w:szCs w:val="17"/>
          <w:color w:val="383838"/>
        </w:rPr>
        <w:t xml:space="preserve">. </w:t>
      </w:r>
      <w:r>
        <w:rPr>
          <w:rFonts w:ascii="Arial" w:cs="Arial" w:eastAsia="Arial" w:hAnsi="Arial"/>
          <w:sz w:val="17"/>
          <w:szCs w:val="17"/>
          <w:color w:val="212121"/>
        </w:rPr>
        <w:t>The terms of this Agreement shall be binding upon and inure to the benefit of the Company and its successors and assigns, and of the</w:t>
      </w:r>
      <w:r>
        <w:rPr>
          <w:rFonts w:ascii="Arial" w:cs="Arial" w:eastAsia="Arial" w:hAnsi="Arial"/>
          <w:sz w:val="17"/>
          <w:szCs w:val="17"/>
          <w:color w:val="383838"/>
        </w:rPr>
        <w:t xml:space="preserve"> </w:t>
      </w:r>
      <w:r>
        <w:rPr>
          <w:rFonts w:ascii="Arial" w:cs="Arial" w:eastAsia="Arial" w:hAnsi="Arial"/>
          <w:sz w:val="17"/>
          <w:szCs w:val="17"/>
          <w:color w:val="212121"/>
        </w:rPr>
        <w:t>Participant and the beneficiaries, executors, administrators, heirs and successors of the Participant.</w:t>
      </w:r>
    </w:p>
    <w:p>
      <w:pPr>
        <w:spacing w:after="0" w:line="171" w:lineRule="exact"/>
        <w:rPr>
          <w:sz w:val="20"/>
          <w:szCs w:val="20"/>
          <w:color w:val="auto"/>
        </w:rPr>
      </w:pPr>
    </w:p>
    <w:p>
      <w:pPr>
        <w:ind w:right="100" w:firstLine="593"/>
        <w:spacing w:after="0" w:line="333" w:lineRule="auto"/>
        <w:tabs>
          <w:tab w:leader="none" w:pos="1398" w:val="left"/>
        </w:tabs>
        <w:numPr>
          <w:ilvl w:val="0"/>
          <w:numId w:val="29"/>
        </w:numPr>
        <w:rPr>
          <w:rFonts w:ascii="Arial" w:cs="Arial" w:eastAsia="Arial" w:hAnsi="Arial"/>
          <w:sz w:val="17"/>
          <w:szCs w:val="17"/>
          <w:color w:val="212121"/>
        </w:rPr>
      </w:pPr>
      <w:r>
        <w:rPr>
          <w:rFonts w:ascii="Arial" w:cs="Arial" w:eastAsia="Arial" w:hAnsi="Arial"/>
          <w:sz w:val="17"/>
          <w:szCs w:val="17"/>
          <w:u w:val="single" w:color="auto"/>
          <w:color w:val="383838"/>
        </w:rPr>
        <w:t>Entire Agreement.</w:t>
      </w:r>
      <w:r>
        <w:rPr>
          <w:rFonts w:ascii="Arial" w:cs="Arial" w:eastAsia="Arial" w:hAnsi="Arial"/>
          <w:sz w:val="17"/>
          <w:szCs w:val="17"/>
          <w:color w:val="383838"/>
        </w:rPr>
        <w:t xml:space="preserve"> </w:t>
      </w:r>
      <w:r>
        <w:rPr>
          <w:rFonts w:ascii="Arial" w:cs="Arial" w:eastAsia="Arial" w:hAnsi="Arial"/>
          <w:sz w:val="17"/>
          <w:szCs w:val="17"/>
          <w:color w:val="212121"/>
        </w:rPr>
        <w:t>This Agreement and the Plan contain the entire agreement and understanding of the parties hereto with respect to the</w:t>
      </w:r>
      <w:r>
        <w:rPr>
          <w:rFonts w:ascii="Arial" w:cs="Arial" w:eastAsia="Arial" w:hAnsi="Arial"/>
          <w:sz w:val="17"/>
          <w:szCs w:val="17"/>
          <w:color w:val="383838"/>
        </w:rPr>
        <w:t xml:space="preserve"> </w:t>
      </w:r>
      <w:r>
        <w:rPr>
          <w:rFonts w:ascii="Arial" w:cs="Arial" w:eastAsia="Arial" w:hAnsi="Arial"/>
          <w:sz w:val="17"/>
          <w:szCs w:val="17"/>
          <w:color w:val="212121"/>
        </w:rPr>
        <w:t>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36" w:lineRule="exact"/>
        <w:rPr>
          <w:sz w:val="20"/>
          <w:szCs w:val="20"/>
          <w:color w:val="auto"/>
        </w:rPr>
      </w:pPr>
    </w:p>
    <w:p>
      <w:pPr>
        <w:ind w:right="160" w:firstLine="593"/>
        <w:spacing w:after="0" w:line="274" w:lineRule="auto"/>
        <w:tabs>
          <w:tab w:leader="none" w:pos="922" w:val="left"/>
        </w:tabs>
        <w:numPr>
          <w:ilvl w:val="0"/>
          <w:numId w:val="30"/>
        </w:numPr>
        <w:rPr>
          <w:rFonts w:ascii="Arial" w:cs="Arial" w:eastAsia="Arial" w:hAnsi="Arial"/>
          <w:sz w:val="17"/>
          <w:szCs w:val="17"/>
          <w:color w:val="212121"/>
        </w:rPr>
      </w:pPr>
      <w:r>
        <w:rPr>
          <w:rFonts w:ascii="Arial" w:cs="Arial" w:eastAsia="Arial" w:hAnsi="Arial"/>
          <w:sz w:val="17"/>
          <w:szCs w:val="17"/>
          <w:u w:val="single" w:color="auto"/>
          <w:color w:val="383838"/>
        </w:rPr>
        <w:t>Governing Law and Venue</w:t>
      </w:r>
      <w:r>
        <w:rPr>
          <w:rFonts w:ascii="Arial" w:cs="Arial" w:eastAsia="Arial" w:hAnsi="Arial"/>
          <w:sz w:val="17"/>
          <w:szCs w:val="17"/>
          <w:color w:val="383838"/>
        </w:rPr>
        <w:t xml:space="preserve">. </w:t>
      </w:r>
      <w:r>
        <w:rPr>
          <w:rFonts w:ascii="Arial" w:cs="Arial" w:eastAsia="Arial" w:hAnsi="Arial"/>
          <w:sz w:val="17"/>
          <w:szCs w:val="17"/>
          <w:color w:val="212121"/>
        </w:rPr>
        <w:t>This Agreement shall be construed and interpreted in accordance with the laws of the State of Delaware, without</w:t>
      </w:r>
      <w:r>
        <w:rPr>
          <w:rFonts w:ascii="Arial" w:cs="Arial" w:eastAsia="Arial" w:hAnsi="Arial"/>
          <w:sz w:val="17"/>
          <w:szCs w:val="17"/>
          <w:color w:val="383838"/>
        </w:rPr>
        <w:t xml:space="preserve"> </w:t>
      </w:r>
      <w:r>
        <w:rPr>
          <w:rFonts w:ascii="Arial" w:cs="Arial" w:eastAsia="Arial" w:hAnsi="Arial"/>
          <w:sz w:val="17"/>
          <w:szCs w:val="17"/>
          <w:color w:val="212121"/>
        </w:rPr>
        <w:t>regard to principles of conflicts of laws thereof, or principles of conflicts of laws of any other jurisdiction which could cause the application of the laws of any jurisdiction other than the State of Delaware.</w:t>
      </w:r>
    </w:p>
    <w:p>
      <w:pPr>
        <w:spacing w:after="0" w:line="183" w:lineRule="exact"/>
        <w:rPr>
          <w:rFonts w:ascii="Arial" w:cs="Arial" w:eastAsia="Arial" w:hAnsi="Arial"/>
          <w:sz w:val="17"/>
          <w:szCs w:val="17"/>
          <w:color w:val="212121"/>
        </w:rPr>
      </w:pPr>
    </w:p>
    <w:p>
      <w:pPr>
        <w:ind w:left="600" w:right="160" w:firstLine="584"/>
        <w:spacing w:after="0" w:line="294" w:lineRule="auto"/>
        <w:tabs>
          <w:tab w:leader="none" w:pos="1547" w:val="left"/>
        </w:tabs>
        <w:numPr>
          <w:ilvl w:val="1"/>
          <w:numId w:val="30"/>
        </w:numPr>
        <w:rPr>
          <w:rFonts w:ascii="Arial" w:cs="Arial" w:eastAsia="Arial" w:hAnsi="Arial"/>
          <w:sz w:val="19"/>
          <w:szCs w:val="19"/>
          <w:color w:val="auto"/>
        </w:rPr>
      </w:pPr>
      <w:r>
        <w:rPr>
          <w:rFonts w:ascii="Arial" w:cs="Arial" w:eastAsia="Arial" w:hAnsi="Arial"/>
          <w:sz w:val="17"/>
          <w:szCs w:val="17"/>
          <w:u w:val="single" w:color="auto"/>
          <w:color w:val="212121"/>
        </w:rPr>
        <w:t>Dispute Resolution;</w:t>
      </w:r>
      <w:r>
        <w:rPr>
          <w:rFonts w:ascii="Arial" w:cs="Arial" w:eastAsia="Arial" w:hAnsi="Arial"/>
          <w:sz w:val="17"/>
          <w:szCs w:val="17"/>
          <w:color w:val="212121"/>
        </w:rPr>
        <w:t xml:space="preserve"> </w:t>
      </w:r>
      <w:r>
        <w:rPr>
          <w:rFonts w:ascii="Arial" w:cs="Arial" w:eastAsia="Arial" w:hAnsi="Arial"/>
          <w:sz w:val="17"/>
          <w:szCs w:val="17"/>
          <w:u w:val="single" w:color="auto"/>
          <w:color w:val="383838"/>
        </w:rPr>
        <w:t>Consent to Jurisdiction.</w:t>
      </w:r>
      <w:r>
        <w:rPr>
          <w:rFonts w:ascii="Arial" w:cs="Arial" w:eastAsia="Arial" w:hAnsi="Arial"/>
          <w:sz w:val="17"/>
          <w:szCs w:val="17"/>
          <w:color w:val="212121"/>
        </w:rPr>
        <w:t xml:space="preserve"> All disputes between or among any Persons arising out of or in any way connected with the Plan, this Agreement or the RSUs shall</w:t>
      </w: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400" w:top="482" w:right="259" w:bottom="1440" w:gutter="0" w:footer="0" w:header="0"/>
        </w:sectPr>
      </w:pPr>
    </w:p>
    <w:bookmarkStart w:id="92" w:name="page93"/>
    <w:bookmarkEnd w:id="92"/>
    <w:p>
      <w:pPr>
        <w:ind w:left="620" w:right="20" w:firstLine="13"/>
        <w:spacing w:after="0" w:line="263" w:lineRule="auto"/>
        <w:rPr>
          <w:sz w:val="20"/>
          <w:szCs w:val="20"/>
          <w:color w:val="auto"/>
        </w:rPr>
      </w:pPr>
      <w:r>
        <w:rPr>
          <w:rFonts w:ascii="Arial" w:cs="Arial" w:eastAsia="Arial" w:hAnsi="Arial"/>
          <w:sz w:val="17"/>
          <w:szCs w:val="17"/>
          <w:color w:val="232323"/>
        </w:rPr>
        <w:t>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7" w:lineRule="exact"/>
        <w:rPr>
          <w:sz w:val="20"/>
          <w:szCs w:val="20"/>
          <w:color w:val="auto"/>
        </w:rPr>
      </w:pPr>
    </w:p>
    <w:p>
      <w:pPr>
        <w:ind w:left="600" w:right="60" w:firstLine="597"/>
        <w:spacing w:after="0" w:line="299" w:lineRule="auto"/>
        <w:tabs>
          <w:tab w:leader="none" w:pos="1614" w:val="left"/>
        </w:tabs>
        <w:numPr>
          <w:ilvl w:val="2"/>
          <w:numId w:val="31"/>
        </w:numPr>
        <w:rPr>
          <w:rFonts w:ascii="Arial" w:cs="Arial" w:eastAsia="Arial" w:hAnsi="Arial"/>
          <w:sz w:val="17"/>
          <w:szCs w:val="17"/>
          <w:color w:val="auto"/>
        </w:rPr>
      </w:pPr>
      <w:r>
        <w:rPr>
          <w:rFonts w:ascii="Arial" w:cs="Arial" w:eastAsia="Arial" w:hAnsi="Arial"/>
          <w:sz w:val="16"/>
          <w:szCs w:val="16"/>
          <w:u w:val="single" w:color="auto"/>
          <w:color w:val="232323"/>
        </w:rPr>
        <w:t>Waiv</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r of Jur</w:t>
      </w:r>
      <w:r>
        <w:rPr>
          <w:rFonts w:ascii="Arial" w:cs="Arial" w:eastAsia="Arial" w:hAnsi="Arial"/>
          <w:sz w:val="16"/>
          <w:szCs w:val="16"/>
          <w:u w:val="single" w:color="auto"/>
          <w:color w:val="3F3F3F"/>
        </w:rPr>
        <w:t>y</w:t>
      </w:r>
      <w:r>
        <w:rPr>
          <w:rFonts w:ascii="Arial" w:cs="Arial" w:eastAsia="Arial" w:hAnsi="Arial"/>
          <w:sz w:val="16"/>
          <w:szCs w:val="16"/>
          <w:color w:val="232323"/>
        </w:rPr>
        <w:t xml:space="preserve"> </w:t>
      </w:r>
      <w:r>
        <w:rPr>
          <w:rFonts w:ascii="Arial" w:cs="Arial" w:eastAsia="Arial" w:hAnsi="Arial"/>
          <w:sz w:val="16"/>
          <w:szCs w:val="16"/>
          <w:u w:val="single" w:color="auto"/>
          <w:color w:val="232323"/>
        </w:rPr>
        <w:t>Tri</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l</w:t>
      </w:r>
      <w:r>
        <w:rPr>
          <w:rFonts w:ascii="Arial" w:cs="Arial" w:eastAsia="Arial" w:hAnsi="Arial"/>
          <w:sz w:val="16"/>
          <w:szCs w:val="16"/>
          <w:color w:val="232323"/>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left="620" w:right="280"/>
        <w:spacing w:after="0" w:line="290" w:lineRule="auto"/>
        <w:tabs>
          <w:tab w:leader="none" w:pos="897" w:val="left"/>
        </w:tabs>
        <w:numPr>
          <w:ilvl w:val="1"/>
          <w:numId w:val="32"/>
        </w:numPr>
        <w:rPr>
          <w:rFonts w:ascii="Arial" w:cs="Arial" w:eastAsia="Arial" w:hAnsi="Arial"/>
          <w:sz w:val="17"/>
          <w:szCs w:val="17"/>
          <w:color w:val="232323"/>
        </w:rPr>
      </w:pPr>
      <w:r>
        <w:rPr>
          <w:rFonts w:ascii="Arial" w:cs="Arial" w:eastAsia="Arial" w:hAnsi="Arial"/>
          <w:sz w:val="17"/>
          <w:szCs w:val="17"/>
          <w:color w:val="232323"/>
        </w:rPr>
        <w:t>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7"/>
          <w:szCs w:val="17"/>
          <w:color w:val="232323"/>
        </w:rPr>
      </w:pPr>
    </w:p>
    <w:p>
      <w:pPr>
        <w:ind w:left="1440" w:hanging="846"/>
        <w:spacing w:after="0"/>
        <w:tabs>
          <w:tab w:leader="none" w:pos="1440" w:val="left"/>
        </w:tabs>
        <w:numPr>
          <w:ilvl w:val="0"/>
          <w:numId w:val="33"/>
        </w:numPr>
        <w:rPr>
          <w:rFonts w:ascii="Arial" w:cs="Arial" w:eastAsia="Arial" w:hAnsi="Arial"/>
          <w:sz w:val="15"/>
          <w:szCs w:val="15"/>
          <w:color w:val="232323"/>
        </w:rPr>
      </w:pPr>
      <w:r>
        <w:rPr>
          <w:rFonts w:ascii="Arial" w:cs="Arial" w:eastAsia="Arial" w:hAnsi="Arial"/>
          <w:sz w:val="15"/>
          <w:szCs w:val="15"/>
          <w:u w:val="single" w:color="auto"/>
          <w:color w:val="232323"/>
        </w:rPr>
        <w:t>H</w:t>
      </w:r>
      <w:r>
        <w:rPr>
          <w:rFonts w:ascii="Arial" w:cs="Arial" w:eastAsia="Arial" w:hAnsi="Arial"/>
          <w:sz w:val="15"/>
          <w:szCs w:val="15"/>
          <w:u w:val="single" w:color="auto"/>
          <w:color w:val="3F3F3F"/>
        </w:rPr>
        <w:t>ea</w:t>
      </w:r>
      <w:r>
        <w:rPr>
          <w:rFonts w:ascii="Arial" w:cs="Arial" w:eastAsia="Arial" w:hAnsi="Arial"/>
          <w:sz w:val="15"/>
          <w:szCs w:val="15"/>
          <w:u w:val="single" w:color="auto"/>
          <w:color w:val="232323"/>
        </w:rPr>
        <w:t>din</w:t>
      </w:r>
      <w:r>
        <w:rPr>
          <w:rFonts w:ascii="Arial" w:cs="Arial" w:eastAsia="Arial" w:hAnsi="Arial"/>
          <w:sz w:val="15"/>
          <w:szCs w:val="15"/>
          <w:u w:val="single" w:color="auto"/>
          <w:color w:val="3F3F3F"/>
        </w:rPr>
        <w:t>gs</w:t>
      </w:r>
      <w:r>
        <w:rPr>
          <w:rFonts w:ascii="Arial" w:cs="Arial" w:eastAsia="Arial" w:hAnsi="Arial"/>
          <w:sz w:val="15"/>
          <w:szCs w:val="15"/>
          <w:u w:val="single" w:color="auto"/>
          <w:color w:val="232323"/>
        </w:rPr>
        <w:t>; G</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nd</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r.</w:t>
      </w:r>
      <w:r>
        <w:rPr>
          <w:rFonts w:ascii="Arial" w:cs="Arial" w:eastAsia="Arial" w:hAnsi="Arial"/>
          <w:sz w:val="15"/>
          <w:szCs w:val="15"/>
          <w:color w:val="232323"/>
        </w:rPr>
        <w:t xml:space="preserve"> The headings of the Sections hereof are provided for convenience only and are not to serve as a basis for interpretation or</w:t>
      </w:r>
    </w:p>
    <w:p>
      <w:pPr>
        <w:spacing w:after="0" w:line="90" w:lineRule="exact"/>
        <w:rPr>
          <w:sz w:val="20"/>
          <w:szCs w:val="20"/>
          <w:color w:val="auto"/>
        </w:rPr>
      </w:pPr>
    </w:p>
    <w:p>
      <w:pPr>
        <w:ind w:right="860" w:hanging="12"/>
        <w:spacing w:after="0" w:line="306" w:lineRule="auto"/>
        <w:rPr>
          <w:sz w:val="20"/>
          <w:szCs w:val="20"/>
          <w:color w:val="auto"/>
        </w:rPr>
      </w:pPr>
      <w:r>
        <w:rPr>
          <w:rFonts w:ascii="Arial" w:cs="Arial" w:eastAsia="Arial" w:hAnsi="Arial"/>
          <w:sz w:val="17"/>
          <w:szCs w:val="17"/>
          <w:color w:val="232323"/>
        </w:rPr>
        <w:t>construction, and shall not constitute a part, of this Agreement. Masculine pronouns and other words of masculine gender shall refer to both men and women as appropriate.</w:t>
      </w:r>
    </w:p>
    <w:p>
      <w:pPr>
        <w:spacing w:after="0" w:line="171" w:lineRule="exact"/>
        <w:rPr>
          <w:sz w:val="20"/>
          <w:szCs w:val="20"/>
          <w:color w:val="auto"/>
        </w:rPr>
      </w:pPr>
    </w:p>
    <w:p>
      <w:pPr>
        <w:jc w:val="both"/>
        <w:ind w:right="140" w:firstLine="594"/>
        <w:spacing w:after="0" w:line="338" w:lineRule="auto"/>
        <w:tabs>
          <w:tab w:leader="none" w:pos="1398" w:val="left"/>
        </w:tabs>
        <w:numPr>
          <w:ilvl w:val="0"/>
          <w:numId w:val="34"/>
        </w:numPr>
        <w:rPr>
          <w:rFonts w:ascii="Arial" w:cs="Arial" w:eastAsia="Arial" w:hAnsi="Arial"/>
          <w:sz w:val="17"/>
          <w:szCs w:val="17"/>
          <w:color w:val="232323"/>
        </w:rPr>
      </w:pPr>
      <w:r>
        <w:rPr>
          <w:rFonts w:ascii="Arial" w:cs="Arial" w:eastAsia="Arial" w:hAnsi="Arial"/>
          <w:sz w:val="17"/>
          <w:szCs w:val="17"/>
          <w:u w:val="single" w:color="auto"/>
          <w:color w:val="3F3F3F"/>
        </w:rPr>
        <w:t>C</w:t>
      </w:r>
      <w:r>
        <w:rPr>
          <w:rFonts w:ascii="Arial" w:cs="Arial" w:eastAsia="Arial" w:hAnsi="Arial"/>
          <w:sz w:val="17"/>
          <w:szCs w:val="17"/>
          <w:u w:val="single" w:color="auto"/>
          <w:color w:val="232323"/>
        </w:rPr>
        <w:t>ount</w:t>
      </w:r>
      <w:r>
        <w:rPr>
          <w:rFonts w:ascii="Arial" w:cs="Arial" w:eastAsia="Arial" w:hAnsi="Arial"/>
          <w:sz w:val="17"/>
          <w:szCs w:val="17"/>
          <w:u w:val="single" w:color="auto"/>
          <w:color w:val="3F3F3F"/>
        </w:rPr>
        <w:t>e</w:t>
      </w:r>
      <w:r>
        <w:rPr>
          <w:rFonts w:ascii="Arial" w:cs="Arial" w:eastAsia="Arial" w:hAnsi="Arial"/>
          <w:sz w:val="17"/>
          <w:szCs w:val="17"/>
          <w:u w:val="single" w:color="auto"/>
          <w:color w:val="232323"/>
        </w:rPr>
        <w:t>rp</w:t>
      </w:r>
      <w:r>
        <w:rPr>
          <w:rFonts w:ascii="Arial" w:cs="Arial" w:eastAsia="Arial" w:hAnsi="Arial"/>
          <w:sz w:val="17"/>
          <w:szCs w:val="17"/>
          <w:u w:val="single" w:color="auto"/>
          <w:color w:val="3F3F3F"/>
        </w:rPr>
        <w:t>arts</w:t>
      </w:r>
      <w:r>
        <w:rPr>
          <w:rFonts w:ascii="Arial" w:cs="Arial" w:eastAsia="Arial" w:hAnsi="Arial"/>
          <w:sz w:val="17"/>
          <w:szCs w:val="17"/>
          <w:color w:val="232323"/>
        </w:rPr>
        <w:t>. This Agreement may be executed in one or more counterparts (including via facsimile and electronic image scan (pdt)), each</w:t>
      </w:r>
      <w:r>
        <w:rPr>
          <w:rFonts w:ascii="Arial" w:cs="Arial" w:eastAsia="Arial" w:hAnsi="Arial"/>
          <w:sz w:val="17"/>
          <w:szCs w:val="17"/>
          <w:color w:val="3F3F3F"/>
        </w:rPr>
        <w:t xml:space="preserve"> </w:t>
      </w:r>
      <w:r>
        <w:rPr>
          <w:rFonts w:ascii="Arial" w:cs="Arial" w:eastAsia="Arial" w:hAnsi="Arial"/>
          <w:sz w:val="17"/>
          <w:szCs w:val="17"/>
          <w:color w:val="232323"/>
        </w:rPr>
        <w:t>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7"/>
          <w:szCs w:val="17"/>
          <w:color w:val="232323"/>
        </w:rPr>
      </w:pPr>
    </w:p>
    <w:p>
      <w:pPr>
        <w:ind w:right="180" w:firstLine="594"/>
        <w:spacing w:after="0" w:line="358" w:lineRule="auto"/>
        <w:tabs>
          <w:tab w:leader="none" w:pos="1411" w:val="left"/>
        </w:tabs>
        <w:numPr>
          <w:ilvl w:val="0"/>
          <w:numId w:val="34"/>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c</w:t>
      </w:r>
      <w:r>
        <w:rPr>
          <w:rFonts w:ascii="Arial" w:cs="Arial" w:eastAsia="Arial" w:hAnsi="Arial"/>
          <w:sz w:val="16"/>
          <w:szCs w:val="16"/>
          <w:u w:val="single" w:color="auto"/>
          <w:color w:val="3F3F3F"/>
        </w:rPr>
        <w:t>t</w:t>
      </w:r>
      <w:r>
        <w:rPr>
          <w:rFonts w:ascii="Arial" w:cs="Arial" w:eastAsia="Arial" w:hAnsi="Arial"/>
          <w:sz w:val="16"/>
          <w:szCs w:val="16"/>
          <w:u w:val="single" w:color="auto"/>
          <w:color w:val="232323"/>
        </w:rPr>
        <w:t>roni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color w:val="232323"/>
        </w:rPr>
        <w:t>Si</w:t>
      </w:r>
      <w:r>
        <w:rPr>
          <w:rFonts w:ascii="Arial" w:cs="Arial" w:eastAsia="Arial" w:hAnsi="Arial"/>
          <w:sz w:val="16"/>
          <w:szCs w:val="16"/>
          <w:u w:val="single" w:color="auto"/>
          <w:color w:val="3F3F3F"/>
        </w:rPr>
        <w:t>gnatu</w:t>
      </w:r>
      <w:r>
        <w:rPr>
          <w:rFonts w:ascii="Arial" w:cs="Arial" w:eastAsia="Arial" w:hAnsi="Arial"/>
          <w:sz w:val="16"/>
          <w:szCs w:val="16"/>
          <w:u w:val="single" w:color="auto"/>
          <w:color w:val="232323"/>
        </w:rPr>
        <w:t>r</w:t>
      </w:r>
      <w:r>
        <w:rPr>
          <w:rFonts w:ascii="Arial" w:cs="Arial" w:eastAsia="Arial" w:hAnsi="Arial"/>
          <w:sz w:val="16"/>
          <w:szCs w:val="16"/>
          <w:u w:val="single" w:color="auto"/>
          <w:color w:val="3F3F3F"/>
        </w:rPr>
        <w:t>e a</w:t>
      </w:r>
      <w:r>
        <w:rPr>
          <w:rFonts w:ascii="Arial" w:cs="Arial" w:eastAsia="Arial" w:hAnsi="Arial"/>
          <w:sz w:val="16"/>
          <w:szCs w:val="16"/>
          <w:u w:val="single" w:color="auto"/>
          <w:color w:val="232323"/>
        </w:rPr>
        <w:t>nd D</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liv</w:t>
      </w:r>
      <w:r>
        <w:rPr>
          <w:rFonts w:ascii="Arial" w:cs="Arial" w:eastAsia="Arial" w:hAnsi="Arial"/>
          <w:sz w:val="16"/>
          <w:szCs w:val="16"/>
          <w:u w:val="single" w:color="auto"/>
          <w:color w:val="3F3F3F"/>
        </w:rPr>
        <w:t>ery</w:t>
      </w:r>
      <w:r>
        <w:rPr>
          <w:rFonts w:ascii="Arial" w:cs="Arial" w:eastAsia="Arial" w:hAnsi="Arial"/>
          <w:sz w:val="16"/>
          <w:szCs w:val="16"/>
          <w:color w:val="232323"/>
        </w:rPr>
        <w:t>. This Agreement may be accepted by return signature or by electronic confirmation. By accepting this</w:t>
      </w:r>
      <w:r>
        <w:rPr>
          <w:rFonts w:ascii="Arial" w:cs="Arial" w:eastAsia="Arial" w:hAnsi="Arial"/>
          <w:sz w:val="16"/>
          <w:szCs w:val="16"/>
          <w:color w:val="3F3F3F"/>
        </w:rPr>
        <w:t xml:space="preserve"> </w:t>
      </w:r>
      <w:r>
        <w:rPr>
          <w:rFonts w:ascii="Arial" w:cs="Arial" w:eastAsia="Arial" w:hAnsi="Arial"/>
          <w:sz w:val="16"/>
          <w:szCs w:val="16"/>
          <w:color w:val="232323"/>
        </w:rPr>
        <w:t>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62" w:lineRule="exact"/>
        <w:rPr>
          <w:rFonts w:ascii="Arial" w:cs="Arial" w:eastAsia="Arial" w:hAnsi="Arial"/>
          <w:sz w:val="16"/>
          <w:szCs w:val="16"/>
          <w:color w:val="232323"/>
        </w:rPr>
      </w:pPr>
    </w:p>
    <w:p>
      <w:pPr>
        <w:ind w:right="200" w:firstLine="594"/>
        <w:spacing w:after="0" w:line="367" w:lineRule="auto"/>
        <w:tabs>
          <w:tab w:leader="none" w:pos="1398" w:val="left"/>
        </w:tabs>
        <w:numPr>
          <w:ilvl w:val="0"/>
          <w:numId w:val="34"/>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ectr</w:t>
      </w:r>
      <w:r>
        <w:rPr>
          <w:rFonts w:ascii="Arial" w:cs="Arial" w:eastAsia="Arial" w:hAnsi="Arial"/>
          <w:sz w:val="16"/>
          <w:szCs w:val="16"/>
          <w:u w:val="single" w:color="auto"/>
          <w:color w:val="232323"/>
        </w:rPr>
        <w:t>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u w:val="single" w:color="auto"/>
          <w:color w:val="232323"/>
        </w:rPr>
        <w:t>Parti</w:t>
      </w:r>
      <w:r>
        <w:rPr>
          <w:rFonts w:ascii="Arial" w:cs="Arial" w:eastAsia="Arial" w:hAnsi="Arial"/>
          <w:sz w:val="16"/>
          <w:szCs w:val="16"/>
          <w:u w:val="single" w:color="auto"/>
          <w:color w:val="3F3F3F"/>
        </w:rPr>
        <w:t>c</w:t>
      </w:r>
      <w:r>
        <w:rPr>
          <w:rFonts w:ascii="Arial" w:cs="Arial" w:eastAsia="Arial" w:hAnsi="Arial"/>
          <w:sz w:val="16"/>
          <w:szCs w:val="16"/>
          <w:u w:val="single" w:color="auto"/>
          <w:color w:val="232323"/>
        </w:rPr>
        <w:t>ipation in Pl</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n.</w:t>
      </w:r>
      <w:r>
        <w:rPr>
          <w:rFonts w:ascii="Arial" w:cs="Arial" w:eastAsia="Arial" w:hAnsi="Arial"/>
          <w:sz w:val="16"/>
          <w:szCs w:val="16"/>
          <w:color w:val="3F3F3F"/>
        </w:rPr>
        <w:t xml:space="preserve"> </w:t>
      </w:r>
      <w:r>
        <w:rPr>
          <w:rFonts w:ascii="Arial" w:cs="Arial" w:eastAsia="Arial" w:hAnsi="Arial"/>
          <w:sz w:val="16"/>
          <w:szCs w:val="16"/>
          <w:color w:val="232323"/>
        </w:rPr>
        <w:t>The Company may, in its sole discretion, decide to deliver any documents related to current or future</w:t>
      </w:r>
      <w:r>
        <w:rPr>
          <w:rFonts w:ascii="Arial" w:cs="Arial" w:eastAsia="Arial" w:hAnsi="Arial"/>
          <w:sz w:val="16"/>
          <w:szCs w:val="16"/>
          <w:color w:val="3F3F3F"/>
        </w:rPr>
        <w:t xml:space="preserve"> </w:t>
      </w:r>
      <w:r>
        <w:rPr>
          <w:rFonts w:ascii="Arial" w:cs="Arial" w:eastAsia="Arial" w:hAnsi="Arial"/>
          <w:sz w:val="16"/>
          <w:szCs w:val="16"/>
          <w:color w:val="232323"/>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-1219200</wp:posOffset>
            </wp:positionV>
            <wp:extent cx="120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232323"/>
        </w:rPr>
        <w:t>[Remainder of page intentionally blank]</w:t>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60" w:top="481" w:right="259" w:bottom="1440" w:gutter="0" w:footer="0" w:header="0"/>
        </w:sectPr>
      </w:pPr>
    </w:p>
    <w:bookmarkStart w:id="93" w:name="page94"/>
    <w:bookmarkEnd w:id="93"/>
    <w:p>
      <w:pPr>
        <w:spacing w:after="0"/>
        <w:rPr>
          <w:sz w:val="20"/>
          <w:szCs w:val="20"/>
          <w:color w:val="auto"/>
        </w:rPr>
      </w:pPr>
      <w:r>
        <w:rPr>
          <w:rFonts w:ascii="Arial" w:cs="Arial" w:eastAsia="Arial" w:hAnsi="Arial"/>
          <w:sz w:val="15"/>
          <w:szCs w:val="15"/>
          <w:color w:val="282828"/>
        </w:rPr>
        <w:t>IN WITNESS WHEREOF, this Agreement has been executed by the Company and the Participant as of the day first written above.</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17"/>
          <w:szCs w:val="17"/>
          <w:color w:val="282828"/>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17145</wp:posOffset>
            </wp:positionV>
            <wp:extent cx="2675255" cy="1866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2675255"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39"/>
          </w:cols>
          <w:pgMar w:left="1220" w:top="481" w:right="1440" w:bottom="1440" w:gutter="0" w:footer="0" w:header="0"/>
        </w:sectPr>
      </w:pPr>
    </w:p>
    <w:bookmarkStart w:id="94" w:name="page95"/>
    <w:bookmarkEnd w:id="94"/>
    <w:p>
      <w:pPr>
        <w:ind w:left="6370"/>
        <w:spacing w:after="0"/>
        <w:rPr>
          <w:sz w:val="20"/>
          <w:szCs w:val="20"/>
          <w:color w:val="auto"/>
        </w:rPr>
      </w:pPr>
      <w:r>
        <w:rPr>
          <w:rFonts w:ascii="Arial" w:cs="Arial" w:eastAsia="Arial" w:hAnsi="Arial"/>
          <w:sz w:val="17"/>
          <w:szCs w:val="17"/>
          <w:b w:val="1"/>
          <w:bCs w:val="1"/>
          <w:u w:val="single" w:color="auto"/>
          <w:color w:val="212121"/>
        </w:rPr>
        <w:t>Exhibit A</w:t>
      </w:r>
    </w:p>
    <w:p>
      <w:pPr>
        <w:spacing w:after="0" w:line="200" w:lineRule="exact"/>
        <w:rPr>
          <w:sz w:val="20"/>
          <w:szCs w:val="20"/>
          <w:color w:val="auto"/>
        </w:rPr>
      </w:pPr>
    </w:p>
    <w:p>
      <w:pPr>
        <w:spacing w:after="0" w:line="240" w:lineRule="exact"/>
        <w:rPr>
          <w:sz w:val="20"/>
          <w:szCs w:val="20"/>
          <w:color w:val="auto"/>
        </w:rPr>
      </w:pPr>
    </w:p>
    <w:p>
      <w:pPr>
        <w:ind w:left="310" w:hanging="284"/>
        <w:spacing w:after="0"/>
        <w:tabs>
          <w:tab w:leader="none" w:pos="310" w:val="left"/>
        </w:tabs>
        <w:numPr>
          <w:ilvl w:val="0"/>
          <w:numId w:val="35"/>
        </w:numPr>
        <w:rPr>
          <w:rFonts w:ascii="Arial" w:cs="Arial" w:eastAsia="Arial" w:hAnsi="Arial"/>
          <w:sz w:val="17"/>
          <w:szCs w:val="17"/>
          <w:color w:val="212121"/>
        </w:rPr>
      </w:pPr>
      <w:r>
        <w:rPr>
          <w:rFonts w:ascii="Arial" w:cs="Arial" w:eastAsia="Arial" w:hAnsi="Arial"/>
          <w:sz w:val="17"/>
          <w:szCs w:val="17"/>
          <w:u w:val="single" w:color="auto"/>
          <w:color w:val="383838"/>
        </w:rPr>
        <w:t>Confidentiality</w:t>
      </w:r>
      <w:r>
        <w:rPr>
          <w:rFonts w:ascii="Arial" w:cs="Arial" w:eastAsia="Arial" w:hAnsi="Arial"/>
          <w:sz w:val="17"/>
          <w:szCs w:val="17"/>
          <w:color w:val="383838"/>
        </w:rPr>
        <w:t>.</w:t>
      </w:r>
    </w:p>
    <w:p>
      <w:pPr>
        <w:spacing w:after="0" w:line="237" w:lineRule="exact"/>
        <w:rPr>
          <w:rFonts w:ascii="Arial" w:cs="Arial" w:eastAsia="Arial" w:hAnsi="Arial"/>
          <w:sz w:val="17"/>
          <w:szCs w:val="17"/>
          <w:color w:val="212121"/>
        </w:rPr>
      </w:pPr>
    </w:p>
    <w:p>
      <w:pPr>
        <w:ind w:left="610" w:right="40" w:hanging="295"/>
        <w:spacing w:after="0" w:line="268" w:lineRule="auto"/>
        <w:tabs>
          <w:tab w:leader="none" w:pos="610" w:val="left"/>
        </w:tabs>
        <w:numPr>
          <w:ilvl w:val="2"/>
          <w:numId w:val="35"/>
        </w:numPr>
        <w:rPr>
          <w:rFonts w:ascii="Arial" w:cs="Arial" w:eastAsia="Arial" w:hAnsi="Arial"/>
          <w:sz w:val="17"/>
          <w:szCs w:val="17"/>
          <w:color w:val="212121"/>
        </w:rPr>
      </w:pPr>
      <w:r>
        <w:rPr>
          <w:rFonts w:ascii="Arial" w:cs="Arial" w:eastAsia="Arial" w:hAnsi="Arial"/>
          <w:sz w:val="17"/>
          <w:szCs w:val="17"/>
          <w:color w:val="212121"/>
        </w:rPr>
        <w:t xml:space="preserve">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7"/>
          <w:szCs w:val="17"/>
          <w:b w:val="1"/>
          <w:bCs w:val="1"/>
          <w:color w:val="212121"/>
        </w:rPr>
        <w:t>"Participant Parties")</w:t>
      </w:r>
      <w:r>
        <w:rPr>
          <w:rFonts w:ascii="Arial" w:cs="Arial" w:eastAsia="Arial" w:hAnsi="Arial"/>
          <w:sz w:val="17"/>
          <w:szCs w:val="17"/>
          <w:color w:val="212121"/>
        </w:rPr>
        <w:t xml:space="preserve"> who have access to Confidential Information to keep confidential and not disclose any Confidential Information to any Person, other than a Participant Party who agrees to keep such Confidential Information confidential in accordance with this Section lofthis Exhibit A, without the express consent of the Company, unless:</w:t>
      </w:r>
    </w:p>
    <w:p>
      <w:pPr>
        <w:spacing w:after="0" w:line="176" w:lineRule="exact"/>
        <w:rPr>
          <w:rFonts w:ascii="Arial" w:cs="Arial" w:eastAsia="Arial" w:hAnsi="Arial"/>
          <w:sz w:val="17"/>
          <w:szCs w:val="17"/>
          <w:color w:val="212121"/>
        </w:rPr>
      </w:pPr>
    </w:p>
    <w:p>
      <w:pPr>
        <w:ind w:left="910" w:hanging="254"/>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shall be required by applicable law;</w:t>
      </w:r>
    </w:p>
    <w:p>
      <w:pPr>
        <w:spacing w:after="0" w:line="237" w:lineRule="exact"/>
        <w:rPr>
          <w:rFonts w:ascii="Arial" w:cs="Arial" w:eastAsia="Arial" w:hAnsi="Arial"/>
          <w:sz w:val="17"/>
          <w:szCs w:val="17"/>
          <w:color w:val="212121"/>
        </w:rPr>
      </w:pPr>
    </w:p>
    <w:p>
      <w:pPr>
        <w:ind w:left="910" w:hanging="306"/>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tax audit involving the Company or its Affiliates;</w:t>
      </w:r>
    </w:p>
    <w:p>
      <w:pPr>
        <w:spacing w:after="0" w:line="224" w:lineRule="exact"/>
        <w:rPr>
          <w:rFonts w:ascii="Arial" w:cs="Arial" w:eastAsia="Arial" w:hAnsi="Arial"/>
          <w:sz w:val="17"/>
          <w:szCs w:val="17"/>
          <w:color w:val="212121"/>
        </w:rPr>
      </w:pPr>
    </w:p>
    <w:p>
      <w:pPr>
        <w:ind w:left="910" w:hanging="359"/>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litigation against or involving the Company; or</w:t>
      </w:r>
    </w:p>
    <w:p>
      <w:pPr>
        <w:spacing w:after="0" w:line="224" w:lineRule="exact"/>
        <w:rPr>
          <w:rFonts w:ascii="Arial" w:cs="Arial" w:eastAsia="Arial" w:hAnsi="Arial"/>
          <w:sz w:val="17"/>
          <w:szCs w:val="17"/>
          <w:color w:val="212121"/>
        </w:rPr>
      </w:pPr>
    </w:p>
    <w:p>
      <w:pPr>
        <w:ind w:left="910" w:hanging="333"/>
        <w:spacing w:after="0" w:line="268" w:lineRule="auto"/>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 xml:space="preserve">such disclosure is reasonably required in connection with any proposed Transfer of all or any part of the Participant's RSUs; </w:t>
      </w:r>
      <w:r>
        <w:rPr>
          <w:rFonts w:ascii="Arial" w:cs="Arial" w:eastAsia="Arial" w:hAnsi="Arial"/>
          <w:sz w:val="17"/>
          <w:szCs w:val="17"/>
          <w:u w:val="single" w:color="auto"/>
          <w:color w:val="383838"/>
        </w:rPr>
        <w:t>provided</w:t>
      </w:r>
      <w:r>
        <w:rPr>
          <w:rFonts w:ascii="Arial" w:cs="Arial" w:eastAsia="Arial" w:hAnsi="Arial"/>
          <w:sz w:val="17"/>
          <w:szCs w:val="17"/>
          <w:color w:val="212121"/>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6" w:lineRule="exact"/>
        <w:rPr>
          <w:rFonts w:ascii="Arial" w:cs="Arial" w:eastAsia="Arial" w:hAnsi="Arial"/>
          <w:sz w:val="17"/>
          <w:szCs w:val="17"/>
          <w:color w:val="212121"/>
        </w:rPr>
      </w:pPr>
    </w:p>
    <w:p>
      <w:pPr>
        <w:ind w:left="590" w:right="80" w:hanging="301"/>
        <w:spacing w:after="0" w:line="263" w:lineRule="auto"/>
        <w:tabs>
          <w:tab w:leader="none" w:pos="590" w:val="left"/>
        </w:tabs>
        <w:numPr>
          <w:ilvl w:val="1"/>
          <w:numId w:val="35"/>
        </w:numPr>
        <w:rPr>
          <w:rFonts w:ascii="Arial" w:cs="Arial" w:eastAsia="Arial" w:hAnsi="Arial"/>
          <w:sz w:val="17"/>
          <w:szCs w:val="17"/>
          <w:color w:val="212121"/>
        </w:rPr>
      </w:pPr>
      <w:r>
        <w:rPr>
          <w:rFonts w:ascii="Arial" w:cs="Arial" w:eastAsia="Arial" w:hAnsi="Arial"/>
          <w:sz w:val="17"/>
          <w:szCs w:val="17"/>
          <w:color w:val="212121"/>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0" w:lineRule="exact"/>
        <w:rPr>
          <w:rFonts w:ascii="Arial" w:cs="Arial" w:eastAsia="Arial" w:hAnsi="Arial"/>
          <w:sz w:val="17"/>
          <w:szCs w:val="17"/>
          <w:color w:val="212121"/>
        </w:rPr>
      </w:pPr>
    </w:p>
    <w:p>
      <w:pPr>
        <w:ind w:left="590" w:right="500" w:hanging="301"/>
        <w:spacing w:after="0" w:line="290" w:lineRule="auto"/>
        <w:tabs>
          <w:tab w:leader="none" w:pos="590" w:val="left"/>
        </w:tabs>
        <w:numPr>
          <w:ilvl w:val="1"/>
          <w:numId w:val="35"/>
        </w:numPr>
        <w:rPr>
          <w:rFonts w:ascii="Arial" w:cs="Arial" w:eastAsia="Arial" w:hAnsi="Arial"/>
          <w:sz w:val="17"/>
          <w:szCs w:val="17"/>
          <w:color w:val="212121"/>
        </w:rPr>
      </w:pPr>
      <w:r>
        <w:rPr>
          <w:rFonts w:ascii="Arial" w:cs="Arial" w:eastAsia="Arial" w:hAnsi="Arial"/>
          <w:sz w:val="17"/>
          <w:szCs w:val="17"/>
          <w:color w:val="212121"/>
        </w:rPr>
        <w:t>Notwithstanding anything in this Agreement to the contrary, the Participant may disclose to any subsequent employer the restrictions to which the Participant is subject to pursuant to this Agreement.</w:t>
      </w:r>
    </w:p>
    <w:p>
      <w:pPr>
        <w:spacing w:after="0" w:line="158" w:lineRule="exact"/>
        <w:rPr>
          <w:sz w:val="20"/>
          <w:szCs w:val="20"/>
          <w:color w:val="auto"/>
        </w:rPr>
      </w:pPr>
    </w:p>
    <w:p>
      <w:pPr>
        <w:ind w:left="290" w:right="3600" w:hanging="290"/>
        <w:spacing w:after="0" w:line="496" w:lineRule="auto"/>
        <w:tabs>
          <w:tab w:leader="none" w:pos="290" w:val="left"/>
        </w:tabs>
        <w:numPr>
          <w:ilvl w:val="0"/>
          <w:numId w:val="36"/>
        </w:numPr>
        <w:rPr>
          <w:rFonts w:ascii="Arial" w:cs="Arial" w:eastAsia="Arial" w:hAnsi="Arial"/>
          <w:sz w:val="17"/>
          <w:szCs w:val="17"/>
          <w:color w:val="212121"/>
        </w:rPr>
      </w:pPr>
      <w:r>
        <w:rPr>
          <w:rFonts w:ascii="Arial" w:cs="Arial" w:eastAsia="Arial" w:hAnsi="Arial"/>
          <w:sz w:val="17"/>
          <w:szCs w:val="17"/>
          <w:u w:val="single" w:color="auto"/>
          <w:color w:val="383838"/>
        </w:rPr>
        <w:t>Non-Compete: Non-Solicit; Non-Disparagement</w:t>
      </w:r>
      <w:r>
        <w:rPr>
          <w:rFonts w:ascii="Arial" w:cs="Arial" w:eastAsia="Arial" w:hAnsi="Arial"/>
          <w:sz w:val="17"/>
          <w:szCs w:val="17"/>
          <w:color w:val="383838"/>
        </w:rPr>
        <w:t xml:space="preserve">. </w:t>
      </w:r>
      <w:r>
        <w:rPr>
          <w:rFonts w:ascii="Arial" w:cs="Arial" w:eastAsia="Arial" w:hAnsi="Arial"/>
          <w:sz w:val="17"/>
          <w:szCs w:val="17"/>
          <w:color w:val="212121"/>
        </w:rPr>
        <w:t>During the Restrictive Covenant Period, the Participant:</w:t>
      </w:r>
      <w:r>
        <w:rPr>
          <w:rFonts w:ascii="Arial" w:cs="Arial" w:eastAsia="Arial" w:hAnsi="Arial"/>
          <w:sz w:val="17"/>
          <w:szCs w:val="17"/>
          <w:color w:val="383838"/>
        </w:rPr>
        <w:t xml:space="preserve"> </w:t>
      </w:r>
      <w:r>
        <w:rPr>
          <w:rFonts w:ascii="Arial" w:cs="Arial" w:eastAsia="Arial" w:hAnsi="Arial"/>
          <w:sz w:val="19"/>
          <w:szCs w:val="19"/>
          <w:color w:val="000000"/>
        </w:rPr>
        <w:t xml:space="preserve">a. </w:t>
      </w:r>
      <w:r>
        <w:rPr>
          <w:rFonts w:ascii="Arial" w:cs="Arial" w:eastAsia="Arial" w:hAnsi="Arial"/>
          <w:sz w:val="17"/>
          <w:szCs w:val="17"/>
          <w:color w:val="212121"/>
        </w:rPr>
        <w:t>shall not directly or indirectly engage in any Competitive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590"/>
        <w:spacing w:after="0"/>
        <w:rPr>
          <w:sz w:val="20"/>
          <w:szCs w:val="20"/>
          <w:color w:val="auto"/>
        </w:rPr>
      </w:pPr>
      <w:r>
        <w:rPr>
          <w:rFonts w:ascii="Arial" w:cs="Arial" w:eastAsia="Arial" w:hAnsi="Arial"/>
          <w:sz w:val="18"/>
          <w:szCs w:val="18"/>
          <w:color w:val="212121"/>
        </w:rPr>
        <w:t>A-1</w:t>
      </w:r>
    </w:p>
    <w:p>
      <w:pPr>
        <w:spacing w:after="0" w:line="200" w:lineRule="exact"/>
        <w:rPr>
          <w:sz w:val="20"/>
          <w:szCs w:val="20"/>
          <w:color w:val="auto"/>
        </w:rPr>
      </w:pPr>
    </w:p>
    <w:p>
      <w:pPr>
        <w:spacing w:after="0" w:line="219" w:lineRule="exact"/>
        <w:rPr>
          <w:sz w:val="20"/>
          <w:szCs w:val="20"/>
          <w:color w:val="auto"/>
        </w:rPr>
      </w:pPr>
    </w:p>
    <w:p>
      <w:pPr>
        <w:jc w:val="center"/>
        <w:ind w:right="9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10"/>
          </w:cols>
          <w:pgMar w:left="350" w:top="698" w:right="239" w:bottom="1440" w:gutter="0" w:footer="0" w:header="0"/>
        </w:sectPr>
      </w:pPr>
    </w:p>
    <w:bookmarkStart w:id="95" w:name="page96"/>
    <w:bookmarkEnd w:id="95"/>
    <w:p>
      <w:pPr>
        <w:ind w:left="600" w:right="120" w:hanging="283"/>
        <w:spacing w:after="0" w:line="294" w:lineRule="auto"/>
        <w:tabs>
          <w:tab w:leader="none" w:pos="600" w:val="left"/>
        </w:tabs>
        <w:numPr>
          <w:ilvl w:val="1"/>
          <w:numId w:val="37"/>
        </w:numPr>
        <w:rPr>
          <w:rFonts w:ascii="Arial" w:cs="Arial" w:eastAsia="Arial" w:hAnsi="Arial"/>
          <w:sz w:val="19"/>
          <w:szCs w:val="19"/>
          <w:color w:val="auto"/>
        </w:rPr>
      </w:pPr>
      <w:r>
        <w:rPr>
          <w:rFonts w:ascii="Arial" w:cs="Arial" w:eastAsia="Arial" w:hAnsi="Arial"/>
          <w:sz w:val="17"/>
          <w:szCs w:val="17"/>
          <w:color w:val="212121"/>
        </w:rPr>
        <w:t xml:space="preserve">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7"/>
          <w:szCs w:val="17"/>
          <w:b w:val="1"/>
          <w:bCs w:val="1"/>
          <w:color w:val="212121"/>
        </w:rPr>
        <w:t>"Company Parties");</w:t>
      </w:r>
    </w:p>
    <w:p>
      <w:pPr>
        <w:spacing w:after="0" w:line="175" w:lineRule="exact"/>
        <w:rPr>
          <w:rFonts w:ascii="Arial" w:cs="Arial" w:eastAsia="Arial" w:hAnsi="Arial"/>
          <w:sz w:val="19"/>
          <w:szCs w:val="19"/>
          <w:color w:val="auto"/>
        </w:rPr>
      </w:pPr>
    </w:p>
    <w:p>
      <w:pPr>
        <w:ind w:left="620" w:right="360" w:hanging="303"/>
        <w:spacing w:after="0" w:line="294" w:lineRule="auto"/>
        <w:tabs>
          <w:tab w:leader="none" w:pos="602" w:val="left"/>
        </w:tabs>
        <w:numPr>
          <w:ilvl w:val="1"/>
          <w:numId w:val="37"/>
        </w:numPr>
        <w:rPr>
          <w:rFonts w:ascii="Arial" w:cs="Arial" w:eastAsia="Arial" w:hAnsi="Arial"/>
          <w:sz w:val="19"/>
          <w:szCs w:val="19"/>
          <w:color w:val="auto"/>
        </w:rPr>
      </w:pPr>
      <w:r>
        <w:rPr>
          <w:rFonts w:ascii="Arial" w:cs="Arial" w:eastAsia="Arial" w:hAnsi="Arial"/>
          <w:sz w:val="17"/>
          <w:szCs w:val="17"/>
          <w:color w:val="212121"/>
        </w:rPr>
        <w:t>shall not, and shall cause his or her controlled Affiliates not to, hire, or assist any other Person to hire, as an employee or consultant, any employee, former employee, member or retired member of the Company Parties; and</w:t>
      </w:r>
    </w:p>
    <w:p>
      <w:pPr>
        <w:spacing w:after="0" w:line="162" w:lineRule="exact"/>
        <w:rPr>
          <w:rFonts w:ascii="Arial" w:cs="Arial" w:eastAsia="Arial" w:hAnsi="Arial"/>
          <w:sz w:val="19"/>
          <w:szCs w:val="19"/>
          <w:color w:val="auto"/>
        </w:rPr>
      </w:pPr>
    </w:p>
    <w:p>
      <w:pPr>
        <w:ind w:left="620" w:right="440" w:hanging="303"/>
        <w:spacing w:after="0" w:line="318" w:lineRule="auto"/>
        <w:tabs>
          <w:tab w:leader="none" w:pos="602" w:val="left"/>
        </w:tabs>
        <w:numPr>
          <w:ilvl w:val="1"/>
          <w:numId w:val="37"/>
        </w:numPr>
        <w:rPr>
          <w:rFonts w:ascii="Arial" w:cs="Arial" w:eastAsia="Arial" w:hAnsi="Arial"/>
          <w:sz w:val="17"/>
          <w:szCs w:val="17"/>
          <w:color w:val="auto"/>
        </w:rPr>
      </w:pPr>
      <w:r>
        <w:rPr>
          <w:rFonts w:ascii="Arial" w:cs="Arial" w:eastAsia="Arial" w:hAnsi="Arial"/>
          <w:sz w:val="16"/>
          <w:szCs w:val="16"/>
          <w:color w:val="212121"/>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6"/>
          <w:szCs w:val="16"/>
          <w:u w:val="single" w:color="auto"/>
          <w:color w:val="363636"/>
        </w:rPr>
        <w:t>provided, however,</w:t>
      </w:r>
      <w:r>
        <w:rPr>
          <w:rFonts w:ascii="Arial" w:cs="Arial" w:eastAsia="Arial" w:hAnsi="Arial"/>
          <w:sz w:val="16"/>
          <w:szCs w:val="16"/>
          <w:color w:val="363636"/>
        </w:rPr>
        <w:t xml:space="preserve"> </w:t>
      </w:r>
      <w:r>
        <w:rPr>
          <w:rFonts w:ascii="Arial" w:cs="Arial" w:eastAsia="Arial" w:hAnsi="Arial"/>
          <w:sz w:val="16"/>
          <w:szCs w:val="16"/>
          <w:color w:val="212121"/>
        </w:rPr>
        <w:t>that nothing in this Section 2(d) of this Exhibit A shall prevent the Participant from (i) testifying truthfully in any legal or</w:t>
      </w:r>
      <w:r>
        <w:rPr>
          <w:rFonts w:ascii="Arial" w:cs="Arial" w:eastAsia="Arial" w:hAnsi="Arial"/>
          <w:sz w:val="16"/>
          <w:szCs w:val="16"/>
          <w:color w:val="363636"/>
        </w:rPr>
        <w:t xml:space="preserve"> </w:t>
      </w:r>
      <w:r>
        <w:rPr>
          <w:rFonts w:ascii="Arial" w:cs="Arial" w:eastAsia="Arial" w:hAnsi="Arial"/>
          <w:sz w:val="16"/>
          <w:szCs w:val="16"/>
          <w:color w:val="212121"/>
        </w:rPr>
        <w:t>administrative proceeding if such testimony is compelled or requested or (ii) complying with applicable legal requirements.</w:t>
      </w:r>
    </w:p>
    <w:p>
      <w:pPr>
        <w:spacing w:after="0" w:line="151" w:lineRule="exact"/>
        <w:rPr>
          <w:rFonts w:ascii="Arial" w:cs="Arial" w:eastAsia="Arial" w:hAnsi="Arial"/>
          <w:sz w:val="17"/>
          <w:szCs w:val="17"/>
          <w:color w:val="auto"/>
        </w:rPr>
      </w:pPr>
    </w:p>
    <w:p>
      <w:pPr>
        <w:ind w:left="300" w:hanging="298"/>
        <w:spacing w:after="0" w:line="277" w:lineRule="auto"/>
        <w:tabs>
          <w:tab w:leader="none" w:pos="300" w:val="left"/>
        </w:tabs>
        <w:numPr>
          <w:ilvl w:val="0"/>
          <w:numId w:val="38"/>
        </w:numPr>
        <w:rPr>
          <w:rFonts w:ascii="Arial" w:cs="Arial" w:eastAsia="Arial" w:hAnsi="Arial"/>
          <w:sz w:val="16"/>
          <w:szCs w:val="16"/>
          <w:color w:val="212121"/>
        </w:rPr>
      </w:pPr>
      <w:r>
        <w:rPr>
          <w:rFonts w:ascii="Arial" w:cs="Arial" w:eastAsia="Arial" w:hAnsi="Arial"/>
          <w:sz w:val="16"/>
          <w:szCs w:val="16"/>
          <w:u w:val="single" w:color="auto"/>
          <w:color w:val="363636"/>
        </w:rPr>
        <w:t>Enforcement of Covenants.</w:t>
      </w:r>
      <w:r>
        <w:rPr>
          <w:rFonts w:ascii="Arial" w:cs="Arial" w:eastAsia="Arial" w:hAnsi="Arial"/>
          <w:sz w:val="16"/>
          <w:szCs w:val="16"/>
          <w:color w:val="363636"/>
        </w:rPr>
        <w:t xml:space="preserve"> </w:t>
      </w:r>
      <w:r>
        <w:rPr>
          <w:rFonts w:ascii="Arial" w:cs="Arial" w:eastAsia="Arial" w:hAnsi="Arial"/>
          <w:sz w:val="16"/>
          <w:szCs w:val="16"/>
          <w:color w:val="212121"/>
        </w:rPr>
        <w:t>The Participant agrees that (i) the agreements and covenants contained in Section 2 of this Exhibit A are reasonable in scope and</w:t>
      </w:r>
      <w:r>
        <w:rPr>
          <w:rFonts w:ascii="Arial" w:cs="Arial" w:eastAsia="Arial" w:hAnsi="Arial"/>
          <w:sz w:val="16"/>
          <w:szCs w:val="16"/>
          <w:color w:val="363636"/>
        </w:rPr>
        <w:t xml:space="preserve"> </w:t>
      </w:r>
      <w:r>
        <w:rPr>
          <w:rFonts w:ascii="Arial" w:cs="Arial" w:eastAsia="Arial" w:hAnsi="Arial"/>
          <w:sz w:val="16"/>
          <w:szCs w:val="16"/>
          <w:color w:val="212121"/>
        </w:rPr>
        <w:t xml:space="preserve">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 (iii) 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w:t>
      </w:r>
      <w:r>
        <w:rPr>
          <w:rFonts w:ascii="Arial" w:cs="Arial" w:eastAsia="Arial" w:hAnsi="Arial"/>
          <w:sz w:val="15"/>
          <w:szCs w:val="15"/>
          <w:color w:val="212121"/>
        </w:rPr>
        <w:t>If</w:t>
      </w:r>
      <w:r>
        <w:rPr>
          <w:rFonts w:ascii="Arial" w:cs="Arial" w:eastAsia="Arial" w:hAnsi="Arial"/>
          <w:sz w:val="16"/>
          <w:szCs w:val="16"/>
          <w:color w:val="212121"/>
        </w:rPr>
        <w:t xml:space="preserve">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 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72" w:lineRule="exact"/>
        <w:rPr>
          <w:rFonts w:ascii="Arial" w:cs="Arial" w:eastAsia="Arial" w:hAnsi="Arial"/>
          <w:sz w:val="16"/>
          <w:szCs w:val="16"/>
          <w:color w:val="212121"/>
        </w:rPr>
      </w:pPr>
    </w:p>
    <w:p>
      <w:pPr>
        <w:ind w:left="280" w:hanging="278"/>
        <w:spacing w:after="0"/>
        <w:tabs>
          <w:tab w:leader="none" w:pos="280" w:val="left"/>
        </w:tabs>
        <w:numPr>
          <w:ilvl w:val="0"/>
          <w:numId w:val="38"/>
        </w:numPr>
        <w:rPr>
          <w:rFonts w:ascii="Arial" w:cs="Arial" w:eastAsia="Arial" w:hAnsi="Arial"/>
          <w:sz w:val="17"/>
          <w:szCs w:val="17"/>
          <w:color w:val="212121"/>
        </w:rPr>
      </w:pPr>
      <w:r>
        <w:rPr>
          <w:rFonts w:ascii="Arial" w:cs="Arial" w:eastAsia="Arial" w:hAnsi="Arial"/>
          <w:sz w:val="17"/>
          <w:szCs w:val="17"/>
          <w:u w:val="single" w:color="auto"/>
          <w:color w:val="212121"/>
        </w:rPr>
        <w:t>Certain Definitions</w:t>
      </w:r>
    </w:p>
    <w:p>
      <w:pPr>
        <w:spacing w:after="0" w:line="245" w:lineRule="exact"/>
        <w:rPr>
          <w:sz w:val="20"/>
          <w:szCs w:val="20"/>
          <w:color w:val="auto"/>
        </w:rPr>
      </w:pPr>
    </w:p>
    <w:p>
      <w:pPr>
        <w:ind w:left="600" w:right="100" w:hanging="309"/>
        <w:spacing w:after="0" w:line="317" w:lineRule="auto"/>
        <w:tabs>
          <w:tab w:leader="none" w:pos="583" w:val="left"/>
        </w:tabs>
        <w:numPr>
          <w:ilvl w:val="0"/>
          <w:numId w:val="39"/>
        </w:numPr>
        <w:rPr>
          <w:rFonts w:ascii="Arial" w:cs="Arial" w:eastAsia="Arial" w:hAnsi="Arial"/>
          <w:sz w:val="17"/>
          <w:szCs w:val="17"/>
          <w:color w:val="auto"/>
        </w:rPr>
      </w:pPr>
      <w:r>
        <w:rPr>
          <w:rFonts w:ascii="Arial" w:cs="Arial" w:eastAsia="Arial" w:hAnsi="Arial"/>
          <w:sz w:val="16"/>
          <w:szCs w:val="16"/>
          <w:b w:val="1"/>
          <w:bCs w:val="1"/>
          <w:color w:val="212121"/>
        </w:rPr>
        <w:t xml:space="preserve">"Algorithmic Liquidity Trading" </w:t>
      </w:r>
      <w:r>
        <w:rPr>
          <w:rFonts w:ascii="Arial" w:cs="Arial" w:eastAsia="Arial" w:hAnsi="Arial"/>
          <w:sz w:val="16"/>
          <w:szCs w:val="16"/>
          <w:color w:val="212121"/>
        </w:rPr>
        <w:t>means trading Financial Assets through the use of an electronically automated trading system that generates order</w:t>
      </w:r>
      <w:r>
        <w:rPr>
          <w:rFonts w:ascii="Arial" w:cs="Arial" w:eastAsia="Arial" w:hAnsi="Arial"/>
          <w:sz w:val="16"/>
          <w:szCs w:val="16"/>
          <w:b w:val="1"/>
          <w:bCs w:val="1"/>
          <w:color w:val="212121"/>
        </w:rPr>
        <w:t xml:space="preserve"> </w:t>
      </w:r>
      <w:r>
        <w:rPr>
          <w:rFonts w:ascii="Arial" w:cs="Arial" w:eastAsia="Arial" w:hAnsi="Arial"/>
          <w:sz w:val="16"/>
          <w:szCs w:val="16"/>
          <w:color w:val="212121"/>
        </w:rPr>
        <w:t>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5" w:right="239" w:bottom="1440" w:gutter="0" w:footer="0" w:header="0"/>
        </w:sectPr>
      </w:pPr>
    </w:p>
    <w:bookmarkStart w:id="96" w:name="page97"/>
    <w:bookmarkEnd w:id="96"/>
    <w:p>
      <w:pPr>
        <w:ind w:left="341" w:right="40"/>
        <w:spacing w:after="0" w:line="290" w:lineRule="auto"/>
        <w:rPr>
          <w:sz w:val="20"/>
          <w:szCs w:val="20"/>
          <w:color w:val="auto"/>
        </w:rPr>
      </w:pPr>
      <w:r>
        <w:rPr>
          <w:rFonts w:ascii="Arial" w:cs="Arial" w:eastAsia="Arial" w:hAnsi="Arial"/>
          <w:sz w:val="16"/>
          <w:szCs w:val="16"/>
          <w:color w:val="212121"/>
        </w:rPr>
        <w:t>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 executes only on one side of the market as a "buy" or "sell" Order, and including a portfolio rebalancing Order (which for the avoidance of doubt may involve both a "buy" and a "sell" component within a single Order)).</w:t>
      </w:r>
    </w:p>
    <w:p>
      <w:pPr>
        <w:spacing w:after="0" w:line="168" w:lineRule="exact"/>
        <w:rPr>
          <w:sz w:val="20"/>
          <w:szCs w:val="20"/>
          <w:color w:val="auto"/>
        </w:rPr>
      </w:pPr>
    </w:p>
    <w:p>
      <w:pPr>
        <w:ind w:left="321" w:hanging="295"/>
        <w:spacing w:after="0"/>
        <w:tabs>
          <w:tab w:leader="none" w:pos="321" w:val="left"/>
        </w:tabs>
        <w:numPr>
          <w:ilvl w:val="1"/>
          <w:numId w:val="40"/>
        </w:numPr>
        <w:rPr>
          <w:rFonts w:ascii="Arial" w:cs="Arial" w:eastAsia="Arial" w:hAnsi="Arial"/>
          <w:sz w:val="19"/>
          <w:szCs w:val="19"/>
          <w:color w:val="auto"/>
        </w:rPr>
      </w:pPr>
      <w:r>
        <w:rPr>
          <w:rFonts w:ascii="Arial" w:cs="Arial" w:eastAsia="Arial" w:hAnsi="Arial"/>
          <w:sz w:val="17"/>
          <w:szCs w:val="17"/>
          <w:b w:val="1"/>
          <w:bCs w:val="1"/>
          <w:color w:val="212121"/>
        </w:rPr>
        <w:t xml:space="preserve">"Arbitrage" </w:t>
      </w:r>
      <w:r>
        <w:rPr>
          <w:rFonts w:ascii="Arial" w:cs="Arial" w:eastAsia="Arial" w:hAnsi="Arial"/>
          <w:sz w:val="17"/>
          <w:szCs w:val="17"/>
          <w:color w:val="212121"/>
        </w:rPr>
        <w:t>means arbitrage consistent with the practice of high frequency trading.</w:t>
      </w:r>
    </w:p>
    <w:p>
      <w:pPr>
        <w:spacing w:after="0" w:line="214" w:lineRule="exact"/>
        <w:rPr>
          <w:rFonts w:ascii="Arial" w:cs="Arial" w:eastAsia="Arial" w:hAnsi="Arial"/>
          <w:sz w:val="19"/>
          <w:szCs w:val="19"/>
          <w:color w:val="auto"/>
        </w:rPr>
      </w:pPr>
    </w:p>
    <w:p>
      <w:pPr>
        <w:ind w:left="341" w:right="140" w:hanging="302"/>
        <w:spacing w:after="0" w:line="279" w:lineRule="auto"/>
        <w:tabs>
          <w:tab w:leader="none" w:pos="324" w:val="left"/>
        </w:tabs>
        <w:numPr>
          <w:ilvl w:val="1"/>
          <w:numId w:val="40"/>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Activity" </w:t>
      </w:r>
      <w:r>
        <w:rPr>
          <w:rFonts w:ascii="Arial" w:cs="Arial" w:eastAsia="Arial" w:hAnsi="Arial"/>
          <w:sz w:val="17"/>
          <w:szCs w:val="17"/>
          <w:color w:val="212121"/>
        </w:rPr>
        <w:t>means (i) serving as a director, officer, employee, trader, manager, consultant, agent or advisor of, or otherwise directly or</w:t>
      </w:r>
      <w:r>
        <w:rPr>
          <w:rFonts w:ascii="Arial" w:cs="Arial" w:eastAsia="Arial" w:hAnsi="Arial"/>
          <w:sz w:val="17"/>
          <w:szCs w:val="17"/>
          <w:b w:val="1"/>
          <w:bCs w:val="1"/>
          <w:color w:val="212121"/>
        </w:rPr>
        <w:t xml:space="preserve"> </w:t>
      </w:r>
      <w:r>
        <w:rPr>
          <w:rFonts w:ascii="Arial" w:cs="Arial" w:eastAsia="Arial" w:hAnsi="Arial"/>
          <w:sz w:val="17"/>
          <w:szCs w:val="17"/>
          <w:color w:val="212121"/>
        </w:rPr>
        <w:t>through an Affiliate providing services to a Competitive Enterprise; (ii) designing or developing any Competitive Technology; (iii) directly or through an Affiliate (A) engaging in Strategy Competition or (B) retaining or otherwise engaging any other Person to undertake any of the actions described in clauses (i), (ii), (iii)(A) or</w:t>
      </w:r>
    </w:p>
    <w:p>
      <w:pPr>
        <w:spacing w:after="0" w:line="2" w:lineRule="exact"/>
        <w:rPr>
          <w:rFonts w:ascii="Arial" w:cs="Arial" w:eastAsia="Arial" w:hAnsi="Arial"/>
          <w:sz w:val="19"/>
          <w:szCs w:val="19"/>
          <w:color w:val="auto"/>
        </w:rPr>
      </w:pPr>
    </w:p>
    <w:p>
      <w:pPr>
        <w:ind w:left="321" w:firstLine="13"/>
        <w:spacing w:after="0" w:line="276" w:lineRule="auto"/>
        <w:rPr>
          <w:rFonts w:ascii="Arial" w:cs="Arial" w:eastAsia="Arial" w:hAnsi="Arial"/>
          <w:sz w:val="19"/>
          <w:szCs w:val="19"/>
          <w:color w:val="auto"/>
        </w:rPr>
      </w:pPr>
      <w:r>
        <w:rPr>
          <w:rFonts w:ascii="Arial" w:cs="Arial" w:eastAsia="Arial" w:hAnsi="Arial"/>
          <w:sz w:val="16"/>
          <w:szCs w:val="16"/>
          <w:color w:val="212121"/>
        </w:rPr>
        <w:t xml:space="preserve">(iv) 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6"/>
          <w:szCs w:val="16"/>
          <w:b w:val="1"/>
          <w:bCs w:val="1"/>
          <w:color w:val="212121"/>
        </w:rPr>
        <w:t>"Ownership Interests")</w:t>
      </w:r>
      <w:r>
        <w:rPr>
          <w:rFonts w:ascii="Arial" w:cs="Arial" w:eastAsia="Arial" w:hAnsi="Arial"/>
          <w:sz w:val="16"/>
          <w:szCs w:val="16"/>
          <w:color w:val="212121"/>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6"/>
          <w:szCs w:val="16"/>
          <w:u w:val="single" w:color="auto"/>
          <w:color w:val="313131"/>
        </w:rPr>
        <w:t>Schedule</w:t>
      </w:r>
      <w:r>
        <w:rPr>
          <w:rFonts w:ascii="Arial" w:cs="Arial" w:eastAsia="Arial" w:hAnsi="Arial"/>
          <w:sz w:val="16"/>
          <w:szCs w:val="16"/>
          <w:color w:val="212121"/>
        </w:rPr>
        <w:t xml:space="preserve"> </w:t>
      </w:r>
      <w:r>
        <w:rPr>
          <w:rFonts w:ascii="Arial" w:cs="Arial" w:eastAsia="Arial" w:hAnsi="Arial"/>
          <w:sz w:val="16"/>
          <w:szCs w:val="16"/>
          <w:color w:val="313131"/>
        </w:rPr>
        <w:t>I</w:t>
      </w:r>
      <w:r>
        <w:rPr>
          <w:rFonts w:ascii="Arial" w:cs="Arial" w:eastAsia="Arial" w:hAnsi="Arial"/>
          <w:sz w:val="16"/>
          <w:szCs w:val="16"/>
          <w:color w:val="212121"/>
        </w:rPr>
        <w:t xml:space="preserve"> of this Exhibit A (or any parent company or entity of a Person listed in </w:t>
      </w:r>
      <w:r>
        <w:rPr>
          <w:rFonts w:ascii="Arial" w:cs="Arial" w:eastAsia="Arial" w:hAnsi="Arial"/>
          <w:sz w:val="16"/>
          <w:szCs w:val="16"/>
          <w:u w:val="single" w:color="auto"/>
          <w:color w:val="313131"/>
        </w:rPr>
        <w:t>Schedule l</w:t>
      </w:r>
      <w:r>
        <w:rPr>
          <w:rFonts w:ascii="Arial" w:cs="Arial" w:eastAsia="Arial" w:hAnsi="Arial"/>
          <w:sz w:val="16"/>
          <w:szCs w:val="16"/>
          <w:color w:val="212121"/>
        </w:rPr>
        <w:t xml:space="preserve"> of this Exhibit A or any successors thereto, other than a parent company or entity that is not a Competitive Enterprise) (a </w:t>
      </w:r>
      <w:r>
        <w:rPr>
          <w:rFonts w:ascii="Arial" w:cs="Arial" w:eastAsia="Arial" w:hAnsi="Arial"/>
          <w:sz w:val="16"/>
          <w:szCs w:val="16"/>
          <w:b w:val="1"/>
          <w:bCs w:val="1"/>
          <w:color w:val="212121"/>
        </w:rPr>
        <w:t>"Restricted Investment"),</w:t>
      </w:r>
      <w:r>
        <w:rPr>
          <w:rFonts w:ascii="Arial" w:cs="Arial" w:eastAsia="Arial" w:hAnsi="Arial"/>
          <w:sz w:val="16"/>
          <w:szCs w:val="16"/>
          <w:color w:val="212121"/>
        </w:rPr>
        <w:t xml:space="preserve">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96" w:lineRule="exact"/>
        <w:rPr>
          <w:rFonts w:ascii="Arial" w:cs="Arial" w:eastAsia="Arial" w:hAnsi="Arial"/>
          <w:sz w:val="19"/>
          <w:szCs w:val="19"/>
          <w:color w:val="auto"/>
        </w:rPr>
      </w:pPr>
    </w:p>
    <w:p>
      <w:pPr>
        <w:ind w:left="321" w:right="300" w:hanging="321"/>
        <w:spacing w:after="0" w:line="301" w:lineRule="auto"/>
        <w:tabs>
          <w:tab w:leader="none" w:pos="304" w:val="left"/>
        </w:tabs>
        <w:numPr>
          <w:ilvl w:val="0"/>
          <w:numId w:val="41"/>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Enterprise" </w:t>
      </w:r>
      <w:r>
        <w:rPr>
          <w:rFonts w:ascii="Arial" w:cs="Arial" w:eastAsia="Arial" w:hAnsi="Arial"/>
          <w:sz w:val="17"/>
          <w:szCs w:val="17"/>
          <w:color w:val="212121"/>
        </w:rPr>
        <w:t>means any Person or business enterprise (in any form, including without limitation as a corporation, partnership, limited</w:t>
      </w:r>
      <w:r>
        <w:rPr>
          <w:rFonts w:ascii="Arial" w:cs="Arial" w:eastAsia="Arial" w:hAnsi="Arial"/>
          <w:sz w:val="17"/>
          <w:szCs w:val="17"/>
          <w:b w:val="1"/>
          <w:bCs w:val="1"/>
          <w:color w:val="212121"/>
        </w:rPr>
        <w:t xml:space="preserve"> </w:t>
      </w:r>
      <w:r>
        <w:rPr>
          <w:rFonts w:ascii="Arial" w:cs="Arial" w:eastAsia="Arial" w:hAnsi="Arial"/>
          <w:sz w:val="17"/>
          <w:szCs w:val="17"/>
          <w:color w:val="212121"/>
        </w:rPr>
        <w:t>liability company or other Person), or</w:t>
      </w: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01"/>
          </w:cols>
          <w:pgMar w:left="639" w:top="481" w:right="259" w:bottom="1440" w:gutter="0" w:footer="0" w:header="0"/>
        </w:sectPr>
      </w:pPr>
    </w:p>
    <w:bookmarkStart w:id="97" w:name="page98"/>
    <w:bookmarkEnd w:id="97"/>
    <w:p>
      <w:pPr>
        <w:ind w:left="322" w:right="240"/>
        <w:spacing w:after="0" w:line="261" w:lineRule="auto"/>
        <w:rPr>
          <w:sz w:val="20"/>
          <w:szCs w:val="20"/>
          <w:color w:val="auto"/>
        </w:rPr>
      </w:pPr>
      <w:r>
        <w:rPr>
          <w:rFonts w:ascii="Arial" w:cs="Arial" w:eastAsia="Arial" w:hAnsi="Arial"/>
          <w:sz w:val="17"/>
          <w:szCs w:val="17"/>
          <w:color w:val="212121"/>
        </w:rPr>
        <w:t>subsidiary, division, unit, group or portion thereof, whose primary business is (A)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 of a subsidiary, division, unit, group or portion whose primary business is described above:</w:t>
      </w:r>
    </w:p>
    <w:p>
      <w:pPr>
        <w:spacing w:after="0" w:line="3" w:lineRule="exact"/>
        <w:rPr>
          <w:sz w:val="20"/>
          <w:szCs w:val="20"/>
          <w:color w:val="auto"/>
        </w:rPr>
      </w:pPr>
    </w:p>
    <w:p>
      <w:pPr>
        <w:ind w:left="322" w:hanging="7"/>
        <w:spacing w:after="0" w:line="298" w:lineRule="auto"/>
        <w:tabs>
          <w:tab w:leader="none" w:pos="701" w:val="left"/>
        </w:tabs>
        <w:numPr>
          <w:ilvl w:val="2"/>
          <w:numId w:val="42"/>
        </w:numPr>
        <w:rPr>
          <w:rFonts w:ascii="Arial" w:cs="Arial" w:eastAsia="Arial" w:hAnsi="Arial"/>
          <w:sz w:val="16"/>
          <w:szCs w:val="16"/>
          <w:color w:val="212121"/>
        </w:rPr>
      </w:pPr>
      <w:r>
        <w:rPr>
          <w:rFonts w:ascii="Arial" w:cs="Arial" w:eastAsia="Arial" w:hAnsi="Arial"/>
          <w:sz w:val="16"/>
          <w:szCs w:val="16"/>
          <w:color w:val="212121"/>
        </w:rPr>
        <w:t>the larger business enterprise or Person owning such subsidiary, division, unit, group or portion shall not be deemed to be a Competitive Enterprise unless the primary business of such larger business enterprise or Person is engaged in Strategy Competition and (2) the subsidiary, division, unit, group or portion whose primary business is engaging in Strategy Competition shall be deemed a Competitive Enterprise.</w:t>
      </w:r>
    </w:p>
    <w:p>
      <w:pPr>
        <w:spacing w:after="0" w:line="161" w:lineRule="exact"/>
        <w:rPr>
          <w:rFonts w:ascii="Arial" w:cs="Arial" w:eastAsia="Arial" w:hAnsi="Arial"/>
          <w:sz w:val="16"/>
          <w:szCs w:val="16"/>
          <w:color w:val="212121"/>
        </w:rPr>
      </w:pPr>
    </w:p>
    <w:p>
      <w:pPr>
        <w:ind w:left="322" w:right="100" w:hanging="309"/>
        <w:spacing w:after="0" w:line="290" w:lineRule="auto"/>
        <w:tabs>
          <w:tab w:leader="none" w:pos="305" w:val="left"/>
        </w:tabs>
        <w:numPr>
          <w:ilvl w:val="1"/>
          <w:numId w:val="43"/>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Technology" </w:t>
      </w:r>
      <w:r>
        <w:rPr>
          <w:rFonts w:ascii="Arial" w:cs="Arial" w:eastAsia="Arial" w:hAnsi="Arial"/>
          <w:sz w:val="17"/>
          <w:szCs w:val="17"/>
          <w:color w:val="212121"/>
        </w:rPr>
        <w:t>means any system, program, hardware or software (including any network architecture, system architecture, messaging</w:t>
      </w:r>
      <w:r>
        <w:rPr>
          <w:rFonts w:ascii="Arial" w:cs="Arial" w:eastAsia="Arial" w:hAnsi="Arial"/>
          <w:sz w:val="17"/>
          <w:szCs w:val="17"/>
          <w:b w:val="1"/>
          <w:bCs w:val="1"/>
          <w:color w:val="212121"/>
        </w:rPr>
        <w:t xml:space="preserve"> </w:t>
      </w:r>
      <w:r>
        <w:rPr>
          <w:rFonts w:ascii="Arial" w:cs="Arial" w:eastAsia="Arial" w:hAnsi="Arial"/>
          <w:sz w:val="17"/>
          <w:szCs w:val="17"/>
          <w:color w:val="212121"/>
        </w:rPr>
        <w:t>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69" w:lineRule="exact"/>
        <w:rPr>
          <w:rFonts w:ascii="Arial" w:cs="Arial" w:eastAsia="Arial" w:hAnsi="Arial"/>
          <w:sz w:val="19"/>
          <w:szCs w:val="19"/>
          <w:color w:val="auto"/>
        </w:rPr>
      </w:pPr>
    </w:p>
    <w:p>
      <w:pPr>
        <w:ind w:left="302" w:right="80" w:hanging="302"/>
        <w:spacing w:after="0" w:line="290" w:lineRule="auto"/>
        <w:tabs>
          <w:tab w:leader="none" w:pos="302"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"Confidential Information" </w:t>
      </w:r>
      <w:r>
        <w:rPr>
          <w:rFonts w:ascii="Arial" w:cs="Arial" w:eastAsia="Arial" w:hAnsi="Arial"/>
          <w:sz w:val="17"/>
          <w:szCs w:val="17"/>
          <w:color w:val="212121"/>
        </w:rPr>
        <w:t>means any information related to the activities of the Company Parties that the Participant may acquire from the</w:t>
      </w:r>
      <w:r>
        <w:rPr>
          <w:rFonts w:ascii="Arial" w:cs="Arial" w:eastAsia="Arial" w:hAnsi="Arial"/>
          <w:sz w:val="17"/>
          <w:szCs w:val="17"/>
          <w:b w:val="1"/>
          <w:bCs w:val="1"/>
          <w:color w:val="212121"/>
        </w:rPr>
        <w:t xml:space="preserve"> </w:t>
      </w:r>
      <w:r>
        <w:rPr>
          <w:rFonts w:ascii="Arial" w:cs="Arial" w:eastAsia="Arial" w:hAnsi="Arial"/>
          <w:sz w:val="17"/>
          <w:szCs w:val="17"/>
          <w:color w:val="212121"/>
        </w:rPr>
        <w:t>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82" w:lineRule="exact"/>
        <w:rPr>
          <w:rFonts w:ascii="Arial" w:cs="Arial" w:eastAsia="Arial" w:hAnsi="Arial"/>
          <w:sz w:val="19"/>
          <w:szCs w:val="19"/>
          <w:color w:val="auto"/>
        </w:rPr>
      </w:pPr>
    </w:p>
    <w:p>
      <w:pPr>
        <w:ind w:left="282" w:hanging="282"/>
        <w:spacing w:after="0"/>
        <w:tabs>
          <w:tab w:leader="none" w:pos="282"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"Financial Asset" </w:t>
      </w:r>
      <w:r>
        <w:rPr>
          <w:rFonts w:ascii="Arial" w:cs="Arial" w:eastAsia="Arial" w:hAnsi="Arial"/>
          <w:sz w:val="17"/>
          <w:szCs w:val="17"/>
          <w:color w:val="212121"/>
        </w:rPr>
        <w:t>means commodities, currencies, equities, notes, bonds, securities, evidence of indebtedness and derivatives thereof.</w:t>
      </w:r>
    </w:p>
    <w:p>
      <w:pPr>
        <w:spacing w:after="0" w:line="214" w:lineRule="exact"/>
        <w:rPr>
          <w:rFonts w:ascii="Arial" w:cs="Arial" w:eastAsia="Arial" w:hAnsi="Arial"/>
          <w:sz w:val="19"/>
          <w:szCs w:val="19"/>
          <w:color w:val="auto"/>
        </w:rPr>
      </w:pPr>
    </w:p>
    <w:p>
      <w:pPr>
        <w:ind w:left="302" w:right="200" w:hanging="302"/>
        <w:spacing w:after="0" w:line="301" w:lineRule="auto"/>
        <w:tabs>
          <w:tab w:leader="none" w:pos="284"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"Governmental Authority" </w:t>
      </w:r>
      <w:r>
        <w:rPr>
          <w:rFonts w:ascii="Arial" w:cs="Arial" w:eastAsia="Arial" w:hAnsi="Arial"/>
          <w:sz w:val="17"/>
          <w:szCs w:val="17"/>
          <w:color w:val="212121"/>
        </w:rPr>
        <w:t>means any transnational, domestic or foreign federal, state or local governmental, regulatory or administrative authority,</w:t>
      </w:r>
      <w:r>
        <w:rPr>
          <w:rFonts w:ascii="Arial" w:cs="Arial" w:eastAsia="Arial" w:hAnsi="Arial"/>
          <w:sz w:val="17"/>
          <w:szCs w:val="17"/>
          <w:b w:val="1"/>
          <w:bCs w:val="1"/>
          <w:color w:val="212121"/>
        </w:rPr>
        <w:t xml:space="preserve"> </w:t>
      </w:r>
      <w:r>
        <w:rPr>
          <w:rFonts w:ascii="Arial" w:cs="Arial" w:eastAsia="Arial" w:hAnsi="Arial"/>
          <w:sz w:val="17"/>
          <w:szCs w:val="17"/>
          <w:color w:val="212121"/>
        </w:rPr>
        <w:t>department, court, agency or official, including any political subdivision thereof.</w:t>
      </w:r>
    </w:p>
    <w:p>
      <w:pPr>
        <w:spacing w:after="0" w:line="150" w:lineRule="exact"/>
        <w:rPr>
          <w:rFonts w:ascii="Arial" w:cs="Arial" w:eastAsia="Arial" w:hAnsi="Arial"/>
          <w:sz w:val="19"/>
          <w:szCs w:val="19"/>
          <w:color w:val="auto"/>
        </w:rPr>
      </w:pPr>
    </w:p>
    <w:p>
      <w:pPr>
        <w:ind w:left="302" w:right="60" w:hanging="302"/>
        <w:spacing w:after="0" w:line="291" w:lineRule="auto"/>
        <w:tabs>
          <w:tab w:leader="none" w:pos="284"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"Jaguar Trading" </w:t>
      </w:r>
      <w:r>
        <w:rPr>
          <w:rFonts w:ascii="Arial" w:cs="Arial" w:eastAsia="Arial" w:hAnsi="Arial"/>
          <w:sz w:val="17"/>
          <w:szCs w:val="17"/>
          <w:color w:val="212121"/>
        </w:rPr>
        <w:t>means trading through the use of electronically automated means to analyze and act upon Economic Numerical Data (i.e., economic</w:t>
      </w:r>
      <w:r>
        <w:rPr>
          <w:rFonts w:ascii="Arial" w:cs="Arial" w:eastAsia="Arial" w:hAnsi="Arial"/>
          <w:sz w:val="17"/>
          <w:szCs w:val="17"/>
          <w:b w:val="1"/>
          <w:bCs w:val="1"/>
          <w:color w:val="212121"/>
        </w:rPr>
        <w:t xml:space="preserve"> </w:t>
      </w:r>
      <w:r>
        <w:rPr>
          <w:rFonts w:ascii="Arial" w:cs="Arial" w:eastAsia="Arial" w:hAnsi="Arial"/>
          <w:sz w:val="17"/>
          <w:szCs w:val="17"/>
          <w:color w:val="212121"/>
        </w:rPr>
        <w:t>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w:t>
      </w:r>
    </w:p>
    <w:p>
      <w:pPr>
        <w:spacing w:after="0" w:line="184" w:lineRule="exact"/>
        <w:rPr>
          <w:sz w:val="20"/>
          <w:szCs w:val="20"/>
          <w:color w:val="auto"/>
        </w:rPr>
      </w:pPr>
    </w:p>
    <w:p>
      <w:pPr>
        <w:jc w:val="center"/>
        <w:ind w:right="41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2"/>
          </w:cols>
          <w:pgMar w:left="678" w:top="481" w:right="239" w:bottom="1440" w:gutter="0" w:footer="0" w:header="0"/>
        </w:sectPr>
      </w:pPr>
    </w:p>
    <w:bookmarkStart w:id="98" w:name="page99"/>
    <w:bookmarkEnd w:id="98"/>
    <w:p>
      <w:pPr>
        <w:ind w:left="341"/>
        <w:spacing w:after="0" w:line="268" w:lineRule="auto"/>
        <w:rPr>
          <w:sz w:val="20"/>
          <w:szCs w:val="20"/>
          <w:color w:val="auto"/>
        </w:rPr>
      </w:pPr>
      <w:r>
        <w:rPr>
          <w:rFonts w:ascii="Arial" w:cs="Arial" w:eastAsia="Arial" w:hAnsi="Arial"/>
          <w:sz w:val="17"/>
          <w:szCs w:val="17"/>
          <w:color w:val="212121"/>
        </w:rPr>
        <w:t>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 release of such economic numerical data (for example, and without limitation, the execution of a previously placed Stop Order triggered after the release of economic numerical data).</w:t>
      </w:r>
    </w:p>
    <w:p>
      <w:pPr>
        <w:spacing w:after="0" w:line="171" w:lineRule="exact"/>
        <w:rPr>
          <w:sz w:val="20"/>
          <w:szCs w:val="20"/>
          <w:color w:val="auto"/>
        </w:rPr>
      </w:pPr>
    </w:p>
    <w:p>
      <w:pPr>
        <w:ind w:left="321" w:hanging="295"/>
        <w:spacing w:after="0"/>
        <w:tabs>
          <w:tab w:leader="none" w:pos="321" w:val="left"/>
        </w:tabs>
        <w:numPr>
          <w:ilvl w:val="1"/>
          <w:numId w:val="45"/>
        </w:numPr>
        <w:rPr>
          <w:rFonts w:ascii="Arial" w:cs="Arial" w:eastAsia="Arial" w:hAnsi="Arial"/>
          <w:sz w:val="19"/>
          <w:szCs w:val="19"/>
          <w:color w:val="auto"/>
        </w:rPr>
      </w:pPr>
      <w:r>
        <w:rPr>
          <w:rFonts w:ascii="Arial" w:cs="Arial" w:eastAsia="Arial" w:hAnsi="Arial"/>
          <w:sz w:val="17"/>
          <w:szCs w:val="17"/>
          <w:b w:val="1"/>
          <w:bCs w:val="1"/>
          <w:color w:val="212121"/>
        </w:rPr>
        <w:t xml:space="preserve">"Order" </w:t>
      </w:r>
      <w:r>
        <w:rPr>
          <w:rFonts w:ascii="Arial" w:cs="Arial" w:eastAsia="Arial" w:hAnsi="Arial"/>
          <w:sz w:val="17"/>
          <w:szCs w:val="17"/>
          <w:color w:val="212121"/>
        </w:rPr>
        <w:t>means an instruction to acquire or dispose of a specified quantity or amount of a Financial Asset.</w:t>
      </w:r>
    </w:p>
    <w:p>
      <w:pPr>
        <w:spacing w:after="0" w:line="214" w:lineRule="exact"/>
        <w:rPr>
          <w:rFonts w:ascii="Arial" w:cs="Arial" w:eastAsia="Arial" w:hAnsi="Arial"/>
          <w:sz w:val="19"/>
          <w:szCs w:val="19"/>
          <w:color w:val="auto"/>
        </w:rPr>
      </w:pPr>
    </w:p>
    <w:p>
      <w:pPr>
        <w:ind w:left="321" w:hanging="295"/>
        <w:spacing w:after="0" w:line="301" w:lineRule="auto"/>
        <w:tabs>
          <w:tab w:leader="none" w:pos="321" w:val="left"/>
        </w:tabs>
        <w:numPr>
          <w:ilvl w:val="1"/>
          <w:numId w:val="45"/>
        </w:numPr>
        <w:rPr>
          <w:rFonts w:ascii="Arial" w:cs="Arial" w:eastAsia="Arial" w:hAnsi="Arial"/>
          <w:sz w:val="19"/>
          <w:szCs w:val="19"/>
          <w:color w:val="auto"/>
        </w:rPr>
      </w:pPr>
      <w:r>
        <w:rPr>
          <w:rFonts w:ascii="Arial" w:cs="Arial" w:eastAsia="Arial" w:hAnsi="Arial"/>
          <w:sz w:val="17"/>
          <w:szCs w:val="17"/>
          <w:b w:val="1"/>
          <w:bCs w:val="1"/>
          <w:color w:val="212121"/>
        </w:rPr>
        <w:t xml:space="preserve">Relevant Date" </w:t>
      </w:r>
      <w:r>
        <w:rPr>
          <w:rFonts w:ascii="Arial" w:cs="Arial" w:eastAsia="Arial" w:hAnsi="Arial"/>
          <w:sz w:val="17"/>
          <w:szCs w:val="17"/>
          <w:color w:val="212121"/>
        </w:rPr>
        <w:t>means, (i) for as long as the Termination Date has not occurred, the date that the Participant engages in any activity that is prohibited by</w:t>
      </w:r>
      <w:r>
        <w:rPr>
          <w:rFonts w:ascii="Arial" w:cs="Arial" w:eastAsia="Arial" w:hAnsi="Arial"/>
          <w:sz w:val="17"/>
          <w:szCs w:val="17"/>
          <w:b w:val="1"/>
          <w:bCs w:val="1"/>
          <w:color w:val="212121"/>
        </w:rPr>
        <w:t xml:space="preserve"> </w:t>
      </w:r>
      <w:r>
        <w:rPr>
          <w:rFonts w:ascii="Arial" w:cs="Arial" w:eastAsia="Arial" w:hAnsi="Arial"/>
          <w:sz w:val="17"/>
          <w:szCs w:val="17"/>
          <w:color w:val="212121"/>
        </w:rPr>
        <w:t>Section 2 of this Exhibit A and (ii) if the Termination Date has occurred such Termination Date.</w:t>
      </w:r>
    </w:p>
    <w:p>
      <w:pPr>
        <w:spacing w:after="0" w:line="138" w:lineRule="exact"/>
        <w:rPr>
          <w:rFonts w:ascii="Arial" w:cs="Arial" w:eastAsia="Arial" w:hAnsi="Arial"/>
          <w:sz w:val="19"/>
          <w:szCs w:val="19"/>
          <w:color w:val="auto"/>
        </w:rPr>
      </w:pPr>
    </w:p>
    <w:p>
      <w:pPr>
        <w:ind w:left="21"/>
        <w:spacing w:after="0"/>
        <w:rPr>
          <w:rFonts w:ascii="Arial" w:cs="Arial" w:eastAsia="Arial" w:hAnsi="Arial"/>
          <w:sz w:val="19"/>
          <w:szCs w:val="19"/>
          <w:color w:val="auto"/>
        </w:rPr>
      </w:pPr>
      <w:r>
        <w:rPr>
          <w:rFonts w:ascii="Arial" w:cs="Arial" w:eastAsia="Arial" w:hAnsi="Arial"/>
          <w:sz w:val="19"/>
          <w:szCs w:val="19"/>
          <w:color w:val="212121"/>
        </w:rPr>
        <w:t xml:space="preserve">I. </w:t>
      </w:r>
      <w:r>
        <w:rPr>
          <w:rFonts w:ascii="Arial" w:cs="Arial" w:eastAsia="Arial" w:hAnsi="Arial"/>
          <w:sz w:val="17"/>
          <w:szCs w:val="17"/>
          <w:b w:val="1"/>
          <w:bCs w:val="1"/>
          <w:color w:val="212121"/>
        </w:rPr>
        <w:t>"Restrictive Covenant Period"</w:t>
      </w:r>
      <w:r>
        <w:rPr>
          <w:rFonts w:ascii="Arial" w:cs="Arial" w:eastAsia="Arial" w:hAnsi="Arial"/>
          <w:sz w:val="19"/>
          <w:szCs w:val="19"/>
          <w:color w:val="212121"/>
        </w:rPr>
        <w:t xml:space="preserve"> </w:t>
      </w:r>
      <w:r>
        <w:rPr>
          <w:rFonts w:ascii="Arial" w:cs="Arial" w:eastAsia="Arial" w:hAnsi="Arial"/>
          <w:sz w:val="17"/>
          <w:szCs w:val="17"/>
          <w:color w:val="212121"/>
        </w:rPr>
        <w:t>means, any time until the eighteen month anniversary of the Termination Date.</w:t>
      </w:r>
    </w:p>
    <w:p>
      <w:pPr>
        <w:spacing w:after="0" w:line="226" w:lineRule="exact"/>
        <w:rPr>
          <w:rFonts w:ascii="Arial" w:cs="Arial" w:eastAsia="Arial" w:hAnsi="Arial"/>
          <w:sz w:val="19"/>
          <w:szCs w:val="19"/>
          <w:color w:val="auto"/>
        </w:rPr>
      </w:pPr>
    </w:p>
    <w:p>
      <w:pPr>
        <w:ind w:left="321" w:hanging="295"/>
        <w:spacing w:after="0"/>
        <w:tabs>
          <w:tab w:leader="none" w:pos="321" w:val="left"/>
        </w:tabs>
        <w:numPr>
          <w:ilvl w:val="1"/>
          <w:numId w:val="46"/>
        </w:numPr>
        <w:rPr>
          <w:rFonts w:ascii="Arial" w:cs="Arial" w:eastAsia="Arial" w:hAnsi="Arial"/>
          <w:sz w:val="17"/>
          <w:szCs w:val="17"/>
          <w:color w:val="auto"/>
        </w:rPr>
      </w:pPr>
      <w:r>
        <w:rPr>
          <w:rFonts w:ascii="Arial" w:cs="Arial" w:eastAsia="Arial" w:hAnsi="Arial"/>
          <w:sz w:val="17"/>
          <w:szCs w:val="17"/>
          <w:b w:val="1"/>
          <w:bCs w:val="1"/>
          <w:color w:val="212121"/>
        </w:rPr>
        <w:t xml:space="preserve">"Simultaneous" </w:t>
      </w:r>
      <w:r>
        <w:rPr>
          <w:rFonts w:ascii="Arial" w:cs="Arial" w:eastAsia="Arial" w:hAnsi="Arial"/>
          <w:sz w:val="17"/>
          <w:szCs w:val="17"/>
          <w:color w:val="212121"/>
        </w:rPr>
        <w:t>means, with respect to more than one event, the occurrence of such events occurring within 500 milliseconds of each other.</w:t>
      </w:r>
    </w:p>
    <w:p>
      <w:pPr>
        <w:spacing w:after="0" w:line="211" w:lineRule="exact"/>
        <w:rPr>
          <w:rFonts w:ascii="Arial" w:cs="Arial" w:eastAsia="Arial" w:hAnsi="Arial"/>
          <w:sz w:val="17"/>
          <w:szCs w:val="17"/>
          <w:color w:val="auto"/>
        </w:rPr>
      </w:pPr>
    </w:p>
    <w:p>
      <w:pPr>
        <w:ind w:left="321" w:hanging="295"/>
        <w:spacing w:after="0"/>
        <w:tabs>
          <w:tab w:leader="none" w:pos="321"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212121"/>
        </w:rPr>
        <w:t xml:space="preserve">"Strategy Competition" </w:t>
      </w:r>
      <w:r>
        <w:rPr>
          <w:rFonts w:ascii="Arial" w:cs="Arial" w:eastAsia="Arial" w:hAnsi="Arial"/>
          <w:sz w:val="16"/>
          <w:szCs w:val="16"/>
          <w:color w:val="212121"/>
        </w:rPr>
        <w:t>means,</w:t>
      </w:r>
      <w:r>
        <w:rPr>
          <w:rFonts w:ascii="Arial" w:cs="Arial" w:eastAsia="Arial" w:hAnsi="Arial"/>
          <w:sz w:val="16"/>
          <w:szCs w:val="16"/>
          <w:b w:val="1"/>
          <w:bCs w:val="1"/>
          <w:color w:val="212121"/>
        </w:rPr>
        <w:t xml:space="preserve"> </w:t>
      </w:r>
      <w:r>
        <w:rPr>
          <w:rFonts w:ascii="Arial" w:cs="Arial" w:eastAsia="Arial" w:hAnsi="Arial"/>
          <w:sz w:val="15"/>
          <w:szCs w:val="15"/>
          <w:color w:val="212121"/>
        </w:rPr>
        <w:t>(i)</w:t>
      </w:r>
      <w:r>
        <w:rPr>
          <w:rFonts w:ascii="Arial" w:cs="Arial" w:eastAsia="Arial" w:hAnsi="Arial"/>
          <w:sz w:val="16"/>
          <w:szCs w:val="16"/>
          <w:b w:val="1"/>
          <w:bCs w:val="1"/>
          <w:color w:val="212121"/>
        </w:rPr>
        <w:t xml:space="preserve"> </w:t>
      </w:r>
      <w:r>
        <w:rPr>
          <w:rFonts w:ascii="Arial" w:cs="Arial" w:eastAsia="Arial" w:hAnsi="Arial"/>
          <w:sz w:val="16"/>
          <w:szCs w:val="16"/>
          <w:color w:val="212121"/>
        </w:rPr>
        <w:t>trading activities that utilize trading strategies that constitute Algorithmic Liquidity Trading or Jaguar Trading or</w:t>
      </w:r>
    </w:p>
    <w:p>
      <w:pPr>
        <w:spacing w:after="0" w:line="43" w:lineRule="exact"/>
        <w:rPr>
          <w:rFonts w:ascii="Arial" w:cs="Arial" w:eastAsia="Arial" w:hAnsi="Arial"/>
          <w:sz w:val="16"/>
          <w:szCs w:val="16"/>
          <w:color w:val="auto"/>
        </w:rPr>
      </w:pPr>
    </w:p>
    <w:p>
      <w:pPr>
        <w:ind w:left="341" w:right="340" w:hanging="9"/>
        <w:spacing w:after="0" w:line="275" w:lineRule="auto"/>
        <w:tabs>
          <w:tab w:leader="none" w:pos="599" w:val="left"/>
        </w:tabs>
        <w:numPr>
          <w:ilvl w:val="2"/>
          <w:numId w:val="46"/>
        </w:numPr>
        <w:rPr>
          <w:rFonts w:ascii="Arial" w:cs="Arial" w:eastAsia="Arial" w:hAnsi="Arial"/>
          <w:sz w:val="17"/>
          <w:szCs w:val="17"/>
          <w:color w:val="212121"/>
        </w:rPr>
      </w:pPr>
      <w:r>
        <w:rPr>
          <w:rFonts w:ascii="Arial" w:cs="Arial" w:eastAsia="Arial" w:hAnsi="Arial"/>
          <w:sz w:val="17"/>
          <w:szCs w:val="17"/>
          <w:color w:val="212121"/>
        </w:rPr>
        <w:t>any other strategy in which the Company Parties engage in a material way or have concrete plans to engage in a material way as of the Relevant Date, in each case as reasonably determined by the Company.</w:t>
      </w:r>
    </w:p>
    <w:p>
      <w:pPr>
        <w:spacing w:after="0" w:line="164" w:lineRule="exact"/>
        <w:rPr>
          <w:sz w:val="20"/>
          <w:szCs w:val="20"/>
          <w:color w:val="auto"/>
        </w:rPr>
      </w:pPr>
    </w:p>
    <w:p>
      <w:pPr>
        <w:ind w:left="321" w:right="160" w:hanging="321"/>
        <w:spacing w:after="0" w:line="297" w:lineRule="auto"/>
        <w:tabs>
          <w:tab w:leader="none" w:pos="304"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212121"/>
        </w:rPr>
        <w:t xml:space="preserve">"Termination Date" </w:t>
      </w:r>
      <w:r>
        <w:rPr>
          <w:rFonts w:ascii="Arial" w:cs="Arial" w:eastAsia="Arial" w:hAnsi="Arial"/>
          <w:sz w:val="17"/>
          <w:szCs w:val="17"/>
          <w:color w:val="212121"/>
        </w:rPr>
        <w:t>means, the date the Participant ceases to be employed by the Company, Virtu Financial LLC or any of their respective controlled</w:t>
      </w:r>
      <w:r>
        <w:rPr>
          <w:rFonts w:ascii="Arial" w:cs="Arial" w:eastAsia="Arial" w:hAnsi="Arial"/>
          <w:sz w:val="17"/>
          <w:szCs w:val="17"/>
          <w:b w:val="1"/>
          <w:bCs w:val="1"/>
          <w:color w:val="212121"/>
        </w:rPr>
        <w:t xml:space="preserve"> </w:t>
      </w:r>
      <w:r>
        <w:rPr>
          <w:rFonts w:ascii="Arial" w:cs="Arial" w:eastAsia="Arial" w:hAnsi="Arial"/>
          <w:sz w:val="17"/>
          <w:szCs w:val="17"/>
          <w:color w:val="212121"/>
        </w:rPr>
        <w:t>Affiliates.</w:t>
      </w: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1"/>
          </w:cols>
          <w:pgMar w:left="639" w:top="481" w:right="239" w:bottom="1440" w:gutter="0" w:footer="0" w:header="0"/>
        </w:sectPr>
      </w:pPr>
    </w:p>
    <w:bookmarkStart w:id="99" w:name="page100"/>
    <w:bookmarkEnd w:id="99"/>
    <w:p>
      <w:pPr>
        <w:ind w:left="4480"/>
        <w:spacing w:after="0"/>
        <w:rPr>
          <w:sz w:val="20"/>
          <w:szCs w:val="20"/>
          <w:color w:val="auto"/>
        </w:rPr>
      </w:pPr>
      <w:r>
        <w:rPr>
          <w:rFonts w:ascii="Arial" w:cs="Arial" w:eastAsia="Arial" w:hAnsi="Arial"/>
          <w:sz w:val="17"/>
          <w:szCs w:val="17"/>
          <w:b w:val="1"/>
          <w:bCs w:val="1"/>
          <w:color w:val="1F1F1F"/>
        </w:rPr>
        <w:t>Schedule 1 of Exhibit A Restricted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100" w:type="dxa"/>
        <w:tblCellMar>
          <w:top w:w="0" w:type="dxa"/>
          <w:left w:w="0" w:type="dxa"/>
          <w:bottom w:w="0" w:type="dxa"/>
          <w:right w:w="0" w:type="dxa"/>
        </w:tblCellMar>
      </w:tblPr>
      <w:tr>
        <w:trPr>
          <w:trHeight w:val="280"/>
        </w:trPr>
        <w:tc>
          <w:tcPr>
            <w:tcW w:w="3400" w:type="dxa"/>
            <w:vAlign w:val="bottom"/>
          </w:tcPr>
          <w:p>
            <w:pPr>
              <w:spacing w:after="0"/>
              <w:rPr>
                <w:sz w:val="20"/>
                <w:szCs w:val="20"/>
                <w:color w:val="auto"/>
              </w:rPr>
            </w:pPr>
            <w:r>
              <w:rPr>
                <w:rFonts w:ascii="Arial" w:cs="Arial" w:eastAsia="Arial" w:hAnsi="Arial"/>
                <w:sz w:val="21"/>
                <w:szCs w:val="21"/>
                <w:color w:val="auto"/>
              </w:rPr>
              <w:t>All Options</w:t>
            </w:r>
          </w:p>
        </w:tc>
        <w:tc>
          <w:tcPr>
            <w:tcW w:w="2980" w:type="dxa"/>
            <w:vAlign w:val="bottom"/>
          </w:tcPr>
          <w:p>
            <w:pPr>
              <w:ind w:left="640"/>
              <w:spacing w:after="0"/>
              <w:rPr>
                <w:sz w:val="20"/>
                <w:szCs w:val="20"/>
                <w:color w:val="auto"/>
              </w:rPr>
            </w:pPr>
            <w:r>
              <w:rPr>
                <w:rFonts w:ascii="Arial" w:cs="Arial" w:eastAsia="Arial" w:hAnsi="Arial"/>
                <w:sz w:val="21"/>
                <w:szCs w:val="21"/>
                <w:color w:val="auto"/>
              </w:rPr>
              <w:t>Jump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Allston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KCG Holdings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AQR</w:t>
            </w:r>
          </w:p>
        </w:tc>
        <w:tc>
          <w:tcPr>
            <w:tcW w:w="2980" w:type="dxa"/>
            <w:vAlign w:val="bottom"/>
          </w:tcPr>
          <w:p>
            <w:pPr>
              <w:ind w:left="640"/>
              <w:spacing w:after="0"/>
              <w:rPr>
                <w:sz w:val="20"/>
                <w:szCs w:val="20"/>
                <w:color w:val="auto"/>
              </w:rPr>
            </w:pPr>
            <w:r>
              <w:rPr>
                <w:rFonts w:ascii="Arial" w:cs="Arial" w:eastAsia="Arial" w:hAnsi="Arial"/>
                <w:sz w:val="21"/>
                <w:szCs w:val="21"/>
                <w:color w:val="auto"/>
              </w:rPr>
              <w:t>Millenium</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Athena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Nyenburgh</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w:t>
            </w:r>
          </w:p>
        </w:tc>
        <w:tc>
          <w:tcPr>
            <w:tcW w:w="2980" w:type="dxa"/>
            <w:vAlign w:val="bottom"/>
          </w:tcPr>
          <w:p>
            <w:pPr>
              <w:ind w:left="640"/>
              <w:spacing w:after="0"/>
              <w:rPr>
                <w:sz w:val="20"/>
                <w:szCs w:val="20"/>
                <w:color w:val="auto"/>
              </w:rPr>
            </w:pPr>
            <w:r>
              <w:rPr>
                <w:rFonts w:ascii="Arial" w:cs="Arial" w:eastAsia="Arial" w:hAnsi="Arial"/>
                <w:sz w:val="21"/>
                <w:szCs w:val="21"/>
                <w:color w:val="auto"/>
              </w:rPr>
              <w:t>Optiver</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Automated Trading Desk</w:t>
            </w:r>
          </w:p>
        </w:tc>
        <w:tc>
          <w:tcPr>
            <w:tcW w:w="2980" w:type="dxa"/>
            <w:vAlign w:val="bottom"/>
          </w:tcPr>
          <w:p>
            <w:pPr>
              <w:ind w:left="640"/>
              <w:spacing w:after="0"/>
              <w:rPr>
                <w:sz w:val="20"/>
                <w:szCs w:val="20"/>
                <w:color w:val="auto"/>
              </w:rPr>
            </w:pPr>
            <w:r>
              <w:rPr>
                <w:rFonts w:ascii="Arial" w:cs="Arial" w:eastAsia="Arial" w:hAnsi="Arial"/>
                <w:sz w:val="21"/>
                <w:szCs w:val="21"/>
                <w:color w:val="auto"/>
              </w:rPr>
              <w:t>Peak 6</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Blue Fire Capital</w:t>
            </w:r>
          </w:p>
        </w:tc>
        <w:tc>
          <w:tcPr>
            <w:tcW w:w="2980" w:type="dxa"/>
            <w:vAlign w:val="bottom"/>
          </w:tcPr>
          <w:p>
            <w:pPr>
              <w:ind w:left="640"/>
              <w:spacing w:after="0"/>
              <w:rPr>
                <w:sz w:val="20"/>
                <w:szCs w:val="20"/>
                <w:color w:val="auto"/>
              </w:rPr>
            </w:pPr>
            <w:r>
              <w:rPr>
                <w:rFonts w:ascii="Arial" w:cs="Arial" w:eastAsia="Arial" w:hAnsi="Arial"/>
                <w:sz w:val="21"/>
                <w:szCs w:val="21"/>
                <w:color w:val="auto"/>
                <w:w w:val="92"/>
              </w:rPr>
              <w:t>Point72 (f/k/a SAC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Breakwater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Quantlab</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Buttonwood</w:t>
            </w:r>
          </w:p>
        </w:tc>
        <w:tc>
          <w:tcPr>
            <w:tcW w:w="2980" w:type="dxa"/>
            <w:vAlign w:val="bottom"/>
          </w:tcPr>
          <w:p>
            <w:pPr>
              <w:ind w:left="640"/>
              <w:spacing w:after="0"/>
              <w:rPr>
                <w:sz w:val="20"/>
                <w:szCs w:val="20"/>
                <w:color w:val="auto"/>
              </w:rPr>
            </w:pPr>
            <w:r>
              <w:rPr>
                <w:rFonts w:ascii="Arial" w:cs="Arial" w:eastAsia="Arial" w:hAnsi="Arial"/>
                <w:sz w:val="21"/>
                <w:szCs w:val="21"/>
                <w:color w:val="auto"/>
              </w:rPr>
              <w:t>Renaissance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Chicago Trading Company</w:t>
            </w:r>
          </w:p>
        </w:tc>
        <w:tc>
          <w:tcPr>
            <w:tcW w:w="2980" w:type="dxa"/>
            <w:vAlign w:val="bottom"/>
          </w:tcPr>
          <w:p>
            <w:pPr>
              <w:ind w:left="640"/>
              <w:spacing w:after="0"/>
              <w:rPr>
                <w:sz w:val="20"/>
                <w:szCs w:val="20"/>
                <w:color w:val="auto"/>
              </w:rPr>
            </w:pPr>
            <w:r>
              <w:rPr>
                <w:rFonts w:ascii="Arial" w:cs="Arial" w:eastAsia="Arial" w:hAnsi="Arial"/>
                <w:sz w:val="21"/>
                <w:szCs w:val="21"/>
                <w:color w:val="auto"/>
              </w:rPr>
              <w:t>RGM Advisors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Chopper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Ronin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Citadel</w:t>
            </w:r>
          </w:p>
        </w:tc>
        <w:tc>
          <w:tcPr>
            <w:tcW w:w="2980" w:type="dxa"/>
            <w:vAlign w:val="bottom"/>
          </w:tcPr>
          <w:p>
            <w:pPr>
              <w:ind w:left="640"/>
              <w:spacing w:after="0"/>
              <w:rPr>
                <w:sz w:val="20"/>
                <w:szCs w:val="20"/>
                <w:color w:val="auto"/>
              </w:rPr>
            </w:pPr>
            <w:r>
              <w:rPr>
                <w:rFonts w:ascii="Arial" w:cs="Arial" w:eastAsia="Arial" w:hAnsi="Arial"/>
                <w:sz w:val="21"/>
                <w:szCs w:val="21"/>
                <w:color w:val="auto"/>
              </w:rPr>
              <w:t>RSJ Algorithm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CTC</w:t>
            </w:r>
          </w:p>
        </w:tc>
        <w:tc>
          <w:tcPr>
            <w:tcW w:w="2980" w:type="dxa"/>
            <w:vAlign w:val="bottom"/>
          </w:tcPr>
          <w:p>
            <w:pPr>
              <w:ind w:left="640"/>
              <w:spacing w:after="0"/>
              <w:rPr>
                <w:sz w:val="20"/>
                <w:szCs w:val="20"/>
                <w:color w:val="auto"/>
              </w:rPr>
            </w:pPr>
            <w:r>
              <w:rPr>
                <w:rFonts w:ascii="Arial" w:cs="Arial" w:eastAsia="Arial" w:hAnsi="Arial"/>
                <w:sz w:val="21"/>
                <w:szCs w:val="21"/>
                <w:color w:val="auto"/>
              </w:rPr>
              <w:t>SIG Susquehanna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DE Shaw</w:t>
            </w:r>
          </w:p>
        </w:tc>
        <w:tc>
          <w:tcPr>
            <w:tcW w:w="2980" w:type="dxa"/>
            <w:vAlign w:val="bottom"/>
          </w:tcPr>
          <w:p>
            <w:pPr>
              <w:ind w:left="640"/>
              <w:spacing w:after="0"/>
              <w:rPr>
                <w:sz w:val="20"/>
                <w:szCs w:val="20"/>
                <w:color w:val="auto"/>
              </w:rPr>
            </w:pPr>
            <w:r>
              <w:rPr>
                <w:rFonts w:ascii="Arial" w:cs="Arial" w:eastAsia="Arial" w:hAnsi="Arial"/>
                <w:sz w:val="21"/>
                <w:szCs w:val="21"/>
                <w:color w:val="auto"/>
              </w:rPr>
              <w:t>Simplex Spot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DRW Trading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Sun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Final</w:t>
            </w:r>
          </w:p>
        </w:tc>
        <w:tc>
          <w:tcPr>
            <w:tcW w:w="2980" w:type="dxa"/>
            <w:vAlign w:val="bottom"/>
          </w:tcPr>
          <w:p>
            <w:pPr>
              <w:ind w:left="640"/>
              <w:spacing w:after="0"/>
              <w:rPr>
                <w:sz w:val="20"/>
                <w:szCs w:val="20"/>
                <w:color w:val="auto"/>
              </w:rPr>
            </w:pPr>
            <w:r>
              <w:rPr>
                <w:rFonts w:ascii="Arial" w:cs="Arial" w:eastAsia="Arial" w:hAnsi="Arial"/>
                <w:sz w:val="21"/>
                <w:szCs w:val="21"/>
                <w:color w:val="auto"/>
              </w:rPr>
              <w:t>Teza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Flow Traders</w:t>
            </w:r>
          </w:p>
        </w:tc>
        <w:tc>
          <w:tcPr>
            <w:tcW w:w="2980" w:type="dxa"/>
            <w:vAlign w:val="bottom"/>
          </w:tcPr>
          <w:p>
            <w:pPr>
              <w:ind w:left="640"/>
              <w:spacing w:after="0"/>
              <w:rPr>
                <w:sz w:val="20"/>
                <w:szCs w:val="20"/>
                <w:color w:val="auto"/>
              </w:rPr>
            </w:pPr>
            <w:r>
              <w:rPr>
                <w:rFonts w:ascii="Arial" w:cs="Arial" w:eastAsia="Arial" w:hAnsi="Arial"/>
                <w:sz w:val="21"/>
                <w:szCs w:val="21"/>
                <w:color w:val="auto"/>
              </w:rPr>
              <w:t>Tibra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Gelber</w:t>
            </w:r>
          </w:p>
        </w:tc>
        <w:tc>
          <w:tcPr>
            <w:tcW w:w="2980" w:type="dxa"/>
            <w:vAlign w:val="bottom"/>
          </w:tcPr>
          <w:p>
            <w:pPr>
              <w:ind w:left="640"/>
              <w:spacing w:after="0"/>
              <w:rPr>
                <w:sz w:val="20"/>
                <w:szCs w:val="20"/>
                <w:color w:val="auto"/>
              </w:rPr>
            </w:pPr>
            <w:r>
              <w:rPr>
                <w:rFonts w:ascii="Arial" w:cs="Arial" w:eastAsia="Arial" w:hAnsi="Arial"/>
                <w:sz w:val="21"/>
                <w:szCs w:val="21"/>
                <w:color w:val="auto"/>
              </w:rPr>
              <w:t>Tower Research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Hard 8 Future</w:t>
            </w:r>
          </w:p>
        </w:tc>
        <w:tc>
          <w:tcPr>
            <w:tcW w:w="2980" w:type="dxa"/>
            <w:vAlign w:val="bottom"/>
          </w:tcPr>
          <w:p>
            <w:pPr>
              <w:ind w:left="640"/>
              <w:spacing w:after="0"/>
              <w:rPr>
                <w:sz w:val="20"/>
                <w:szCs w:val="20"/>
                <w:color w:val="auto"/>
              </w:rPr>
            </w:pPr>
            <w:r>
              <w:rPr>
                <w:rFonts w:ascii="Arial" w:cs="Arial" w:eastAsia="Arial" w:hAnsi="Arial"/>
                <w:sz w:val="21"/>
                <w:szCs w:val="21"/>
                <w:color w:val="auto"/>
              </w:rPr>
              <w:t>Tradebot</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Headlands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Tradeworx</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Hudson River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Trading Machine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IBKR</w:t>
            </w:r>
          </w:p>
        </w:tc>
        <w:tc>
          <w:tcPr>
            <w:tcW w:w="2980" w:type="dxa"/>
            <w:vAlign w:val="bottom"/>
          </w:tcPr>
          <w:p>
            <w:pPr>
              <w:ind w:left="640"/>
              <w:spacing w:after="0"/>
              <w:rPr>
                <w:sz w:val="20"/>
                <w:szCs w:val="20"/>
                <w:color w:val="auto"/>
              </w:rPr>
            </w:pPr>
            <w:r>
              <w:rPr>
                <w:rFonts w:ascii="Arial" w:cs="Arial" w:eastAsia="Arial" w:hAnsi="Arial"/>
                <w:sz w:val="21"/>
                <w:szCs w:val="21"/>
                <w:color w:val="auto"/>
              </w:rPr>
              <w:t>TransMarket Group</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IMC Asset Management</w:t>
            </w:r>
          </w:p>
        </w:tc>
        <w:tc>
          <w:tcPr>
            <w:tcW w:w="2980" w:type="dxa"/>
            <w:vAlign w:val="bottom"/>
          </w:tcPr>
          <w:p>
            <w:pPr>
              <w:ind w:left="640"/>
              <w:spacing w:after="0"/>
              <w:rPr>
                <w:sz w:val="20"/>
                <w:szCs w:val="20"/>
                <w:color w:val="auto"/>
              </w:rPr>
            </w:pPr>
            <w:r>
              <w:rPr>
                <w:rFonts w:ascii="Arial" w:cs="Arial" w:eastAsia="Arial" w:hAnsi="Arial"/>
                <w:sz w:val="21"/>
                <w:szCs w:val="21"/>
                <w:color w:val="auto"/>
              </w:rPr>
              <w:t>Two Sigma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Infinium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Wolverine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Interactive Brokers (Timber Hill)</w:t>
            </w:r>
          </w:p>
        </w:tc>
        <w:tc>
          <w:tcPr>
            <w:tcW w:w="2980" w:type="dxa"/>
            <w:vAlign w:val="bottom"/>
          </w:tcPr>
          <w:p>
            <w:pPr>
              <w:ind w:left="640"/>
              <w:spacing w:after="0"/>
              <w:rPr>
                <w:sz w:val="20"/>
                <w:szCs w:val="20"/>
                <w:color w:val="auto"/>
              </w:rPr>
            </w:pPr>
            <w:r>
              <w:rPr>
                <w:rFonts w:ascii="Arial" w:cs="Arial" w:eastAsia="Arial" w:hAnsi="Arial"/>
                <w:sz w:val="21"/>
                <w:szCs w:val="21"/>
                <w:color w:val="auto"/>
              </w:rPr>
              <w:t>Xambala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International Algorithmic</w:t>
            </w:r>
          </w:p>
        </w:tc>
        <w:tc>
          <w:tcPr>
            <w:tcW w:w="2980" w:type="dxa"/>
            <w:vAlign w:val="bottom"/>
          </w:tcPr>
          <w:p>
            <w:pPr>
              <w:ind w:left="640"/>
              <w:spacing w:after="0"/>
              <w:rPr>
                <w:sz w:val="20"/>
                <w:szCs w:val="20"/>
                <w:color w:val="auto"/>
              </w:rPr>
            </w:pPr>
            <w:r>
              <w:rPr>
                <w:rFonts w:ascii="Arial" w:cs="Arial" w:eastAsia="Arial" w:hAnsi="Arial"/>
                <w:sz w:val="21"/>
                <w:szCs w:val="21"/>
                <w:color w:val="auto"/>
              </w:rPr>
              <w:t>Zomojo</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Jane Street</w:t>
            </w:r>
          </w:p>
        </w:tc>
        <w:tc>
          <w:tcPr>
            <w:tcW w:w="2980" w:type="dxa"/>
            <w:vAlign w:val="bottom"/>
          </w:tcPr>
          <w:p>
            <w:pPr>
              <w:spacing w:after="0"/>
              <w:rPr>
                <w:sz w:val="24"/>
                <w:szCs w:val="24"/>
                <w:color w:val="auto"/>
              </w:rPr>
            </w:pPr>
          </w:p>
        </w:tc>
      </w:tr>
      <w:tr>
        <w:trPr>
          <w:trHeight w:val="935"/>
        </w:trPr>
        <w:tc>
          <w:tcPr>
            <w:tcW w:w="3400" w:type="dxa"/>
            <w:vAlign w:val="bottom"/>
          </w:tcPr>
          <w:p>
            <w:pPr>
              <w:ind w:left="1380"/>
              <w:spacing w:after="0"/>
              <w:rPr>
                <w:sz w:val="20"/>
                <w:szCs w:val="20"/>
                <w:color w:val="auto"/>
              </w:rPr>
            </w:pPr>
            <w:r>
              <w:rPr>
                <w:rFonts w:ascii="Arial" w:cs="Arial" w:eastAsia="Arial" w:hAnsi="Arial"/>
                <w:sz w:val="17"/>
                <w:szCs w:val="17"/>
                <w:color w:val="auto"/>
              </w:rPr>
              <w:t>6</w:t>
            </w:r>
          </w:p>
        </w:tc>
        <w:tc>
          <w:tcPr>
            <w:tcW w:w="2980" w:type="dxa"/>
            <w:vAlign w:val="bottom"/>
          </w:tcPr>
          <w:p>
            <w:pPr>
              <w:spacing w:after="0"/>
              <w:rPr>
                <w:sz w:val="24"/>
                <w:szCs w:val="24"/>
                <w:color w:val="auto"/>
              </w:rPr>
            </w:pPr>
          </w:p>
        </w:tc>
      </w:tr>
    </w:tbl>
    <w:p>
      <w:pPr>
        <w:sectPr>
          <w:pgSz w:w="11900" w:h="16838" w:orient="portrait"/>
          <w:cols w:equalWidth="0" w:num="1">
            <w:col w:w="9480"/>
          </w:cols>
          <w:pgMar w:left="1440" w:top="554" w:right="9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9"/>
          <w:szCs w:val="19"/>
          <w:b w:val="1"/>
          <w:bCs w:val="1"/>
          <w:color w:val="auto"/>
        </w:rPr>
        <w:t>EXECUTION COPY</w:t>
      </w:r>
    </w:p>
    <w:p>
      <w:pPr>
        <w:spacing w:after="0" w:line="200" w:lineRule="exact"/>
        <w:rPr>
          <w:sz w:val="20"/>
          <w:szCs w:val="20"/>
          <w:color w:val="auto"/>
        </w:rPr>
      </w:pPr>
    </w:p>
    <w:p>
      <w:pPr>
        <w:spacing w:after="0" w:line="238" w:lineRule="exact"/>
        <w:rPr>
          <w:sz w:val="20"/>
          <w:szCs w:val="20"/>
          <w:color w:val="auto"/>
        </w:rPr>
      </w:pPr>
    </w:p>
    <w:p>
      <w:pPr>
        <w:jc w:val="center"/>
        <w:ind w:left="24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2604" w:right="1900" w:firstLine="1794"/>
        <w:spacing w:after="0" w:line="257" w:lineRule="auto"/>
        <w:rPr>
          <w:sz w:val="20"/>
          <w:szCs w:val="20"/>
          <w:color w:val="auto"/>
        </w:rPr>
      </w:pPr>
      <w:r>
        <w:rPr>
          <w:rFonts w:ascii="Arial" w:cs="Arial" w:eastAsia="Arial" w:hAnsi="Arial"/>
          <w:sz w:val="19"/>
          <w:szCs w:val="19"/>
          <w:b w:val="1"/>
          <w:bCs w:val="1"/>
          <w:color w:val="auto"/>
        </w:rPr>
        <w:t xml:space="preserve">2015 MANAGEMENT INCENTIVE PLAN EMPLOYEE </w:t>
      </w:r>
      <w:r>
        <w:rPr>
          <w:rFonts w:ascii="Arial" w:cs="Arial" w:eastAsia="Arial" w:hAnsi="Arial"/>
          <w:sz w:val="19"/>
          <w:szCs w:val="19"/>
          <w:b w:val="1"/>
          <w:bCs w:val="1"/>
          <w:u w:val="single" w:color="auto"/>
          <w:color w:val="auto"/>
        </w:rPr>
        <w:t>RESTRICTED STOCK UNIT AND COMMON STOCK AWARD AGREEMENT</w:t>
      </w:r>
    </w:p>
    <w:p>
      <w:pPr>
        <w:spacing w:after="0" w:line="133" w:lineRule="exact"/>
        <w:rPr>
          <w:sz w:val="20"/>
          <w:szCs w:val="20"/>
          <w:color w:val="auto"/>
        </w:rPr>
      </w:pPr>
    </w:p>
    <w:p>
      <w:pPr>
        <w:ind w:left="624" w:right="200"/>
        <w:spacing w:after="0" w:line="274"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December 31, 2016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Stephen Cavoli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left="4" w:right="100" w:firstLine="630"/>
        <w:spacing w:after="0" w:line="274" w:lineRule="auto"/>
        <w:rPr>
          <w:sz w:val="20"/>
          <w:szCs w:val="20"/>
          <w:color w:val="auto"/>
        </w:rPr>
      </w:pPr>
      <w:r>
        <w:rPr>
          <w:rFonts w:ascii="Arial" w:cs="Arial" w:eastAsia="Arial" w:hAnsi="Arial"/>
          <w:sz w:val="19"/>
          <w:szCs w:val="19"/>
          <w:color w:val="auto"/>
        </w:rPr>
        <w:t>WHEREAS, the Company has adopted the Virtu Financial, Inc.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left="4" w:right="40"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2016 through December 31, 2016, and RSUs provided for herein to the Participant subject to the terms set forth herein.</w:t>
      </w:r>
    </w:p>
    <w:p>
      <w:pPr>
        <w:spacing w:after="0" w:line="84" w:lineRule="exact"/>
        <w:rPr>
          <w:sz w:val="20"/>
          <w:szCs w:val="20"/>
          <w:color w:val="auto"/>
        </w:rPr>
      </w:pPr>
    </w:p>
    <w:p>
      <w:pPr>
        <w:ind w:left="4" w:right="2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9" w:lineRule="exact"/>
        <w:rPr>
          <w:sz w:val="20"/>
          <w:szCs w:val="20"/>
          <w:color w:val="auto"/>
        </w:rPr>
      </w:pPr>
    </w:p>
    <w:p>
      <w:pPr>
        <w:ind w:left="744" w:hanging="744"/>
        <w:spacing w:after="0"/>
        <w:tabs>
          <w:tab w:leader="none" w:pos="74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33" w:lineRule="exact"/>
        <w:rPr>
          <w:rFonts w:ascii="Arial" w:cs="Arial" w:eastAsia="Arial" w:hAnsi="Arial"/>
          <w:sz w:val="19"/>
          <w:szCs w:val="19"/>
          <w:b w:val="1"/>
          <w:bCs w:val="1"/>
          <w:color w:val="auto"/>
        </w:rPr>
      </w:pPr>
    </w:p>
    <w:p>
      <w:pPr>
        <w:ind w:left="4" w:right="120" w:firstLine="626"/>
        <w:spacing w:after="0" w:line="250" w:lineRule="auto"/>
        <w:tabs>
          <w:tab w:leader="none" w:pos="1023"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shares of Class A Common Stock equal to $60,000.00 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$90,000.00 divided by the Issue Price, in each case on the terms and conditions set forth in this Agreement and as otherwise provided in the Plan. The RSUs shall be credited to a separate book- 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83" w:lineRule="exact"/>
        <w:rPr>
          <w:rFonts w:ascii="Arial" w:cs="Arial" w:eastAsia="Arial" w:hAnsi="Arial"/>
          <w:sz w:val="19"/>
          <w:szCs w:val="19"/>
          <w:color w:val="auto"/>
        </w:rPr>
      </w:pPr>
    </w:p>
    <w:p>
      <w:pPr>
        <w:ind w:left="4" w:right="20" w:firstLine="626"/>
        <w:spacing w:after="0" w:line="266" w:lineRule="auto"/>
        <w:tabs>
          <w:tab w:leader="none" w:pos="1033"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24" w:hanging="624"/>
        <w:spacing w:after="0"/>
        <w:tabs>
          <w:tab w:leader="none" w:pos="62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Vesting; Settlement of Restricted Stock Units.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27" w:lineRule="exact"/>
        <w:rPr>
          <w:rFonts w:ascii="Arial" w:cs="Arial" w:eastAsia="Arial" w:hAnsi="Arial"/>
          <w:sz w:val="19"/>
          <w:szCs w:val="19"/>
          <w:color w:val="auto"/>
        </w:rPr>
      </w:pPr>
    </w:p>
    <w:p>
      <w:pPr>
        <w:ind w:left="4" w:right="160" w:firstLine="626"/>
        <w:spacing w:after="0" w:line="259" w:lineRule="auto"/>
        <w:tabs>
          <w:tab w:leader="none" w:pos="1033" w:val="left"/>
        </w:tabs>
        <w:numPr>
          <w:ilvl w:val="1"/>
          <w:numId w:val="48"/>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Upon</w:t>
      </w:r>
    </w:p>
    <w:p>
      <w:pPr>
        <w:sectPr>
          <w:pgSz w:w="11900" w:h="16838" w:orient="portrait"/>
          <w:cols w:equalWidth="0" w:num="1">
            <w:col w:w="11244"/>
          </w:cols>
          <w:pgMar w:left="416" w:top="182" w:right="239" w:bottom="1440" w:gutter="0" w:footer="0" w:header="0"/>
        </w:sectPr>
      </w:pPr>
    </w:p>
    <w:bookmarkStart w:id="101" w:name="page102"/>
    <w:bookmarkEnd w:id="101"/>
    <w:p>
      <w:pPr>
        <w:ind w:left="4" w:right="140"/>
        <w:spacing w:after="0" w:line="259" w:lineRule="auto"/>
        <w:rPr>
          <w:sz w:val="20"/>
          <w:szCs w:val="20"/>
          <w:color w:val="auto"/>
        </w:rPr>
      </w:pPr>
      <w:r>
        <w:rPr>
          <w:rFonts w:ascii="Arial" w:cs="Arial" w:eastAsia="Arial" w:hAnsi="Arial"/>
          <w:sz w:val="19"/>
          <w:szCs w:val="19"/>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5" w:lineRule="exact"/>
        <w:rPr>
          <w:sz w:val="20"/>
          <w:szCs w:val="20"/>
          <w:color w:val="auto"/>
        </w:rPr>
      </w:pPr>
    </w:p>
    <w:p>
      <w:pPr>
        <w:ind w:left="4" w:right="20" w:firstLine="626"/>
        <w:spacing w:after="0" w:line="274" w:lineRule="auto"/>
        <w:tabs>
          <w:tab w:leader="none" w:pos="1023" w:val="left"/>
        </w:tabs>
        <w:numPr>
          <w:ilvl w:val="1"/>
          <w:numId w:val="49"/>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64" w:lineRule="exact"/>
        <w:rPr>
          <w:rFonts w:ascii="Arial" w:cs="Arial" w:eastAsia="Arial" w:hAnsi="Arial"/>
          <w:sz w:val="19"/>
          <w:szCs w:val="19"/>
          <w:color w:val="auto"/>
        </w:rPr>
      </w:pPr>
    </w:p>
    <w:p>
      <w:pPr>
        <w:jc w:val="both"/>
        <w:ind w:left="4" w:right="260" w:hanging="4"/>
        <w:spacing w:after="0" w:line="285"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82" w:lineRule="exact"/>
        <w:rPr>
          <w:rFonts w:ascii="Arial" w:cs="Arial" w:eastAsia="Arial" w:hAnsi="Arial"/>
          <w:sz w:val="19"/>
          <w:szCs w:val="19"/>
          <w:b w:val="1"/>
          <w:bCs w:val="1"/>
          <w:color w:val="auto"/>
        </w:rPr>
      </w:pPr>
    </w:p>
    <w:p>
      <w:pPr>
        <w:ind w:left="4" w:hanging="4"/>
        <w:spacing w:after="0" w:line="292"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all unvested RSUs shall be cancelled immediately and the Participant shall not be entitled to receive any payments with respect thereto.</w:t>
      </w:r>
    </w:p>
    <w:p>
      <w:pPr>
        <w:spacing w:after="0" w:line="160" w:lineRule="exact"/>
        <w:rPr>
          <w:rFonts w:ascii="Arial" w:cs="Arial" w:eastAsia="Arial" w:hAnsi="Arial"/>
          <w:sz w:val="19"/>
          <w:szCs w:val="19"/>
          <w:b w:val="1"/>
          <w:bCs w:val="1"/>
          <w:color w:val="auto"/>
        </w:rPr>
      </w:pPr>
    </w:p>
    <w:p>
      <w:pPr>
        <w:ind w:left="4" w:hanging="4"/>
        <w:spacing w:after="0" w:line="281"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8" w:lineRule="exact"/>
        <w:rPr>
          <w:rFonts w:ascii="Arial" w:cs="Arial" w:eastAsia="Arial" w:hAnsi="Arial"/>
          <w:sz w:val="19"/>
          <w:szCs w:val="19"/>
          <w:b w:val="1"/>
          <w:bCs w:val="1"/>
          <w:color w:val="auto"/>
        </w:rPr>
      </w:pPr>
    </w:p>
    <w:p>
      <w:pPr>
        <w:ind w:left="624" w:hanging="624"/>
        <w:spacing w:after="0"/>
        <w:tabs>
          <w:tab w:leader="none" w:pos="62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left="4" w:right="20" w:firstLine="626"/>
        <w:spacing w:after="0" w:line="269" w:lineRule="auto"/>
        <w:tabs>
          <w:tab w:leader="none" w:pos="102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8"/>
          <w:szCs w:val="18"/>
          <w:color w:val="auto"/>
        </w:rPr>
      </w:pPr>
    </w:p>
    <w:p>
      <w:pPr>
        <w:ind w:left="4" w:right="40" w:firstLine="626"/>
        <w:spacing w:after="0" w:line="263" w:lineRule="auto"/>
        <w:tabs>
          <w:tab w:leader="none" w:pos="103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90"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4"/>
          </w:cols>
          <w:pgMar w:left="416" w:top="425" w:right="279" w:bottom="1440" w:gutter="0" w:footer="0" w:header="0"/>
        </w:sectPr>
      </w:pPr>
    </w:p>
    <w:bookmarkStart w:id="102" w:name="page103"/>
    <w:bookmarkEnd w:id="102"/>
    <w:p>
      <w:pPr>
        <w:ind w:left="4" w:hanging="4"/>
        <w:spacing w:after="0" w:line="311" w:lineRule="auto"/>
        <w:tabs>
          <w:tab w:leader="none" w:pos="779"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Shares and RSU award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41" w:lineRule="exact"/>
        <w:rPr>
          <w:rFonts w:ascii="Arial" w:cs="Arial" w:eastAsia="Arial" w:hAnsi="Arial"/>
          <w:sz w:val="17"/>
          <w:szCs w:val="17"/>
          <w:b w:val="1"/>
          <w:bCs w:val="1"/>
          <w:color w:val="auto"/>
        </w:rPr>
      </w:pPr>
    </w:p>
    <w:p>
      <w:pPr>
        <w:ind w:left="624" w:hanging="624"/>
        <w:spacing w:after="0"/>
        <w:tabs>
          <w:tab w:leader="none" w:pos="624"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Participant shall be subject to the confidentiality and restrictive covenants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201" w:lineRule="exact"/>
        <w:rPr>
          <w:rFonts w:ascii="Arial" w:cs="Arial" w:eastAsia="Arial" w:hAnsi="Arial"/>
          <w:sz w:val="19"/>
          <w:szCs w:val="19"/>
          <w:color w:val="auto"/>
        </w:rPr>
      </w:pPr>
    </w:p>
    <w:p>
      <w:pPr>
        <w:ind w:left="4" w:right="20" w:firstLine="626"/>
        <w:spacing w:after="0" w:line="252" w:lineRule="auto"/>
        <w:tabs>
          <w:tab w:leader="none" w:pos="1033"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5" w:lineRule="exact"/>
        <w:rPr>
          <w:rFonts w:ascii="Arial" w:cs="Arial" w:eastAsia="Arial" w:hAnsi="Arial"/>
          <w:sz w:val="19"/>
          <w:szCs w:val="19"/>
          <w:color w:val="auto"/>
        </w:rPr>
      </w:pPr>
    </w:p>
    <w:p>
      <w:pPr>
        <w:ind w:left="764" w:hanging="764"/>
        <w:spacing w:after="0"/>
        <w:tabs>
          <w:tab w:leader="none" w:pos="764"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3" w:lineRule="exact"/>
        <w:rPr>
          <w:rFonts w:ascii="Arial" w:cs="Arial" w:eastAsia="Arial" w:hAnsi="Arial"/>
          <w:sz w:val="19"/>
          <w:szCs w:val="19"/>
          <w:b w:val="1"/>
          <w:bCs w:val="1"/>
          <w:color w:val="auto"/>
        </w:rPr>
      </w:pPr>
    </w:p>
    <w:p>
      <w:pPr>
        <w:ind w:left="1024" w:hanging="394"/>
        <w:spacing w:after="0"/>
        <w:tabs>
          <w:tab w:leader="none" w:pos="102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left="4" w:right="1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ind w:left="4" w:firstLine="626"/>
        <w:spacing w:after="0" w:line="254" w:lineRule="auto"/>
        <w:tabs>
          <w:tab w:leader="none" w:pos="103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0" w:lineRule="exact"/>
        <w:rPr>
          <w:rFonts w:ascii="Arial" w:cs="Arial" w:eastAsia="Arial" w:hAnsi="Arial"/>
          <w:sz w:val="19"/>
          <w:szCs w:val="19"/>
          <w:color w:val="auto"/>
        </w:rPr>
      </w:pPr>
    </w:p>
    <w:p>
      <w:pPr>
        <w:ind w:left="1024" w:hanging="394"/>
        <w:spacing w:after="0"/>
        <w:tabs>
          <w:tab w:leader="none" w:pos="10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409A of the Code. Notwithstanding the foregoing or any provision of the Plan or this Agreement,</w:t>
      </w:r>
    </w:p>
    <w:p>
      <w:pPr>
        <w:spacing w:after="0" w:line="200" w:lineRule="exact"/>
        <w:rPr>
          <w:sz w:val="20"/>
          <w:szCs w:val="20"/>
          <w:color w:val="auto"/>
        </w:rPr>
      </w:pPr>
    </w:p>
    <w:p>
      <w:pPr>
        <w:spacing w:after="0" w:line="239" w:lineRule="exact"/>
        <w:rPr>
          <w:sz w:val="20"/>
          <w:szCs w:val="20"/>
          <w:color w:val="auto"/>
        </w:rPr>
      </w:pPr>
    </w:p>
    <w:p>
      <w:pPr>
        <w:jc w:val="center"/>
        <w:ind w:right="136"/>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4"/>
          </w:cols>
          <w:pgMar w:left="416" w:top="432" w:right="259" w:bottom="1440" w:gutter="0" w:footer="0" w:header="0"/>
        </w:sectPr>
      </w:pPr>
    </w:p>
    <w:bookmarkStart w:id="103" w:name="page104"/>
    <w:bookmarkEnd w:id="103"/>
    <w:p>
      <w:pPr>
        <w:ind w:right="20"/>
        <w:spacing w:after="0" w:line="250" w:lineRule="auto"/>
        <w:rPr>
          <w:sz w:val="20"/>
          <w:szCs w:val="20"/>
          <w:color w:val="auto"/>
        </w:rPr>
      </w:pPr>
      <w:r>
        <w:rPr>
          <w:rFonts w:ascii="Arial" w:cs="Arial" w:eastAsia="Arial" w:hAnsi="Arial"/>
          <w:sz w:val="19"/>
          <w:szCs w:val="19"/>
          <w:color w:val="auto"/>
        </w:rPr>
        <w:t>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9" w:lineRule="exact"/>
        <w:rPr>
          <w:sz w:val="20"/>
          <w:szCs w:val="20"/>
          <w:color w:val="auto"/>
        </w:rPr>
      </w:pPr>
    </w:p>
    <w:p>
      <w:pPr>
        <w:ind w:right="180" w:firstLine="626"/>
        <w:spacing w:after="0" w:line="259"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60" w:firstLine="626"/>
        <w:spacing w:after="0" w:line="252" w:lineRule="auto"/>
        <w:tabs>
          <w:tab w:leader="none" w:pos="101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jc w:val="both"/>
        <w:ind w:right="160" w:firstLine="626"/>
        <w:spacing w:after="0" w:line="259" w:lineRule="auto"/>
        <w:tabs>
          <w:tab w:leader="none" w:pos="997"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19"/>
          <w:szCs w:val="19"/>
          <w:color w:val="auto"/>
        </w:rPr>
      </w:pPr>
    </w:p>
    <w:p>
      <w:pPr>
        <w:ind w:right="80" w:firstLine="626"/>
        <w:spacing w:after="0" w:line="254"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0" w:lineRule="exact"/>
        <w:rPr>
          <w:rFonts w:ascii="Arial" w:cs="Arial" w:eastAsia="Arial" w:hAnsi="Arial"/>
          <w:sz w:val="19"/>
          <w:szCs w:val="19"/>
          <w:color w:val="auto"/>
        </w:rPr>
      </w:pPr>
    </w:p>
    <w:p>
      <w:pPr>
        <w:ind w:right="100" w:firstLine="626"/>
        <w:spacing w:after="0" w:line="259"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5" w:lineRule="exact"/>
        <w:rPr>
          <w:rFonts w:ascii="Arial" w:cs="Arial" w:eastAsia="Arial" w:hAnsi="Arial"/>
          <w:sz w:val="19"/>
          <w:szCs w:val="19"/>
          <w:color w:val="auto"/>
        </w:rPr>
      </w:pPr>
    </w:p>
    <w:p>
      <w:pPr>
        <w:ind w:right="160" w:firstLine="626"/>
        <w:spacing w:after="0" w:line="274" w:lineRule="auto"/>
        <w:tabs>
          <w:tab w:leader="none" w:pos="98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520" w:firstLine="626"/>
        <w:spacing w:after="0" w:line="335" w:lineRule="auto"/>
        <w:tabs>
          <w:tab w:leader="none" w:pos="98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7"/>
          <w:szCs w:val="17"/>
          <w:color w:val="auto"/>
        </w:rPr>
      </w:pPr>
    </w:p>
    <w:p>
      <w:pPr>
        <w:ind w:firstLine="626"/>
        <w:spacing w:after="0" w:line="254"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420" w:top="425" w:right="259" w:bottom="1440" w:gutter="0" w:footer="0" w:header="0"/>
        </w:sectPr>
      </w:pPr>
    </w:p>
    <w:bookmarkStart w:id="104" w:name="page105"/>
    <w:bookmarkEnd w:id="104"/>
    <w:p>
      <w:pPr>
        <w:ind w:right="40" w:firstLine="626"/>
        <w:spacing w:after="0" w:line="259" w:lineRule="auto"/>
        <w:tabs>
          <w:tab w:leader="none" w:pos="98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85" w:lineRule="exact"/>
        <w:rPr>
          <w:rFonts w:ascii="Arial" w:cs="Arial" w:eastAsia="Arial" w:hAnsi="Arial"/>
          <w:sz w:val="19"/>
          <w:szCs w:val="19"/>
          <w:color w:val="auto"/>
        </w:rPr>
      </w:pPr>
    </w:p>
    <w:p>
      <w:pPr>
        <w:ind w:left="620" w:right="60" w:firstLine="636"/>
        <w:spacing w:after="0" w:line="264" w:lineRule="auto"/>
        <w:tabs>
          <w:tab w:leader="none" w:pos="160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1" w:lineRule="exact"/>
        <w:rPr>
          <w:rFonts w:ascii="Arial" w:cs="Arial" w:eastAsia="Arial" w:hAnsi="Arial"/>
          <w:sz w:val="18"/>
          <w:szCs w:val="18"/>
          <w:color w:val="auto"/>
        </w:rPr>
      </w:pPr>
    </w:p>
    <w:p>
      <w:pPr>
        <w:ind w:left="620" w:right="320" w:firstLine="636"/>
        <w:spacing w:after="0" w:line="248" w:lineRule="auto"/>
        <w:tabs>
          <w:tab w:leader="none" w:pos="166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Arial" w:cs="Arial" w:eastAsia="Arial" w:hAnsi="Arial"/>
          <w:sz w:val="19"/>
          <w:szCs w:val="19"/>
          <w:color w:val="auto"/>
        </w:rPr>
      </w:pPr>
    </w:p>
    <w:p>
      <w:pPr>
        <w:ind w:left="620" w:right="160"/>
        <w:spacing w:after="0" w:line="257" w:lineRule="auto"/>
        <w:rPr>
          <w:rFonts w:ascii="Arial" w:cs="Arial" w:eastAsia="Arial" w:hAnsi="Arial"/>
          <w:sz w:val="19"/>
          <w:szCs w:val="19"/>
          <w:color w:val="auto"/>
        </w:rPr>
      </w:pPr>
      <w:r>
        <w:rPr>
          <w:rFonts w:ascii="Arial" w:cs="Arial" w:eastAsia="Arial" w:hAnsi="Arial"/>
          <w:sz w:val="19"/>
          <w:szCs w:val="19"/>
          <w:color w:val="auto"/>
        </w:rPr>
        <w:t>(B) acknowledges that it and the other parties hereto have been induced to enter into this Agreement by, among other things, the mutual waivers and certifications in this section.</w:t>
      </w:r>
    </w:p>
    <w:p>
      <w:pPr>
        <w:spacing w:after="0" w:line="172" w:lineRule="exact"/>
        <w:rPr>
          <w:rFonts w:ascii="Arial" w:cs="Arial" w:eastAsia="Arial" w:hAnsi="Arial"/>
          <w:sz w:val="19"/>
          <w:szCs w:val="19"/>
          <w:color w:val="auto"/>
        </w:rPr>
      </w:pPr>
    </w:p>
    <w:p>
      <w:pPr>
        <w:ind w:right="180" w:firstLine="626"/>
        <w:spacing w:after="0" w:line="259" w:lineRule="auto"/>
        <w:tabs>
          <w:tab w:leader="none" w:pos="108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85" w:lineRule="exact"/>
        <w:rPr>
          <w:rFonts w:ascii="Arial" w:cs="Arial" w:eastAsia="Arial" w:hAnsi="Arial"/>
          <w:sz w:val="19"/>
          <w:szCs w:val="19"/>
          <w:color w:val="auto"/>
        </w:rPr>
      </w:pPr>
    </w:p>
    <w:p>
      <w:pPr>
        <w:ind w:right="180" w:firstLine="626"/>
        <w:spacing w:after="0" w:line="280" w:lineRule="auto"/>
        <w:tabs>
          <w:tab w:leader="none" w:pos="102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4" w:lineRule="exact"/>
        <w:rPr>
          <w:rFonts w:ascii="Arial" w:cs="Arial" w:eastAsia="Arial" w:hAnsi="Arial"/>
          <w:sz w:val="18"/>
          <w:szCs w:val="18"/>
          <w:color w:val="auto"/>
        </w:rPr>
      </w:pPr>
    </w:p>
    <w:p>
      <w:pPr>
        <w:ind w:firstLine="626"/>
        <w:spacing w:after="0" w:line="252" w:lineRule="auto"/>
        <w:tabs>
          <w:tab w:leader="none" w:pos="102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1" w:lineRule="exact"/>
        <w:rPr>
          <w:rFonts w:ascii="Arial" w:cs="Arial" w:eastAsia="Arial" w:hAnsi="Arial"/>
          <w:sz w:val="19"/>
          <w:szCs w:val="19"/>
          <w:color w:val="auto"/>
        </w:rPr>
      </w:pPr>
    </w:p>
    <w:p>
      <w:pPr>
        <w:ind w:right="60" w:firstLine="626"/>
        <w:spacing w:after="0" w:line="254" w:lineRule="auto"/>
        <w:tabs>
          <w:tab w:leader="none" w:pos="102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420" w:top="424" w:right="25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color w:val="242424"/>
        </w:rPr>
        <w:t>IN WITNESS WHEREOF, this Agreement has been executed by the Company and the Participant as of the day first written above.</w:t>
      </w:r>
    </w:p>
    <w:p>
      <w:pPr>
        <w:sectPr>
          <w:pgSz w:w="11900" w:h="16838" w:orient="portrait"/>
          <w:cols w:equalWidth="0" w:num="1">
            <w:col w:w="9200"/>
          </w:cols>
          <w:pgMar w:left="1380" w:top="481" w:right="1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820"/>
        <w:spacing w:after="0"/>
        <w:rPr>
          <w:sz w:val="20"/>
          <w:szCs w:val="20"/>
          <w:color w:val="auto"/>
        </w:rPr>
      </w:pPr>
      <w:r>
        <w:rPr>
          <w:rFonts w:ascii="Arial" w:cs="Arial" w:eastAsia="Arial" w:hAnsi="Arial"/>
          <w:sz w:val="17"/>
          <w:szCs w:val="17"/>
          <w:color w:val="242424"/>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150495</wp:posOffset>
            </wp:positionV>
            <wp:extent cx="2683510" cy="1866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2683510"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242424"/>
        </w:rPr>
        <w:t>[Signature Page to Restricted Stock Unit and Common Stock Award Agreement]</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00"/>
          </w:cols>
          <w:pgMar w:left="1380" w:top="481" w:right="1319" w:bottom="1440" w:gutter="0" w:footer="0" w:header="0"/>
          <w:type w:val="continuous"/>
        </w:sectPr>
      </w:pPr>
    </w:p>
    <w:bookmarkStart w:id="106" w:name="page107"/>
    <w:bookmarkEnd w:id="106"/>
    <w:p>
      <w:pPr>
        <w:ind w:left="6364"/>
        <w:spacing w:after="0"/>
        <w:rPr>
          <w:sz w:val="20"/>
          <w:szCs w:val="20"/>
          <w:color w:val="auto"/>
        </w:rPr>
      </w:pPr>
      <w:r>
        <w:rPr>
          <w:rFonts w:ascii="Arial" w:cs="Arial" w:eastAsia="Arial" w:hAnsi="Arial"/>
          <w:sz w:val="19"/>
          <w:szCs w:val="19"/>
          <w:b w:val="1"/>
          <w:bCs w:val="1"/>
          <w:u w:val="single" w:color="auto"/>
          <w:color w:val="auto"/>
        </w:rPr>
        <w:t>Exhibit A</w:t>
      </w:r>
    </w:p>
    <w:p>
      <w:pPr>
        <w:spacing w:after="0" w:line="247" w:lineRule="exact"/>
        <w:rPr>
          <w:sz w:val="20"/>
          <w:szCs w:val="20"/>
          <w:color w:val="auto"/>
        </w:rPr>
      </w:pPr>
    </w:p>
    <w:p>
      <w:pPr>
        <w:ind w:left="324" w:hanging="324"/>
        <w:spacing w:after="0"/>
        <w:tabs>
          <w:tab w:leader="none" w:pos="3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624" w:hanging="309"/>
        <w:spacing w:after="0" w:line="252"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9"/>
          <w:szCs w:val="19"/>
          <w:b w:val="1"/>
          <w:bCs w:val="1"/>
          <w:color w:val="auto"/>
        </w:rPr>
        <w:t>Participant Parties</w:t>
      </w:r>
      <w:r>
        <w:rPr>
          <w:rFonts w:ascii="Arial" w:cs="Arial" w:eastAsia="Arial" w:hAnsi="Arial"/>
          <w:sz w:val="19"/>
          <w:szCs w:val="19"/>
          <w:color w:val="auto"/>
        </w:rPr>
        <w:t>”) who have access to Confidential Information to keep confidential and not disclose any Confidential Information to any Person, other than a Participant Party who agrees to keep such Confidential Information confidential in accordance with this Section 1of this Exhibit A, without the express consent of the Company, unless:</w:t>
      </w:r>
    </w:p>
    <w:p>
      <w:pPr>
        <w:spacing w:after="0" w:line="178"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shall be required by applicable law;</w:t>
      </w:r>
    </w:p>
    <w:p>
      <w:pPr>
        <w:spacing w:after="0" w:line="227"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tax audit involving the Company or its Affiliates;</w:t>
      </w:r>
    </w:p>
    <w:p>
      <w:pPr>
        <w:spacing w:after="0" w:line="214"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litigation against or involving the Company; or</w:t>
      </w:r>
    </w:p>
    <w:p>
      <w:pPr>
        <w:spacing w:after="0" w:line="227" w:lineRule="exact"/>
        <w:rPr>
          <w:rFonts w:ascii="Arial" w:cs="Arial" w:eastAsia="Arial" w:hAnsi="Arial"/>
          <w:sz w:val="19"/>
          <w:szCs w:val="19"/>
          <w:color w:val="auto"/>
        </w:rPr>
      </w:pPr>
    </w:p>
    <w:p>
      <w:pPr>
        <w:ind w:left="944" w:hanging="314"/>
        <w:spacing w:after="0" w:line="252" w:lineRule="auto"/>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 xml:space="preserve">such disclosure is reasonably required in connection with any proposed Transfer of all or any part of the Participant’s Shares or 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8" w:lineRule="exact"/>
        <w:rPr>
          <w:rFonts w:ascii="Arial" w:cs="Arial" w:eastAsia="Arial" w:hAnsi="Arial"/>
          <w:sz w:val="19"/>
          <w:szCs w:val="19"/>
          <w:color w:val="auto"/>
        </w:rPr>
      </w:pPr>
    </w:p>
    <w:p>
      <w:pPr>
        <w:ind w:left="624" w:hanging="309"/>
        <w:spacing w:after="0" w:line="249"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1" w:lineRule="exact"/>
        <w:rPr>
          <w:rFonts w:ascii="Arial" w:cs="Arial" w:eastAsia="Arial" w:hAnsi="Arial"/>
          <w:sz w:val="19"/>
          <w:szCs w:val="19"/>
          <w:color w:val="auto"/>
        </w:rPr>
      </w:pPr>
    </w:p>
    <w:p>
      <w:pPr>
        <w:ind w:left="624" w:right="80" w:hanging="309"/>
        <w:spacing w:after="0" w:line="274"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Participant may disclose to any subsequent employer the restrictions to which the Participant is subject to pursuant to this Agreement.</w:t>
      </w:r>
    </w:p>
    <w:p>
      <w:pPr>
        <w:spacing w:after="0" w:line="170" w:lineRule="exact"/>
        <w:rPr>
          <w:rFonts w:ascii="Arial" w:cs="Arial" w:eastAsia="Arial" w:hAnsi="Arial"/>
          <w:sz w:val="19"/>
          <w:szCs w:val="19"/>
          <w:color w:val="auto"/>
        </w:rPr>
      </w:pPr>
    </w:p>
    <w:p>
      <w:pPr>
        <w:ind w:left="324" w:hanging="324"/>
        <w:spacing w:after="0"/>
        <w:tabs>
          <w:tab w:leader="none" w:pos="3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Non-Compete; Non-Solicit; Non-Disparagement</w:t>
      </w:r>
      <w:r>
        <w:rPr>
          <w:rFonts w:ascii="Arial" w:cs="Arial" w:eastAsia="Arial" w:hAnsi="Arial"/>
          <w:sz w:val="19"/>
          <w:szCs w:val="19"/>
          <w:color w:val="auto"/>
        </w:rPr>
        <w:t>. During the Restrictive Covenant Period, the Participant:</w:t>
      </w:r>
    </w:p>
    <w:p>
      <w:pPr>
        <w:spacing w:after="0" w:line="227" w:lineRule="exact"/>
        <w:rPr>
          <w:rFonts w:ascii="Arial" w:cs="Arial" w:eastAsia="Arial" w:hAnsi="Arial"/>
          <w:sz w:val="19"/>
          <w:szCs w:val="19"/>
          <w:color w:val="auto"/>
        </w:rPr>
      </w:pPr>
    </w:p>
    <w:p>
      <w:pPr>
        <w:ind w:left="624" w:hanging="309"/>
        <w:spacing w:after="0"/>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shall not directly or indirectly engage in any Competitive Activity;</w:t>
      </w:r>
    </w:p>
    <w:p>
      <w:pPr>
        <w:spacing w:after="0" w:line="227" w:lineRule="exact"/>
        <w:rPr>
          <w:rFonts w:ascii="Arial" w:cs="Arial" w:eastAsia="Arial" w:hAnsi="Arial"/>
          <w:sz w:val="19"/>
          <w:szCs w:val="19"/>
          <w:color w:val="auto"/>
        </w:rPr>
      </w:pPr>
    </w:p>
    <w:p>
      <w:pPr>
        <w:ind w:left="624" w:right="20" w:hanging="309"/>
        <w:spacing w:after="0" w:line="274"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9"/>
          <w:szCs w:val="19"/>
          <w:b w:val="1"/>
          <w:bCs w:val="1"/>
          <w:color w:val="auto"/>
        </w:rPr>
        <w:t>Company Parties</w:t>
      </w:r>
      <w:r>
        <w:rPr>
          <w:rFonts w:ascii="Arial" w:cs="Arial" w:eastAsia="Arial" w:hAnsi="Arial"/>
          <w:sz w:val="19"/>
          <w:szCs w:val="19"/>
          <w:color w:val="auto"/>
        </w:rPr>
        <w:t>”);</w:t>
      </w:r>
    </w:p>
    <w:p>
      <w:pPr>
        <w:spacing w:after="0" w:line="398"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44"/>
          </w:cols>
          <w:pgMar w:left="416" w:top="419" w:right="339" w:bottom="1440" w:gutter="0" w:footer="0" w:header="0"/>
        </w:sectPr>
      </w:pPr>
    </w:p>
    <w:bookmarkStart w:id="107" w:name="page108"/>
    <w:bookmarkEnd w:id="107"/>
    <w:p>
      <w:pPr>
        <w:ind w:left="624" w:right="120" w:hanging="309"/>
        <w:spacing w:after="0" w:line="274" w:lineRule="auto"/>
        <w:tabs>
          <w:tab w:leader="none" w:pos="624" w:val="left"/>
        </w:tabs>
        <w:numPr>
          <w:ilvl w:val="1"/>
          <w:numId w:val="56"/>
        </w:numPr>
        <w:rPr>
          <w:rFonts w:ascii="Arial" w:cs="Arial" w:eastAsia="Arial" w:hAnsi="Arial"/>
          <w:sz w:val="19"/>
          <w:szCs w:val="19"/>
          <w:color w:val="auto"/>
        </w:rPr>
      </w:pPr>
      <w:r>
        <w:rPr>
          <w:rFonts w:ascii="Arial" w:cs="Arial" w:eastAsia="Arial" w:hAnsi="Arial"/>
          <w:sz w:val="19"/>
          <w:szCs w:val="19"/>
          <w:color w:val="auto"/>
        </w:rPr>
        <w:t>shall not, and shall cause his or her controlled Affiliates not to, hire, or assist any other Person to hire, as an employee or consultant, any employee, former employee, member or retired member of the Company Parties; and</w:t>
      </w:r>
    </w:p>
    <w:p>
      <w:pPr>
        <w:spacing w:after="0" w:line="157" w:lineRule="exact"/>
        <w:rPr>
          <w:rFonts w:ascii="Arial" w:cs="Arial" w:eastAsia="Arial" w:hAnsi="Arial"/>
          <w:sz w:val="19"/>
          <w:szCs w:val="19"/>
          <w:color w:val="auto"/>
        </w:rPr>
      </w:pPr>
    </w:p>
    <w:p>
      <w:pPr>
        <w:ind w:left="624" w:right="140" w:hanging="309"/>
        <w:spacing w:after="0" w:line="252" w:lineRule="auto"/>
        <w:tabs>
          <w:tab w:leader="none" w:pos="624"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2(d) of this Exhibit A shall prevent the Participant from (i) testifying truthfully in any legal or administrative proceeding if such testimony is compelled or requested or (ii) complying with applicable legal requirements.</w:t>
      </w:r>
    </w:p>
    <w:p>
      <w:pPr>
        <w:spacing w:after="0" w:line="178" w:lineRule="exact"/>
        <w:rPr>
          <w:rFonts w:ascii="Arial" w:cs="Arial" w:eastAsia="Arial" w:hAnsi="Arial"/>
          <w:sz w:val="19"/>
          <w:szCs w:val="19"/>
          <w:color w:val="auto"/>
        </w:rPr>
      </w:pPr>
    </w:p>
    <w:p>
      <w:pPr>
        <w:ind w:left="324" w:right="80" w:hanging="324"/>
        <w:spacing w:after="0" w:line="279" w:lineRule="auto"/>
        <w:tabs>
          <w:tab w:leader="none" w:pos="32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Enforcement of Covenants.</w:t>
      </w:r>
      <w:r>
        <w:rPr>
          <w:rFonts w:ascii="Arial" w:cs="Arial" w:eastAsia="Arial" w:hAnsi="Arial"/>
          <w:sz w:val="17"/>
          <w:szCs w:val="17"/>
          <w:color w:val="auto"/>
        </w:rPr>
        <w:t xml:space="preserve"> The Participant agrees that (i) the agreements and covenants contained in Section 2 of this Exhibit A are reasonable in scope and 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w:t>
      </w:r>
    </w:p>
    <w:p>
      <w:pPr>
        <w:spacing w:after="0" w:line="2" w:lineRule="exact"/>
        <w:rPr>
          <w:sz w:val="20"/>
          <w:szCs w:val="20"/>
          <w:color w:val="auto"/>
        </w:rPr>
      </w:pPr>
    </w:p>
    <w:p>
      <w:pPr>
        <w:ind w:left="324" w:right="120" w:hanging="9"/>
        <w:spacing w:after="0" w:line="304" w:lineRule="auto"/>
        <w:tabs>
          <w:tab w:leader="none" w:pos="993" w:val="left"/>
        </w:tabs>
        <w:numPr>
          <w:ilvl w:val="1"/>
          <w:numId w:val="58"/>
        </w:numPr>
        <w:rPr>
          <w:rFonts w:ascii="Arial" w:cs="Arial" w:eastAsia="Arial" w:hAnsi="Arial"/>
          <w:sz w:val="17"/>
          <w:szCs w:val="17"/>
          <w:color w:val="auto"/>
        </w:rPr>
      </w:pPr>
      <w:r>
        <w:rPr>
          <w:rFonts w:ascii="Arial" w:cs="Arial" w:eastAsia="Arial" w:hAnsi="Arial"/>
          <w:sz w:val="17"/>
          <w:szCs w:val="17"/>
          <w:color w:val="auto"/>
        </w:rPr>
        <w:t>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If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w:t>
      </w:r>
    </w:p>
    <w:p>
      <w:pPr>
        <w:spacing w:after="0" w:line="1" w:lineRule="exact"/>
        <w:rPr>
          <w:rFonts w:ascii="Arial" w:cs="Arial" w:eastAsia="Arial" w:hAnsi="Arial"/>
          <w:sz w:val="17"/>
          <w:szCs w:val="17"/>
          <w:color w:val="auto"/>
        </w:rPr>
      </w:pPr>
    </w:p>
    <w:p>
      <w:pPr>
        <w:ind w:left="324"/>
        <w:spacing w:after="0" w:line="296" w:lineRule="auto"/>
        <w:rPr>
          <w:rFonts w:ascii="Arial" w:cs="Arial" w:eastAsia="Arial" w:hAnsi="Arial"/>
          <w:sz w:val="17"/>
          <w:szCs w:val="17"/>
          <w:color w:val="auto"/>
        </w:rPr>
      </w:pPr>
      <w:r>
        <w:rPr>
          <w:rFonts w:ascii="Arial" w:cs="Arial" w:eastAsia="Arial" w:hAnsi="Arial"/>
          <w:sz w:val="18"/>
          <w:szCs w:val="18"/>
          <w:color w:val="auto"/>
        </w:rPr>
        <w:t>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55" w:lineRule="exact"/>
        <w:rPr>
          <w:rFonts w:ascii="Arial" w:cs="Arial" w:eastAsia="Arial" w:hAnsi="Arial"/>
          <w:sz w:val="17"/>
          <w:szCs w:val="17"/>
          <w:color w:val="auto"/>
        </w:rPr>
      </w:pPr>
    </w:p>
    <w:p>
      <w:pPr>
        <w:ind w:left="324" w:hanging="324"/>
        <w:spacing w:after="0"/>
        <w:tabs>
          <w:tab w:leader="none" w:pos="32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09" w:lineRule="exact"/>
        <w:rPr>
          <w:sz w:val="20"/>
          <w:szCs w:val="20"/>
          <w:color w:val="auto"/>
        </w:rPr>
      </w:pPr>
    </w:p>
    <w:p>
      <w:pPr>
        <w:ind w:left="624" w:right="40" w:hanging="309"/>
        <w:spacing w:after="0" w:line="249" w:lineRule="auto"/>
        <w:tabs>
          <w:tab w:leader="none" w:pos="624"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Algorithmic Liquidity Trading</w:t>
      </w:r>
      <w:r>
        <w:rPr>
          <w:rFonts w:ascii="Arial" w:cs="Arial" w:eastAsia="Arial" w:hAnsi="Arial"/>
          <w:sz w:val="19"/>
          <w:szCs w:val="19"/>
          <w:color w:val="auto"/>
        </w:rPr>
        <w:t>” means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 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w:t>
      </w:r>
    </w:p>
    <w:p>
      <w:pPr>
        <w:spacing w:after="0" w:line="201"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4"/>
          </w:cols>
          <w:pgMar w:left="416" w:top="424" w:right="239" w:bottom="1440" w:gutter="0" w:footer="0" w:header="0"/>
        </w:sectPr>
      </w:pPr>
    </w:p>
    <w:bookmarkStart w:id="108" w:name="page109"/>
    <w:bookmarkEnd w:id="108"/>
    <w:p>
      <w:pPr>
        <w:ind w:left="309" w:right="20"/>
        <w:spacing w:after="0" w:line="274" w:lineRule="auto"/>
        <w:rPr>
          <w:sz w:val="20"/>
          <w:szCs w:val="20"/>
          <w:color w:val="auto"/>
        </w:rPr>
      </w:pPr>
      <w:r>
        <w:rPr>
          <w:rFonts w:ascii="Arial" w:cs="Arial" w:eastAsia="Arial" w:hAnsi="Arial"/>
          <w:sz w:val="19"/>
          <w:szCs w:val="19"/>
          <w:color w:val="auto"/>
        </w:rPr>
        <w:t>executes only on one side of the market as a “buy” or “sell” Order, and including a portfolio- rebalancing Order (which for the avoidance of doubt may involve both a “buy” and a “sell” component within a single Order)).</w:t>
      </w:r>
    </w:p>
    <w:p>
      <w:pPr>
        <w:spacing w:after="0" w:line="151" w:lineRule="exact"/>
        <w:rPr>
          <w:sz w:val="20"/>
          <w:szCs w:val="20"/>
          <w:color w:val="auto"/>
        </w:rPr>
      </w:pPr>
    </w:p>
    <w:p>
      <w:pPr>
        <w:ind w:left="309" w:hanging="309"/>
        <w:spacing w:after="0"/>
        <w:tabs>
          <w:tab w:leader="none" w:pos="3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Arbitrage</w:t>
      </w:r>
      <w:r>
        <w:rPr>
          <w:rFonts w:ascii="Arial" w:cs="Arial" w:eastAsia="Arial" w:hAnsi="Arial"/>
          <w:sz w:val="19"/>
          <w:szCs w:val="19"/>
          <w:color w:val="auto"/>
        </w:rPr>
        <w:t>” means arbitrage consistent with the practice of high frequency trading.</w:t>
      </w:r>
    </w:p>
    <w:p>
      <w:pPr>
        <w:spacing w:after="0" w:line="214" w:lineRule="exact"/>
        <w:rPr>
          <w:rFonts w:ascii="Arial" w:cs="Arial" w:eastAsia="Arial" w:hAnsi="Arial"/>
          <w:sz w:val="19"/>
          <w:szCs w:val="19"/>
          <w:color w:val="auto"/>
        </w:rPr>
      </w:pPr>
    </w:p>
    <w:p>
      <w:pPr>
        <w:ind w:left="309" w:hanging="309"/>
        <w:spacing w:after="0" w:line="287" w:lineRule="auto"/>
        <w:tabs>
          <w:tab w:leader="none" w:pos="3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Activity</w:t>
      </w:r>
      <w:r>
        <w:rPr>
          <w:rFonts w:ascii="Arial" w:cs="Arial" w:eastAsia="Arial" w:hAnsi="Arial"/>
          <w:sz w:val="17"/>
          <w:szCs w:val="17"/>
          <w:color w:val="auto"/>
        </w:rPr>
        <w:t>” means (i) serving as a director, officer, employee, trader, manager, consultant, agent or advisor of, or otherwise directly or through an Affiliate providing services to a Competitive Enterprise; (ii) designing or developing any Competitive Technology;</w:t>
      </w:r>
    </w:p>
    <w:p>
      <w:pPr>
        <w:ind w:left="309" w:right="360" w:firstLine="6"/>
        <w:spacing w:after="0" w:line="248" w:lineRule="auto"/>
        <w:tabs>
          <w:tab w:leader="none" w:pos="646" w:val="left"/>
        </w:tabs>
        <w:numPr>
          <w:ilvl w:val="1"/>
          <w:numId w:val="61"/>
        </w:numPr>
        <w:rPr>
          <w:rFonts w:ascii="Arial" w:cs="Arial" w:eastAsia="Arial" w:hAnsi="Arial"/>
          <w:sz w:val="19"/>
          <w:szCs w:val="19"/>
          <w:color w:val="auto"/>
        </w:rPr>
      </w:pPr>
      <w:r>
        <w:rPr>
          <w:rFonts w:ascii="Arial" w:cs="Arial" w:eastAsia="Arial" w:hAnsi="Arial"/>
          <w:sz w:val="19"/>
          <w:szCs w:val="19"/>
          <w:color w:val="auto"/>
        </w:rPr>
        <w:t>directly or through an Affiliate (A) engaging in Strategy Competition or (B) retaining or otherwise engaging any other Person to undertake any of the actions described in clauses (i), (ii), (iii)(A) or</w:t>
      </w:r>
    </w:p>
    <w:p>
      <w:pPr>
        <w:ind w:left="309" w:right="20" w:firstLine="6"/>
        <w:spacing w:after="0" w:line="308" w:lineRule="auto"/>
        <w:tabs>
          <w:tab w:leader="none" w:pos="902" w:val="left"/>
        </w:tabs>
        <w:numPr>
          <w:ilvl w:val="1"/>
          <w:numId w:val="61"/>
        </w:numPr>
        <w:rPr>
          <w:rFonts w:ascii="Arial" w:cs="Arial" w:eastAsia="Arial" w:hAnsi="Arial"/>
          <w:sz w:val="17"/>
          <w:szCs w:val="17"/>
          <w:color w:val="auto"/>
        </w:rPr>
      </w:pPr>
      <w:r>
        <w:rPr>
          <w:rFonts w:ascii="Arial" w:cs="Arial" w:eastAsia="Arial" w:hAnsi="Arial"/>
          <w:sz w:val="17"/>
          <w:szCs w:val="17"/>
          <w:color w:val="auto"/>
        </w:rPr>
        <w:t>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7"/>
          <w:szCs w:val="17"/>
          <w:b w:val="1"/>
          <w:bCs w:val="1"/>
          <w:color w:val="auto"/>
        </w:rPr>
        <w:t>Ownership Interests</w:t>
      </w:r>
      <w:r>
        <w:rPr>
          <w:rFonts w:ascii="Arial" w:cs="Arial" w:eastAsia="Arial" w:hAnsi="Arial"/>
          <w:sz w:val="17"/>
          <w:szCs w:val="17"/>
          <w:color w:val="auto"/>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parent company or entity of a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successors thereto, other than a parent company or entity that is not a Competitive Enterprise) (a “</w:t>
      </w:r>
      <w:r>
        <w:rPr>
          <w:rFonts w:ascii="Arial" w:cs="Arial" w:eastAsia="Arial" w:hAnsi="Arial"/>
          <w:sz w:val="17"/>
          <w:szCs w:val="17"/>
          <w:b w:val="1"/>
          <w:bCs w:val="1"/>
          <w:color w:val="auto"/>
        </w:rPr>
        <w:t>Restricted Investment</w:t>
      </w:r>
      <w:r>
        <w:rPr>
          <w:rFonts w:ascii="Arial" w:cs="Arial" w:eastAsia="Arial" w:hAnsi="Arial"/>
          <w:sz w:val="17"/>
          <w:szCs w:val="17"/>
          <w:color w:val="auto"/>
        </w:rPr>
        <w:t>”),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47" w:lineRule="exact"/>
        <w:rPr>
          <w:rFonts w:ascii="Arial" w:cs="Arial" w:eastAsia="Arial" w:hAnsi="Arial"/>
          <w:sz w:val="17"/>
          <w:szCs w:val="17"/>
          <w:color w:val="auto"/>
        </w:rPr>
      </w:pPr>
    </w:p>
    <w:p>
      <w:pPr>
        <w:ind w:left="309" w:right="120" w:hanging="309"/>
        <w:spacing w:after="0" w:line="287" w:lineRule="auto"/>
        <w:tabs>
          <w:tab w:leader="none" w:pos="3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Enterprise</w:t>
      </w:r>
      <w:r>
        <w:rPr>
          <w:rFonts w:ascii="Arial" w:cs="Arial" w:eastAsia="Arial" w:hAnsi="Arial"/>
          <w:sz w:val="17"/>
          <w:szCs w:val="17"/>
          <w:color w:val="auto"/>
        </w:rPr>
        <w:t>” means any Person or business enterprise (in any form, including without limitation as a corporation, partnership, limited liability company or other Person), or subsidiary, division, unit, group or portion thereof, whose primary business is</w:t>
      </w:r>
    </w:p>
    <w:p>
      <w:pPr>
        <w:jc w:val="both"/>
        <w:ind w:left="309" w:right="60"/>
        <w:spacing w:after="0" w:line="251" w:lineRule="auto"/>
        <w:rPr>
          <w:rFonts w:ascii="Arial" w:cs="Arial" w:eastAsia="Arial" w:hAnsi="Arial"/>
          <w:sz w:val="17"/>
          <w:szCs w:val="17"/>
          <w:color w:val="auto"/>
        </w:rPr>
      </w:pPr>
      <w:r>
        <w:rPr>
          <w:rFonts w:ascii="Arial" w:cs="Arial" w:eastAsia="Arial" w:hAnsi="Arial"/>
          <w:sz w:val="19"/>
          <w:szCs w:val="19"/>
          <w:color w:val="auto"/>
        </w:rPr>
        <w:t>(A)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w:t>
      </w:r>
    </w:p>
    <w:p>
      <w:pPr>
        <w:spacing w:after="0" w:line="195" w:lineRule="exact"/>
        <w:rPr>
          <w:sz w:val="20"/>
          <w:szCs w:val="20"/>
          <w:color w:val="auto"/>
        </w:rPr>
      </w:pPr>
    </w:p>
    <w:p>
      <w:pPr>
        <w:jc w:val="center"/>
        <w:ind w:right="43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9"/>
          </w:cols>
          <w:pgMar w:left="731" w:top="424" w:right="279" w:bottom="1440" w:gutter="0" w:footer="0" w:header="0"/>
        </w:sectPr>
      </w:pPr>
    </w:p>
    <w:bookmarkStart w:id="109" w:name="page110"/>
    <w:bookmarkEnd w:id="109"/>
    <w:p>
      <w:pPr>
        <w:ind w:left="309"/>
        <w:spacing w:after="0"/>
        <w:rPr>
          <w:sz w:val="20"/>
          <w:szCs w:val="20"/>
          <w:color w:val="auto"/>
        </w:rPr>
      </w:pPr>
      <w:r>
        <w:rPr>
          <w:rFonts w:ascii="Arial" w:cs="Arial" w:eastAsia="Arial" w:hAnsi="Arial"/>
          <w:sz w:val="19"/>
          <w:szCs w:val="19"/>
          <w:color w:val="auto"/>
        </w:rPr>
        <w:t>of a subsidiary, division, unit, group or portion whose primary business is described above:</w:t>
      </w:r>
    </w:p>
    <w:p>
      <w:pPr>
        <w:spacing w:after="0" w:line="21" w:lineRule="exact"/>
        <w:rPr>
          <w:sz w:val="20"/>
          <w:szCs w:val="20"/>
          <w:color w:val="auto"/>
        </w:rPr>
      </w:pPr>
    </w:p>
    <w:p>
      <w:pPr>
        <w:ind w:left="309" w:right="180" w:firstLine="6"/>
        <w:spacing w:after="0" w:line="273" w:lineRule="auto"/>
        <w:tabs>
          <w:tab w:leader="none" w:pos="582"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larger business enterprise or Person owning such subsidiary, division, unit, group or portion shall not be deemed to be a Competitive Enterprise unless the primary business of such larger business enterprise or Person is engaged in Strategy Competition and</w:t>
      </w:r>
    </w:p>
    <w:p>
      <w:pPr>
        <w:spacing w:after="0" w:line="1" w:lineRule="exact"/>
        <w:rPr>
          <w:rFonts w:ascii="Arial" w:cs="Arial" w:eastAsia="Arial" w:hAnsi="Arial"/>
          <w:sz w:val="17"/>
          <w:szCs w:val="17"/>
          <w:color w:val="auto"/>
        </w:rPr>
      </w:pPr>
    </w:p>
    <w:p>
      <w:pPr>
        <w:ind w:left="309" w:right="660" w:firstLine="6"/>
        <w:spacing w:after="0" w:line="257" w:lineRule="auto"/>
        <w:tabs>
          <w:tab w:leader="none" w:pos="582"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subsidiary, division, unit, group or portion whose primary business is engaging in Strategy Competition shall be deemed a Competitive Enterprise.</w:t>
      </w:r>
    </w:p>
    <w:p>
      <w:pPr>
        <w:spacing w:after="0" w:line="166" w:lineRule="exact"/>
        <w:rPr>
          <w:rFonts w:ascii="Arial" w:cs="Arial" w:eastAsia="Arial" w:hAnsi="Arial"/>
          <w:sz w:val="19"/>
          <w:szCs w:val="19"/>
          <w:color w:val="auto"/>
        </w:rPr>
      </w:pPr>
    </w:p>
    <w:p>
      <w:pPr>
        <w:ind w:left="309" w:hanging="309"/>
        <w:spacing w:after="0" w:line="249" w:lineRule="auto"/>
        <w:tabs>
          <w:tab w:leader="none" w:pos="3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Competitive Technology</w:t>
      </w:r>
      <w:r>
        <w:rPr>
          <w:rFonts w:ascii="Arial" w:cs="Arial" w:eastAsia="Arial" w:hAnsi="Arial"/>
          <w:sz w:val="19"/>
          <w:szCs w:val="19"/>
          <w:color w:val="auto"/>
        </w:rPr>
        <w:t>” means any system, program, hardware or software (including any network architecture, system architecture, messaging 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77" w:lineRule="exact"/>
        <w:rPr>
          <w:rFonts w:ascii="Arial" w:cs="Arial" w:eastAsia="Arial" w:hAnsi="Arial"/>
          <w:sz w:val="19"/>
          <w:szCs w:val="19"/>
          <w:color w:val="auto"/>
        </w:rPr>
      </w:pPr>
    </w:p>
    <w:p>
      <w:pPr>
        <w:ind w:left="309" w:right="20" w:hanging="309"/>
        <w:spacing w:after="0" w:line="266" w:lineRule="auto"/>
        <w:tabs>
          <w:tab w:leader="none" w:pos="2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related to the activities of the Company Parties that the Participant may acquire from the 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72" w:lineRule="exact"/>
        <w:rPr>
          <w:rFonts w:ascii="Arial" w:cs="Arial" w:eastAsia="Arial" w:hAnsi="Arial"/>
          <w:sz w:val="18"/>
          <w:szCs w:val="18"/>
          <w:color w:val="auto"/>
        </w:rPr>
      </w:pPr>
    </w:p>
    <w:p>
      <w:pPr>
        <w:ind w:left="309" w:hanging="309"/>
        <w:spacing w:after="0"/>
        <w:tabs>
          <w:tab w:leader="none" w:pos="3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Asset</w:t>
      </w:r>
      <w:r>
        <w:rPr>
          <w:rFonts w:ascii="Arial" w:cs="Arial" w:eastAsia="Arial" w:hAnsi="Arial"/>
          <w:sz w:val="17"/>
          <w:szCs w:val="17"/>
          <w:color w:val="auto"/>
        </w:rPr>
        <w:t>” means commodities, currencies, equities, notes, bonds, securities, evidence of indebtedness and derivatives thereof.</w:t>
      </w:r>
    </w:p>
    <w:p>
      <w:pPr>
        <w:spacing w:after="0" w:line="250" w:lineRule="exact"/>
        <w:rPr>
          <w:rFonts w:ascii="Arial" w:cs="Arial" w:eastAsia="Arial" w:hAnsi="Arial"/>
          <w:sz w:val="17"/>
          <w:szCs w:val="17"/>
          <w:color w:val="auto"/>
        </w:rPr>
      </w:pPr>
    </w:p>
    <w:p>
      <w:pPr>
        <w:ind w:left="309" w:right="1020" w:hanging="309"/>
        <w:spacing w:after="0" w:line="310" w:lineRule="auto"/>
        <w:tabs>
          <w:tab w:leader="none" w:pos="3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21" w:lineRule="exact"/>
        <w:rPr>
          <w:rFonts w:ascii="Arial" w:cs="Arial" w:eastAsia="Arial" w:hAnsi="Arial"/>
          <w:sz w:val="18"/>
          <w:szCs w:val="18"/>
          <w:color w:val="auto"/>
        </w:rPr>
      </w:pPr>
    </w:p>
    <w:p>
      <w:pPr>
        <w:ind w:left="309" w:right="120" w:hanging="309"/>
        <w:spacing w:after="0" w:line="283" w:lineRule="auto"/>
        <w:tabs>
          <w:tab w:leader="none" w:pos="2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Jaguar Trading</w:t>
      </w:r>
      <w:r>
        <w:rPr>
          <w:rFonts w:ascii="Arial" w:cs="Arial" w:eastAsia="Arial" w:hAnsi="Arial"/>
          <w:sz w:val="17"/>
          <w:szCs w:val="17"/>
          <w:color w:val="auto"/>
        </w:rPr>
        <w:t>” means trading through the use of electronically automated means to analyze and act upon Economic Numerical Data (i.e., economic 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 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w:t>
      </w:r>
    </w:p>
    <w:p>
      <w:pPr>
        <w:spacing w:after="0" w:line="174" w:lineRule="exact"/>
        <w:rPr>
          <w:sz w:val="20"/>
          <w:szCs w:val="20"/>
          <w:color w:val="auto"/>
        </w:rPr>
      </w:pPr>
    </w:p>
    <w:p>
      <w:pPr>
        <w:jc w:val="center"/>
        <w:ind w:right="47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29"/>
          </w:cols>
          <w:pgMar w:left="731" w:top="438" w:right="239" w:bottom="1440" w:gutter="0" w:footer="0" w:header="0"/>
        </w:sectPr>
      </w:pPr>
    </w:p>
    <w:bookmarkStart w:id="110" w:name="page111"/>
    <w:bookmarkEnd w:id="110"/>
    <w:p>
      <w:pPr>
        <w:ind w:left="309"/>
        <w:spacing w:after="0" w:line="274" w:lineRule="auto"/>
        <w:rPr>
          <w:sz w:val="20"/>
          <w:szCs w:val="20"/>
          <w:color w:val="auto"/>
        </w:rPr>
      </w:pPr>
      <w:r>
        <w:rPr>
          <w:rFonts w:ascii="Arial" w:cs="Arial" w:eastAsia="Arial" w:hAnsi="Arial"/>
          <w:sz w:val="19"/>
          <w:szCs w:val="19"/>
          <w:color w:val="auto"/>
        </w:rPr>
        <w:t>release of such economic numerical data (for example, and without limitation, the execution of a previously placed Stop Order triggered after the release of economic numerical data).</w:t>
      </w:r>
    </w:p>
    <w:p>
      <w:pPr>
        <w:spacing w:after="0" w:line="164" w:lineRule="exact"/>
        <w:rPr>
          <w:sz w:val="20"/>
          <w:szCs w:val="20"/>
          <w:color w:val="auto"/>
        </w:rPr>
      </w:pPr>
    </w:p>
    <w:p>
      <w:pPr>
        <w:ind w:left="309" w:hanging="309"/>
        <w:spacing w:after="0"/>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means an instruction to acquire or dispose of a specified quantity or amount of a Financial Asset.</w:t>
      </w:r>
    </w:p>
    <w:p>
      <w:pPr>
        <w:spacing w:after="0" w:line="227" w:lineRule="exact"/>
        <w:rPr>
          <w:rFonts w:ascii="Arial" w:cs="Arial" w:eastAsia="Arial" w:hAnsi="Arial"/>
          <w:sz w:val="19"/>
          <w:szCs w:val="19"/>
          <w:color w:val="auto"/>
        </w:rPr>
      </w:pPr>
    </w:p>
    <w:p>
      <w:pPr>
        <w:ind w:left="309"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Relevant Date</w:t>
      </w:r>
      <w:r>
        <w:rPr>
          <w:rFonts w:ascii="Arial" w:cs="Arial" w:eastAsia="Arial" w:hAnsi="Arial"/>
          <w:sz w:val="19"/>
          <w:szCs w:val="19"/>
          <w:color w:val="auto"/>
        </w:rPr>
        <w:t>” means, (i) for as long as the Termination Date has not occurred, the date that the Participant engages in any activity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prohibited by Section 2 of this Exhibit A and (ii) if the Termination Date has occurred such Termination Date.</w:t>
      </w:r>
    </w:p>
    <w:p>
      <w:pPr>
        <w:spacing w:after="0" w:line="144" w:lineRule="exact"/>
        <w:rPr>
          <w:rFonts w:ascii="Arial" w:cs="Arial" w:eastAsia="Arial" w:hAnsi="Arial"/>
          <w:sz w:val="19"/>
          <w:szCs w:val="19"/>
          <w:color w:val="auto"/>
        </w:rPr>
      </w:pPr>
    </w:p>
    <w:p>
      <w:pPr>
        <w:ind w:left="309" w:hanging="309"/>
        <w:spacing w:after="0"/>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Restrictive Covenant Period</w:t>
      </w:r>
      <w:r>
        <w:rPr>
          <w:rFonts w:ascii="Arial" w:cs="Arial" w:eastAsia="Arial" w:hAnsi="Arial"/>
          <w:sz w:val="19"/>
          <w:szCs w:val="19"/>
          <w:color w:val="auto"/>
        </w:rPr>
        <w:t>” means, any time until the eighteen (18) month anniversary of the Termination Date.</w:t>
      </w:r>
    </w:p>
    <w:p>
      <w:pPr>
        <w:spacing w:after="0" w:line="227" w:lineRule="exact"/>
        <w:rPr>
          <w:rFonts w:ascii="Arial" w:cs="Arial" w:eastAsia="Arial" w:hAnsi="Arial"/>
          <w:sz w:val="19"/>
          <w:szCs w:val="19"/>
          <w:color w:val="auto"/>
        </w:rPr>
      </w:pPr>
    </w:p>
    <w:p>
      <w:pPr>
        <w:ind w:left="309" w:right="160"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Simultaneous</w:t>
      </w:r>
      <w:r>
        <w:rPr>
          <w:rFonts w:ascii="Arial" w:cs="Arial" w:eastAsia="Arial" w:hAnsi="Arial"/>
          <w:sz w:val="19"/>
          <w:szCs w:val="19"/>
          <w:color w:val="auto"/>
        </w:rPr>
        <w:t>” means, with respect to more than one event, the occurrence of such events occurring within 500 milliseconds of each other.</w:t>
      </w:r>
    </w:p>
    <w:p>
      <w:pPr>
        <w:spacing w:after="0" w:line="144" w:lineRule="exact"/>
        <w:rPr>
          <w:rFonts w:ascii="Arial" w:cs="Arial" w:eastAsia="Arial" w:hAnsi="Arial"/>
          <w:sz w:val="19"/>
          <w:szCs w:val="19"/>
          <w:color w:val="auto"/>
        </w:rPr>
      </w:pPr>
    </w:p>
    <w:p>
      <w:pPr>
        <w:ind w:left="309" w:right="200" w:hanging="309"/>
        <w:spacing w:after="0" w:line="284" w:lineRule="auto"/>
        <w:tabs>
          <w:tab w:leader="none" w:pos="3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Strategy Competition</w:t>
      </w:r>
      <w:r>
        <w:rPr>
          <w:rFonts w:ascii="Arial" w:cs="Arial" w:eastAsia="Arial" w:hAnsi="Arial"/>
          <w:sz w:val="18"/>
          <w:szCs w:val="18"/>
          <w:color w:val="auto"/>
        </w:rPr>
        <w:t>” means, (i) trading activities that utilize trading strategies that constitute Algorithmic Liquidity Trading or Jaguar Trading or (ii) any other strategy in which the Company Parties engage in a material way or have concrete plans to engage in a material way as of the Relevant Date, in each case as reasonably determined by the Company.</w:t>
      </w:r>
    </w:p>
    <w:p>
      <w:pPr>
        <w:spacing w:after="0" w:line="157" w:lineRule="exact"/>
        <w:rPr>
          <w:rFonts w:ascii="Arial" w:cs="Arial" w:eastAsia="Arial" w:hAnsi="Arial"/>
          <w:sz w:val="18"/>
          <w:szCs w:val="18"/>
          <w:color w:val="auto"/>
        </w:rPr>
      </w:pPr>
    </w:p>
    <w:p>
      <w:pPr>
        <w:ind w:left="309" w:right="580"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means, the date the Participant ceases to be employed by the Company, Virtu Financial LLC or any of their respective controlled Affiliates.</w:t>
      </w:r>
    </w:p>
    <w:p>
      <w:pPr>
        <w:spacing w:after="0" w:line="391" w:lineRule="exact"/>
        <w:rPr>
          <w:sz w:val="20"/>
          <w:szCs w:val="20"/>
          <w:color w:val="auto"/>
        </w:rPr>
      </w:pPr>
    </w:p>
    <w:p>
      <w:pPr>
        <w:jc w:val="center"/>
        <w:ind w:right="35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09"/>
          </w:cols>
          <w:pgMar w:left="731" w:top="425" w:right="359" w:bottom="1440" w:gutter="0" w:footer="0" w:header="0"/>
        </w:sectPr>
      </w:pPr>
    </w:p>
    <w:bookmarkStart w:id="111" w:name="page112"/>
    <w:bookmarkEnd w:id="111"/>
    <w:p>
      <w:pPr>
        <w:ind w:left="5160"/>
        <w:spacing w:after="0"/>
        <w:rPr>
          <w:sz w:val="20"/>
          <w:szCs w:val="20"/>
          <w:color w:val="auto"/>
        </w:rPr>
      </w:pPr>
      <w:r>
        <w:rPr>
          <w:rFonts w:ascii="Arial" w:cs="Arial" w:eastAsia="Arial" w:hAnsi="Arial"/>
          <w:sz w:val="17"/>
          <w:szCs w:val="17"/>
          <w:b w:val="1"/>
          <w:bCs w:val="1"/>
          <w:color w:val="auto"/>
        </w:rPr>
        <w:t>Schedule 1 of Exhibit A Restricted Investments</w:t>
      </w:r>
    </w:p>
    <w:p>
      <w:pPr>
        <w:sectPr>
          <w:pgSz w:w="11900" w:h="16838" w:orient="portrait"/>
          <w:cols w:equalWidth="0" w:num="1">
            <w:col w:w="9939"/>
          </w:cols>
          <w:pgMar w:left="520" w:top="537"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All Options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Allston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AQR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Athena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Automated Trading Desk</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Blue Fire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Breakwater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Buttonwood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Chicago Trading Company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Chopper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Citadel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CTC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DE Shaw</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DRW Trading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Final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Flow Traders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Gelber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Hard 8 Future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Headlands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Hudson River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IBKR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IMC Asset Management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Infinium Group</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Interactive Brokers (Timber Hill)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International Algorithmic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Jane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Jump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KCG Holdings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Millenium</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Nyenburgh</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Optiver</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Peak 6</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Point72 (f/k/a SAC Capital)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Quantlab</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Renaissance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RGM Advisors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Ronin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RSJ Algorithm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SIG Susquehanna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Simplex Spot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Sun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Teza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Tibra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Tower Research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Tradebot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Tradeworx</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Trading Machine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TransMarket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Two Sigma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Wolverine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Xambala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Zomojo</w:t>
      </w:r>
    </w:p>
    <w:p>
      <w:pPr>
        <w:spacing w:after="0" w:line="488" w:lineRule="exact"/>
        <w:rPr>
          <w:sz w:val="20"/>
          <w:szCs w:val="20"/>
          <w:color w:val="auto"/>
        </w:rPr>
      </w:pPr>
    </w:p>
    <w:p>
      <w:pPr>
        <w:sectPr>
          <w:pgSz w:w="11900" w:h="16838" w:orient="portrait"/>
          <w:cols w:equalWidth="0" w:num="2">
            <w:col w:w="4600" w:space="720"/>
            <w:col w:w="4619"/>
          </w:cols>
          <w:pgMar w:left="520" w:top="537" w:right="1440" w:bottom="1440" w:gutter="0" w:footer="0" w:header="0"/>
          <w:type w:val="continuous"/>
        </w:sectPr>
      </w:pPr>
    </w:p>
    <w:p>
      <w:pPr>
        <w:spacing w:after="0" w:line="53"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39"/>
          </w:cols>
          <w:pgMar w:left="520" w:top="537" w:right="1440" w:bottom="1440" w:gutter="0" w:footer="0" w:header="0"/>
          <w:type w:val="continuous"/>
        </w:sectPr>
      </w:pPr>
    </w:p>
    <w:bookmarkStart w:id="112" w:name="page113"/>
    <w:bookmarkEnd w:id="112"/>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b w:val="1"/>
          <w:bCs w:val="1"/>
          <w:u w:val="single" w:color="auto"/>
          <w:color w:val="auto"/>
        </w:rPr>
        <w:t>RESTRICTED STOCK UNIT AGREEMENT</w:t>
      </w:r>
    </w:p>
    <w:p>
      <w:pPr>
        <w:spacing w:after="0" w:line="146" w:lineRule="exact"/>
        <w:rPr>
          <w:sz w:val="20"/>
          <w:szCs w:val="20"/>
          <w:color w:val="auto"/>
        </w:rPr>
      </w:pPr>
    </w:p>
    <w:p>
      <w:pPr>
        <w:ind w:right="580" w:firstLine="630"/>
        <w:spacing w:after="0" w:line="303" w:lineRule="auto"/>
        <w:rPr>
          <w:sz w:val="20"/>
          <w:szCs w:val="20"/>
          <w:color w:val="auto"/>
        </w:rPr>
      </w:pPr>
      <w:r>
        <w:rPr>
          <w:rFonts w:ascii="Arial" w:cs="Arial" w:eastAsia="Arial" w:hAnsi="Arial"/>
          <w:sz w:val="18"/>
          <w:szCs w:val="18"/>
          <w:color w:val="auto"/>
        </w:rPr>
        <w:t>THIS RESTRICTED STOCK UNIT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21, 2018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Virtu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Joseph Molluso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81"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p>
    <w:p>
      <w:pPr>
        <w:spacing w:after="0" w:line="220" w:lineRule="exact"/>
        <w:rPr>
          <w:rFonts w:ascii="Arial" w:cs="Arial" w:eastAsia="Arial" w:hAnsi="Arial"/>
          <w:sz w:val="19"/>
          <w:szCs w:val="19"/>
          <w:b w:val="1"/>
          <w:bCs w:val="1"/>
          <w:color w:val="auto"/>
        </w:rPr>
      </w:pPr>
    </w:p>
    <w:p>
      <w:pPr>
        <w:ind w:right="120" w:firstLine="635"/>
        <w:spacing w:after="0" w:line="259" w:lineRule="auto"/>
        <w:tabs>
          <w:tab w:leader="none" w:pos="1036"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of 120,000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71" w:lineRule="exact"/>
        <w:rPr>
          <w:rFonts w:ascii="Arial" w:cs="Arial" w:eastAsia="Arial" w:hAnsi="Arial"/>
          <w:sz w:val="19"/>
          <w:szCs w:val="19"/>
          <w:color w:val="auto"/>
        </w:rPr>
      </w:pPr>
    </w:p>
    <w:p>
      <w:pPr>
        <w:ind w:firstLine="635"/>
        <w:spacing w:after="0" w:line="266" w:lineRule="auto"/>
        <w:tabs>
          <w:tab w:leader="none" w:pos="104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right="40" w:firstLine="635"/>
        <w:spacing w:after="0" w:line="269" w:lineRule="auto"/>
        <w:tabs>
          <w:tab w:leader="none" w:pos="1036"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66" w:lineRule="exact"/>
        <w:rPr>
          <w:sz w:val="20"/>
          <w:szCs w:val="20"/>
          <w:color w:val="auto"/>
        </w:rPr>
      </w:pPr>
    </w:p>
    <w:p>
      <w:pPr>
        <w:ind w:right="220" w:firstLine="635"/>
        <w:spacing w:after="0" w:line="274" w:lineRule="auto"/>
        <w:tabs>
          <w:tab w:leader="none" w:pos="1032" w:val="left"/>
        </w:tabs>
        <w:numPr>
          <w:ilvl w:val="1"/>
          <w:numId w:val="66"/>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40" w:firstLine="5"/>
        <w:spacing w:after="0" w:line="308" w:lineRule="auto"/>
        <w:tabs>
          <w:tab w:leader="none" w:pos="337"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100" w:firstLine="5"/>
        <w:spacing w:after="0" w:line="280" w:lineRule="auto"/>
        <w:tabs>
          <w:tab w:leader="none" w:pos="333"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is terminated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prior to the third and final Vesting Date (i) by the Company without Cause, (ii) due to death or Disability or (iii) by Participant for Good Reason, a number of RSUs equal to (a) 40,000 multiplied by a fraction, the numerator of which is the number of calendar days the Participant was employed since the later of (x) the Date of Grant or (y) the most recent anniversary of the Date of Grant, and the denominator of which is 365, plus</w:t>
      </w:r>
    </w:p>
    <w:p>
      <w:pPr>
        <w:spacing w:after="0" w:line="2" w:lineRule="exact"/>
        <w:rPr>
          <w:rFonts w:ascii="Arial" w:cs="Arial" w:eastAsia="Arial" w:hAnsi="Arial"/>
          <w:sz w:val="17"/>
          <w:szCs w:val="17"/>
          <w:b w:val="1"/>
          <w:bCs w:val="1"/>
          <w:color w:val="auto"/>
        </w:rPr>
      </w:pPr>
    </w:p>
    <w:p>
      <w:pPr>
        <w:ind w:right="100"/>
        <w:spacing w:after="0" w:line="249" w:lineRule="auto"/>
        <w:rPr>
          <w:rFonts w:ascii="Arial" w:cs="Arial" w:eastAsia="Arial" w:hAnsi="Arial"/>
          <w:sz w:val="17"/>
          <w:szCs w:val="17"/>
          <w:b w:val="1"/>
          <w:bCs w:val="1"/>
          <w:color w:val="auto"/>
        </w:rPr>
      </w:pPr>
      <w:r>
        <w:rPr>
          <w:rFonts w:ascii="Arial" w:cs="Arial" w:eastAsia="Arial" w:hAnsi="Arial"/>
          <w:sz w:val="19"/>
          <w:szCs w:val="19"/>
          <w:color w:val="auto"/>
        </w:rPr>
        <w:t>(b) in the event that such termination occurs prior to second Vesting Date, the number of RSUs otherwise scheduled to vest on the next anniversary of the Date of Grant, shall be deemed vested immediately. Except as otherwise provided in this Section 4, upon the Participant’s termination of employment or service with the Company and its Affiliates, all unvested RSUs shall be cancelled immediately and the Participant shall not be entitled to receive any payments with respect thereto.</w:t>
      </w:r>
    </w:p>
    <w:p>
      <w:pPr>
        <w:spacing w:after="0" w:line="193" w:lineRule="exact"/>
        <w:rPr>
          <w:sz w:val="20"/>
          <w:szCs w:val="20"/>
          <w:color w:val="auto"/>
        </w:rPr>
      </w:pPr>
    </w:p>
    <w:p>
      <w:pPr>
        <w:ind w:right="40" w:firstLine="630"/>
        <w:spacing w:after="0" w:line="262" w:lineRule="auto"/>
        <w:rPr>
          <w:sz w:val="20"/>
          <w:szCs w:val="20"/>
          <w:color w:val="auto"/>
        </w:rPr>
      </w:pPr>
      <w:r>
        <w:rPr>
          <w:rFonts w:ascii="Arial" w:cs="Arial" w:eastAsia="Arial" w:hAnsi="Arial"/>
          <w:sz w:val="18"/>
          <w:szCs w:val="18"/>
          <w:color w:val="auto"/>
        </w:rPr>
        <w:t>For purposes of this Section 3, “Good Reason” shall mean the termination of Participant’s employment at his initiative after, without Participant’s prior written consent, one (1) or more of the following events: (i) a reduction in the Participant’s base salary; (ii) any material diminution or adverse change in the duties, authority, responsibilities, or positions of Participant at present; (iii) requiring Participant to report to an officer or employee other than the Company’s Chief Executive Officer; (iv) the Company’s requiring Participant to be based at a location in excess of fifty (50) miles from the location of Executive’s principal job location, except for required travel on the Company’s business to an extent substantially consistent with Participant’s position; or (v) the failure of the Company to obtain the assumption in writing of its obligation to perform this Agreement by any successor to all or substantially all of the assets or business of the Company after a merger, consolidation, sale, or similar transaction; provided, however, that prior to resigning for Good Reason, Participant shall give written notice to the Company of the facts and circumstances claimed to provide a basis for such resignation not more than sixty (60) days following his knowledge of such facts and circumstances, and the Company shall have thirty (30) days after receipt of such notice to cure such facts and circumstances (and if so cured then Participant shall not be permitted to resign for Good Reason in respect thereof). Any termination of employment by Executive for Good Reason shall be communicated to the Company by written notice, which shall include Executive’s date of termination of employment (which, except as set forth in the preceding sentence, shall be a date not later than thirty (30) days after delivery of such notice).</w:t>
      </w:r>
    </w:p>
    <w:p>
      <w:pPr>
        <w:spacing w:after="0" w:line="180" w:lineRule="exact"/>
        <w:rPr>
          <w:sz w:val="20"/>
          <w:szCs w:val="20"/>
          <w:color w:val="auto"/>
        </w:rPr>
      </w:pPr>
    </w:p>
    <w:p>
      <w:pPr>
        <w:ind w:right="380" w:firstLine="5"/>
        <w:spacing w:after="0" w:line="342" w:lineRule="auto"/>
        <w:tabs>
          <w:tab w:leader="none" w:pos="337"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the RSUs unless, until and to the extent that (i) the Company shall have issued and delivered to the Participant the shares of Class A</w:t>
      </w:r>
    </w:p>
    <w:p>
      <w:pPr>
        <w:sectPr>
          <w:pgSz w:w="11900" w:h="16838" w:orient="portrait"/>
          <w:cols w:equalWidth="0" w:num="1">
            <w:col w:w="11420"/>
          </w:cols>
          <w:pgMar w:left="240" w:top="602" w:right="239" w:bottom="0" w:gutter="0" w:footer="0" w:header="0"/>
        </w:sectPr>
      </w:pPr>
    </w:p>
    <w:bookmarkStart w:id="113" w:name="page114"/>
    <w:bookmarkEnd w:id="113"/>
    <w:p>
      <w:pPr>
        <w:spacing w:after="0" w:line="147"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47" w:lineRule="exact"/>
        <w:rPr>
          <w:sz w:val="20"/>
          <w:szCs w:val="20"/>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40" w:firstLine="635"/>
        <w:spacing w:after="0" w:line="252" w:lineRule="auto"/>
        <w:tabs>
          <w:tab w:leader="none" w:pos="103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9"/>
          <w:szCs w:val="19"/>
          <w:color w:val="auto"/>
        </w:rPr>
      </w:pPr>
    </w:p>
    <w:p>
      <w:pPr>
        <w:ind w:right="160" w:firstLine="635"/>
        <w:spacing w:after="0" w:line="248" w:lineRule="auto"/>
        <w:tabs>
          <w:tab w:leader="none" w:pos="104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0" w:lineRule="exact"/>
        <w:rPr>
          <w:rFonts w:ascii="Arial" w:cs="Arial" w:eastAsia="Arial" w:hAnsi="Arial"/>
          <w:sz w:val="19"/>
          <w:szCs w:val="19"/>
          <w:color w:val="auto"/>
        </w:rPr>
      </w:pPr>
    </w:p>
    <w:p>
      <w:pPr>
        <w:ind w:right="60" w:firstLine="5"/>
        <w:spacing w:after="0" w:line="262" w:lineRule="auto"/>
        <w:tabs>
          <w:tab w:leader="none" w:pos="33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RSU award if the Participant,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2" w:lineRule="exact"/>
        <w:rPr>
          <w:rFonts w:ascii="Arial" w:cs="Arial" w:eastAsia="Arial" w:hAnsi="Arial"/>
          <w:sz w:val="18"/>
          <w:szCs w:val="18"/>
          <w:b w:val="1"/>
          <w:bCs w:val="1"/>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40" w:firstLine="635"/>
        <w:spacing w:after="0" w:line="259" w:lineRule="auto"/>
        <w:tabs>
          <w:tab w:leader="none" w:pos="1036"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firstLine="635"/>
        <w:spacing w:after="0" w:line="252" w:lineRule="auto"/>
        <w:tabs>
          <w:tab w:leader="none" w:pos="1047"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2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40" w:firstLine="635"/>
        <w:spacing w:after="0" w:line="254" w:lineRule="auto"/>
        <w:tabs>
          <w:tab w:leader="none" w:pos="104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7" w:lineRule="exact"/>
        <w:rPr>
          <w:rFonts w:ascii="Arial" w:cs="Arial" w:eastAsia="Arial" w:hAnsi="Arial"/>
          <w:sz w:val="19"/>
          <w:szCs w:val="19"/>
          <w:color w:val="auto"/>
        </w:rPr>
      </w:pPr>
    </w:p>
    <w:p>
      <w:pPr>
        <w:ind w:right="20" w:firstLine="635"/>
        <w:spacing w:after="0" w:line="265" w:lineRule="auto"/>
        <w:tabs>
          <w:tab w:leader="none" w:pos="10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66" w:lineRule="exact"/>
        <w:rPr>
          <w:rFonts w:ascii="Arial" w:cs="Arial" w:eastAsia="Arial" w:hAnsi="Arial"/>
          <w:sz w:val="18"/>
          <w:szCs w:val="18"/>
          <w:color w:val="auto"/>
        </w:rPr>
      </w:pPr>
    </w:p>
    <w:p>
      <w:pPr>
        <w:ind w:right="340" w:firstLine="635"/>
        <w:spacing w:after="0" w:line="259" w:lineRule="auto"/>
        <w:tabs>
          <w:tab w:leader="none" w:pos="104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240" w:firstLine="635"/>
        <w:spacing w:after="0" w:line="335" w:lineRule="auto"/>
        <w:tabs>
          <w:tab w:leader="none" w:pos="103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w:t>
      </w:r>
    </w:p>
    <w:p>
      <w:pPr>
        <w:sectPr>
          <w:pgSz w:w="11900" w:h="16985" w:orient="portrait"/>
          <w:cols w:equalWidth="0" w:num="1">
            <w:col w:w="11400"/>
          </w:cols>
          <w:pgMar w:left="240" w:top="122" w:right="259" w:bottom="0" w:gutter="0" w:footer="0" w:header="0"/>
        </w:sectPr>
      </w:pPr>
    </w:p>
    <w:bookmarkStart w:id="114" w:name="page115"/>
    <w:bookmarkEnd w:id="114"/>
    <w:p>
      <w:pPr>
        <w:ind w:right="100"/>
        <w:spacing w:after="0" w:line="260" w:lineRule="auto"/>
        <w:rPr>
          <w:sz w:val="20"/>
          <w:szCs w:val="20"/>
          <w:color w:val="auto"/>
        </w:rPr>
      </w:pPr>
      <w:r>
        <w:rPr>
          <w:rFonts w:ascii="Arial" w:cs="Arial" w:eastAsia="Arial" w:hAnsi="Arial"/>
          <w:sz w:val="19"/>
          <w:szCs w:val="19"/>
          <w:color w:val="auto"/>
        </w:rPr>
        <w:t>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0" w:lineRule="exact"/>
        <w:rPr>
          <w:sz w:val="20"/>
          <w:szCs w:val="20"/>
          <w:color w:val="auto"/>
        </w:rPr>
      </w:pPr>
    </w:p>
    <w:p>
      <w:pPr>
        <w:ind w:right="40" w:firstLine="635"/>
        <w:spacing w:after="0" w:line="335" w:lineRule="auto"/>
        <w:tabs>
          <w:tab w:leader="none" w:pos="101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right="20" w:firstLine="635"/>
        <w:spacing w:after="0" w:line="254"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firstLine="635"/>
        <w:spacing w:after="0" w:line="259"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80" w:firstLine="635"/>
        <w:spacing w:after="0" w:line="274"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20" w:firstLine="635"/>
        <w:spacing w:after="0" w:line="274"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7" w:lineRule="exact"/>
        <w:rPr>
          <w:rFonts w:ascii="Arial" w:cs="Arial" w:eastAsia="Arial" w:hAnsi="Arial"/>
          <w:sz w:val="19"/>
          <w:szCs w:val="19"/>
          <w:color w:val="auto"/>
        </w:rPr>
      </w:pPr>
    </w:p>
    <w:p>
      <w:pPr>
        <w:jc w:val="both"/>
        <w:ind w:right="160" w:firstLine="635"/>
        <w:spacing w:after="0" w:line="273" w:lineRule="auto"/>
        <w:tabs>
          <w:tab w:leader="none" w:pos="104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firstLine="635"/>
        <w:spacing w:after="0" w:line="259"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40" w:right="100" w:firstLine="625"/>
        <w:spacing w:after="0" w:line="264" w:lineRule="auto"/>
        <w:tabs>
          <w:tab w:leader="none" w:pos="164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40" w:right="20" w:firstLine="625"/>
        <w:spacing w:after="0" w:line="250" w:lineRule="auto"/>
        <w:tabs>
          <w:tab w:leader="none" w:pos="1697"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right="340" w:firstLine="635"/>
        <w:spacing w:after="0" w:line="259" w:lineRule="auto"/>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right="40" w:firstLine="635"/>
        <w:spacing w:after="0" w:line="259"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right="40" w:firstLine="635"/>
        <w:spacing w:after="0" w:line="252"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8" w:lineRule="exact"/>
        <w:rPr>
          <w:rFonts w:ascii="Arial" w:cs="Arial" w:eastAsia="Arial" w:hAnsi="Arial"/>
          <w:sz w:val="19"/>
          <w:szCs w:val="19"/>
          <w:color w:val="auto"/>
        </w:rPr>
      </w:pPr>
    </w:p>
    <w:p>
      <w:pPr>
        <w:ind w:right="80" w:firstLine="635"/>
        <w:spacing w:after="0" w:line="254"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6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ectPr>
          <w:pgSz w:w="11900" w:h="16838" w:orient="portrait"/>
          <w:cols w:equalWidth="0" w:num="1">
            <w:col w:w="11400"/>
          </w:cols>
          <w:pgMar w:left="240" w:top="121" w:right="259" w:bottom="0" w:gutter="0" w:footer="0" w:header="0"/>
        </w:sectPr>
      </w:pPr>
    </w:p>
    <w:bookmarkStart w:id="115" w:name="page116"/>
    <w:bookmarkEnd w:id="115"/>
    <w:p>
      <w:pPr>
        <w:ind w:left="25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-10795</wp:posOffset>
            </wp:positionV>
            <wp:extent cx="121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Name: Douglas A. Cifu</w:t>
      </w:r>
    </w:p>
    <w:p>
      <w:pPr>
        <w:spacing w:after="0" w:line="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6441440</wp:posOffset>
            </wp:positionH>
            <wp:positionV relativeFrom="paragraph">
              <wp:posOffset>835660</wp:posOffset>
            </wp:positionV>
            <wp:extent cx="111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Joseph Molluso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9019"/>
          </w:cols>
          <w:pgMar w:left="1440" w:top="320"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24" w:lineRule="exact"/>
        <w:rPr>
          <w:sz w:val="20"/>
          <w:szCs w:val="20"/>
          <w:color w:val="auto"/>
        </w:rPr>
      </w:pPr>
    </w:p>
    <w:p>
      <w:pPr>
        <w:ind w:left="640" w:right="620" w:hanging="320"/>
        <w:spacing w:after="0" w:line="290"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June 30,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65"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00" w:right="260" w:hanging="465"/>
        <w:spacing w:after="0" w:line="275"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4200"/>
        <w:spacing w:after="0"/>
        <w:tabs>
          <w:tab w:leader="none" w:pos="6300" w:val="left"/>
        </w:tabs>
        <w:rPr>
          <w:sz w:val="20"/>
          <w:szCs w:val="20"/>
          <w:color w:val="auto"/>
        </w:rPr>
      </w:pPr>
      <w:r>
        <w:rPr>
          <w:rFonts w:ascii="Arial" w:cs="Arial" w:eastAsia="Arial" w:hAnsi="Arial"/>
          <w:sz w:val="17"/>
          <w:szCs w:val="17"/>
          <w:color w:val="auto"/>
        </w:rPr>
        <w:t>Date: August 6, 2018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33655</wp:posOffset>
            </wp:positionV>
            <wp:extent cx="32588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6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67"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Joseph Molluso, certify that:</w:t>
      </w:r>
    </w:p>
    <w:p>
      <w:pPr>
        <w:spacing w:after="0" w:line="224" w:lineRule="exact"/>
        <w:rPr>
          <w:sz w:val="20"/>
          <w:szCs w:val="20"/>
          <w:color w:val="auto"/>
        </w:rPr>
      </w:pPr>
    </w:p>
    <w:p>
      <w:pPr>
        <w:ind w:left="640" w:right="620" w:hanging="320"/>
        <w:spacing w:after="0" w:line="290"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June 30,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300"/>
        <w:spacing w:after="0"/>
        <w:tabs>
          <w:tab w:leader="none" w:pos="6420" w:val="left"/>
        </w:tabs>
        <w:rPr>
          <w:sz w:val="20"/>
          <w:szCs w:val="20"/>
          <w:color w:val="auto"/>
        </w:rPr>
      </w:pPr>
      <w:r>
        <w:rPr>
          <w:rFonts w:ascii="Arial" w:cs="Arial" w:eastAsia="Arial" w:hAnsi="Arial"/>
          <w:sz w:val="17"/>
          <w:szCs w:val="17"/>
          <w:color w:val="auto"/>
        </w:rPr>
        <w:t>Date: August 6, 2018 By:</w:t>
      </w:r>
      <w:r>
        <w:rPr>
          <w:sz w:val="20"/>
          <w:szCs w:val="20"/>
          <w:color w:val="auto"/>
        </w:rPr>
        <w:tab/>
      </w:r>
      <w:r>
        <w:rPr>
          <w:rFonts w:ascii="Arial" w:cs="Arial" w:eastAsia="Arial" w:hAnsi="Arial"/>
          <w:sz w:val="15"/>
          <w:szCs w:val="15"/>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33655</wp:posOffset>
            </wp:positionV>
            <wp:extent cx="3183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6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67"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June 30, 2018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329"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Date: August 6, 2018</w:t>
      </w:r>
    </w:p>
    <w:p>
      <w:pPr>
        <w:sectPr>
          <w:pgSz w:w="11900" w:h="16838" w:orient="portrait"/>
          <w:cols w:equalWidth="0" w:num="1">
            <w:col w:w="11420"/>
          </w:cols>
          <w:pgMar w:left="240" w:top="56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June 30, 2018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Financial Officer</w:t>
      </w:r>
    </w:p>
    <w:p>
      <w:pPr>
        <w:spacing w:after="0" w:line="329"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Date: August 6, 2018</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2"/>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38437FDB"/>
    <w:multiLevelType w:val="hybridMultilevel"/>
    <w:lvl w:ilvl="0">
      <w:lvlJc w:val="left"/>
      <w:lvlText w:val="%1."/>
      <w:numFmt w:val="decimal"/>
      <w:start w:val="3"/>
    </w:lvl>
  </w:abstractNum>
  <w:abstractNum w:abstractNumId="20">
    <w:nsid w:val="7644A45C"/>
    <w:multiLevelType w:val="hybridMultilevel"/>
    <w:lvl w:ilvl="0">
      <w:lvlJc w:val="left"/>
      <w:lvlText w:val="(%1)"/>
      <w:numFmt w:val="lowerLetter"/>
      <w:start w:val="2"/>
    </w:lvl>
  </w:abstractNum>
  <w:abstractNum w:abstractNumId="21">
    <w:nsid w:val="32FFF902"/>
    <w:multiLevelType w:val="hybridMultilevel"/>
    <w:lvl w:ilvl="0">
      <w:lvlJc w:val="left"/>
      <w:lvlText w:val="%1."/>
      <w:numFmt w:val="decimal"/>
      <w:start w:val="4"/>
    </w:lvl>
  </w:abstractNum>
  <w:abstractNum w:abstractNumId="22">
    <w:nsid w:val="684A481A"/>
    <w:multiLevelType w:val="hybridMultilevel"/>
    <w:lvl w:ilvl="0">
      <w:lvlJc w:val="left"/>
      <w:lvlText w:val="%1."/>
      <w:numFmt w:val="decimal"/>
      <w:start w:val="5"/>
    </w:lvl>
    <w:lvl w:ilvl="1">
      <w:lvlJc w:val="left"/>
      <w:lvlText w:val="(%2)"/>
      <w:numFmt w:val="lowerLetter"/>
      <w:start w:val="1"/>
    </w:lvl>
  </w:abstractNum>
  <w:abstractNum w:abstractNumId="23">
    <w:nsid w:val="579478F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24">
    <w:nsid w:val="749ABB43"/>
    <w:multiLevelType w:val="hybridMultilevel"/>
    <w:lvl w:ilvl="0">
      <w:lvlJc w:val="left"/>
      <w:lvlText w:val="(%1)"/>
      <w:numFmt w:val="lowerLetter"/>
      <w:start w:val="3"/>
    </w:lvl>
  </w:abstractNum>
  <w:abstractNum w:abstractNumId="25">
    <w:nsid w:val="3DC240FB"/>
    <w:multiLevelType w:val="hybridMultilevel"/>
    <w:lvl w:ilvl="0">
      <w:lvlJc w:val="left"/>
      <w:lvlText w:val="%1"/>
      <w:numFmt w:val="lowerLetter"/>
      <w:start w:val="1"/>
    </w:lvl>
    <w:lvl w:ilvl="1">
      <w:lvlJc w:val="left"/>
      <w:lvlText w:val="(%2)"/>
      <w:numFmt w:val="lowerLetter"/>
      <w:start w:val="4"/>
    </w:lvl>
  </w:abstractNum>
  <w:abstractNum w:abstractNumId="26">
    <w:nsid w:val="1BA026FA"/>
    <w:multiLevelType w:val="hybridMultilevel"/>
    <w:lvl w:ilvl="0">
      <w:lvlJc w:val="left"/>
      <w:lvlText w:val="(%1)"/>
      <w:numFmt w:val="lowerLetter"/>
      <w:start w:val="6"/>
    </w:lvl>
    <w:lvl w:ilvl="1">
      <w:lvlJc w:val="left"/>
      <w:lvlText w:val="%2"/>
      <w:numFmt w:val="lowerLetter"/>
      <w:start w:val="1"/>
    </w:lvl>
  </w:abstractNum>
  <w:abstractNum w:abstractNumId="27">
    <w:nsid w:val="79A1DEAA"/>
    <w:multiLevelType w:val="hybridMultilevel"/>
    <w:lvl w:ilvl="0">
      <w:lvlJc w:val="left"/>
      <w:lvlText w:val="(%1)"/>
      <w:numFmt w:val="lowerRoman"/>
      <w:start w:val="1"/>
    </w:lvl>
  </w:abstractNum>
  <w:abstractNum w:abstractNumId="28">
    <w:nsid w:val="75C6C33A"/>
    <w:multiLevelType w:val="hybridMultilevel"/>
    <w:lvl w:ilvl="0">
      <w:lvlJc w:val="left"/>
      <w:lvlText w:val="(%1)"/>
      <w:numFmt w:val="lowerLetter"/>
      <w:start w:val="11"/>
    </w:lvl>
  </w:abstractNum>
  <w:abstractNum w:abstractNumId="29">
    <w:nsid w:val="12E685FB"/>
    <w:multiLevelType w:val="hybridMultilevel"/>
    <w:lvl w:ilvl="0">
      <w:lvlJc w:val="left"/>
      <w:lvlText w:val="(%1)"/>
      <w:numFmt w:val="upperLetter"/>
      <w:start w:val="9"/>
    </w:lvl>
    <w:lvl w:ilvl="1">
      <w:lvlJc w:val="left"/>
      <w:lvlText w:val="(%2)"/>
      <w:numFmt w:val="lowerRoman"/>
      <w:start w:val="1"/>
    </w:lvl>
  </w:abstractNum>
  <w:abstractNum w:abstractNumId="30">
    <w:nsid w:val="70C6A52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1">
    <w:nsid w:val="520EEDD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32">
    <w:nsid w:val="374A3FE6"/>
    <w:multiLevelType w:val="hybridMultilevel"/>
    <w:lvl w:ilvl="0">
      <w:lvlJc w:val="left"/>
      <w:lvlText w:val="(%1)"/>
      <w:numFmt w:val="lowerLetter"/>
      <w:start w:val="13"/>
    </w:lvl>
    <w:lvl w:ilvl="1">
      <w:lvlJc w:val="left"/>
      <w:lvlText w:val="%2"/>
      <w:numFmt w:val="upperLetter"/>
      <w:start w:val="1"/>
    </w:lvl>
    <w:lvl w:ilvl="2">
      <w:lvlJc w:val="left"/>
      <w:lvlText w:val="%3"/>
      <w:numFmt w:val="lowerLetter"/>
      <w:start w:val="1"/>
    </w:lvl>
  </w:abstractNum>
  <w:abstractNum w:abstractNumId="33">
    <w:nsid w:val="4F4EF005"/>
    <w:multiLevelType w:val="hybridMultilevel"/>
    <w:lvl w:ilvl="0">
      <w:lvlJc w:val="left"/>
      <w:lvlText w:val="(%1)"/>
      <w:numFmt w:val="lowerLetter"/>
      <w:start w:val="14"/>
    </w:lvl>
  </w:abstractNum>
  <w:abstractNum w:abstractNumId="34">
    <w:nsid w:val="23F9C13C"/>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5">
    <w:nsid w:val="649BB77C"/>
    <w:multiLevelType w:val="hybridMultilevel"/>
    <w:lvl w:ilvl="0">
      <w:lvlJc w:val="left"/>
      <w:lvlText w:val="%1."/>
      <w:numFmt w:val="decimal"/>
      <w:start w:val="2"/>
    </w:lvl>
  </w:abstractNum>
  <w:abstractNum w:abstractNumId="36">
    <w:nsid w:val="275AC794"/>
    <w:multiLevelType w:val="hybridMultilevel"/>
    <w:lvl w:ilvl="0">
      <w:lvlJc w:val="left"/>
      <w:lvlText w:val="%1"/>
      <w:numFmt w:val="decimal"/>
      <w:start w:val="1"/>
    </w:lvl>
    <w:lvl w:ilvl="1">
      <w:lvlJc w:val="left"/>
      <w:lvlText w:val="%2."/>
      <w:numFmt w:val="lowerLetter"/>
      <w:start w:val="2"/>
    </w:lvl>
  </w:abstractNum>
  <w:abstractNum w:abstractNumId="37">
    <w:nsid w:val="39386575"/>
    <w:multiLevelType w:val="hybridMultilevel"/>
    <w:lvl w:ilvl="0">
      <w:lvlJc w:val="left"/>
      <w:lvlText w:val="%1."/>
      <w:numFmt w:val="decimal"/>
      <w:start w:val="3"/>
    </w:lvl>
    <w:lvl w:ilvl="1">
      <w:lvlJc w:val="left"/>
      <w:lvlText w:val="%2"/>
      <w:numFmt w:val="lowerLetter"/>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1"/>
    </w:lvl>
    <w:lvl w:ilvl="1">
      <w:lvlJc w:val="left"/>
      <w:lvlText w:val="%2."/>
      <w:numFmt w:val="lowerLetter"/>
      <w:start w:val="2"/>
    </w:lvl>
  </w:abstractNum>
  <w:abstractNum w:abstractNumId="40">
    <w:nsid w:val="235BA861"/>
    <w:multiLevelType w:val="hybridMultilevel"/>
    <w:lvl w:ilvl="0">
      <w:lvlJc w:val="left"/>
      <w:lvlText w:val="%1."/>
      <w:numFmt w:val="lowerLetter"/>
      <w:start w:val="4"/>
    </w:lvl>
    <w:lvl w:ilvl="1">
      <w:lvlJc w:val="left"/>
      <w:lvlText w:val="%2"/>
      <w:numFmt w:val="lowerLetter"/>
      <w:start w:val="1"/>
    </w:lvl>
  </w:abstractNum>
  <w:abstractNum w:abstractNumId="41">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2">
    <w:nsid w:val="354FE9F9"/>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43">
    <w:nsid w:val="15B5AF5C"/>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44">
    <w:nsid w:val="741226BB"/>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45">
    <w:nsid w:val="D34B6A8"/>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2"/>
    </w:lvl>
  </w:abstractNum>
  <w:abstractNum w:abstractNumId="46">
    <w:nsid w:val="10233C99"/>
    <w:multiLevelType w:val="hybridMultilevel"/>
    <w:lvl w:ilvl="0">
      <w:lvlJc w:val="left"/>
      <w:lvlText w:val="%1."/>
      <w:numFmt w:val="lowerLetter"/>
      <w:start w:val="15"/>
    </w:lvl>
  </w:abstractNum>
  <w:abstractNum w:abstractNumId="47">
    <w:nsid w:val="3F6AB60F"/>
    <w:multiLevelType w:val="hybridMultilevel"/>
    <w:lvl w:ilvl="0">
      <w:lvlJc w:val="left"/>
      <w:lvlText w:val="%1."/>
      <w:numFmt w:val="decimal"/>
      <w:start w:val="1"/>
    </w:lvl>
    <w:lvl w:ilvl="1">
      <w:lvlJc w:val="left"/>
      <w:lvlText w:val="(%2)"/>
      <w:numFmt w:val="lowerLetter"/>
      <w:start w:val="1"/>
    </w:lvl>
  </w:abstractNum>
  <w:abstractNum w:abstractNumId="48">
    <w:nsid w:val="61574095"/>
    <w:multiLevelType w:val="hybridMultilevel"/>
    <w:lvl w:ilvl="0">
      <w:lvlJc w:val="left"/>
      <w:lvlText w:val="%1"/>
      <w:numFmt w:val="decimal"/>
      <w:start w:val="1"/>
    </w:lvl>
    <w:lvl w:ilvl="1">
      <w:lvlJc w:val="left"/>
      <w:lvlText w:val="(%2)"/>
      <w:numFmt w:val="lowerLetter"/>
      <w:start w:val="3"/>
    </w:lvl>
  </w:abstractNum>
  <w:abstractNum w:abstractNumId="49">
    <w:nsid w:val="7E0C57B1"/>
    <w:multiLevelType w:val="hybridMultilevel"/>
    <w:lvl w:ilvl="0">
      <w:lvlJc w:val="left"/>
      <w:lvlText w:val="%1."/>
      <w:numFmt w:val="decimal"/>
      <w:start w:val="3"/>
    </w:lvl>
    <w:lvl w:ilvl="1">
      <w:lvlJc w:val="left"/>
      <w:lvlText w:val="(%2)"/>
      <w:numFmt w:val="lowerLetter"/>
      <w:start w:val="1"/>
    </w:lvl>
  </w:abstractNum>
  <w:abstractNum w:abstractNumId="50">
    <w:nsid w:val="77AE35EB"/>
    <w:multiLevelType w:val="hybridMultilevel"/>
    <w:lvl w:ilvl="0">
      <w:lvlJc w:val="left"/>
      <w:lvlText w:val="%1."/>
      <w:numFmt w:val="decimal"/>
      <w:start w:val="7"/>
    </w:lvl>
    <w:lvl w:ilvl="1">
      <w:lvlJc w:val="left"/>
      <w:lvlText w:val="(%2)"/>
      <w:numFmt w:val="lowerLetter"/>
      <w:start w:val="1"/>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lowerLetter"/>
      <w:start w:val="4"/>
    </w:lvl>
  </w:abstractNum>
  <w:abstractNum w:abstractNumId="53">
    <w:nsid w:val="5FF87E05"/>
    <w:multiLevelType w:val="hybridMultilevel"/>
    <w:lvl w:ilvl="0">
      <w:lvlJc w:val="left"/>
      <w:lvlText w:val="(%1)"/>
      <w:numFmt w:val="lowerLetter"/>
      <w:start w:val="12"/>
    </w:lvl>
    <w:lvl w:ilvl="1">
      <w:lvlJc w:val="left"/>
      <w:lvlText w:val="(%2)"/>
      <w:numFmt w:val="lowerRoman"/>
      <w:start w:val="1"/>
    </w:lvl>
  </w:abstractNum>
  <w:abstractNum w:abstractNumId="54">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25A70BF7"/>
    <w:multiLevelType w:val="hybridMultilevel"/>
    <w:lvl w:ilvl="0">
      <w:lvlJc w:val="left"/>
      <w:lvlText w:val="%1"/>
      <w:numFmt w:val="decimal"/>
      <w:start w:val="1"/>
    </w:lvl>
    <w:lvl w:ilvl="1">
      <w:lvlJc w:val="left"/>
      <w:lvlText w:val="%2."/>
      <w:numFmt w:val="lowerLetter"/>
      <w:start w:val="3"/>
    </w:lvl>
  </w:abstractNum>
  <w:abstractNum w:abstractNumId="56">
    <w:nsid w:val="1DBABF00"/>
    <w:multiLevelType w:val="hybridMultilevel"/>
    <w:lvl w:ilvl="0">
      <w:lvlJc w:val="left"/>
      <w:lvlText w:val="%1."/>
      <w:numFmt w:val="decimal"/>
      <w:start w:val="3"/>
    </w:lvl>
    <w:lvl w:ilvl="1">
      <w:lvlJc w:val="left"/>
      <w:lvlText w:val="%2"/>
      <w:numFmt w:val="lowerLetter"/>
      <w:start w:val="1"/>
    </w:lvl>
  </w:abstractNum>
  <w:abstractNum w:abstractNumId="57">
    <w:nsid w:val="4AD084E9"/>
    <w:multiLevelType w:val="hybridMultilevel"/>
    <w:lvl w:ilvl="0">
      <w:lvlJc w:val="left"/>
      <w:lvlText w:val="%1"/>
      <w:numFmt w:val="decimal"/>
      <w:start w:val="1"/>
    </w:lvl>
    <w:lvl w:ilvl="1">
      <w:lvlJc w:val="left"/>
      <w:lvlText w:val="(%2)"/>
      <w:numFmt w:val="lowerRoman"/>
      <w:start w:val="3"/>
    </w:lvl>
  </w:abstractNum>
  <w:abstractNum w:abstractNumId="58">
    <w:nsid w:val="1F48EAA1"/>
    <w:multiLevelType w:val="hybridMultilevel"/>
    <w:lvl w:ilvl="0">
      <w:lvlJc w:val="left"/>
      <w:lvlText w:val="%1."/>
      <w:numFmt w:val="decimal"/>
      <w:start w:val="4"/>
    </w:lvl>
    <w:lvl w:ilvl="1">
      <w:lvlJc w:val="left"/>
      <w:lvlText w:val="%2"/>
      <w:numFmt w:val="lowerRoman"/>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2"/>
    </w:lvl>
    <w:lvl w:ilvl="1">
      <w:lvlJc w:val="left"/>
      <w:lvlText w:val="(%2)"/>
      <w:numFmt w:val="lowerRoman"/>
      <w:start w:val="3"/>
    </w:lvl>
  </w:abstractNum>
  <w:abstractNum w:abstractNumId="61">
    <w:nsid w:val="100F8FCA"/>
    <w:multiLevelType w:val="hybridMultilevel"/>
    <w:lvl w:ilvl="0">
      <w:lvlJc w:val="left"/>
      <w:lvlText w:val="%1"/>
      <w:numFmt w:val="lowerLetter"/>
      <w:start w:val="1"/>
    </w:lvl>
    <w:lvl w:ilvl="1">
      <w:lvlJc w:val="left"/>
      <w:lvlText w:val="(%2)"/>
      <w:numFmt w:val="decimal"/>
      <w:start w:val="1"/>
    </w:lvl>
  </w:abstractNum>
  <w:abstractNum w:abstractNumId="62">
    <w:nsid w:val="6590700B"/>
    <w:multiLevelType w:val="hybridMultilevel"/>
    <w:lvl w:ilvl="0">
      <w:lvlJc w:val="left"/>
      <w:lvlText w:val="%1."/>
      <w:numFmt w:val="lowerLetter"/>
      <w:start w:val="5"/>
    </w:lvl>
    <w:lvl w:ilvl="1">
      <w:lvlJc w:val="left"/>
      <w:lvlText w:val="%2"/>
      <w:numFmt w:val="decimal"/>
      <w:start w:val="1"/>
    </w:lvl>
  </w:abstractNum>
  <w:abstractNum w:abstractNumId="63">
    <w:nsid w:val="15014ACB"/>
    <w:multiLevelType w:val="hybridMultilevel"/>
    <w:lvl w:ilvl="0">
      <w:lvlJc w:val="left"/>
      <w:lvlText w:val="%1."/>
      <w:numFmt w:val="lowerLetter"/>
      <w:start w:val="10"/>
    </w:lvl>
  </w:abstractNum>
  <w:abstractNum w:abstractNumId="64">
    <w:nsid w:val="5F5E7FD0"/>
    <w:multiLevelType w:val="hybridMultilevel"/>
    <w:lvl w:ilvl="0">
      <w:lvlJc w:val="left"/>
      <w:lvlText w:val="%1."/>
      <w:numFmt w:val="decimal"/>
      <w:start w:val="1"/>
    </w:lvl>
    <w:lvl w:ilvl="1">
      <w:lvlJc w:val="left"/>
      <w:lvlText w:val="(%2)"/>
      <w:numFmt w:val="lowerLetter"/>
      <w:start w:val="1"/>
    </w:lvl>
  </w:abstractNum>
  <w:abstractNum w:abstractNumId="65">
    <w:nsid w:val="98A3148"/>
    <w:multiLevelType w:val="hybridMultilevel"/>
    <w:lvl w:ilvl="0">
      <w:lvlJc w:val="left"/>
      <w:lvlText w:val="%1"/>
      <w:numFmt w:val="decimal"/>
      <w:start w:val="1"/>
    </w:lvl>
    <w:lvl w:ilvl="1">
      <w:lvlJc w:val="left"/>
      <w:lvlText w:val="(%2)"/>
      <w:numFmt w:val="lowerLetter"/>
      <w:start w:val="3"/>
    </w:lvl>
  </w:abstractNum>
  <w:abstractNum w:abstractNumId="66">
    <w:nsid w:val="799D0247"/>
    <w:multiLevelType w:val="hybridMultilevel"/>
    <w:lvl w:ilvl="0">
      <w:lvlJc w:val="left"/>
      <w:lvlText w:val="%1."/>
      <w:numFmt w:val="decimal"/>
      <w:start w:val="3"/>
    </w:lvl>
    <w:lvl w:ilvl="1">
      <w:lvlJc w:val="left"/>
      <w:lvlText w:val="%2"/>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lvl w:ilvl="1">
      <w:lvlJc w:val="left"/>
      <w:lvlText w:val="(%2)"/>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lowerLetter"/>
      <w:start w:val="6"/>
    </w:lvl>
    <w:lvl w:ilvl="1">
      <w:lvlJc w:val="left"/>
      <w:lvlText w:val="(%2)"/>
      <w:numFmt w:val="lowerRoman"/>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7" Type="http://schemas.openxmlformats.org/officeDocument/2006/relationships/image" Target="media/image14.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17.png"/><Relationship Id="rId41" Type="http://schemas.openxmlformats.org/officeDocument/2006/relationships/image" Target="media/image18.jpeg"/><Relationship Id="rId42" Type="http://schemas.openxmlformats.org/officeDocument/2006/relationships/image" Target="media/image19.png"/><Relationship Id="rId43" Type="http://schemas.openxmlformats.org/officeDocument/2006/relationships/image" Target="media/image20.jpeg"/><Relationship Id="rId44" Type="http://schemas.openxmlformats.org/officeDocument/2006/relationships/image" Target="media/image21.jpe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21" Type="http://schemas.openxmlformats.org/officeDocument/2006/relationships/hyperlink" Target="http://www.sec.gov/Archives/edgar/data/1592386/000110465915042100/a15-8228_1ex3d1.htm" TargetMode="External"/><Relationship Id="rId22" Type="http://schemas.openxmlformats.org/officeDocument/2006/relationships/hyperlink" Target="http://www.sec.gov/Archives/edgar/data/1592386/000110465915042100/a15-8228_1ex3d2.htm" TargetMode="External"/><Relationship Id="rId23" Type="http://schemas.openxmlformats.org/officeDocument/2006/relationships/hyperlink" Target="http://www.sec.gov/Archives/edgar/data/1592386/000155837017004144/virt-20170331ex103b78259.htm" TargetMode="External"/><Relationship Id="rId24" Type="http://schemas.openxmlformats.org/officeDocument/2006/relationships/hyperlink" Target="http://www.sec.gov/Archives/edgar/data/1592386/000155837018002007/virt-20171231ex108d056c2.htm" TargetMode="External"/><Relationship Id="rId25" Type="http://schemas.openxmlformats.org/officeDocument/2006/relationships/hyperlink" Target="http://www.sec.gov/Archives/edgar/data/1592386/000155837018002007/virt-20171231ex109bcd73e.htm" TargetMode="External"/><Relationship Id="rId26" Type="http://schemas.openxmlformats.org/officeDocument/2006/relationships/hyperlink" Target="http://www.sec.gov/Archives/edgar/data/1592386/000155837018002007/virt-20171231ex10105565c.htm" TargetMode="External"/><Relationship Id="rId27" Type="http://schemas.openxmlformats.org/officeDocument/2006/relationships/hyperlink" Target="http://www.sec.gov/Archives/edgar/data/1592386/000155837018002007/virt-20171231ex1029e1753.htm" TargetMode="External"/><Relationship Id="rId28" Type="http://schemas.openxmlformats.org/officeDocument/2006/relationships/hyperlink" Target="http://www.sec.gov/Archives/edgar/data/1592386/000155837018002007/virt-20171231ex10302f561.htm" TargetMode="External"/><Relationship Id="rId29" Type="http://schemas.openxmlformats.org/officeDocument/2006/relationships/hyperlink" Target="http://www.sec.gov/Archives/edgar/data/1592386/000110465918033448/a18-13432_1ex1d1.htm" TargetMode="External"/><Relationship Id="rId30" Type="http://schemas.openxmlformats.org/officeDocument/2006/relationships/hyperlink" Target="http://www.sec.gov/Archives/edgar/data/1592386/000110465918033448/a18-13432_1ex10d1.htm" TargetMode="External"/><Relationship Id="rId31" Type="http://schemas.openxmlformats.org/officeDocument/2006/relationships/hyperlink" Target="http://www.sec.gov/Archives/edgar/data/1573350/000110465918033457/a18-13274_1ex99d8.htm" TargetMode="External"/><Relationship Id="rId32" Type="http://schemas.openxmlformats.org/officeDocument/2006/relationships/hyperlink" Target="http://www.sec.gov/Archives/edgar/data/1592386/000110465918033448/a18-13432_1ex10d2.htm" TargetMode="External"/><Relationship Id="rId33" Type="http://schemas.openxmlformats.org/officeDocument/2006/relationships/hyperlink" Target="http://www.sec.gov/Archives/edgar/data/1573350/000110465918033457/a18-13274_1ex99d2.htm" TargetMode="External"/><Relationship Id="rId34" Type="http://schemas.openxmlformats.org/officeDocument/2006/relationships/hyperlink" Target="http://www.sec.gov/Archives/edgar/data/1573350/000110465918033457/a18-13274_1ex99d3.htm" TargetMode="External"/><Relationship Id="rId35" Type="http://schemas.openxmlformats.org/officeDocument/2006/relationships/hyperlink" Target="http://www.sec.gov/Archives/edgar/data/1573350/000110465918033457/a18-13274_1ex99d4.htm" TargetMode="External"/><Relationship Id="rId36" Type="http://schemas.openxmlformats.org/officeDocument/2006/relationships/hyperlink" Target="http://www.sec.gov/Archives/edgar/data/1573350/000110465918033457/a18-13274_1ex99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2019-12-28T20:34:33Z</dcterms:created>
  <dcterms:modified xsi:type="dcterms:W3CDTF">2019-12-28T20:34:33Z</dcterms:modified>
</cp:coreProperties>
</file>