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64564.xml.htm"/>
      <w:bookmarkStart w:id="1" w:name="kswkform4_17872645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GRANO JOSEPH J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VIRTU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60.9352</w:t>
            </w:r>
            <w:r>
              <w:rPr>
                <w:rFonts w:ascii="Times;serif" w:hAnsi="Times;serif"/>
                <w:color w:val="008000"/>
                <w:position w:val="7"/>
                <w:sz w:val="16"/>
                <w:sz w:val="20"/>
                <w:shd w:fill="FFFFFF" w:val="clear"/>
              </w:rPr>
              <w:t>(1)</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33,814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46"/>
        <w:gridCol w:w="68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$60.50 to $61.20, inclusive. The reporting person undertakes to provide to the staff of the Securities and Exchange Commission, to any security holder of Virtu Financial, Inc., or to Virtu Financial, Inc.,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is granted under the Issuer's Second Amended and Restated 2015 Management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July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4755"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3719</Characters>
  <CharactersWithSpaces>4337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