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97" w:lineRule="exact"/>
        <w:rPr>
          <w:sz w:val="24"/>
          <w:szCs w:val="24"/>
          <w:color w:val="auto"/>
        </w:rPr>
      </w:pPr>
    </w:p>
    <w:p>
      <w:pPr>
        <w:jc w:val="center"/>
        <w:ind w:left="3880" w:right="920" w:hanging="2955"/>
        <w:spacing w:after="0" w:line="281" w:lineRule="auto"/>
        <w:tabs>
          <w:tab w:leader="none" w:pos="11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June 30,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1120" w:hanging="201"/>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9"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720" w:type="dxa"/>
            <w:vAlign w:val="bottom"/>
            <w:gridSpan w:val="3"/>
          </w:tcPr>
          <w:p>
            <w:pPr>
              <w:ind w:left="280"/>
              <w:spacing w:after="0"/>
              <w:rPr>
                <w:sz w:val="20"/>
                <w:szCs w:val="20"/>
                <w:color w:val="auto"/>
              </w:rPr>
            </w:pPr>
            <w:r>
              <w:rPr>
                <w:rFonts w:ascii="Arial" w:cs="Arial" w:eastAsia="Arial" w:hAnsi="Arial"/>
                <w:sz w:val="18"/>
                <w:szCs w:val="18"/>
                <w:b w:val="1"/>
                <w:bCs w:val="1"/>
                <w:color w:val="auto"/>
                <w:w w:val="95"/>
              </w:rPr>
              <w:t>For the transition period from</w:t>
            </w:r>
          </w:p>
        </w:tc>
        <w:tc>
          <w:tcPr>
            <w:tcW w:w="4420" w:type="dxa"/>
            <w:vAlign w:val="bottom"/>
            <w:gridSpan w:val="3"/>
          </w:tcPr>
          <w:p>
            <w:pPr>
              <w:jc w:val="right"/>
              <w:ind w:right="4086"/>
              <w:spacing w:after="0"/>
              <w:rPr>
                <w:sz w:val="20"/>
                <w:szCs w:val="20"/>
                <w:color w:val="auto"/>
              </w:rPr>
            </w:pPr>
            <w:r>
              <w:rPr>
                <w:rFonts w:ascii="Arial" w:cs="Arial" w:eastAsia="Arial" w:hAnsi="Arial"/>
                <w:sz w:val="18"/>
                <w:szCs w:val="18"/>
                <w:b w:val="1"/>
                <w:bCs w:val="1"/>
                <w:color w:val="auto"/>
              </w:rPr>
              <w:t>to</w:t>
            </w:r>
          </w:p>
        </w:tc>
      </w:tr>
      <w:tr>
        <w:trPr>
          <w:trHeight w:val="227"/>
        </w:trPr>
        <w:tc>
          <w:tcPr>
            <w:tcW w:w="3660" w:type="dxa"/>
            <w:vAlign w:val="bottom"/>
          </w:tcPr>
          <w:p>
            <w:pPr>
              <w:spacing w:after="0"/>
              <w:rPr>
                <w:sz w:val="19"/>
                <w:szCs w:val="19"/>
                <w:color w:val="auto"/>
              </w:rPr>
            </w:pPr>
          </w:p>
        </w:tc>
        <w:tc>
          <w:tcPr>
            <w:tcW w:w="7140" w:type="dxa"/>
            <w:vAlign w:val="bottom"/>
            <w:gridSpan w:val="6"/>
          </w:tcPr>
          <w:p>
            <w:pPr>
              <w:jc w:val="center"/>
              <w:ind w:right="3566"/>
              <w:spacing w:after="0"/>
              <w:rPr>
                <w:sz w:val="20"/>
                <w:szCs w:val="20"/>
                <w:color w:val="auto"/>
              </w:rPr>
            </w:pPr>
            <w:r>
              <w:rPr>
                <w:rFonts w:ascii="Arial" w:cs="Arial" w:eastAsia="Arial" w:hAnsi="Arial"/>
                <w:sz w:val="18"/>
                <w:szCs w:val="18"/>
                <w:b w:val="1"/>
                <w:bCs w:val="1"/>
                <w:color w:val="auto"/>
                <w:w w:val="91"/>
              </w:rPr>
              <w:t>Commission file number: 001-37352</w:t>
            </w:r>
          </w:p>
        </w:tc>
      </w:tr>
      <w:tr>
        <w:trPr>
          <w:trHeight w:val="306"/>
        </w:trPr>
        <w:tc>
          <w:tcPr>
            <w:tcW w:w="3660" w:type="dxa"/>
            <w:vAlign w:val="bottom"/>
          </w:tcPr>
          <w:p>
            <w:pPr>
              <w:spacing w:after="0"/>
              <w:rPr>
                <w:sz w:val="24"/>
                <w:szCs w:val="24"/>
                <w:color w:val="auto"/>
              </w:rPr>
            </w:pPr>
          </w:p>
        </w:tc>
        <w:tc>
          <w:tcPr>
            <w:tcW w:w="7140" w:type="dxa"/>
            <w:vAlign w:val="bottom"/>
            <w:gridSpan w:val="6"/>
          </w:tcPr>
          <w:p>
            <w:pPr>
              <w:jc w:val="center"/>
              <w:ind w:right="3566"/>
              <w:spacing w:after="0"/>
              <w:rPr>
                <w:sz w:val="20"/>
                <w:szCs w:val="20"/>
                <w:color w:val="auto"/>
              </w:rPr>
            </w:pPr>
            <w:r>
              <w:rPr>
                <w:rFonts w:ascii="Arial" w:cs="Arial" w:eastAsia="Arial" w:hAnsi="Arial"/>
                <w:sz w:val="25"/>
                <w:szCs w:val="25"/>
                <w:b w:val="1"/>
                <w:bCs w:val="1"/>
                <w:color w:val="auto"/>
                <w:w w:val="95"/>
              </w:rPr>
              <w:t>Virtu Financial, Inc.</w:t>
            </w:r>
          </w:p>
        </w:tc>
      </w:tr>
      <w:tr>
        <w:trPr>
          <w:trHeight w:val="160"/>
        </w:trPr>
        <w:tc>
          <w:tcPr>
            <w:tcW w:w="3660" w:type="dxa"/>
            <w:vAlign w:val="bottom"/>
          </w:tcPr>
          <w:p>
            <w:pPr>
              <w:spacing w:after="0"/>
              <w:rPr>
                <w:sz w:val="13"/>
                <w:szCs w:val="13"/>
                <w:color w:val="auto"/>
              </w:rPr>
            </w:pPr>
          </w:p>
        </w:tc>
        <w:tc>
          <w:tcPr>
            <w:tcW w:w="7140" w:type="dxa"/>
            <w:vAlign w:val="bottom"/>
            <w:gridSpan w:val="6"/>
          </w:tcPr>
          <w:p>
            <w:pPr>
              <w:jc w:val="center"/>
              <w:ind w:right="3586"/>
              <w:spacing w:after="0"/>
              <w:rPr>
                <w:sz w:val="20"/>
                <w:szCs w:val="20"/>
                <w:color w:val="auto"/>
              </w:rPr>
            </w:pPr>
            <w:r>
              <w:rPr>
                <w:rFonts w:ascii="Arial" w:cs="Arial" w:eastAsia="Arial" w:hAnsi="Arial"/>
                <w:sz w:val="13"/>
                <w:szCs w:val="13"/>
                <w:color w:val="auto"/>
                <w:w w:val="87"/>
              </w:rPr>
              <w:t>(Exact name of registrant as specified in its charter)</w:t>
            </w:r>
          </w:p>
        </w:tc>
      </w:tr>
      <w:tr>
        <w:trPr>
          <w:trHeight w:val="273"/>
        </w:trPr>
        <w:tc>
          <w:tcPr>
            <w:tcW w:w="3660" w:type="dxa"/>
            <w:vAlign w:val="bottom"/>
          </w:tcPr>
          <w:p>
            <w:pPr>
              <w:jc w:val="center"/>
              <w:ind w:left="1505"/>
              <w:spacing w:after="0"/>
              <w:rPr>
                <w:sz w:val="20"/>
                <w:szCs w:val="20"/>
                <w:color w:val="auto"/>
              </w:rPr>
            </w:pPr>
            <w:r>
              <w:rPr>
                <w:rFonts w:ascii="Arial" w:cs="Arial" w:eastAsia="Arial" w:hAnsi="Arial"/>
                <w:sz w:val="18"/>
                <w:szCs w:val="18"/>
                <w:b w:val="1"/>
                <w:bCs w:val="1"/>
                <w:color w:val="auto"/>
                <w:w w:val="91"/>
              </w:rPr>
              <w:t>Delaware</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420" w:type="dxa"/>
            <w:vAlign w:val="bottom"/>
            <w:gridSpan w:val="3"/>
          </w:tcPr>
          <w:p>
            <w:pPr>
              <w:jc w:val="right"/>
              <w:ind w:right="2086"/>
              <w:spacing w:after="0"/>
              <w:rPr>
                <w:sz w:val="20"/>
                <w:szCs w:val="20"/>
                <w:color w:val="auto"/>
              </w:rPr>
            </w:pPr>
            <w:r>
              <w:rPr>
                <w:rFonts w:ascii="Arial" w:cs="Arial" w:eastAsia="Arial" w:hAnsi="Arial"/>
                <w:sz w:val="18"/>
                <w:szCs w:val="18"/>
                <w:b w:val="1"/>
                <w:bCs w:val="1"/>
                <w:color w:val="auto"/>
              </w:rPr>
              <w:t>32-0420206</w:t>
            </w:r>
          </w:p>
        </w:tc>
      </w:tr>
      <w:tr>
        <w:trPr>
          <w:trHeight w:val="217"/>
        </w:trPr>
        <w:tc>
          <w:tcPr>
            <w:tcW w:w="6380" w:type="dxa"/>
            <w:vAlign w:val="bottom"/>
            <w:gridSpan w:val="4"/>
          </w:tcPr>
          <w:p>
            <w:pPr>
              <w:jc w:val="center"/>
              <w:ind w:right="106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jc w:val="center"/>
              <w:ind w:right="1046"/>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3660" w:type="dxa"/>
            <w:vAlign w:val="bottom"/>
          </w:tcPr>
          <w:p>
            <w:pPr>
              <w:jc w:val="center"/>
              <w:ind w:left="2405"/>
              <w:spacing w:after="0"/>
              <w:rPr>
                <w:sz w:val="20"/>
                <w:szCs w:val="20"/>
                <w:color w:val="auto"/>
              </w:rPr>
            </w:pPr>
            <w:r>
              <w:rPr>
                <w:rFonts w:ascii="Arial" w:cs="Arial" w:eastAsia="Arial" w:hAnsi="Arial"/>
                <w:sz w:val="14"/>
                <w:szCs w:val="14"/>
                <w:b w:val="1"/>
                <w:bCs w:val="1"/>
                <w:color w:val="auto"/>
                <w:w w:val="96"/>
              </w:rPr>
              <w:t>One Liberty Plaza</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3"/>
        </w:trPr>
        <w:tc>
          <w:tcPr>
            <w:tcW w:w="3660" w:type="dxa"/>
            <w:vAlign w:val="bottom"/>
          </w:tcPr>
          <w:p>
            <w:pPr>
              <w:jc w:val="center"/>
              <w:ind w:left="2385"/>
              <w:spacing w:after="0"/>
              <w:rPr>
                <w:sz w:val="20"/>
                <w:szCs w:val="20"/>
                <w:color w:val="auto"/>
              </w:rPr>
            </w:pPr>
            <w:r>
              <w:rPr>
                <w:rFonts w:ascii="Arial" w:cs="Arial" w:eastAsia="Arial" w:hAnsi="Arial"/>
                <w:sz w:val="14"/>
                <w:szCs w:val="14"/>
                <w:b w:val="1"/>
                <w:bCs w:val="1"/>
                <w:color w:val="auto"/>
                <w:w w:val="93"/>
              </w:rPr>
              <w:t>165 Broadway</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03"/>
        </w:trPr>
        <w:tc>
          <w:tcPr>
            <w:tcW w:w="6380" w:type="dxa"/>
            <w:vAlign w:val="bottom"/>
            <w:gridSpan w:val="4"/>
          </w:tcPr>
          <w:p>
            <w:pPr>
              <w:jc w:val="center"/>
              <w:ind w:right="204"/>
              <w:spacing w:after="0"/>
              <w:rPr>
                <w:sz w:val="20"/>
                <w:szCs w:val="20"/>
                <w:color w:val="auto"/>
              </w:rPr>
            </w:pPr>
            <w:r>
              <w:rPr>
                <w:rFonts w:ascii="Arial" w:cs="Arial" w:eastAsia="Arial" w:hAnsi="Arial"/>
                <w:sz w:val="14"/>
                <w:szCs w:val="14"/>
                <w:b w:val="1"/>
                <w:bCs w:val="1"/>
                <w:color w:val="auto"/>
                <w:w w:val="95"/>
              </w:rPr>
              <w:t>New York, New York</w:t>
            </w:r>
          </w:p>
        </w:tc>
        <w:tc>
          <w:tcPr>
            <w:tcW w:w="4420" w:type="dxa"/>
            <w:vAlign w:val="bottom"/>
            <w:gridSpan w:val="3"/>
          </w:tcPr>
          <w:p>
            <w:pPr>
              <w:jc w:val="right"/>
              <w:ind w:right="2786"/>
              <w:spacing w:after="0"/>
              <w:rPr>
                <w:sz w:val="20"/>
                <w:szCs w:val="20"/>
                <w:color w:val="auto"/>
              </w:rPr>
            </w:pPr>
            <w:r>
              <w:rPr>
                <w:rFonts w:ascii="Arial" w:cs="Arial" w:eastAsia="Arial" w:hAnsi="Arial"/>
                <w:sz w:val="14"/>
                <w:szCs w:val="14"/>
                <w:b w:val="1"/>
                <w:bCs w:val="1"/>
                <w:color w:val="auto"/>
              </w:rPr>
              <w:t>10006</w:t>
            </w:r>
          </w:p>
        </w:tc>
      </w:tr>
      <w:tr>
        <w:trPr>
          <w:trHeight w:val="203"/>
        </w:trPr>
        <w:tc>
          <w:tcPr>
            <w:tcW w:w="6380" w:type="dxa"/>
            <w:vAlign w:val="bottom"/>
            <w:gridSpan w:val="4"/>
          </w:tcPr>
          <w:p>
            <w:pPr>
              <w:jc w:val="center"/>
              <w:ind w:right="184"/>
              <w:spacing w:after="0"/>
              <w:rPr>
                <w:sz w:val="20"/>
                <w:szCs w:val="20"/>
                <w:color w:val="auto"/>
              </w:rPr>
            </w:pPr>
            <w:r>
              <w:rPr>
                <w:rFonts w:ascii="Arial" w:cs="Arial" w:eastAsia="Arial" w:hAnsi="Arial"/>
                <w:sz w:val="14"/>
                <w:szCs w:val="14"/>
                <w:color w:val="auto"/>
                <w:w w:val="95"/>
              </w:rPr>
              <w:t>(Address of principal executive offices)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Pr>
          <w:p>
            <w:pPr>
              <w:ind w:left="700"/>
              <w:spacing w:after="0"/>
              <w:rPr>
                <w:sz w:val="20"/>
                <w:szCs w:val="20"/>
                <w:color w:val="auto"/>
              </w:rPr>
            </w:pPr>
            <w:r>
              <w:rPr>
                <w:rFonts w:ascii="Arial" w:cs="Arial" w:eastAsia="Arial" w:hAnsi="Arial"/>
                <w:sz w:val="14"/>
                <w:szCs w:val="14"/>
                <w:color w:val="auto"/>
              </w:rPr>
              <w:t>(Zip Code)</w:t>
            </w:r>
          </w:p>
        </w:tc>
      </w:tr>
      <w:tr>
        <w:trPr>
          <w:trHeight w:val="425"/>
        </w:trPr>
        <w:tc>
          <w:tcPr>
            <w:tcW w:w="3660" w:type="dxa"/>
            <w:vAlign w:val="bottom"/>
          </w:tcPr>
          <w:p>
            <w:pPr>
              <w:spacing w:after="0"/>
              <w:rPr>
                <w:sz w:val="24"/>
                <w:szCs w:val="24"/>
                <w:color w:val="auto"/>
              </w:rPr>
            </w:pPr>
          </w:p>
        </w:tc>
        <w:tc>
          <w:tcPr>
            <w:tcW w:w="272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3"/>
              </w:rPr>
              <w:t>(212) 418-0100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0"/>
        </w:trPr>
        <w:tc>
          <w:tcPr>
            <w:tcW w:w="3660" w:type="dxa"/>
            <w:vAlign w:val="bottom"/>
          </w:tcPr>
          <w:p>
            <w:pPr>
              <w:spacing w:after="0"/>
              <w:rPr>
                <w:sz w:val="19"/>
                <w:szCs w:val="19"/>
                <w:color w:val="auto"/>
              </w:rPr>
            </w:pPr>
          </w:p>
        </w:tc>
        <w:tc>
          <w:tcPr>
            <w:tcW w:w="7140" w:type="dxa"/>
            <w:vAlign w:val="bottom"/>
            <w:gridSpan w:val="6"/>
          </w:tcPr>
          <w:p>
            <w:pPr>
              <w:jc w:val="center"/>
              <w:ind w:right="3606"/>
              <w:spacing w:after="0"/>
              <w:rPr>
                <w:sz w:val="20"/>
                <w:szCs w:val="20"/>
                <w:color w:val="auto"/>
              </w:rPr>
            </w:pPr>
            <w:r>
              <w:rPr>
                <w:rFonts w:ascii="Arial" w:cs="Arial" w:eastAsia="Arial" w:hAnsi="Arial"/>
                <w:sz w:val="16"/>
                <w:szCs w:val="16"/>
                <w:color w:val="auto"/>
                <w:w w:val="90"/>
              </w:rPr>
              <w:t>(Registrant’s telephone number, including area code)</w:t>
            </w:r>
          </w:p>
        </w:tc>
      </w:tr>
      <w:tr>
        <w:trPr>
          <w:trHeight w:val="229"/>
        </w:trPr>
        <w:tc>
          <w:tcPr>
            <w:tcW w:w="3660" w:type="dxa"/>
            <w:vAlign w:val="bottom"/>
          </w:tcPr>
          <w:p>
            <w:pPr>
              <w:spacing w:after="0"/>
              <w:rPr>
                <w:sz w:val="19"/>
                <w:szCs w:val="19"/>
                <w:color w:val="auto"/>
              </w:rPr>
            </w:pPr>
          </w:p>
        </w:tc>
        <w:tc>
          <w:tcPr>
            <w:tcW w:w="7140" w:type="dxa"/>
            <w:vAlign w:val="bottom"/>
            <w:gridSpan w:val="6"/>
          </w:tcPr>
          <w:p>
            <w:pPr>
              <w:jc w:val="center"/>
              <w:ind w:right="3246"/>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16"/>
        </w:trPr>
        <w:tc>
          <w:tcPr>
            <w:tcW w:w="36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 of each class</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w w:val="92"/>
              </w:rPr>
              <w:t>Trading symbol(s)</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Class A common stock, par value $0.00001 per share</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ind w:left="184"/>
              <w:spacing w:after="0"/>
              <w:rPr>
                <w:sz w:val="20"/>
                <w:szCs w:val="20"/>
                <w:color w:val="auto"/>
              </w:rPr>
            </w:pPr>
            <w:r>
              <w:rPr>
                <w:rFonts w:ascii="Arial" w:cs="Arial" w:eastAsia="Arial" w:hAnsi="Arial"/>
                <w:sz w:val="16"/>
                <w:szCs w:val="16"/>
                <w:color w:val="auto"/>
                <w:w w:val="98"/>
              </w:rPr>
              <w:t>VIRT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The NASDAQ Stock Market LLC</w:t>
            </w:r>
          </w:p>
        </w:tc>
      </w:tr>
      <w:tr>
        <w:trPr>
          <w:trHeight w:val="33"/>
        </w:trPr>
        <w:tc>
          <w:tcPr>
            <w:tcW w:w="36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w:t>
      </w:r>
    </w:p>
    <w:p>
      <w:pPr>
        <w:spacing w:after="0" w:line="31"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80" w:firstLine="324"/>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ind w:right="30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p>
      <w:pPr>
        <w:jc w:val="right"/>
        <w:ind w:left="1140" w:right="760"/>
        <w:spacing w:after="0" w:line="25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5"/>
          <w:szCs w:val="25"/>
          <w:color w:val="auto"/>
          <w:vertAlign w:val="superscript"/>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17" w:lineRule="exact"/>
        <w:rPr>
          <w:sz w:val="24"/>
          <w:szCs w:val="24"/>
          <w:color w:val="auto"/>
        </w:rPr>
      </w:pPr>
    </w:p>
    <w:p>
      <w:pPr>
        <w:ind w:right="260" w:firstLine="324"/>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8700" w:type="dxa"/>
            <w:vAlign w:val="bottom"/>
            <w:vMerge w:val="restart"/>
          </w:tcPr>
          <w:p>
            <w:pPr>
              <w:ind w:left="3920"/>
              <w:spacing w:after="0"/>
              <w:rPr>
                <w:sz w:val="20"/>
                <w:szCs w:val="20"/>
                <w:color w:val="auto"/>
              </w:rPr>
            </w:pPr>
            <w:r>
              <w:rPr>
                <w:rFonts w:ascii="Arial" w:cs="Arial" w:eastAsia="Arial" w:hAnsi="Arial"/>
                <w:sz w:val="14"/>
                <w:szCs w:val="14"/>
                <w:b w:val="1"/>
                <w:bCs w:val="1"/>
                <w:color w:val="auto"/>
              </w:rPr>
              <w:t>Class of Stock</w:t>
            </w:r>
          </w:p>
        </w:tc>
        <w:tc>
          <w:tcPr>
            <w:tcW w:w="100" w:type="dxa"/>
            <w:vAlign w:val="bottom"/>
            <w:vMerge w:val="restart"/>
          </w:tcPr>
          <w:p>
            <w:pPr>
              <w:spacing w:after="0"/>
              <w:rPr>
                <w:sz w:val="14"/>
                <w:szCs w:val="14"/>
                <w:color w:val="auto"/>
              </w:rPr>
            </w:pPr>
          </w:p>
        </w:tc>
        <w:tc>
          <w:tcPr>
            <w:tcW w:w="2020" w:type="dxa"/>
            <w:vAlign w:val="bottom"/>
          </w:tcPr>
          <w:p>
            <w:pPr>
              <w:ind w:left="20"/>
              <w:spacing w:after="0"/>
              <w:rPr>
                <w:sz w:val="20"/>
                <w:szCs w:val="20"/>
                <w:color w:val="auto"/>
              </w:rPr>
            </w:pPr>
            <w:r>
              <w:rPr>
                <w:rFonts w:ascii="Arial" w:cs="Arial" w:eastAsia="Arial" w:hAnsi="Arial"/>
                <w:sz w:val="14"/>
                <w:szCs w:val="14"/>
                <w:b w:val="1"/>
                <w:bCs w:val="1"/>
                <w:color w:val="auto"/>
                <w:w w:val="90"/>
              </w:rPr>
              <w:t>Shares outstanding as of August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8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7, 2020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A common stock, par value $0.00001 per share</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122,561,543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800" w:type="dxa"/>
            <w:vAlign w:val="bottom"/>
            <w:gridSpan w:val="2"/>
          </w:tcPr>
          <w:p>
            <w:pPr>
              <w:ind w:left="20"/>
              <w:spacing w:after="0"/>
              <w:rPr>
                <w:sz w:val="20"/>
                <w:szCs w:val="20"/>
                <w:color w:val="auto"/>
              </w:rPr>
            </w:pPr>
            <w:r>
              <w:rPr>
                <w:rFonts w:ascii="Arial" w:cs="Arial" w:eastAsia="Arial" w:hAnsi="Arial"/>
                <w:sz w:val="16"/>
                <w:szCs w:val="16"/>
                <w:color w:val="auto"/>
              </w:rPr>
              <w:t>Class C common stock, par value $0.00001 per share</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10,526,939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Class D common stock, par value $0.00001 per share</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60,091,740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8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2020</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160" w:type="dxa"/>
            <w:vAlign w:val="bottom"/>
          </w:tcPr>
          <w:p>
            <w:pPr>
              <w:jc w:val="right"/>
              <w:ind w:right="312"/>
              <w:spacing w:after="0"/>
              <w:rPr>
                <w:sz w:val="20"/>
                <w:szCs w:val="20"/>
                <w:color w:val="auto"/>
              </w:rPr>
            </w:pPr>
            <w:r>
              <w:rPr>
                <w:rFonts w:ascii="Arial" w:cs="Arial" w:eastAsia="Arial" w:hAnsi="Arial"/>
                <w:sz w:val="14"/>
                <w:szCs w:val="14"/>
                <w:b w:val="1"/>
                <w:bCs w:val="1"/>
                <w:color w:val="auto"/>
              </w:rPr>
              <w:t>PAGE</w:t>
            </w:r>
          </w:p>
        </w:tc>
      </w:tr>
      <w:tr>
        <w:trPr>
          <w:trHeight w:val="192"/>
        </w:trPr>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NUMBER</w:t>
            </w:r>
          </w:p>
        </w:tc>
      </w:tr>
      <w:tr>
        <w:trPr>
          <w:trHeight w:val="500"/>
        </w:trPr>
        <w:tc>
          <w:tcPr>
            <w:tcW w:w="6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5"/>
              </w:rPr>
              <w:t>PART I -</w:t>
            </w:r>
          </w:p>
        </w:tc>
        <w:tc>
          <w:tcPr>
            <w:tcW w:w="380" w:type="dxa"/>
            <w:vAlign w:val="bottom"/>
          </w:tcPr>
          <w:p>
            <w:pPr>
              <w:spacing w:after="0"/>
              <w:rPr>
                <w:sz w:val="24"/>
                <w:szCs w:val="24"/>
                <w:color w:val="auto"/>
              </w:rPr>
            </w:pPr>
          </w:p>
        </w:tc>
        <w:tc>
          <w:tcPr>
            <w:tcW w:w="8940" w:type="dxa"/>
            <w:vAlign w:val="bottom"/>
          </w:tcPr>
          <w:p>
            <w:pPr>
              <w:ind w:left="3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FINANCIAL INFORMATION</w:t>
              </w:r>
            </w:hyperlink>
          </w:p>
        </w:tc>
        <w:tc>
          <w:tcPr>
            <w:tcW w:w="1160" w:type="dxa"/>
            <w:vAlign w:val="bottom"/>
          </w:tcPr>
          <w:p>
            <w:pPr>
              <w:spacing w:after="0"/>
              <w:rPr>
                <w:sz w:val="24"/>
                <w:szCs w:val="24"/>
                <w:color w:val="auto"/>
              </w:rPr>
            </w:pPr>
          </w:p>
        </w:tc>
      </w:tr>
      <w:tr>
        <w:trPr>
          <w:trHeight w:val="560"/>
        </w:trPr>
        <w:tc>
          <w:tcPr>
            <w:tcW w:w="106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940" w:type="dxa"/>
            <w:vAlign w:val="bottom"/>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160" w:type="dxa"/>
            <w:vAlign w:val="bottom"/>
          </w:tcPr>
          <w:p>
            <w:pPr>
              <w:spacing w:after="0"/>
              <w:rPr>
                <w:sz w:val="24"/>
                <w:szCs w:val="24"/>
                <w:color w:val="auto"/>
              </w:rPr>
            </w:pPr>
          </w:p>
        </w:tc>
      </w:tr>
      <w:tr>
        <w:trPr>
          <w:trHeight w:val="540"/>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40" w:type="dxa"/>
            <w:vAlign w:val="bottom"/>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Financial Condition (Unaudited)</w:t>
              </w:r>
            </w:hyperlink>
          </w:p>
        </w:tc>
        <w:tc>
          <w:tcPr>
            <w:tcW w:w="11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940" w:type="dxa"/>
            <w:vAlign w:val="bottom"/>
          </w:tcPr>
          <w:p>
            <w:pPr>
              <w:ind w:left="3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Income (Loss) (Unaudited)</w:t>
              </w:r>
            </w:hyperlink>
          </w:p>
        </w:tc>
        <w:tc>
          <w:tcPr>
            <w:tcW w:w="11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940" w:type="dxa"/>
            <w:vAlign w:val="bottom"/>
          </w:tcPr>
          <w:p>
            <w:pPr>
              <w:ind w:left="3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Equity (Unaudited)</w:t>
              </w:r>
            </w:hyperlink>
          </w:p>
        </w:tc>
        <w:tc>
          <w:tcPr>
            <w:tcW w:w="11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940" w:type="dxa"/>
            <w:vAlign w:val="bottom"/>
          </w:tcPr>
          <w:p>
            <w:pPr>
              <w:ind w:left="3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(Unaudited)</w:t>
              </w:r>
            </w:hyperlink>
          </w:p>
        </w:tc>
        <w:tc>
          <w:tcPr>
            <w:tcW w:w="11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940" w:type="dxa"/>
            <w:vAlign w:val="bottom"/>
          </w:tcPr>
          <w:p>
            <w:pPr>
              <w:ind w:left="3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Condensed Consolidated Financial Statements (Unaudited)</w:t>
              </w:r>
            </w:hyperlink>
          </w:p>
        </w:tc>
        <w:tc>
          <w:tcPr>
            <w:tcW w:w="116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2.</w:t>
              </w:r>
            </w:hyperlink>
          </w:p>
        </w:tc>
        <w:tc>
          <w:tcPr>
            <w:tcW w:w="8940" w:type="dxa"/>
            <w:vAlign w:val="bottom"/>
          </w:tcPr>
          <w:p>
            <w:pPr>
              <w:ind w:left="3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Management’s Discussion and Analysis of Financial Condition and Results of Operations</w:t>
              </w:r>
            </w:hyperlink>
          </w:p>
        </w:tc>
        <w:tc>
          <w:tcPr>
            <w:tcW w:w="116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3.</w:t>
              </w:r>
            </w:hyperlink>
          </w:p>
        </w:tc>
        <w:tc>
          <w:tcPr>
            <w:tcW w:w="8940" w:type="dxa"/>
            <w:vAlign w:val="bottom"/>
          </w:tcPr>
          <w:p>
            <w:pPr>
              <w:ind w:left="34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Quantitative and Qualitative Disclosures About Market Risk</w:t>
              </w:r>
            </w:hyperlink>
          </w:p>
        </w:tc>
        <w:tc>
          <w:tcPr>
            <w:tcW w:w="1160" w:type="dxa"/>
            <w:vAlign w:val="bottom"/>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4.</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Controls and Procedures</w:t>
              </w:r>
            </w:hyperlink>
          </w:p>
        </w:tc>
        <w:tc>
          <w:tcPr>
            <w:tcW w:w="1160" w:type="dxa"/>
            <w:vAlign w:val="bottom"/>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II -</w:t>
              </w:r>
            </w:hyperlink>
          </w:p>
        </w:tc>
        <w:tc>
          <w:tcPr>
            <w:tcW w:w="8940" w:type="dxa"/>
            <w:vAlign w:val="bottom"/>
          </w:tcPr>
          <w:p>
            <w:pPr>
              <w:ind w:left="3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OTHER INFORMATION</w:t>
              </w:r>
            </w:hyperlink>
          </w:p>
        </w:tc>
        <w:tc>
          <w:tcPr>
            <w:tcW w:w="1160" w:type="dxa"/>
            <w:vAlign w:val="bottom"/>
          </w:tcPr>
          <w:p>
            <w:pPr>
              <w:spacing w:after="0"/>
              <w:rPr>
                <w:sz w:val="24"/>
                <w:szCs w:val="24"/>
                <w:color w:val="auto"/>
              </w:rPr>
            </w:pPr>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Legal Proceedings</w:t>
              </w:r>
            </w:hyperlink>
          </w:p>
        </w:tc>
        <w:tc>
          <w:tcPr>
            <w:tcW w:w="1160" w:type="dxa"/>
            <w:vAlign w:val="bottom"/>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1A.</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Risk Factors</w:t>
              </w:r>
            </w:hyperlink>
          </w:p>
        </w:tc>
        <w:tc>
          <w:tcPr>
            <w:tcW w:w="1160" w:type="dxa"/>
            <w:vAlign w:val="bottom"/>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2.</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Unregistered Sales of Equity Securities and Use of Proceeds</w:t>
              </w:r>
            </w:hyperlink>
          </w:p>
        </w:tc>
        <w:tc>
          <w:tcPr>
            <w:tcW w:w="1160" w:type="dxa"/>
            <w:vAlign w:val="bottom"/>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3.</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Defaults Upon Senior Securities</w:t>
              </w:r>
            </w:hyperlink>
          </w:p>
        </w:tc>
        <w:tc>
          <w:tcPr>
            <w:tcW w:w="1160" w:type="dxa"/>
            <w:vAlign w:val="bottom"/>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4.</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Mine Safety Disclosures</w:t>
              </w:r>
            </w:hyperlink>
          </w:p>
        </w:tc>
        <w:tc>
          <w:tcPr>
            <w:tcW w:w="1160" w:type="dxa"/>
            <w:vAlign w:val="bottom"/>
          </w:tcPr>
          <w:p>
            <w:pPr>
              <w:jc w:val="right"/>
              <w:spacing w:after="0"/>
              <w:rPr>
                <w:rFonts w:ascii="Arial" w:cs="Arial" w:eastAsia="Arial" w:hAnsi="Arial"/>
                <w:sz w:val="18"/>
                <w:szCs w:val="18"/>
                <w:color w:val="0000FF"/>
              </w:rPr>
            </w:pPr>
            <w:hyperlink w:anchor="page95">
              <w:r>
                <w:rPr>
                  <w:rFonts w:ascii="Arial" w:cs="Arial" w:eastAsia="Arial" w:hAnsi="Arial"/>
                  <w:sz w:val="18"/>
                  <w:szCs w:val="18"/>
                  <w:color w:val="0000FF"/>
                </w:rPr>
                <w:t>94</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5.</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Other Information</w:t>
              </w:r>
            </w:hyperlink>
          </w:p>
        </w:tc>
        <w:tc>
          <w:tcPr>
            <w:tcW w:w="1160" w:type="dxa"/>
            <w:vAlign w:val="bottom"/>
          </w:tcPr>
          <w:p>
            <w:pPr>
              <w:jc w:val="right"/>
              <w:spacing w:after="0"/>
              <w:rPr>
                <w:rFonts w:ascii="Arial" w:cs="Arial" w:eastAsia="Arial" w:hAnsi="Arial"/>
                <w:sz w:val="18"/>
                <w:szCs w:val="18"/>
                <w:color w:val="0000FF"/>
              </w:rPr>
            </w:pPr>
            <w:hyperlink w:anchor="page95">
              <w:r>
                <w:rPr>
                  <w:rFonts w:ascii="Arial" w:cs="Arial" w:eastAsia="Arial" w:hAnsi="Arial"/>
                  <w:sz w:val="18"/>
                  <w:szCs w:val="18"/>
                  <w:color w:val="0000FF"/>
                </w:rPr>
                <w:t>94</w:t>
              </w:r>
            </w:hyperlink>
          </w:p>
        </w:tc>
      </w:tr>
      <w:tr>
        <w:trPr>
          <w:trHeight w:val="540"/>
        </w:trPr>
        <w:tc>
          <w:tcPr>
            <w:tcW w:w="1060" w:type="dxa"/>
            <w:vAlign w:val="bottom"/>
            <w:gridSpan w:val="2"/>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6.</w:t>
              </w:r>
            </w:hyperlink>
          </w:p>
        </w:tc>
        <w:tc>
          <w:tcPr>
            <w:tcW w:w="8940" w:type="dxa"/>
            <w:vAlign w:val="bottom"/>
          </w:tcPr>
          <w:p>
            <w:pPr>
              <w:ind w:left="34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Exhibits</w:t>
              </w:r>
            </w:hyperlink>
          </w:p>
        </w:tc>
        <w:tc>
          <w:tcPr>
            <w:tcW w:w="1160" w:type="dxa"/>
            <w:vAlign w:val="bottom"/>
          </w:tcPr>
          <w:p>
            <w:pPr>
              <w:jc w:val="right"/>
              <w:spacing w:after="0"/>
              <w:rPr>
                <w:rFonts w:ascii="Arial" w:cs="Arial" w:eastAsia="Arial" w:hAnsi="Arial"/>
                <w:sz w:val="18"/>
                <w:szCs w:val="18"/>
                <w:color w:val="0000FF"/>
              </w:rPr>
            </w:pPr>
            <w:hyperlink w:anchor="page95">
              <w:r>
                <w:rPr>
                  <w:rFonts w:ascii="Arial" w:cs="Arial" w:eastAsia="Arial" w:hAnsi="Arial"/>
                  <w:sz w:val="18"/>
                  <w:szCs w:val="18"/>
                  <w:color w:val="0000FF"/>
                </w:rPr>
                <w:t>94</w:t>
              </w:r>
            </w:hyperlink>
          </w:p>
        </w:tc>
      </w:tr>
      <w:tr>
        <w:trPr>
          <w:trHeight w:val="540"/>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40" w:type="dxa"/>
            <w:vAlign w:val="bottom"/>
          </w:tcPr>
          <w:p>
            <w:pPr>
              <w:ind w:left="34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SIGNATURES</w:t>
              </w:r>
            </w:hyperlink>
          </w:p>
        </w:tc>
        <w:tc>
          <w:tcPr>
            <w:tcW w:w="1160" w:type="dxa"/>
            <w:vAlign w:val="bottom"/>
          </w:tcPr>
          <w:p>
            <w:pPr>
              <w:jc w:val="right"/>
              <w:spacing w:after="0"/>
              <w:rPr>
                <w:rFonts w:ascii="Arial" w:cs="Arial" w:eastAsia="Arial" w:hAnsi="Arial"/>
                <w:sz w:val="18"/>
                <w:szCs w:val="18"/>
                <w:color w:val="0000FF"/>
              </w:rPr>
            </w:pPr>
            <w:hyperlink w:anchor="page95">
              <w:r>
                <w:rPr>
                  <w:rFonts w:ascii="Arial" w:cs="Arial" w:eastAsia="Arial" w:hAnsi="Arial"/>
                  <w:sz w:val="18"/>
                  <w:szCs w:val="18"/>
                  <w:color w:val="0000FF"/>
                </w:rPr>
                <w:t>95</w:t>
              </w:r>
            </w:hyperlink>
          </w:p>
        </w:tc>
      </w:tr>
    </w:tbl>
    <w:p>
      <w:pPr>
        <w:spacing w:after="0" w:line="94"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Condensed Consolidated Financial Statements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PAGE</w:t>
            </w:r>
          </w:p>
        </w:tc>
      </w:tr>
      <w:tr>
        <w:trPr>
          <w:trHeight w:val="192"/>
        </w:trPr>
        <w:tc>
          <w:tcPr>
            <w:tcW w:w="10040" w:type="dxa"/>
            <w:vAlign w:val="bottom"/>
          </w:tcPr>
          <w:p>
            <w:pPr>
              <w:spacing w:after="0"/>
              <w:rPr>
                <w:sz w:val="16"/>
                <w:szCs w:val="16"/>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NUMBER</w:t>
            </w:r>
          </w:p>
        </w:tc>
      </w:tr>
      <w:tr>
        <w:trPr>
          <w:trHeight w:val="486"/>
        </w:trPr>
        <w:tc>
          <w:tcPr>
            <w:tcW w:w="1004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Financial Condition (Unaudited)</w:t>
              </w:r>
            </w:hyperlink>
          </w:p>
        </w:tc>
        <w:tc>
          <w:tcPr>
            <w:tcW w:w="1180" w:type="dxa"/>
            <w:vAlign w:val="bottom"/>
            <w:tcBorders>
              <w:top w:val="single" w:sz="8" w:color="auto"/>
            </w:tcBorders>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20" w:type="dxa"/>
            <w:vAlign w:val="bottom"/>
          </w:tcPr>
          <w:p>
            <w:pPr>
              <w:spacing w:after="0"/>
              <w:rPr>
                <w:sz w:val="24"/>
                <w:szCs w:val="24"/>
                <w:color w:val="auto"/>
              </w:rPr>
            </w:pPr>
          </w:p>
        </w:tc>
      </w:tr>
      <w:tr>
        <w:trPr>
          <w:trHeight w:val="499"/>
        </w:trPr>
        <w:tc>
          <w:tcPr>
            <w:tcW w:w="10040" w:type="dxa"/>
            <w:vAlign w:val="bottom"/>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Income (Loss) (Unaudited)</w:t>
              </w:r>
            </w:hyperlink>
          </w:p>
        </w:tc>
        <w:tc>
          <w:tcPr>
            <w:tcW w:w="11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20" w:type="dxa"/>
            <w:vAlign w:val="bottom"/>
          </w:tcPr>
          <w:p>
            <w:pPr>
              <w:spacing w:after="0"/>
              <w:rPr>
                <w:sz w:val="24"/>
                <w:szCs w:val="24"/>
                <w:color w:val="auto"/>
              </w:rPr>
            </w:pPr>
          </w:p>
        </w:tc>
      </w:tr>
      <w:tr>
        <w:trPr>
          <w:trHeight w:val="499"/>
        </w:trPr>
        <w:tc>
          <w:tcPr>
            <w:tcW w:w="10040" w:type="dxa"/>
            <w:vAlign w:val="bottom"/>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Equity (Unaudited)</w:t>
              </w:r>
            </w:hyperlink>
          </w:p>
        </w:tc>
        <w:tc>
          <w:tcPr>
            <w:tcW w:w="11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20" w:type="dxa"/>
            <w:vAlign w:val="bottom"/>
          </w:tcPr>
          <w:p>
            <w:pPr>
              <w:spacing w:after="0"/>
              <w:rPr>
                <w:sz w:val="24"/>
                <w:szCs w:val="24"/>
                <w:color w:val="auto"/>
              </w:rPr>
            </w:pPr>
          </w:p>
        </w:tc>
      </w:tr>
      <w:tr>
        <w:trPr>
          <w:trHeight w:val="500"/>
        </w:trPr>
        <w:tc>
          <w:tcPr>
            <w:tcW w:w="10040" w:type="dxa"/>
            <w:vAlign w:val="bottom"/>
          </w:tcPr>
          <w:p>
            <w:pPr>
              <w:ind w:left="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(Unaudited)</w:t>
              </w:r>
            </w:hyperlink>
          </w:p>
        </w:tc>
        <w:tc>
          <w:tcPr>
            <w:tcW w:w="11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c>
          <w:tcPr>
            <w:tcW w:w="20" w:type="dxa"/>
            <w:vAlign w:val="bottom"/>
          </w:tcPr>
          <w:p>
            <w:pPr>
              <w:spacing w:after="0"/>
              <w:rPr>
                <w:sz w:val="24"/>
                <w:szCs w:val="24"/>
                <w:color w:val="auto"/>
              </w:rPr>
            </w:pPr>
          </w:p>
        </w:tc>
      </w:tr>
      <w:tr>
        <w:trPr>
          <w:trHeight w:val="499"/>
        </w:trPr>
        <w:tc>
          <w:tcPr>
            <w:tcW w:w="10040" w:type="dxa"/>
            <w:vAlign w:val="bottom"/>
          </w:tcPr>
          <w:p>
            <w:pPr>
              <w:ind w:left="4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Condensed Consolidated Financial Statements (Unaudited)</w:t>
              </w:r>
            </w:hyperlink>
          </w:p>
        </w:tc>
        <w:tc>
          <w:tcPr>
            <w:tcW w:w="118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10</w:t>
              </w:r>
            </w:hyperlink>
          </w:p>
        </w:tc>
        <w:tc>
          <w:tcPr>
            <w:tcW w:w="20" w:type="dxa"/>
            <w:vAlign w:val="bottom"/>
          </w:tcPr>
          <w:p>
            <w:pPr>
              <w:spacing w:after="0"/>
              <w:rPr>
                <w:sz w:val="24"/>
                <w:szCs w:val="24"/>
                <w:color w:val="auto"/>
              </w:rPr>
            </w:pPr>
          </w:p>
        </w:tc>
      </w:tr>
      <w:tr>
        <w:trPr>
          <w:trHeight w:val="878"/>
        </w:trPr>
        <w:tc>
          <w:tcPr>
            <w:tcW w:w="10040" w:type="dxa"/>
            <w:vAlign w:val="bottom"/>
          </w:tcPr>
          <w:p>
            <w:pPr>
              <w:ind w:left="558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Financial Condition (Unaudited)</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22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8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670,770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732,164</w:t>
            </w:r>
          </w:p>
        </w:tc>
      </w:tr>
      <w:tr>
        <w:trPr>
          <w:trHeight w:val="224"/>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Cash restricted or segregated under regulations and other</w:t>
            </w:r>
          </w:p>
        </w:tc>
        <w:tc>
          <w:tcPr>
            <w:tcW w:w="2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77,245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41,116</w:t>
            </w:r>
          </w:p>
        </w:tc>
      </w:tr>
      <w:tr>
        <w:trPr>
          <w:trHeight w:val="33"/>
        </w:trPr>
        <w:tc>
          <w:tcPr>
            <w:tcW w:w="8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borrowed</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1,435,777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1,928,763</w:t>
            </w:r>
          </w:p>
        </w:tc>
      </w:tr>
      <w:tr>
        <w:trPr>
          <w:trHeight w:val="22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2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244,242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143,032</w:t>
            </w:r>
          </w:p>
        </w:tc>
      </w:tr>
      <w:tr>
        <w:trPr>
          <w:trHeight w:val="33"/>
        </w:trPr>
        <w:tc>
          <w:tcPr>
            <w:tcW w:w="8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broker-dealers and clearing organizations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2,441,283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1,318,584</w:t>
            </w:r>
          </w:p>
        </w:tc>
      </w:tr>
      <w:tr>
        <w:trPr>
          <w:trHeight w:val="224"/>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Trading assets, at fair value: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20955</wp:posOffset>
            </wp:positionV>
            <wp:extent cx="702945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p>
      <w:pPr>
        <w:spacing w:after="0" w:line="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Financial instruments owned</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Financial instruments owned and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702945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Receivables from customers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Property, equipment and capitalized software (net of accumulated depreciation of $433,060 and $457,229 as of June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3810</wp:posOffset>
            </wp:positionV>
            <wp:extent cx="702945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Operating lease right-of-use assets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702945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240030"/>
                    </a:xfrm>
                    <a:prstGeom prst="rect">
                      <a:avLst/>
                    </a:prstGeom>
                    <a:noFill/>
                  </pic:spPr>
                </pic:pic>
              </a:graphicData>
            </a:graphic>
          </wp:anchor>
        </w:drawing>
      </w:r>
    </w:p>
    <w:p>
      <w:pPr>
        <w:spacing w:after="0" w:line="39" w:lineRule="exact"/>
        <w:rPr>
          <w:sz w:val="20"/>
          <w:szCs w:val="20"/>
          <w:color w:val="auto"/>
        </w:rPr>
      </w:pPr>
    </w:p>
    <w:p>
      <w:pPr>
        <w:ind w:left="220" w:right="560"/>
        <w:spacing w:after="0"/>
        <w:rPr>
          <w:sz w:val="20"/>
          <w:szCs w:val="20"/>
          <w:color w:val="auto"/>
        </w:rPr>
      </w:pPr>
      <w:r>
        <w:rPr>
          <w:rFonts w:ascii="Arial" w:cs="Arial" w:eastAsia="Arial" w:hAnsi="Arial"/>
          <w:sz w:val="16"/>
          <w:szCs w:val="16"/>
          <w:color w:val="auto"/>
        </w:rPr>
        <w:t>Intangibles (net of accumulated amortization of $257,151 and $219,239 as of June 30, 2020 and December 31, 2019, respectively)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702945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assets ($53,642 and $48,966, at fair value, as of June 30, 2020 and December 31, 2019, respectively)</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wp:posOffset>
            </wp:positionV>
            <wp:extent cx="70294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20"/>
        <w:spacing w:after="0"/>
        <w:tabs>
          <w:tab w:leader="none" w:pos="1680" w:val="left"/>
        </w:tabs>
        <w:rPr>
          <w:sz w:val="20"/>
          <w:szCs w:val="20"/>
          <w:color w:val="auto"/>
        </w:rPr>
      </w:pPr>
      <w:r>
        <w:rPr>
          <w:rFonts w:ascii="Arial" w:cs="Arial" w:eastAsia="Arial" w:hAnsi="Arial"/>
          <w:sz w:val="14"/>
          <w:szCs w:val="14"/>
          <w:color w:val="auto"/>
        </w:rPr>
        <w:t>2,038,622</w:t>
      </w:r>
      <w:r>
        <w:rPr>
          <w:sz w:val="20"/>
          <w:szCs w:val="20"/>
          <w:color w:val="auto"/>
        </w:rPr>
        <w:tab/>
      </w:r>
      <w:r>
        <w:rPr>
          <w:rFonts w:ascii="Arial" w:cs="Arial" w:eastAsia="Arial" w:hAnsi="Arial"/>
          <w:sz w:val="14"/>
          <w:szCs w:val="14"/>
          <w:color w:val="auto"/>
        </w:rPr>
        <w:t>2,068,734</w:t>
      </w:r>
    </w:p>
    <w:p>
      <w:pPr>
        <w:spacing w:after="0" w:line="96"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4"/>
          <w:szCs w:val="14"/>
          <w:color w:val="auto"/>
        </w:rPr>
        <w:t>602,971</w:t>
      </w:r>
      <w:r>
        <w:rPr>
          <w:sz w:val="20"/>
          <w:szCs w:val="20"/>
          <w:color w:val="auto"/>
        </w:rPr>
        <w:tab/>
      </w:r>
      <w:r>
        <w:rPr>
          <w:rFonts w:ascii="Arial" w:cs="Arial" w:eastAsia="Arial" w:hAnsi="Arial"/>
          <w:sz w:val="14"/>
          <w:szCs w:val="14"/>
          <w:color w:val="auto"/>
        </w:rPr>
        <w:t>696,956</w:t>
      </w:r>
    </w:p>
    <w:p>
      <w:pPr>
        <w:spacing w:after="0" w:line="96"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4"/>
          <w:szCs w:val="14"/>
          <w:color w:val="auto"/>
        </w:rPr>
        <w:t>275,506</w:t>
      </w:r>
      <w:r>
        <w:rPr>
          <w:sz w:val="20"/>
          <w:szCs w:val="20"/>
          <w:color w:val="auto"/>
        </w:rPr>
        <w:tab/>
      </w:r>
      <w:r>
        <w:rPr>
          <w:rFonts w:ascii="Arial" w:cs="Arial" w:eastAsia="Arial" w:hAnsi="Arial"/>
          <w:sz w:val="14"/>
          <w:szCs w:val="14"/>
          <w:color w:val="auto"/>
        </w:rPr>
        <w:t>103,531</w:t>
      </w:r>
    </w:p>
    <w:p>
      <w:pPr>
        <w:spacing w:after="0" w:line="217" w:lineRule="exact"/>
        <w:rPr>
          <w:sz w:val="20"/>
          <w:szCs w:val="20"/>
          <w:color w:val="auto"/>
        </w:rPr>
      </w:pPr>
    </w:p>
    <w:p>
      <w:pPr>
        <w:jc w:val="both"/>
        <w:ind w:left="540"/>
        <w:spacing w:after="0"/>
        <w:tabs>
          <w:tab w:leader="none" w:pos="1820" w:val="left"/>
        </w:tabs>
        <w:rPr>
          <w:sz w:val="20"/>
          <w:szCs w:val="20"/>
          <w:color w:val="auto"/>
        </w:rPr>
      </w:pPr>
      <w:r>
        <w:rPr>
          <w:rFonts w:ascii="Arial" w:cs="Arial" w:eastAsia="Arial" w:hAnsi="Arial"/>
          <w:sz w:val="16"/>
          <w:szCs w:val="16"/>
          <w:color w:val="auto"/>
        </w:rPr>
        <w:t>114,080</w:t>
      </w:r>
      <w:r>
        <w:rPr>
          <w:sz w:val="20"/>
          <w:szCs w:val="20"/>
          <w:color w:val="auto"/>
        </w:rPr>
        <w:tab/>
      </w:r>
      <w:r>
        <w:rPr>
          <w:rFonts w:ascii="Arial" w:cs="Arial" w:eastAsia="Arial" w:hAnsi="Arial"/>
          <w:sz w:val="16"/>
          <w:szCs w:val="16"/>
          <w:color w:val="auto"/>
        </w:rPr>
        <w:t>116,089</w:t>
      </w:r>
    </w:p>
    <w:p>
      <w:pPr>
        <w:spacing w:after="0" w:line="73"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4"/>
          <w:szCs w:val="14"/>
          <w:color w:val="auto"/>
        </w:rPr>
        <w:t>294,531</w:t>
      </w:r>
      <w:r>
        <w:rPr>
          <w:sz w:val="20"/>
          <w:szCs w:val="20"/>
          <w:color w:val="auto"/>
        </w:rPr>
        <w:tab/>
      </w:r>
      <w:r>
        <w:rPr>
          <w:rFonts w:ascii="Arial" w:cs="Arial" w:eastAsia="Arial" w:hAnsi="Arial"/>
          <w:sz w:val="14"/>
          <w:szCs w:val="14"/>
          <w:color w:val="auto"/>
        </w:rPr>
        <w:t>314,526</w:t>
      </w:r>
    </w:p>
    <w:p>
      <w:pPr>
        <w:spacing w:after="0" w:line="96" w:lineRule="exact"/>
        <w:rPr>
          <w:sz w:val="20"/>
          <w:szCs w:val="20"/>
          <w:color w:val="auto"/>
        </w:rPr>
      </w:pPr>
    </w:p>
    <w:p>
      <w:pPr>
        <w:ind w:left="420"/>
        <w:spacing w:after="0"/>
        <w:tabs>
          <w:tab w:leader="none" w:pos="1680" w:val="left"/>
        </w:tabs>
        <w:rPr>
          <w:sz w:val="20"/>
          <w:szCs w:val="20"/>
          <w:color w:val="auto"/>
        </w:rPr>
      </w:pPr>
      <w:r>
        <w:rPr>
          <w:rFonts w:ascii="Arial" w:cs="Arial" w:eastAsia="Arial" w:hAnsi="Arial"/>
          <w:sz w:val="14"/>
          <w:szCs w:val="14"/>
          <w:color w:val="auto"/>
        </w:rPr>
        <w:t>1,148,926</w:t>
      </w:r>
      <w:r>
        <w:rPr>
          <w:sz w:val="20"/>
          <w:szCs w:val="20"/>
          <w:color w:val="auto"/>
        </w:rPr>
        <w:tab/>
      </w:r>
      <w:r>
        <w:rPr>
          <w:rFonts w:ascii="Arial" w:cs="Arial" w:eastAsia="Arial" w:hAnsi="Arial"/>
          <w:sz w:val="14"/>
          <w:szCs w:val="14"/>
          <w:color w:val="auto"/>
        </w:rPr>
        <w:t>1,148,926</w:t>
      </w:r>
    </w:p>
    <w:p>
      <w:pPr>
        <w:spacing w:after="0" w:line="217"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4"/>
          <w:szCs w:val="14"/>
          <w:color w:val="auto"/>
        </w:rPr>
        <w:t>491,726</w:t>
      </w:r>
      <w:r>
        <w:rPr>
          <w:sz w:val="20"/>
          <w:szCs w:val="20"/>
          <w:color w:val="auto"/>
        </w:rPr>
        <w:tab/>
      </w:r>
      <w:r>
        <w:rPr>
          <w:rFonts w:ascii="Arial" w:cs="Arial" w:eastAsia="Arial" w:hAnsi="Arial"/>
          <w:sz w:val="14"/>
          <w:szCs w:val="14"/>
          <w:color w:val="auto"/>
        </w:rPr>
        <w:t>529,638</w:t>
      </w:r>
    </w:p>
    <w:p>
      <w:pPr>
        <w:spacing w:after="0" w:line="96"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4"/>
          <w:szCs w:val="14"/>
          <w:color w:val="auto"/>
        </w:rPr>
        <w:t>195,844</w:t>
      </w:r>
      <w:r>
        <w:rPr>
          <w:sz w:val="20"/>
          <w:szCs w:val="20"/>
          <w:color w:val="auto"/>
        </w:rPr>
        <w:tab/>
      </w:r>
      <w:r>
        <w:rPr>
          <w:rFonts w:ascii="Arial" w:cs="Arial" w:eastAsia="Arial" w:hAnsi="Arial"/>
          <w:sz w:val="14"/>
          <w:szCs w:val="14"/>
          <w:color w:val="auto"/>
        </w:rPr>
        <w:t>214,671</w:t>
      </w:r>
    </w:p>
    <w:p>
      <w:pPr>
        <w:spacing w:after="0" w:line="96"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4"/>
          <w:szCs w:val="14"/>
          <w:color w:val="auto"/>
        </w:rPr>
        <w:t>257,352</w:t>
      </w:r>
      <w:r>
        <w:rPr>
          <w:sz w:val="20"/>
          <w:szCs w:val="20"/>
          <w:color w:val="auto"/>
        </w:rPr>
        <w:tab/>
      </w:r>
      <w:r>
        <w:rPr>
          <w:rFonts w:ascii="Arial" w:cs="Arial" w:eastAsia="Arial" w:hAnsi="Arial"/>
          <w:sz w:val="14"/>
          <w:szCs w:val="14"/>
          <w:color w:val="auto"/>
        </w:rPr>
        <w:t>252,640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1594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9" w:lineRule="exact"/>
        <w:rPr>
          <w:sz w:val="20"/>
          <w:szCs w:val="20"/>
          <w:color w:val="auto"/>
        </w:rPr>
      </w:pPr>
    </w:p>
    <w:p>
      <w:pPr>
        <w:spacing w:after="0"/>
        <w:tabs>
          <w:tab w:leader="none" w:pos="320" w:val="left"/>
          <w:tab w:leader="none" w:pos="1300" w:val="left"/>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10,288,875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9,609,370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1594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360" w:space="300"/>
            <w:col w:w="2500"/>
          </w:cols>
          <w:pgMar w:left="320" w:top="125" w:right="419" w:bottom="1440" w:gutter="0" w:footer="0" w:header="0"/>
          <w:type w:val="continuous"/>
        </w:sectPr>
      </w:pPr>
    </w:p>
    <w:p>
      <w:pPr>
        <w:spacing w:after="0" w:line="8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37465</wp:posOffset>
            </wp:positionV>
            <wp:extent cx="702945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Liabilities</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8560" w:type="dxa"/>
            <w:vAlign w:val="bottom"/>
          </w:tcPr>
          <w:p>
            <w:pPr>
              <w:ind w:left="140"/>
              <w:spacing w:after="0"/>
              <w:rPr>
                <w:sz w:val="20"/>
                <w:szCs w:val="20"/>
                <w:color w:val="auto"/>
              </w:rPr>
            </w:pPr>
            <w:r>
              <w:rPr>
                <w:rFonts w:ascii="Arial" w:cs="Arial" w:eastAsia="Arial" w:hAnsi="Arial"/>
                <w:sz w:val="16"/>
                <w:szCs w:val="16"/>
                <w:color w:val="auto"/>
              </w:rPr>
              <w:t>Short-term borrowings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26,274</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73,486</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1,204,114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1,600,099</w:t>
            </w:r>
          </w:p>
        </w:tc>
        <w:tc>
          <w:tcPr>
            <w:tcW w:w="0" w:type="dxa"/>
            <w:vAlign w:val="bottom"/>
          </w:tcPr>
          <w:p>
            <w:pPr>
              <w:spacing w:after="0"/>
              <w:rPr>
                <w:sz w:val="1"/>
                <w:szCs w:val="1"/>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312,568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340,742</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Payables to broker-dealers and clearing organizations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1,200,212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826,750</w:t>
            </w:r>
          </w:p>
        </w:tc>
        <w:tc>
          <w:tcPr>
            <w:tcW w:w="0" w:type="dxa"/>
            <w:vAlign w:val="bottom"/>
          </w:tcPr>
          <w:p>
            <w:pPr>
              <w:spacing w:after="0"/>
              <w:rPr>
                <w:sz w:val="1"/>
                <w:szCs w:val="1"/>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Payables to customers</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148,519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89,719</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Trading liabilities, at fair value: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60" w:type="dxa"/>
            <w:vAlign w:val="bottom"/>
          </w:tcPr>
          <w:p>
            <w:pPr>
              <w:ind w:left="220"/>
              <w:spacing w:after="0"/>
              <w:rPr>
                <w:sz w:val="20"/>
                <w:szCs w:val="20"/>
                <w:color w:val="auto"/>
              </w:rPr>
            </w:pPr>
            <w:r>
              <w:rPr>
                <w:rFonts w:ascii="Arial" w:cs="Arial" w:eastAsia="Arial" w:hAnsi="Arial"/>
                <w:sz w:val="16"/>
                <w:szCs w:val="16"/>
                <w:color w:val="auto"/>
              </w:rPr>
              <w:t>Financial instruments sold, not yet purchased</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2,753,847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2,497,958</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 receivable agreement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255,996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269,282</w:t>
            </w:r>
          </w:p>
        </w:tc>
        <w:tc>
          <w:tcPr>
            <w:tcW w:w="0" w:type="dxa"/>
            <w:vAlign w:val="bottom"/>
          </w:tcPr>
          <w:p>
            <w:pPr>
              <w:spacing w:after="0"/>
              <w:rPr>
                <w:sz w:val="1"/>
                <w:szCs w:val="1"/>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614,220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399,168</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339,602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365,364</w:t>
            </w:r>
          </w:p>
        </w:tc>
        <w:tc>
          <w:tcPr>
            <w:tcW w:w="0" w:type="dxa"/>
            <w:vAlign w:val="bottom"/>
          </w:tcPr>
          <w:p>
            <w:pPr>
              <w:spacing w:after="0"/>
              <w:rPr>
                <w:sz w:val="1"/>
                <w:szCs w:val="1"/>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Long-term borrowings</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1,732,516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1,917,866</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8,587,868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8,380,434</w:t>
            </w:r>
          </w:p>
        </w:tc>
        <w:tc>
          <w:tcPr>
            <w:tcW w:w="0" w:type="dxa"/>
            <w:vAlign w:val="bottom"/>
          </w:tcPr>
          <w:p>
            <w:pPr>
              <w:spacing w:after="0"/>
              <w:rPr>
                <w:sz w:val="1"/>
                <w:szCs w:val="1"/>
                <w:color w:val="auto"/>
              </w:rPr>
            </w:pPr>
          </w:p>
        </w:tc>
      </w:tr>
      <w:tr>
        <w:trPr>
          <w:trHeight w:val="162"/>
        </w:trPr>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560" w:type="dxa"/>
            <w:vAlign w:val="bottom"/>
          </w:tcPr>
          <w:p>
            <w:pPr>
              <w:ind w:left="140"/>
              <w:spacing w:after="0" w:line="166" w:lineRule="exact"/>
              <w:rPr>
                <w:sz w:val="20"/>
                <w:szCs w:val="20"/>
                <w:color w:val="auto"/>
              </w:rPr>
            </w:pPr>
            <w:r>
              <w:rPr>
                <w:rFonts w:ascii="Arial" w:cs="Arial" w:eastAsia="Arial" w:hAnsi="Arial"/>
                <w:sz w:val="16"/>
                <w:szCs w:val="16"/>
                <w:color w:val="auto"/>
                <w:w w:val="94"/>
              </w:rPr>
              <w:t>Class A common stock (par value $0.00001), Authorized — 1,000,000,000 and 1,000,000,000 shares, Issued — 124,654,210</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60" w:type="dxa"/>
            <w:vAlign w:val="bottom"/>
          </w:tcPr>
          <w:p>
            <w:pPr>
              <w:ind w:left="140"/>
              <w:spacing w:after="0" w:line="162" w:lineRule="exact"/>
              <w:rPr>
                <w:sz w:val="20"/>
                <w:szCs w:val="20"/>
                <w:color w:val="auto"/>
              </w:rPr>
            </w:pPr>
            <w:r>
              <w:rPr>
                <w:rFonts w:ascii="Arial" w:cs="Arial" w:eastAsia="Arial" w:hAnsi="Arial"/>
                <w:sz w:val="16"/>
                <w:szCs w:val="16"/>
                <w:color w:val="auto"/>
                <w:w w:val="97"/>
              </w:rPr>
              <w:t>and 120,435,912 shares, Outstanding — 122,475,439 and 118,257,141 shares at June 30, 2020 and December 31, 2019,</w:t>
            </w:r>
          </w:p>
        </w:tc>
        <w:tc>
          <w:tcPr>
            <w:tcW w:w="280" w:type="dxa"/>
            <w:vAlign w:val="bottom"/>
          </w:tcPr>
          <w:p>
            <w:pPr>
              <w:spacing w:after="0"/>
              <w:rPr>
                <w:sz w:val="14"/>
                <w:szCs w:val="14"/>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Class B common stock (par value $0.00001), Authorized — 175,000,000 and 175,000,000 shares, Issued and Outstanding — 0</w:t>
            </w:r>
          </w:p>
        </w:tc>
        <w:tc>
          <w:tcPr>
            <w:tcW w:w="2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0 shares at June 30, 2020 and December 31, 2019, respectively</w:t>
            </w: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60" w:type="dxa"/>
            <w:vAlign w:val="bottom"/>
          </w:tcPr>
          <w:p>
            <w:pPr>
              <w:ind w:left="140"/>
              <w:spacing w:after="0" w:line="166" w:lineRule="exact"/>
              <w:rPr>
                <w:sz w:val="20"/>
                <w:szCs w:val="20"/>
                <w:color w:val="auto"/>
              </w:rPr>
            </w:pPr>
            <w:r>
              <w:rPr>
                <w:rFonts w:ascii="Arial" w:cs="Arial" w:eastAsia="Arial" w:hAnsi="Arial"/>
                <w:sz w:val="16"/>
                <w:szCs w:val="16"/>
                <w:color w:val="auto"/>
                <w:w w:val="96"/>
              </w:rPr>
              <w:t>Class C common stock (par value $0.00001), Authorized — 90,000,000 and 90,000,000 shares, Issued and Outstanding —</w:t>
            </w:r>
          </w:p>
        </w:tc>
        <w:tc>
          <w:tcPr>
            <w:tcW w:w="28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560" w:type="dxa"/>
            <w:vAlign w:val="bottom"/>
          </w:tcPr>
          <w:p>
            <w:pPr>
              <w:ind w:left="140"/>
              <w:spacing w:after="0"/>
              <w:rPr>
                <w:sz w:val="20"/>
                <w:szCs w:val="20"/>
                <w:color w:val="auto"/>
              </w:rPr>
            </w:pPr>
            <w:r>
              <w:rPr>
                <w:rFonts w:ascii="Arial" w:cs="Arial" w:eastAsia="Arial" w:hAnsi="Arial"/>
                <w:sz w:val="16"/>
                <w:szCs w:val="16"/>
                <w:color w:val="auto"/>
              </w:rPr>
              <w:t>10,526,939 and 12,887,178 shares at June 30, 2020 and December 31, 2019, respectively</w:t>
            </w: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Class D common stock (par value $0.00001), Authorized — 175,000,000 and 175,000,000 shares, Issued and Outstanding —</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60,091,740 and 60,091,740 shares at June 30, 2020 and December 31, 2019, respectively</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560" w:type="dxa"/>
            <w:vAlign w:val="bottom"/>
          </w:tcPr>
          <w:p>
            <w:pPr>
              <w:ind w:left="140"/>
              <w:spacing w:after="0"/>
              <w:rPr>
                <w:sz w:val="20"/>
                <w:szCs w:val="20"/>
                <w:color w:val="auto"/>
              </w:rPr>
            </w:pPr>
            <w:r>
              <w:rPr>
                <w:rFonts w:ascii="Arial" w:cs="Arial" w:eastAsia="Arial" w:hAnsi="Arial"/>
                <w:sz w:val="16"/>
                <w:szCs w:val="16"/>
                <w:color w:val="auto"/>
              </w:rPr>
              <w:t>Treasury stock, at cost, 2,178,771 and 2,178,771 shares at June 30, 2020 and December 31, 2019, respectively</w:t>
            </w: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(55,005)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(55,005)</w:t>
            </w:r>
          </w:p>
        </w:tc>
        <w:tc>
          <w:tcPr>
            <w:tcW w:w="0" w:type="dxa"/>
            <w:vAlign w:val="bottom"/>
          </w:tcPr>
          <w:p>
            <w:pPr>
              <w:spacing w:after="0"/>
              <w:rPr>
                <w:sz w:val="1"/>
                <w:szCs w:val="1"/>
                <w:color w:val="auto"/>
              </w:rPr>
            </w:pPr>
          </w:p>
        </w:tc>
      </w:tr>
      <w:tr>
        <w:trPr>
          <w:trHeight w:val="240"/>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1,128,977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1,077,398</w:t>
            </w:r>
          </w:p>
        </w:tc>
        <w:tc>
          <w:tcPr>
            <w:tcW w:w="0" w:type="dxa"/>
            <w:vAlign w:val="bottom"/>
          </w:tcPr>
          <w:p>
            <w:pPr>
              <w:spacing w:after="0"/>
              <w:rPr>
                <w:sz w:val="1"/>
                <w:szCs w:val="1"/>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color w:val="auto"/>
              </w:rPr>
              <w:t>Retained earnings (accumulated deficit)</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259,873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(90,374)</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1,294,280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931,374</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406,727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297,562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5" w:right="4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Financial Condition (Unaudited)</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22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2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1,701,007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1,228,936</w:t>
            </w:r>
          </w:p>
        </w:tc>
      </w:tr>
      <w:tr>
        <w:trPr>
          <w:trHeight w:val="33"/>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47"/>
        </w:trPr>
        <w:tc>
          <w:tcPr>
            <w:tcW w:w="85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10,288,875</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9,609,370</w:t>
            </w:r>
          </w:p>
        </w:tc>
      </w:tr>
      <w:tr>
        <w:trPr>
          <w:trHeight w:val="23"/>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7"/>
                <w:szCs w:val="17"/>
                <w:color w:val="auto"/>
              </w:rPr>
            </w:pPr>
          </w:p>
        </w:tc>
        <w:tc>
          <w:tcPr>
            <w:tcW w:w="21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ind w:left="60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214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June 30,</w:t>
            </w:r>
          </w:p>
        </w:tc>
      </w:tr>
      <w:tr>
        <w:trPr>
          <w:trHeight w:val="33"/>
        </w:trPr>
        <w:tc>
          <w:tcPr>
            <w:tcW w:w="614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8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33"/>
        </w:trPr>
        <w:tc>
          <w:tcPr>
            <w:tcW w:w="6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4"/>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Trading income, net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743,996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205,923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1,546,461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463,463</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Interest and dividends income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35,856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53,293</w:t>
            </w:r>
          </w:p>
        </w:tc>
      </w:tr>
      <w:tr>
        <w:trPr>
          <w:trHeight w:val="223"/>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Commissions, net and technology services</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147,736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145,120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318,481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220,267</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6"/>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(1,490)</w:t>
            </w:r>
          </w:p>
        </w:tc>
      </w:tr>
      <w:tr>
        <w:trPr>
          <w:trHeight w:val="217"/>
        </w:trPr>
        <w:tc>
          <w:tcPr>
            <w:tcW w:w="6140" w:type="dxa"/>
            <w:vAlign w:val="bottom"/>
            <w:gridSpan w:val="2"/>
          </w:tcPr>
          <w:p>
            <w:pPr>
              <w:ind w:left="320"/>
              <w:spacing w:after="0"/>
              <w:rPr>
                <w:sz w:val="20"/>
                <w:szCs w:val="20"/>
                <w:color w:val="auto"/>
              </w:rPr>
            </w:pPr>
            <w:r>
              <w:rPr>
                <w:rFonts w:ascii="Arial" w:cs="Arial" w:eastAsia="Arial" w:hAnsi="Arial"/>
                <w:sz w:val="16"/>
                <w:szCs w:val="16"/>
                <w:color w:val="auto"/>
              </w:rPr>
              <w:t>Total revenue</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905,903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375,101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1,906,524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735,533</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6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4"/>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Brokerage, exchange, clearance fees and payments for order flow, net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203,503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99,487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377,321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187,101</w:t>
            </w:r>
          </w:p>
        </w:tc>
      </w:tr>
      <w:tr>
        <w:trPr>
          <w:trHeight w:val="223"/>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Communication and data processing</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55,662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54,423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110,689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96,237</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Employee compensation and payroll taxes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120,934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83,702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291,292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191,540</w:t>
            </w:r>
          </w:p>
        </w:tc>
      </w:tr>
      <w:tr>
        <w:trPr>
          <w:trHeight w:val="224"/>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Interest and dividends expense</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28,841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36,824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70,281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82,193</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Operations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48,867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50,970</w:t>
            </w:r>
          </w:p>
        </w:tc>
      </w:tr>
      <w:tr>
        <w:trPr>
          <w:trHeight w:val="223"/>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16,713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14,810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34,073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31,260</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31,528</w:t>
            </w:r>
          </w:p>
        </w:tc>
      </w:tr>
      <w:tr>
        <w:trPr>
          <w:trHeight w:val="224"/>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Termination of office leases</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65,207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65,208</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Debt issue cost related to debt refinancing, prepayment and commitment fees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7,894</w:t>
            </w:r>
          </w:p>
        </w:tc>
      </w:tr>
      <w:tr>
        <w:trPr>
          <w:trHeight w:val="223"/>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Transaction advisory fees and expenses</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16,907</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6"/>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Financing interest expense on long-term borrowings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47,406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57,478</w:t>
            </w:r>
          </w:p>
        </w:tc>
      </w:tr>
      <w:tr>
        <w:trPr>
          <w:trHeight w:val="217"/>
        </w:trPr>
        <w:tc>
          <w:tcPr>
            <w:tcW w:w="6140" w:type="dxa"/>
            <w:vAlign w:val="bottom"/>
            <w:gridSpan w:val="2"/>
          </w:tcPr>
          <w:p>
            <w:pPr>
              <w:ind w:left="3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501,368</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441,680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1,035,764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818,316</w:t>
            </w:r>
          </w:p>
        </w:tc>
      </w:tr>
      <w:tr>
        <w:trPr>
          <w:trHeight w:val="33"/>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Income (loss) before income taxes and 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404,535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870,760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(82,783)</w:t>
            </w:r>
          </w:p>
        </w:tc>
      </w:tr>
      <w:tr>
        <w:trPr>
          <w:trHeight w:val="223"/>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69,250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147,237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(13,679)</w:t>
            </w:r>
          </w:p>
        </w:tc>
      </w:tr>
      <w:tr>
        <w:trPr>
          <w:trHeight w:val="33"/>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335,285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723,523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(69,104)</w:t>
            </w:r>
          </w:p>
        </w:tc>
      </w:tr>
      <w:tr>
        <w:trPr>
          <w:trHeight w:val="223"/>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25,594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(303,312)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32,540</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47"/>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Net income (loss) available for common stockholders</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199,142</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(29,891)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420,211</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(36,564)</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6"/>
        </w:trPr>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Earnings (loss) per share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r>
      <w:tr>
        <w:trPr>
          <w:trHeight w:val="224"/>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(0.34)</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6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0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6"/>
              </w:rPr>
              <w:t>121,527,673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7"/>
              </w:rPr>
              <w:t>112,828,240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120,642,415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110,076,375</w:t>
            </w:r>
          </w:p>
        </w:tc>
      </w:tr>
      <w:tr>
        <w:trPr>
          <w:trHeight w:val="224"/>
        </w:trPr>
        <w:tc>
          <w:tcPr>
            <w:tcW w:w="614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1020" w:type="dxa"/>
            <w:vAlign w:val="bottom"/>
            <w:gridSpan w:val="2"/>
          </w:tcPr>
          <w:p>
            <w:pPr>
              <w:jc w:val="right"/>
              <w:ind w:right="59"/>
              <w:spacing w:after="0"/>
              <w:rPr>
                <w:sz w:val="20"/>
                <w:szCs w:val="20"/>
                <w:color w:val="auto"/>
              </w:rPr>
            </w:pPr>
            <w:r>
              <w:rPr>
                <w:rFonts w:ascii="Arial" w:cs="Arial" w:eastAsia="Arial" w:hAnsi="Arial"/>
                <w:sz w:val="16"/>
                <w:szCs w:val="16"/>
                <w:color w:val="auto"/>
                <w:w w:val="96"/>
              </w:rPr>
              <w:t>122,238,905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w w:val="87"/>
              </w:rPr>
              <w:t>112,828,240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w w:val="89"/>
              </w:rPr>
              <w:t>121,013,689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w w:val="92"/>
              </w:rPr>
              <w:t>110,076,375</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335,285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(55,485)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723,523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(69,104)</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4"/>
        </w:trPr>
        <w:tc>
          <w:tcPr>
            <w:tcW w:w="6140" w:type="dxa"/>
            <w:vAlign w:val="bottom"/>
            <w:gridSpan w:val="2"/>
          </w:tcPr>
          <w:p>
            <w:pPr>
              <w:ind w:left="120"/>
              <w:spacing w:after="0"/>
              <w:rPr>
                <w:sz w:val="20"/>
                <w:szCs w:val="20"/>
                <w:color w:val="auto"/>
              </w:rPr>
            </w:pPr>
            <w:r>
              <w:rPr>
                <w:rFonts w:ascii="Arial" w:cs="Arial" w:eastAsia="Arial" w:hAnsi="Arial"/>
                <w:sz w:val="16"/>
                <w:szCs w:val="16"/>
                <w:color w:val="auto"/>
              </w:rPr>
              <w:t>Foreign exchange translation adjustment, net of taxes</w:t>
            </w:r>
          </w:p>
        </w:tc>
        <w:tc>
          <w:tcPr>
            <w:tcW w:w="1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6,444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(2,860)</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6"/>
        </w:trPr>
        <w:tc>
          <w:tcPr>
            <w:tcW w:w="6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change in unrealized cash flow hedges gain (loss), net of taxes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332,592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654,832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(71,964)</w:t>
            </w:r>
          </w:p>
        </w:tc>
      </w:tr>
      <w:tr>
        <w:trPr>
          <w:trHeight w:val="3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6"/>
        </w:trPr>
        <w:tc>
          <w:tcPr>
            <w:tcW w:w="6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(273,541)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33,812</w:t>
            </w:r>
          </w:p>
        </w:tc>
      </w:tr>
      <w:tr>
        <w:trPr>
          <w:trHeight w:val="247"/>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Comprehensive income (loss) attributable to common stockholders</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197,574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(29,343)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381,291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(38,152)</w:t>
            </w:r>
          </w:p>
        </w:tc>
      </w:tr>
      <w:tr>
        <w:trPr>
          <w:trHeight w:val="2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ectPr>
          <w:pgSz w:w="11900" w:h="16838" w:orient="portrait"/>
          <w:cols w:equalWidth="0" w:num="1">
            <w:col w:w="10960"/>
          </w:cols>
          <w:pgMar w:left="320" w:top="125" w:right="6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type w:val="continuous"/>
        </w:sectPr>
      </w:pPr>
    </w:p>
    <w:bookmarkStart w:id="6" w:name="page7"/>
    <w:bookmarkEnd w:id="6"/>
    <w:p>
      <w:pPr>
        <w:ind w:left="260"/>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Three and Six Months Ended June 30, 2020 and 2019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Paid-in</w:t>
            </w:r>
          </w:p>
        </w:tc>
        <w:tc>
          <w:tcPr>
            <w:tcW w:w="100" w:type="dxa"/>
            <w:vAlign w:val="bottom"/>
          </w:tcPr>
          <w:p>
            <w:pPr>
              <w:spacing w:after="0"/>
              <w:rPr>
                <w:sz w:val="10"/>
                <w:szCs w:val="10"/>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Total Virtu</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w w:val="98"/>
              </w:rPr>
              <w:t>Class A Common Stock</w:t>
            </w:r>
          </w:p>
        </w:tc>
        <w:tc>
          <w:tcPr>
            <w:tcW w:w="130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8"/>
              </w:rPr>
              <w:t>Class C Common Stock</w:t>
            </w:r>
          </w:p>
        </w:tc>
        <w:tc>
          <w:tcPr>
            <w:tcW w:w="128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w w:val="98"/>
              </w:rPr>
              <w:t>Class D Common Stock</w:t>
            </w:r>
          </w:p>
        </w:tc>
        <w:tc>
          <w:tcPr>
            <w:tcW w:w="134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60" w:type="dxa"/>
            <w:vAlign w:val="bottom"/>
          </w:tcPr>
          <w:p>
            <w:pPr>
              <w:spacing w:after="0"/>
              <w:rPr>
                <w:sz w:val="4"/>
                <w:szCs w:val="4"/>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28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jc w:val="center"/>
              <w:ind w:right="180"/>
              <w:spacing w:after="0" w:line="89" w:lineRule="exact"/>
              <w:rPr>
                <w:sz w:val="20"/>
                <w:szCs w:val="20"/>
                <w:color w:val="auto"/>
              </w:rPr>
            </w:pPr>
            <w:r>
              <w:rPr>
                <w:rFonts w:ascii="Arial" w:cs="Arial" w:eastAsia="Arial" w:hAnsi="Arial"/>
                <w:sz w:val="10"/>
                <w:szCs w:val="10"/>
                <w:b w:val="1"/>
                <w:bCs w:val="1"/>
                <w:color w:val="auto"/>
                <w:w w:val="98"/>
              </w:rPr>
              <w:t>Earnings</w:t>
            </w: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line="89" w:lineRule="exact"/>
              <w:rPr>
                <w:sz w:val="20"/>
                <w:szCs w:val="20"/>
                <w:color w:val="auto"/>
              </w:rPr>
            </w:pPr>
            <w:r>
              <w:rPr>
                <w:rFonts w:ascii="Arial" w:cs="Arial" w:eastAsia="Arial" w:hAnsi="Arial"/>
                <w:sz w:val="10"/>
                <w:szCs w:val="10"/>
                <w:b w:val="1"/>
                <w:bCs w:val="1"/>
                <w:color w:val="auto"/>
              </w:rPr>
              <w:t>Other</w:t>
            </w:r>
          </w:p>
        </w:tc>
        <w:tc>
          <w:tcPr>
            <w:tcW w:w="760" w:type="dxa"/>
            <w:vAlign w:val="bottom"/>
            <w:gridSpan w:val="3"/>
            <w:vMerge w:val="restart"/>
          </w:tcPr>
          <w:p>
            <w:pPr>
              <w:ind w:left="20"/>
              <w:spacing w:after="0" w:line="89" w:lineRule="exact"/>
              <w:rPr>
                <w:sz w:val="20"/>
                <w:szCs w:val="20"/>
                <w:color w:val="auto"/>
              </w:rPr>
            </w:pPr>
            <w:r>
              <w:rPr>
                <w:rFonts w:ascii="Arial" w:cs="Arial" w:eastAsia="Arial" w:hAnsi="Arial"/>
                <w:sz w:val="10"/>
                <w:szCs w:val="10"/>
                <w:b w:val="1"/>
                <w:bCs w:val="1"/>
                <w:color w:val="auto"/>
              </w:rPr>
              <w:t>Financial Inc.</w:t>
            </w: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line="89" w:lineRule="exact"/>
              <w:rPr>
                <w:sz w:val="20"/>
                <w:szCs w:val="20"/>
                <w:color w:val="auto"/>
              </w:rPr>
            </w:pPr>
            <w:r>
              <w:rPr>
                <w:rFonts w:ascii="Arial" w:cs="Arial" w:eastAsia="Arial" w:hAnsi="Arial"/>
                <w:sz w:val="10"/>
                <w:szCs w:val="10"/>
                <w:b w:val="1"/>
                <w:bCs w:val="1"/>
                <w:color w:val="auto"/>
                <w:w w:val="96"/>
              </w:rPr>
              <w:t>Non-</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4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(in thousands, except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6"/>
              </w:rPr>
              <w:t>(Accumulated</w:t>
            </w:r>
          </w:p>
        </w:tc>
        <w:tc>
          <w:tcPr>
            <w:tcW w:w="84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6"/>
              </w:rPr>
              <w:t>Comprehensive</w:t>
            </w:r>
          </w:p>
        </w:tc>
        <w:tc>
          <w:tcPr>
            <w:tcW w:w="76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9"/>
              </w:rPr>
              <w:t>Stockholders'</w:t>
            </w:r>
          </w:p>
        </w:tc>
        <w:tc>
          <w:tcPr>
            <w:tcW w:w="700" w:type="dxa"/>
            <w:vAlign w:val="bottom"/>
            <w:gridSpan w:val="3"/>
          </w:tcPr>
          <w:p>
            <w:pPr>
              <w:ind w:left="40"/>
              <w:spacing w:after="0" w:line="115" w:lineRule="exact"/>
              <w:rPr>
                <w:sz w:val="20"/>
                <w:szCs w:val="20"/>
                <w:color w:val="auto"/>
              </w:rPr>
            </w:pPr>
            <w:r>
              <w:rPr>
                <w:rFonts w:ascii="Arial" w:cs="Arial" w:eastAsia="Arial" w:hAnsi="Arial"/>
                <w:sz w:val="11"/>
                <w:szCs w:val="11"/>
                <w:b w:val="1"/>
                <w:bCs w:val="1"/>
                <w:color w:val="auto"/>
              </w:rPr>
              <w:t>Controlling</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b w:val="1"/>
                <w:bCs w:val="1"/>
                <w:color w:val="auto"/>
              </w:rPr>
              <w:t>share and interest data)</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60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0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3"/>
              </w:rPr>
              <w:t>Amounts</w:t>
            </w:r>
          </w:p>
        </w:tc>
        <w:tc>
          <w:tcPr>
            <w:tcW w:w="6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Amounts</w:t>
            </w:r>
          </w:p>
        </w:tc>
        <w:tc>
          <w:tcPr>
            <w:tcW w:w="10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5"/>
              </w:rPr>
              <w:t>Income (Loss)</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12"/>
                <w:szCs w:val="12"/>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Interest</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3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 at December 31,</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8"/>
              </w:rPr>
              <w:t>120,435,912</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0"/>
              </w:rPr>
              <w:t>12,887,178</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7"/>
              </w:rPr>
              <w:t>60,091,740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8"/>
              </w:rPr>
              <w:t>(2,178,771)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(55,005)</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3"/>
              </w:rPr>
              <w:t>1,077,398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(90,374)</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931,374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297,562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1,228,936</w:t>
            </w:r>
          </w:p>
        </w:tc>
        <w:tc>
          <w:tcPr>
            <w:tcW w:w="0" w:type="dxa"/>
            <w:vAlign w:val="bottom"/>
          </w:tcPr>
          <w:p>
            <w:pPr>
              <w:spacing w:after="0"/>
              <w:rPr>
                <w:sz w:val="1"/>
                <w:szCs w:val="1"/>
                <w:color w:val="auto"/>
              </w:rPr>
            </w:pPr>
          </w:p>
        </w:tc>
      </w:tr>
      <w:tr>
        <w:trPr>
          <w:trHeight w:val="139"/>
        </w:trPr>
        <w:tc>
          <w:tcPr>
            <w:tcW w:w="1340" w:type="dxa"/>
            <w:vAlign w:val="bottom"/>
          </w:tcPr>
          <w:p>
            <w:pPr>
              <w:ind w:left="120"/>
              <w:spacing w:after="0"/>
              <w:rPr>
                <w:sz w:val="20"/>
                <w:szCs w:val="20"/>
                <w:color w:val="auto"/>
              </w:rPr>
            </w:pPr>
            <w:r>
              <w:rPr>
                <w:rFonts w:ascii="Arial" w:cs="Arial" w:eastAsia="Arial" w:hAnsi="Arial"/>
                <w:sz w:val="11"/>
                <w:szCs w:val="11"/>
                <w:color w:val="auto"/>
              </w:rPr>
              <w:t>Share based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rPr>
                <w:sz w:val="20"/>
                <w:szCs w:val="20"/>
                <w:color w:val="auto"/>
              </w:rPr>
            </w:pPr>
            <w:r>
              <w:rPr>
                <w:rFonts w:ascii="Arial" w:cs="Arial" w:eastAsia="Arial" w:hAnsi="Arial"/>
                <w:sz w:val="11"/>
                <w:szCs w:val="11"/>
                <w:color w:val="auto"/>
              </w:rPr>
              <w:t>compensation</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1,854,961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21,357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21,357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21,357</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Repurchase of Class C</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common stock</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340" w:type="dxa"/>
            <w:vAlign w:val="bottom"/>
          </w:tcPr>
          <w:p>
            <w:pPr>
              <w:ind w:left="120"/>
              <w:spacing w:after="0"/>
              <w:rPr>
                <w:sz w:val="20"/>
                <w:szCs w:val="20"/>
                <w:color w:val="auto"/>
              </w:rPr>
            </w:pPr>
            <w:r>
              <w:rPr>
                <w:rFonts w:ascii="Arial" w:cs="Arial" w:eastAsia="Arial" w:hAnsi="Arial"/>
                <w:sz w:val="11"/>
                <w:szCs w:val="11"/>
                <w:color w:val="auto"/>
                <w:w w:val="95"/>
              </w:rPr>
              <w:t>Treasury stock purchases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(642,869)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(9,801)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(9,801)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(9,801)</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Stock options exercised</w:t>
            </w: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213,129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3,206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3,206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3,206</w:t>
            </w:r>
          </w:p>
        </w:tc>
        <w:tc>
          <w:tcPr>
            <w:tcW w:w="0" w:type="dxa"/>
            <w:vAlign w:val="bottom"/>
          </w:tcPr>
          <w:p>
            <w:pPr>
              <w:spacing w:after="0"/>
              <w:rPr>
                <w:sz w:val="1"/>
                <w:szCs w:val="1"/>
                <w:color w:val="auto"/>
              </w:rPr>
            </w:pPr>
          </w:p>
        </w:tc>
      </w:tr>
      <w:tr>
        <w:trPr>
          <w:trHeight w:val="153"/>
        </w:trPr>
        <w:tc>
          <w:tcPr>
            <w:tcW w:w="1340" w:type="dxa"/>
            <w:vAlign w:val="bottom"/>
          </w:tcPr>
          <w:p>
            <w:pPr>
              <w:ind w:left="120"/>
              <w:spacing w:after="0"/>
              <w:rPr>
                <w:sz w:val="20"/>
                <w:szCs w:val="20"/>
                <w:color w:val="auto"/>
              </w:rPr>
            </w:pPr>
            <w:r>
              <w:rPr>
                <w:rFonts w:ascii="Arial" w:cs="Arial" w:eastAsia="Arial" w:hAnsi="Arial"/>
                <w:sz w:val="11"/>
                <w:szCs w:val="11"/>
                <w:color w:val="auto"/>
              </w:rPr>
              <w:t>Warrants issued</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11,486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11,486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11,486</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income (loss)</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221,069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221,069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167,169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388,238</w:t>
            </w:r>
          </w:p>
        </w:tc>
        <w:tc>
          <w:tcPr>
            <w:tcW w:w="0" w:type="dxa"/>
            <w:vAlign w:val="bottom"/>
          </w:tcPr>
          <w:p>
            <w:pPr>
              <w:spacing w:after="0"/>
              <w:rPr>
                <w:sz w:val="1"/>
                <w:szCs w:val="1"/>
                <w:color w:val="auto"/>
              </w:rPr>
            </w:pPr>
          </w:p>
        </w:tc>
      </w:tr>
      <w:tr>
        <w:trPr>
          <w:trHeight w:val="139"/>
        </w:trPr>
        <w:tc>
          <w:tcPr>
            <w:tcW w:w="1340" w:type="dxa"/>
            <w:vAlign w:val="bottom"/>
          </w:tcPr>
          <w:p>
            <w:pPr>
              <w:ind w:left="120"/>
              <w:spacing w:after="0"/>
              <w:rPr>
                <w:sz w:val="20"/>
                <w:szCs w:val="20"/>
                <w:color w:val="auto"/>
              </w:rPr>
            </w:pPr>
            <w:r>
              <w:rPr>
                <w:rFonts w:ascii="Arial" w:cs="Arial" w:eastAsia="Arial" w:hAnsi="Arial"/>
                <w:sz w:val="11"/>
                <w:szCs w:val="11"/>
                <w:color w:val="auto"/>
              </w:rPr>
              <w:t>Foreign exchange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rPr>
                <w:sz w:val="20"/>
                <w:szCs w:val="20"/>
                <w:color w:val="auto"/>
              </w:rPr>
            </w:pPr>
            <w:r>
              <w:rPr>
                <w:rFonts w:ascii="Arial" w:cs="Arial" w:eastAsia="Arial" w:hAnsi="Arial"/>
                <w:sz w:val="11"/>
                <w:szCs w:val="11"/>
                <w:color w:val="auto"/>
              </w:rPr>
              <w:t>translation adjustment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(5,884)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(5,884)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(4,512)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(10,396)</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4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8"/>
              </w:rPr>
              <w:t>Net change in unrealized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cash flow hedges gains</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(losses)</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(31,468)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(31,468)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(24,134)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(55,602)</w:t>
            </w:r>
          </w:p>
        </w:tc>
        <w:tc>
          <w:tcPr>
            <w:tcW w:w="0" w:type="dxa"/>
            <w:vAlign w:val="bottom"/>
          </w:tcPr>
          <w:p>
            <w:pPr>
              <w:spacing w:after="0"/>
              <w:rPr>
                <w:sz w:val="1"/>
                <w:szCs w:val="1"/>
                <w:color w:val="auto"/>
              </w:rPr>
            </w:pPr>
          </w:p>
        </w:tc>
      </w:tr>
      <w:tr>
        <w:trPr>
          <w:trHeight w:val="139"/>
        </w:trPr>
        <w:tc>
          <w:tcPr>
            <w:tcW w:w="1340" w:type="dxa"/>
            <w:vAlign w:val="bottom"/>
          </w:tcPr>
          <w:p>
            <w:pPr>
              <w:ind w:left="120"/>
              <w:spacing w:after="0"/>
              <w:rPr>
                <w:sz w:val="20"/>
                <w:szCs w:val="20"/>
                <w:color w:val="auto"/>
              </w:rPr>
            </w:pPr>
            <w:r>
              <w:rPr>
                <w:rFonts w:ascii="Arial" w:cs="Arial" w:eastAsia="Arial" w:hAnsi="Arial"/>
                <w:sz w:val="11"/>
                <w:szCs w:val="11"/>
                <w:color w:val="auto"/>
              </w:rPr>
              <w:t>Distribution from Virtu</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20"/>
              <w:spacing w:after="0" w:line="122" w:lineRule="exact"/>
              <w:rPr>
                <w:sz w:val="20"/>
                <w:szCs w:val="20"/>
                <w:color w:val="auto"/>
              </w:rPr>
            </w:pPr>
            <w:r>
              <w:rPr>
                <w:rFonts w:ascii="Arial" w:cs="Arial" w:eastAsia="Arial" w:hAnsi="Arial"/>
                <w:sz w:val="11"/>
                <w:szCs w:val="11"/>
                <w:color w:val="auto"/>
              </w:rPr>
              <w:t>Financial to non-</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rPr>
                <w:sz w:val="20"/>
                <w:szCs w:val="20"/>
                <w:color w:val="auto"/>
              </w:rPr>
            </w:pPr>
            <w:r>
              <w:rPr>
                <w:rFonts w:ascii="Arial" w:cs="Arial" w:eastAsia="Arial" w:hAnsi="Arial"/>
                <w:sz w:val="11"/>
                <w:szCs w:val="11"/>
                <w:color w:val="auto"/>
              </w:rPr>
              <w:t>controlling interest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w w:val="97"/>
              </w:rPr>
              <w:t>(19,165)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(19,165)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Dividends</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(29,602)</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(29,602)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(29,602)</w:t>
            </w:r>
          </w:p>
        </w:tc>
        <w:tc>
          <w:tcPr>
            <w:tcW w:w="0" w:type="dxa"/>
            <w:vAlign w:val="bottom"/>
          </w:tcPr>
          <w:p>
            <w:pPr>
              <w:spacing w:after="0"/>
              <w:rPr>
                <w:sz w:val="1"/>
                <w:szCs w:val="1"/>
                <w:color w:val="auto"/>
              </w:rPr>
            </w:pPr>
          </w:p>
        </w:tc>
      </w:tr>
      <w:tr>
        <w:trPr>
          <w:trHeight w:val="139"/>
        </w:trPr>
        <w:tc>
          <w:tcPr>
            <w:tcW w:w="1340" w:type="dxa"/>
            <w:vAlign w:val="bottom"/>
          </w:tcPr>
          <w:p>
            <w:pPr>
              <w:ind w:left="120"/>
              <w:spacing w:after="0"/>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20"/>
              <w:spacing w:after="0" w:line="122" w:lineRule="exact"/>
              <w:rPr>
                <w:sz w:val="20"/>
                <w:szCs w:val="20"/>
                <w:color w:val="auto"/>
              </w:rPr>
            </w:pPr>
            <w:r>
              <w:rPr>
                <w:rFonts w:ascii="Arial" w:cs="Arial" w:eastAsia="Arial" w:hAnsi="Arial"/>
                <w:sz w:val="11"/>
                <w:szCs w:val="11"/>
                <w:color w:val="auto"/>
              </w:rPr>
              <w:t>stock in connection with</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rPr>
                <w:sz w:val="20"/>
                <w:szCs w:val="20"/>
                <w:color w:val="auto"/>
              </w:rPr>
            </w:pPr>
            <w:r>
              <w:rPr>
                <w:rFonts w:ascii="Arial" w:cs="Arial" w:eastAsia="Arial" w:hAnsi="Arial"/>
                <w:sz w:val="11"/>
                <w:szCs w:val="11"/>
                <w:color w:val="auto"/>
              </w:rPr>
              <w:t>employee exchanges</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724,327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Repurchase of Virtu</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Financial Units and</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98"/>
              </w:rPr>
              <w:t>corresponding number of</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96"/>
              </w:rPr>
              <w:t>Class C common stock in</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employee exchanges</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(724,327)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1340" w:type="dxa"/>
            <w:vAlign w:val="bottom"/>
          </w:tcPr>
          <w:p>
            <w:pPr>
              <w:ind w:left="20"/>
              <w:spacing w:after="0"/>
              <w:rPr>
                <w:sz w:val="20"/>
                <w:szCs w:val="20"/>
                <w:color w:val="auto"/>
              </w:rPr>
            </w:pPr>
            <w:r>
              <w:rPr>
                <w:rFonts w:ascii="Arial" w:cs="Arial" w:eastAsia="Arial" w:hAnsi="Arial"/>
                <w:sz w:val="11"/>
                <w:szCs w:val="11"/>
                <w:color w:val="auto"/>
                <w:w w:val="98"/>
              </w:rPr>
              <w:t>Balance at March 31, 2020</w:t>
            </w: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88"/>
              </w:rPr>
              <w:t>122,585,460</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0"/>
              </w:rPr>
              <w:t>12,162,851</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87"/>
              </w:rPr>
              <w:t>60,091,740</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88"/>
              </w:rPr>
              <w:t>(2,178,771)</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(55,005)</w:t>
            </w: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3"/>
              </w:rPr>
              <w:t>1,113,447</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91,292</w:t>
            </w:r>
          </w:p>
        </w:tc>
        <w:tc>
          <w:tcPr>
            <w:tcW w:w="80" w:type="dxa"/>
            <w:vAlign w:val="bottom"/>
          </w:tcPr>
          <w:p>
            <w:pPr>
              <w:spacing w:after="0"/>
              <w:rPr>
                <w:sz w:val="12"/>
                <w:szCs w:val="12"/>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(37,999)</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89"/>
              </w:rPr>
              <w:t>1,111,737</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5"/>
              </w:rPr>
              <w:t>416,920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89"/>
              </w:rPr>
              <w:t>1,528,657</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 based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compensation</w:t>
            </w: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36,771</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7,839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7,839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7,839</w:t>
            </w:r>
          </w:p>
        </w:tc>
        <w:tc>
          <w:tcPr>
            <w:tcW w:w="0" w:type="dxa"/>
            <w:vAlign w:val="bottom"/>
          </w:tcPr>
          <w:p>
            <w:pPr>
              <w:spacing w:after="0"/>
              <w:rPr>
                <w:sz w:val="1"/>
                <w:szCs w:val="1"/>
                <w:color w:val="auto"/>
              </w:rPr>
            </w:pPr>
          </w:p>
        </w:tc>
      </w:tr>
      <w:tr>
        <w:trPr>
          <w:trHeight w:val="153"/>
        </w:trPr>
        <w:tc>
          <w:tcPr>
            <w:tcW w:w="1340" w:type="dxa"/>
            <w:vAlign w:val="bottom"/>
          </w:tcPr>
          <w:p>
            <w:pPr>
              <w:ind w:left="120"/>
              <w:spacing w:after="0"/>
              <w:rPr>
                <w:sz w:val="20"/>
                <w:szCs w:val="20"/>
                <w:color w:val="auto"/>
              </w:rPr>
            </w:pPr>
            <w:r>
              <w:rPr>
                <w:rFonts w:ascii="Arial" w:cs="Arial" w:eastAsia="Arial" w:hAnsi="Arial"/>
                <w:sz w:val="11"/>
                <w:szCs w:val="11"/>
                <w:color w:val="auto"/>
                <w:w w:val="95"/>
              </w:rPr>
              <w:t>Treasury stock purchases</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(8,727)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(360)</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Stock option exercised</w:t>
            </w: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404,794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7,691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7,691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7,691</w:t>
            </w:r>
          </w:p>
        </w:tc>
        <w:tc>
          <w:tcPr>
            <w:tcW w:w="0" w:type="dxa"/>
            <w:vAlign w:val="bottom"/>
          </w:tcPr>
          <w:p>
            <w:pPr>
              <w:spacing w:after="0"/>
              <w:rPr>
                <w:sz w:val="1"/>
                <w:szCs w:val="1"/>
                <w:color w:val="auto"/>
              </w:rPr>
            </w:pPr>
          </w:p>
        </w:tc>
      </w:tr>
      <w:tr>
        <w:trPr>
          <w:trHeight w:val="153"/>
        </w:trPr>
        <w:tc>
          <w:tcPr>
            <w:tcW w:w="134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199,142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199,142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w w:val="95"/>
              </w:rPr>
              <w:t>136,143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335,285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Foreign exchange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translation adjustment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3,674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3,674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2,770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6,444</w:t>
            </w:r>
          </w:p>
        </w:tc>
        <w:tc>
          <w:tcPr>
            <w:tcW w:w="0" w:type="dxa"/>
            <w:vAlign w:val="bottom"/>
          </w:tcPr>
          <w:p>
            <w:pPr>
              <w:spacing w:after="0"/>
              <w:rPr>
                <w:sz w:val="1"/>
                <w:szCs w:val="1"/>
                <w:color w:val="auto"/>
              </w:rPr>
            </w:pPr>
          </w:p>
        </w:tc>
      </w:tr>
      <w:tr>
        <w:trPr>
          <w:trHeight w:val="139"/>
        </w:trPr>
        <w:tc>
          <w:tcPr>
            <w:tcW w:w="1340" w:type="dxa"/>
            <w:vAlign w:val="bottom"/>
          </w:tcPr>
          <w:p>
            <w:pPr>
              <w:ind w:left="120"/>
              <w:spacing w:after="0"/>
              <w:rPr>
                <w:sz w:val="20"/>
                <w:szCs w:val="20"/>
                <w:color w:val="auto"/>
              </w:rPr>
            </w:pPr>
            <w:r>
              <w:rPr>
                <w:rFonts w:ascii="Arial" w:cs="Arial" w:eastAsia="Arial" w:hAnsi="Arial"/>
                <w:sz w:val="11"/>
                <w:szCs w:val="11"/>
                <w:color w:val="auto"/>
                <w:w w:val="98"/>
              </w:rPr>
              <w:t>Net change in unrealized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20"/>
              <w:spacing w:after="0" w:line="122" w:lineRule="exact"/>
              <w:rPr>
                <w:sz w:val="20"/>
                <w:szCs w:val="20"/>
                <w:color w:val="auto"/>
              </w:rPr>
            </w:pPr>
            <w:r>
              <w:rPr>
                <w:rFonts w:ascii="Arial" w:cs="Arial" w:eastAsia="Arial" w:hAnsi="Arial"/>
                <w:sz w:val="11"/>
                <w:szCs w:val="11"/>
                <w:color w:val="auto"/>
              </w:rPr>
              <w:t>cash flow hedges gains</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rPr>
                <w:sz w:val="20"/>
                <w:szCs w:val="20"/>
                <w:color w:val="auto"/>
              </w:rPr>
            </w:pPr>
            <w:r>
              <w:rPr>
                <w:rFonts w:ascii="Arial" w:cs="Arial" w:eastAsia="Arial" w:hAnsi="Arial"/>
                <w:sz w:val="11"/>
                <w:szCs w:val="11"/>
                <w:color w:val="auto"/>
              </w:rPr>
              <w:t>(losses)</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(5,242)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(3,895)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(9,137)</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Distribution from Virtu</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Financial to non-</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controlling interest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4"/>
              </w:rPr>
              <w:t>(145,211)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(145,211)</w:t>
            </w:r>
          </w:p>
        </w:tc>
        <w:tc>
          <w:tcPr>
            <w:tcW w:w="0" w:type="dxa"/>
            <w:vAlign w:val="bottom"/>
          </w:tcPr>
          <w:p>
            <w:pPr>
              <w:spacing w:after="0"/>
              <w:rPr>
                <w:sz w:val="1"/>
                <w:szCs w:val="1"/>
                <w:color w:val="auto"/>
              </w:rPr>
            </w:pPr>
          </w:p>
        </w:tc>
      </w:tr>
      <w:tr>
        <w:trPr>
          <w:trHeight w:val="154"/>
        </w:trPr>
        <w:tc>
          <w:tcPr>
            <w:tcW w:w="1340" w:type="dxa"/>
            <w:vAlign w:val="bottom"/>
          </w:tcPr>
          <w:p>
            <w:pPr>
              <w:ind w:left="120"/>
              <w:spacing w:after="0"/>
              <w:rPr>
                <w:sz w:val="20"/>
                <w:szCs w:val="20"/>
                <w:color w:val="auto"/>
              </w:rPr>
            </w:pPr>
            <w:r>
              <w:rPr>
                <w:rFonts w:ascii="Arial" w:cs="Arial" w:eastAsia="Arial" w:hAnsi="Arial"/>
                <w:sz w:val="11"/>
                <w:szCs w:val="11"/>
                <w:color w:val="auto"/>
              </w:rPr>
              <w:t>Dividends</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(30,201)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(30,201)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(30,201)</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3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Issuance of common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stock in connection with</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employee exchanges</w:t>
            </w: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1,635,912</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340" w:type="dxa"/>
            <w:vAlign w:val="bottom"/>
          </w:tcPr>
          <w:p>
            <w:pPr>
              <w:ind w:left="120"/>
              <w:spacing w:after="0"/>
              <w:rPr>
                <w:sz w:val="20"/>
                <w:szCs w:val="20"/>
                <w:color w:val="auto"/>
              </w:rPr>
            </w:pPr>
            <w:r>
              <w:rPr>
                <w:rFonts w:ascii="Arial" w:cs="Arial" w:eastAsia="Arial" w:hAnsi="Arial"/>
                <w:sz w:val="11"/>
                <w:szCs w:val="11"/>
                <w:color w:val="auto"/>
              </w:rPr>
              <w:t>Repurchase of Virtu</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20"/>
              <w:spacing w:after="0" w:line="122" w:lineRule="exact"/>
              <w:rPr>
                <w:sz w:val="20"/>
                <w:szCs w:val="20"/>
                <w:color w:val="auto"/>
              </w:rPr>
            </w:pPr>
            <w:r>
              <w:rPr>
                <w:rFonts w:ascii="Arial" w:cs="Arial" w:eastAsia="Arial" w:hAnsi="Arial"/>
                <w:sz w:val="11"/>
                <w:szCs w:val="11"/>
                <w:color w:val="auto"/>
              </w:rPr>
              <w:t>Financial Units and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20"/>
              <w:spacing w:after="0" w:line="122" w:lineRule="exact"/>
              <w:rPr>
                <w:sz w:val="20"/>
                <w:szCs w:val="20"/>
                <w:color w:val="auto"/>
              </w:rPr>
            </w:pPr>
            <w:r>
              <w:rPr>
                <w:rFonts w:ascii="Arial" w:cs="Arial" w:eastAsia="Arial" w:hAnsi="Arial"/>
                <w:sz w:val="11"/>
                <w:szCs w:val="11"/>
                <w:color w:val="auto"/>
                <w:w w:val="98"/>
              </w:rPr>
              <w:t>corresponding number of</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20"/>
              <w:spacing w:after="0" w:line="122" w:lineRule="exact"/>
              <w:rPr>
                <w:sz w:val="20"/>
                <w:szCs w:val="20"/>
                <w:color w:val="auto"/>
              </w:rPr>
            </w:pPr>
            <w:r>
              <w:rPr>
                <w:rFonts w:ascii="Arial" w:cs="Arial" w:eastAsia="Arial" w:hAnsi="Arial"/>
                <w:sz w:val="11"/>
                <w:szCs w:val="11"/>
                <w:color w:val="auto"/>
                <w:w w:val="96"/>
              </w:rPr>
              <w:t>Class C common stock in</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40" w:type="dxa"/>
            <w:vAlign w:val="bottom"/>
          </w:tcPr>
          <w:p>
            <w:pPr>
              <w:ind w:left="120"/>
              <w:spacing w:after="0"/>
              <w:rPr>
                <w:sz w:val="20"/>
                <w:szCs w:val="20"/>
                <w:color w:val="auto"/>
              </w:rPr>
            </w:pPr>
            <w:r>
              <w:rPr>
                <w:rFonts w:ascii="Arial" w:cs="Arial" w:eastAsia="Arial" w:hAnsi="Arial"/>
                <w:sz w:val="11"/>
                <w:szCs w:val="11"/>
                <w:color w:val="auto"/>
              </w:rPr>
              <w:t>employee exchanges</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w w:val="92"/>
              </w:rPr>
              <w:t>(1,635,912)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June 30, 2020</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8"/>
              </w:rPr>
              <w:t>124,654,210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0"/>
              </w:rPr>
              <w:t>10,526,939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87"/>
              </w:rPr>
              <w:t>60,091,740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8"/>
              </w:rPr>
              <w:t>(2,178,771)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(55,005)</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3"/>
              </w:rPr>
              <w:t>1,128,977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259,873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(39,567)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89"/>
              </w:rPr>
              <w:t>1,294,280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406,727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1,701,007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Paid-in</w:t>
            </w:r>
          </w:p>
        </w:tc>
        <w:tc>
          <w:tcPr>
            <w:tcW w:w="100" w:type="dxa"/>
            <w:vAlign w:val="bottom"/>
          </w:tcPr>
          <w:p>
            <w:pPr>
              <w:spacing w:after="0"/>
              <w:rPr>
                <w:sz w:val="10"/>
                <w:szCs w:val="10"/>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6"/>
              </w:rPr>
              <w:t>Retained</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Total Virtu</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36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w w:val="99"/>
              </w:rPr>
              <w:t>Class A Common Stock</w:t>
            </w:r>
          </w:p>
        </w:tc>
        <w:tc>
          <w:tcPr>
            <w:tcW w:w="130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8"/>
              </w:rPr>
              <w:t>Class C Common Stock</w:t>
            </w:r>
          </w:p>
        </w:tc>
        <w:tc>
          <w:tcPr>
            <w:tcW w:w="130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w w:val="98"/>
              </w:rPr>
              <w:t>Class D Common Stock</w:t>
            </w:r>
          </w:p>
        </w:tc>
        <w:tc>
          <w:tcPr>
            <w:tcW w:w="1420" w:type="dxa"/>
            <w:vAlign w:val="bottom"/>
            <w:gridSpan w:val="5"/>
            <w:vMerge w:val="restart"/>
          </w:tcPr>
          <w:p>
            <w:pPr>
              <w:ind w:left="32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4"/>
                <w:szCs w:val="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line="89" w:lineRule="exact"/>
              <w:rPr>
                <w:sz w:val="20"/>
                <w:szCs w:val="20"/>
                <w:color w:val="auto"/>
              </w:rPr>
            </w:pPr>
            <w:r>
              <w:rPr>
                <w:rFonts w:ascii="Arial" w:cs="Arial" w:eastAsia="Arial" w:hAnsi="Arial"/>
                <w:sz w:val="10"/>
                <w:szCs w:val="10"/>
                <w:b w:val="1"/>
                <w:bCs w:val="1"/>
                <w:color w:val="auto"/>
                <w:w w:val="98"/>
              </w:rPr>
              <w:t>Earnings</w:t>
            </w:r>
          </w:p>
        </w:tc>
        <w:tc>
          <w:tcPr>
            <w:tcW w:w="160" w:type="dxa"/>
            <w:vAlign w:val="bottom"/>
          </w:tcPr>
          <w:p>
            <w:pPr>
              <w:spacing w:after="0"/>
              <w:rPr>
                <w:sz w:val="7"/>
                <w:szCs w:val="7"/>
                <w:color w:val="auto"/>
              </w:rPr>
            </w:pPr>
          </w:p>
        </w:tc>
        <w:tc>
          <w:tcPr>
            <w:tcW w:w="660" w:type="dxa"/>
            <w:vAlign w:val="bottom"/>
            <w:gridSpan w:val="2"/>
            <w:vMerge w:val="restart"/>
          </w:tcPr>
          <w:p>
            <w:pPr>
              <w:jc w:val="center"/>
              <w:ind w:right="260"/>
              <w:spacing w:after="0" w:line="89" w:lineRule="exact"/>
              <w:rPr>
                <w:sz w:val="20"/>
                <w:szCs w:val="20"/>
                <w:color w:val="auto"/>
              </w:rPr>
            </w:pPr>
            <w:r>
              <w:rPr>
                <w:rFonts w:ascii="Arial" w:cs="Arial" w:eastAsia="Arial" w:hAnsi="Arial"/>
                <w:sz w:val="10"/>
                <w:szCs w:val="10"/>
                <w:b w:val="1"/>
                <w:bCs w:val="1"/>
                <w:color w:val="auto"/>
              </w:rPr>
              <w:t>Other</w:t>
            </w:r>
          </w:p>
        </w:tc>
        <w:tc>
          <w:tcPr>
            <w:tcW w:w="760" w:type="dxa"/>
            <w:vAlign w:val="bottom"/>
            <w:gridSpan w:val="3"/>
            <w:vMerge w:val="restart"/>
          </w:tcPr>
          <w:p>
            <w:pPr>
              <w:jc w:val="center"/>
              <w:ind w:right="80"/>
              <w:spacing w:after="0" w:line="89" w:lineRule="exact"/>
              <w:rPr>
                <w:sz w:val="20"/>
                <w:szCs w:val="20"/>
                <w:color w:val="auto"/>
              </w:rPr>
            </w:pPr>
            <w:r>
              <w:rPr>
                <w:rFonts w:ascii="Arial" w:cs="Arial" w:eastAsia="Arial" w:hAnsi="Arial"/>
                <w:sz w:val="10"/>
                <w:szCs w:val="10"/>
                <w:b w:val="1"/>
                <w:bCs w:val="1"/>
                <w:color w:val="auto"/>
              </w:rPr>
              <w:t>Financial Inc.</w:t>
            </w:r>
          </w:p>
        </w:tc>
        <w:tc>
          <w:tcPr>
            <w:tcW w:w="100" w:type="dxa"/>
            <w:vAlign w:val="bottom"/>
          </w:tcPr>
          <w:p>
            <w:pPr>
              <w:spacing w:after="0"/>
              <w:rPr>
                <w:sz w:val="7"/>
                <w:szCs w:val="7"/>
                <w:color w:val="auto"/>
              </w:rPr>
            </w:pPr>
          </w:p>
        </w:tc>
        <w:tc>
          <w:tcPr>
            <w:tcW w:w="620" w:type="dxa"/>
            <w:vAlign w:val="bottom"/>
            <w:gridSpan w:val="2"/>
            <w:vMerge w:val="restart"/>
          </w:tcPr>
          <w:p>
            <w:pPr>
              <w:jc w:val="center"/>
              <w:ind w:right="180"/>
              <w:spacing w:after="0" w:line="89" w:lineRule="exact"/>
              <w:rPr>
                <w:sz w:val="20"/>
                <w:szCs w:val="20"/>
                <w:color w:val="auto"/>
              </w:rPr>
            </w:pPr>
            <w:r>
              <w:rPr>
                <w:rFonts w:ascii="Arial" w:cs="Arial" w:eastAsia="Arial" w:hAnsi="Arial"/>
                <w:sz w:val="10"/>
                <w:szCs w:val="10"/>
                <w:b w:val="1"/>
                <w:bCs w:val="1"/>
                <w:color w:val="auto"/>
              </w:rPr>
              <w:t>Non-</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(in thousands, except</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tcPr>
          <w:p>
            <w:pPr>
              <w:jc w:val="center"/>
              <w:ind w:right="80"/>
              <w:spacing w:after="0" w:line="115" w:lineRule="exact"/>
              <w:rPr>
                <w:sz w:val="20"/>
                <w:szCs w:val="20"/>
                <w:color w:val="auto"/>
              </w:rPr>
            </w:pPr>
            <w:r>
              <w:rPr>
                <w:rFonts w:ascii="Arial" w:cs="Arial" w:eastAsia="Arial" w:hAnsi="Arial"/>
                <w:sz w:val="11"/>
                <w:szCs w:val="11"/>
                <w:b w:val="1"/>
                <w:bCs w:val="1"/>
                <w:color w:val="auto"/>
                <w:w w:val="87"/>
              </w:rPr>
              <w:t>(Accumulated</w:t>
            </w:r>
          </w:p>
        </w:tc>
        <w:tc>
          <w:tcPr>
            <w:tcW w:w="820" w:type="dxa"/>
            <w:vAlign w:val="bottom"/>
            <w:gridSpan w:val="3"/>
          </w:tcPr>
          <w:p>
            <w:pPr>
              <w:jc w:val="center"/>
              <w:ind w:right="60"/>
              <w:spacing w:after="0" w:line="115" w:lineRule="exact"/>
              <w:rPr>
                <w:sz w:val="20"/>
                <w:szCs w:val="20"/>
                <w:color w:val="auto"/>
              </w:rPr>
            </w:pPr>
            <w:r>
              <w:rPr>
                <w:rFonts w:ascii="Arial" w:cs="Arial" w:eastAsia="Arial" w:hAnsi="Arial"/>
                <w:sz w:val="11"/>
                <w:szCs w:val="11"/>
                <w:b w:val="1"/>
                <w:bCs w:val="1"/>
                <w:color w:val="auto"/>
                <w:w w:val="87"/>
              </w:rPr>
              <w:t>Comprehensive</w:t>
            </w:r>
          </w:p>
        </w:tc>
        <w:tc>
          <w:tcPr>
            <w:tcW w:w="760" w:type="dxa"/>
            <w:vAlign w:val="bottom"/>
            <w:gridSpan w:val="3"/>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Stockholders'</w:t>
            </w:r>
          </w:p>
        </w:tc>
        <w:tc>
          <w:tcPr>
            <w:tcW w:w="720" w:type="dxa"/>
            <w:vAlign w:val="bottom"/>
            <w:gridSpan w:val="3"/>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Controlling</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80" w:type="dxa"/>
            <w:vAlign w:val="bottom"/>
          </w:tcPr>
          <w:p>
            <w:pPr>
              <w:ind w:left="20"/>
              <w:spacing w:after="0"/>
              <w:rPr>
                <w:sz w:val="20"/>
                <w:szCs w:val="20"/>
                <w:color w:val="auto"/>
              </w:rPr>
            </w:pPr>
            <w:r>
              <w:rPr>
                <w:rFonts w:ascii="Arial" w:cs="Arial" w:eastAsia="Arial" w:hAnsi="Arial"/>
                <w:sz w:val="11"/>
                <w:szCs w:val="11"/>
                <w:b w:val="1"/>
                <w:bCs w:val="1"/>
                <w:color w:val="auto"/>
                <w:w w:val="91"/>
              </w:rPr>
              <w:t>share and interest data)</w:t>
            </w:r>
          </w:p>
        </w:tc>
        <w:tc>
          <w:tcPr>
            <w:tcW w:w="82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Amounts</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Amounts</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Amounts</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3"/>
              </w:rPr>
              <w:t>Amounts</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Amounts</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Interest</w:t>
            </w:r>
          </w:p>
        </w:tc>
        <w:tc>
          <w:tcPr>
            <w:tcW w:w="7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 at December</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31, 2018</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108,955,048</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13,749,886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69,091,740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9"/>
              </w:rPr>
              <w:t>(2,178,771)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(55,005)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1,010,468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96,513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3"/>
              </w:rPr>
              <w:t>1,051,896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442,803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1,494,699</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Share 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compensation</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965,421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30,764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30,764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30,764</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Repurchase of Class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 common stock</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Treasury stock</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purchases</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(325,195)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(8,805)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(8,805)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(8,805)</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Stock options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exercised</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86,224</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(6,673)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(6,673)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(6,946)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(13,619)</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Foreign exchange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w w:val="96"/>
              </w:rPr>
              <w:t>translation adjustment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(2,136)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(2,136)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(3,744)</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Distribution from</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Virtu Financial to</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non-controlling</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interest</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(37,196)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(37,196)</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Dividends</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(26,312)</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(26,312)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(26,312)</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Issuance of common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with employee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exchanges</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240,000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Repurchase of Virtu</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Financial Units and</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corresponding</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number of Class C</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common stock in</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employee exchanges</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(240,000)</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rPr>
              <w:t>Balance at March 31,</w:t>
            </w: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20"/>
              <w:spacing w:after="0"/>
              <w:rPr>
                <w:sz w:val="20"/>
                <w:szCs w:val="20"/>
                <w:color w:val="auto"/>
              </w:rPr>
            </w:pPr>
            <w:r>
              <w:rPr>
                <w:rFonts w:ascii="Arial" w:cs="Arial" w:eastAsia="Arial" w:hAnsi="Arial"/>
                <w:sz w:val="11"/>
                <w:szCs w:val="11"/>
                <w:color w:val="auto"/>
              </w:rPr>
              <w:t>2019</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109,921,498</w:t>
            </w:r>
          </w:p>
        </w:tc>
        <w:tc>
          <w:tcPr>
            <w:tcW w:w="8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13,509,886</w:t>
            </w:r>
          </w:p>
        </w:tc>
        <w:tc>
          <w:tcPr>
            <w:tcW w:w="8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69,091,740</w:t>
            </w:r>
          </w:p>
        </w:tc>
        <w:tc>
          <w:tcPr>
            <w:tcW w:w="8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w w:val="99"/>
              </w:rPr>
              <w:t>(2,178,771)</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(55,005)</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1,042,091</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54,723</w:t>
            </w:r>
          </w:p>
        </w:tc>
        <w:tc>
          <w:tcPr>
            <w:tcW w:w="8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(2,218)</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w w:val="93"/>
              </w:rPr>
              <w:t>1,039,593</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397,053</w:t>
            </w: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1,436,646</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Share based</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compensation</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257,750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16,443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16,443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16,443</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Repurchase of Class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C common stock</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(3,584)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(96)</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Treasury stock</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purchases</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(90,852)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(2,093)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(2,093)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Stock option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exercised</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35,120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Net income (loss)</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(29,891)</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(29,891)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(25,594)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(55,485)</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Foreign exchange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w w:val="96"/>
              </w:rPr>
              <w:t>translation adjustment</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color w:val="auto"/>
              </w:rPr>
              <w:t>548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336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884</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Distribution from</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Virtu Financial to</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non-controlling</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interest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(14,891)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(14,891)</w:t>
            </w:r>
          </w:p>
        </w:tc>
        <w:tc>
          <w:tcPr>
            <w:tcW w:w="0" w:type="dxa"/>
            <w:vAlign w:val="bottom"/>
          </w:tcPr>
          <w:p>
            <w:pPr>
              <w:spacing w:after="0"/>
              <w:rPr>
                <w:sz w:val="1"/>
                <w:szCs w:val="1"/>
                <w:color w:val="auto"/>
              </w:rPr>
            </w:pPr>
          </w:p>
        </w:tc>
      </w:tr>
      <w:tr>
        <w:trPr>
          <w:trHeight w:val="154"/>
        </w:trPr>
        <w:tc>
          <w:tcPr>
            <w:tcW w:w="1180" w:type="dxa"/>
            <w:vAlign w:val="bottom"/>
          </w:tcPr>
          <w:p>
            <w:pPr>
              <w:ind w:left="120"/>
              <w:spacing w:after="0"/>
              <w:rPr>
                <w:sz w:val="20"/>
                <w:szCs w:val="20"/>
                <w:color w:val="auto"/>
              </w:rPr>
            </w:pPr>
            <w:r>
              <w:rPr>
                <w:rFonts w:ascii="Arial" w:cs="Arial" w:eastAsia="Arial" w:hAnsi="Arial"/>
                <w:sz w:val="11"/>
                <w:szCs w:val="11"/>
                <w:color w:val="auto"/>
              </w:rPr>
              <w:t>Dividends</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(28,592)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(28,592)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(28,592)</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Issuance of common</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with employee</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exchanges</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367,900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Issuance of Common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with secondary</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offering, net of</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offering costs</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9,000,000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(9,000,000)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(375)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(375)</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Repurchase of Virtu</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Financial Units and</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corresponding</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number of Class C</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common stock in</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employee exchanges</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(367,900)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1180" w:type="dxa"/>
            <w:vAlign w:val="bottom"/>
          </w:tcPr>
          <w:p>
            <w:pPr>
              <w:ind w:left="120"/>
              <w:spacing w:after="0"/>
              <w:rPr>
                <w:sz w:val="20"/>
                <w:szCs w:val="20"/>
                <w:color w:val="auto"/>
              </w:rPr>
            </w:pPr>
            <w:r>
              <w:rPr>
                <w:rFonts w:ascii="Arial" w:cs="Arial" w:eastAsia="Arial" w:hAnsi="Arial"/>
                <w:sz w:val="11"/>
                <w:szCs w:val="11"/>
                <w:color w:val="auto"/>
              </w:rPr>
              <w:t>Issuance of tax</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w w:val="93"/>
              </w:rPr>
              <w:t>receivable agreements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tcPr>
          <w:p>
            <w:pPr>
              <w:ind w:left="120"/>
              <w:spacing w:after="0" w:line="122" w:lineRule="exact"/>
              <w:rPr>
                <w:sz w:val="20"/>
                <w:szCs w:val="20"/>
                <w:color w:val="auto"/>
              </w:rPr>
            </w:pPr>
            <w:r>
              <w:rPr>
                <w:rFonts w:ascii="Arial" w:cs="Arial" w:eastAsia="Arial" w:hAnsi="Arial"/>
                <w:sz w:val="11"/>
                <w:szCs w:val="11"/>
                <w:color w:val="auto"/>
              </w:rPr>
              <w:t>in connection with</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80" w:type="dxa"/>
            <w:vAlign w:val="bottom"/>
          </w:tcPr>
          <w:p>
            <w:pPr>
              <w:ind w:left="120"/>
              <w:spacing w:after="0"/>
              <w:rPr>
                <w:sz w:val="20"/>
                <w:szCs w:val="20"/>
                <w:color w:val="auto"/>
              </w:rPr>
            </w:pPr>
            <w:r>
              <w:rPr>
                <w:rFonts w:ascii="Arial" w:cs="Arial" w:eastAsia="Arial" w:hAnsi="Arial"/>
                <w:sz w:val="11"/>
                <w:szCs w:val="11"/>
                <w:color w:val="auto"/>
              </w:rPr>
              <w:t>employee exchange</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(644)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(644)</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Balance at June 30,</w:t>
            </w:r>
          </w:p>
        </w:tc>
        <w:tc>
          <w:tcPr>
            <w:tcW w:w="740" w:type="dxa"/>
            <w:vAlign w:val="bottom"/>
            <w:vMerge w:val="restart"/>
            <w:shd w:val="clear" w:color="auto" w:fill="CCEEFF"/>
          </w:tcPr>
          <w:p>
            <w:pPr>
              <w:jc w:val="right"/>
              <w:ind w:right="26"/>
              <w:spacing w:after="0"/>
              <w:rPr>
                <w:sz w:val="20"/>
                <w:szCs w:val="20"/>
                <w:color w:val="auto"/>
              </w:rPr>
            </w:pPr>
            <w:r>
              <w:rPr>
                <w:rFonts w:ascii="Arial" w:cs="Arial" w:eastAsia="Arial" w:hAnsi="Arial"/>
                <w:sz w:val="13"/>
                <w:szCs w:val="13"/>
                <w:color w:val="auto"/>
                <w:w w:val="88"/>
              </w:rPr>
              <w:t>119,491,416</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ind w:right="66"/>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3"/>
                <w:szCs w:val="13"/>
                <w:color w:val="auto"/>
                <w:w w:val="86"/>
              </w:rPr>
              <w:t>13,138,402</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CCEEFF"/>
          </w:tcPr>
          <w:p>
            <w:pPr>
              <w:jc w:val="right"/>
              <w:ind w:right="66"/>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3"/>
                <w:szCs w:val="13"/>
                <w:color w:val="auto"/>
                <w:w w:val="86"/>
              </w:rPr>
              <w:t>60,091,740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ind w:right="66"/>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3"/>
                <w:szCs w:val="13"/>
                <w:color w:val="auto"/>
                <w:w w:val="87"/>
              </w:rPr>
              <w:t>(2,178,771)</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3"/>
                <w:szCs w:val="13"/>
                <w:color w:val="auto"/>
                <w:w w:val="90"/>
              </w:rPr>
              <w:t>(55,005)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ind w:right="46"/>
              <w:spacing w:after="0"/>
              <w:rPr>
                <w:sz w:val="20"/>
                <w:szCs w:val="20"/>
                <w:color w:val="auto"/>
              </w:rPr>
            </w:pPr>
            <w:r>
              <w:rPr>
                <w:rFonts w:ascii="Arial" w:cs="Arial" w:eastAsia="Arial" w:hAnsi="Arial"/>
                <w:sz w:val="13"/>
                <w:szCs w:val="13"/>
                <w:color w:val="auto"/>
                <w:w w:val="86"/>
              </w:rPr>
              <w:t>1,057,587</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3"/>
                <w:szCs w:val="13"/>
                <w:color w:val="auto"/>
              </w:rPr>
              <w:t>(5,949)</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3"/>
                <w:szCs w:val="13"/>
                <w:color w:val="auto"/>
              </w:rPr>
              <w:t>(1,670)</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CEEFF"/>
          </w:tcPr>
          <w:p>
            <w:pPr>
              <w:jc w:val="right"/>
              <w:ind w:right="86"/>
              <w:spacing w:after="0"/>
              <w:rPr>
                <w:sz w:val="20"/>
                <w:szCs w:val="20"/>
                <w:color w:val="auto"/>
              </w:rPr>
            </w:pPr>
            <w:r>
              <w:rPr>
                <w:rFonts w:ascii="Arial" w:cs="Arial" w:eastAsia="Arial" w:hAnsi="Arial"/>
                <w:sz w:val="13"/>
                <w:szCs w:val="13"/>
                <w:color w:val="auto"/>
                <w:w w:val="93"/>
              </w:rPr>
              <w:t>994,965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ind w:right="26"/>
              <w:spacing w:after="0"/>
              <w:rPr>
                <w:sz w:val="20"/>
                <w:szCs w:val="20"/>
                <w:color w:val="auto"/>
              </w:rPr>
            </w:pPr>
            <w:r>
              <w:rPr>
                <w:rFonts w:ascii="Arial" w:cs="Arial" w:eastAsia="Arial" w:hAnsi="Arial"/>
                <w:sz w:val="13"/>
                <w:szCs w:val="13"/>
                <w:color w:val="auto"/>
                <w:w w:val="89"/>
              </w:rPr>
              <w:t>356,904</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ind w:right="46"/>
              <w:spacing w:after="0"/>
              <w:rPr>
                <w:sz w:val="20"/>
                <w:szCs w:val="20"/>
                <w:color w:val="auto"/>
              </w:rPr>
            </w:pPr>
            <w:r>
              <w:rPr>
                <w:rFonts w:ascii="Arial" w:cs="Arial" w:eastAsia="Arial" w:hAnsi="Arial"/>
                <w:sz w:val="13"/>
                <w:szCs w:val="13"/>
                <w:color w:val="auto"/>
                <w:w w:val="86"/>
              </w:rPr>
              <w:t>1,351,869</w:t>
            </w:r>
          </w:p>
        </w:tc>
        <w:tc>
          <w:tcPr>
            <w:tcW w:w="0" w:type="dxa"/>
            <w:vAlign w:val="bottom"/>
          </w:tcPr>
          <w:p>
            <w:pPr>
              <w:spacing w:after="0"/>
              <w:rPr>
                <w:sz w:val="1"/>
                <w:szCs w:val="1"/>
                <w:color w:val="auto"/>
              </w:rPr>
            </w:pPr>
          </w:p>
        </w:tc>
      </w:tr>
      <w:tr>
        <w:trPr>
          <w:trHeight w:val="157"/>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 xml:space="preserve">See accompanying notes to the Condensed Consolidated Financial Statements </w:t>
      </w:r>
      <w:r>
        <w:rPr>
          <w:rFonts w:ascii="Arial" w:cs="Arial" w:eastAsia="Arial" w:hAnsi="Arial"/>
          <w:sz w:val="17"/>
          <w:szCs w:val="17"/>
          <w:color w:val="auto"/>
        </w:rPr>
        <w:t>(</w:t>
      </w:r>
      <w:r>
        <w:rPr>
          <w:rFonts w:ascii="Arial" w:cs="Arial" w:eastAsia="Arial" w:hAnsi="Arial"/>
          <w:sz w:val="13"/>
          <w:szCs w:val="13"/>
          <w:color w:val="auto"/>
        </w:rPr>
        <w:t>Unaudited</w:t>
      </w:r>
      <w:r>
        <w:rPr>
          <w:rFonts w:ascii="Arial" w:cs="Arial" w:eastAsia="Arial" w:hAnsi="Arial"/>
          <w:sz w:val="17"/>
          <w:szCs w:val="17"/>
          <w:color w:val="auto"/>
        </w:rPr>
        <w:t>)</w:t>
      </w:r>
      <w:r>
        <w:rPr>
          <w:rFonts w:ascii="Arial" w:cs="Arial" w:eastAsia="Arial" w:hAnsi="Arial"/>
          <w:sz w:val="13"/>
          <w:szCs w:val="13"/>
          <w:color w:val="auto"/>
        </w:rPr>
        <w:t>.</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64"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0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723,523</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(69,104)</w:t>
            </w:r>
          </w:p>
        </w:tc>
      </w:tr>
      <w:tr>
        <w:trPr>
          <w:trHeight w:val="222"/>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7"/>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31,260</w:t>
            </w:r>
          </w:p>
        </w:tc>
      </w:tr>
      <w:tr>
        <w:trPr>
          <w:trHeight w:val="197"/>
        </w:trPr>
        <w:tc>
          <w:tcPr>
            <w:tcW w:w="7100" w:type="dxa"/>
            <w:vAlign w:val="bottom"/>
            <w:gridSpan w:val="2"/>
          </w:tcPr>
          <w:p>
            <w:pPr>
              <w:ind w:left="20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37,912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31,528</w:t>
            </w:r>
          </w:p>
        </w:tc>
      </w:tr>
      <w:tr>
        <w:trPr>
          <w:trHeight w:val="20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Debt issue cost related to debt refinancing and prepayment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7,894</w:t>
            </w:r>
          </w:p>
        </w:tc>
      </w:tr>
      <w:tr>
        <w:trPr>
          <w:trHeight w:val="197"/>
        </w:trPr>
        <w:tc>
          <w:tcPr>
            <w:tcW w:w="7100" w:type="dxa"/>
            <w:vAlign w:val="bottom"/>
            <w:gridSpan w:val="2"/>
          </w:tcPr>
          <w:p>
            <w:pPr>
              <w:ind w:left="200"/>
              <w:spacing w:after="0"/>
              <w:rPr>
                <w:sz w:val="20"/>
                <w:szCs w:val="20"/>
                <w:color w:val="auto"/>
              </w:rPr>
            </w:pPr>
            <w:r>
              <w:rPr>
                <w:rFonts w:ascii="Arial" w:cs="Arial" w:eastAsia="Arial" w:hAnsi="Arial"/>
                <w:sz w:val="14"/>
                <w:szCs w:val="14"/>
                <w:color w:val="auto"/>
              </w:rPr>
              <w:t>Amortization of debt issuance costs and deferred financing fees</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14,650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6,361</w:t>
            </w:r>
          </w:p>
        </w:tc>
      </w:tr>
      <w:tr>
        <w:trPr>
          <w:trHeight w:val="20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65,208</w:t>
            </w:r>
          </w:p>
        </w:tc>
      </w:tr>
      <w:tr>
        <w:trPr>
          <w:trHeight w:val="197"/>
        </w:trPr>
        <w:tc>
          <w:tcPr>
            <w:tcW w:w="7100" w:type="dxa"/>
            <w:vAlign w:val="bottom"/>
            <w:gridSpan w:val="2"/>
          </w:tcPr>
          <w:p>
            <w:pPr>
              <w:ind w:left="200"/>
              <w:spacing w:after="0"/>
              <w:rPr>
                <w:sz w:val="20"/>
                <w:szCs w:val="20"/>
                <w:color w:val="auto"/>
              </w:rPr>
            </w:pPr>
            <w:r>
              <w:rPr>
                <w:rFonts w:ascii="Arial" w:cs="Arial" w:eastAsia="Arial" w:hAnsi="Arial"/>
                <w:sz w:val="14"/>
                <w:szCs w:val="14"/>
                <w:color w:val="auto"/>
              </w:rPr>
              <w:t>Share-based compensation</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37,012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37,289</w:t>
            </w:r>
          </w:p>
        </w:tc>
      </w:tr>
      <w:tr>
        <w:trPr>
          <w:trHeight w:val="208"/>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Deferred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6,965</w:t>
            </w:r>
          </w:p>
        </w:tc>
      </w:tr>
      <w:tr>
        <w:trPr>
          <w:trHeight w:val="197"/>
        </w:trPr>
        <w:tc>
          <w:tcPr>
            <w:tcW w:w="7100" w:type="dxa"/>
            <w:vAlign w:val="bottom"/>
            <w:gridSpan w:val="2"/>
          </w:tcPr>
          <w:p>
            <w:pPr>
              <w:ind w:left="20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(25,297)</w:t>
            </w:r>
          </w:p>
        </w:tc>
      </w:tr>
      <w:tr>
        <w:trPr>
          <w:trHeight w:val="195"/>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xml:space="preserve">Changes in operating assets and liabilities </w:t>
            </w:r>
            <w:r>
              <w:rPr>
                <w:rFonts w:ascii="Arial" w:cs="Arial" w:eastAsia="Arial" w:hAnsi="Arial"/>
                <w:sz w:val="12"/>
                <w:szCs w:val="12"/>
                <w:color w:val="auto"/>
              </w:rPr>
              <w:t>(1)</w:t>
            </w: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7"/>
        </w:trPr>
        <w:tc>
          <w:tcPr>
            <w:tcW w:w="7100" w:type="dxa"/>
            <w:vAlign w:val="bottom"/>
            <w:gridSpan w:val="2"/>
          </w:tcPr>
          <w:p>
            <w:pPr>
              <w:ind w:left="320"/>
              <w:spacing w:after="0"/>
              <w:rPr>
                <w:sz w:val="20"/>
                <w:szCs w:val="20"/>
                <w:color w:val="auto"/>
              </w:rPr>
            </w:pPr>
            <w:r>
              <w:rPr>
                <w:rFonts w:ascii="Arial" w:cs="Arial" w:eastAsia="Arial" w:hAnsi="Arial"/>
                <w:sz w:val="14"/>
                <w:szCs w:val="14"/>
                <w:color w:val="auto"/>
              </w:rPr>
              <w:t>Securities borrowed</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492,986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211,539</w:t>
            </w:r>
          </w:p>
        </w:tc>
      </w:tr>
      <w:tr>
        <w:trPr>
          <w:trHeight w:val="208"/>
        </w:trPr>
        <w:tc>
          <w:tcPr>
            <w:tcW w:w="7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(7,499)</w:t>
            </w:r>
          </w:p>
        </w:tc>
      </w:tr>
      <w:tr>
        <w:trPr>
          <w:trHeight w:val="197"/>
        </w:trPr>
        <w:tc>
          <w:tcPr>
            <w:tcW w:w="7100" w:type="dxa"/>
            <w:vAlign w:val="bottom"/>
            <w:gridSpan w:val="2"/>
          </w:tcPr>
          <w:p>
            <w:pPr>
              <w:ind w:left="320"/>
              <w:spacing w:after="0"/>
              <w:rPr>
                <w:sz w:val="20"/>
                <w:szCs w:val="20"/>
                <w:color w:val="auto"/>
              </w:rPr>
            </w:pPr>
            <w:r>
              <w:rPr>
                <w:rFonts w:ascii="Arial" w:cs="Arial" w:eastAsia="Arial" w:hAnsi="Arial"/>
                <w:sz w:val="14"/>
                <w:szCs w:val="14"/>
                <w:color w:val="auto"/>
              </w:rPr>
              <w:t>Receivables from broker-dealers and clearing organizations</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(1,122,699)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142,470</w:t>
            </w:r>
          </w:p>
        </w:tc>
      </w:tr>
      <w:tr>
        <w:trPr>
          <w:trHeight w:val="208"/>
        </w:trPr>
        <w:tc>
          <w:tcPr>
            <w:tcW w:w="7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Trading assets, at fair value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(464,558)</w:t>
            </w:r>
          </w:p>
        </w:tc>
      </w:tr>
      <w:tr>
        <w:trPr>
          <w:trHeight w:val="197"/>
        </w:trPr>
        <w:tc>
          <w:tcPr>
            <w:tcW w:w="7100" w:type="dxa"/>
            <w:vAlign w:val="bottom"/>
            <w:gridSpan w:val="2"/>
          </w:tcPr>
          <w:p>
            <w:pPr>
              <w:ind w:left="320"/>
              <w:spacing w:after="0"/>
              <w:rPr>
                <w:sz w:val="20"/>
                <w:szCs w:val="20"/>
                <w:color w:val="auto"/>
              </w:rPr>
            </w:pPr>
            <w:r>
              <w:rPr>
                <w:rFonts w:ascii="Arial" w:cs="Arial" w:eastAsia="Arial" w:hAnsi="Arial"/>
                <w:sz w:val="14"/>
                <w:szCs w:val="14"/>
                <w:color w:val="auto"/>
              </w:rPr>
              <w:t>Receivables from customers</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(171,975)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(131,953)</w:t>
            </w:r>
          </w:p>
        </w:tc>
      </w:tr>
      <w:tr>
        <w:trPr>
          <w:trHeight w:val="208"/>
        </w:trPr>
        <w:tc>
          <w:tcPr>
            <w:tcW w:w="7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(258,426)</w:t>
            </w:r>
          </w:p>
        </w:tc>
      </w:tr>
      <w:tr>
        <w:trPr>
          <w:trHeight w:val="197"/>
        </w:trPr>
        <w:tc>
          <w:tcPr>
            <w:tcW w:w="7100" w:type="dxa"/>
            <w:vAlign w:val="bottom"/>
            <w:gridSpan w:val="2"/>
          </w:tcPr>
          <w:p>
            <w:pPr>
              <w:ind w:left="32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10,175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(5,804)</w:t>
            </w:r>
          </w:p>
        </w:tc>
      </w:tr>
      <w:tr>
        <w:trPr>
          <w:trHeight w:val="208"/>
        </w:trPr>
        <w:tc>
          <w:tcPr>
            <w:tcW w:w="7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loaned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(395,985)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(369,351)</w:t>
            </w:r>
          </w:p>
        </w:tc>
      </w:tr>
      <w:tr>
        <w:trPr>
          <w:trHeight w:val="197"/>
        </w:trPr>
        <w:tc>
          <w:tcPr>
            <w:tcW w:w="7100" w:type="dxa"/>
            <w:vAlign w:val="bottom"/>
            <w:gridSpan w:val="2"/>
          </w:tcPr>
          <w:p>
            <w:pPr>
              <w:ind w:left="320"/>
              <w:spacing w:after="0"/>
              <w:rPr>
                <w:sz w:val="20"/>
                <w:szCs w:val="20"/>
                <w:color w:val="auto"/>
              </w:rPr>
            </w:pPr>
            <w:r>
              <w:rPr>
                <w:rFonts w:ascii="Arial" w:cs="Arial" w:eastAsia="Arial" w:hAnsi="Arial"/>
                <w:sz w:val="14"/>
                <w:szCs w:val="14"/>
                <w:color w:val="auto"/>
              </w:rPr>
              <w:t>Securities sold under agreements to repurchase</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(28,174)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13,942</w:t>
            </w:r>
          </w:p>
        </w:tc>
      </w:tr>
      <w:tr>
        <w:trPr>
          <w:trHeight w:val="208"/>
        </w:trPr>
        <w:tc>
          <w:tcPr>
            <w:tcW w:w="7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Payables to broker-dealers and clearing organizations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308,723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(50,939)</w:t>
            </w:r>
          </w:p>
        </w:tc>
      </w:tr>
      <w:tr>
        <w:trPr>
          <w:trHeight w:val="197"/>
        </w:trPr>
        <w:tc>
          <w:tcPr>
            <w:tcW w:w="7100" w:type="dxa"/>
            <w:vAlign w:val="bottom"/>
            <w:gridSpan w:val="2"/>
          </w:tcPr>
          <w:p>
            <w:pPr>
              <w:ind w:left="320"/>
              <w:spacing w:after="0"/>
              <w:rPr>
                <w:sz w:val="20"/>
                <w:szCs w:val="20"/>
                <w:color w:val="auto"/>
              </w:rPr>
            </w:pPr>
            <w:r>
              <w:rPr>
                <w:rFonts w:ascii="Arial" w:cs="Arial" w:eastAsia="Arial" w:hAnsi="Arial"/>
                <w:sz w:val="14"/>
                <w:szCs w:val="14"/>
                <w:color w:val="auto"/>
              </w:rPr>
              <w:t>Payables to customers</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58,800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14,884</w:t>
            </w:r>
          </w:p>
        </w:tc>
      </w:tr>
      <w:tr>
        <w:trPr>
          <w:trHeight w:val="208"/>
        </w:trPr>
        <w:tc>
          <w:tcPr>
            <w:tcW w:w="7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Trading liabilities, at fair value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255,889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241,012</w:t>
            </w:r>
          </w:p>
        </w:tc>
      </w:tr>
      <w:tr>
        <w:trPr>
          <w:trHeight w:val="197"/>
        </w:trPr>
        <w:tc>
          <w:tcPr>
            <w:tcW w:w="7100" w:type="dxa"/>
            <w:vAlign w:val="bottom"/>
            <w:gridSpan w:val="2"/>
          </w:tcPr>
          <w:p>
            <w:pPr>
              <w:ind w:left="32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283,087</w:t>
            </w:r>
          </w:p>
        </w:tc>
      </w:tr>
      <w:tr>
        <w:trPr>
          <w:trHeight w:val="203"/>
        </w:trPr>
        <w:tc>
          <w:tcPr>
            <w:tcW w:w="71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Accounts payable, accrued expenses and other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203,804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(87,833)</w:t>
            </w:r>
          </w:p>
        </w:tc>
      </w:tr>
      <w:tr>
        <w:trPr>
          <w:trHeight w:val="196"/>
        </w:trPr>
        <w:tc>
          <w:tcPr>
            <w:tcW w:w="7100" w:type="dxa"/>
            <w:vAlign w:val="bottom"/>
            <w:gridSpan w:val="2"/>
          </w:tcPr>
          <w:p>
            <w:pPr>
              <w:ind w:left="44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499,277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(377,325)</w:t>
            </w:r>
          </w:p>
        </w:tc>
      </w:tr>
      <w:tr>
        <w:trPr>
          <w:trHeight w:val="222"/>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Development of capitalized software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(16,628)</w:t>
            </w:r>
          </w:p>
        </w:tc>
      </w:tr>
      <w:tr>
        <w:trPr>
          <w:trHeight w:val="196"/>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Acquisition of property and equipment</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(20,082)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(9,175)</w:t>
            </w:r>
          </w:p>
        </w:tc>
      </w:tr>
      <w:tr>
        <w:trPr>
          <w:trHeight w:val="209"/>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ITG Acquisition, net of cash acquired, described in Note 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(835,581)</w:t>
            </w:r>
          </w:p>
        </w:tc>
      </w:tr>
      <w:tr>
        <w:trPr>
          <w:trHeight w:val="196"/>
        </w:trPr>
        <w:tc>
          <w:tcPr>
            <w:tcW w:w="7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Investment in joint ventures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(3,000)</w:t>
            </w:r>
          </w:p>
        </w:tc>
      </w:tr>
      <w:tr>
        <w:trPr>
          <w:trHeight w:val="202"/>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(864,384)</w:t>
            </w:r>
          </w:p>
        </w:tc>
      </w:tr>
      <w:tr>
        <w:trPr>
          <w:trHeight w:val="216"/>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7"/>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Distribution from Virtu Financial to non-controlling interest</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(164,376)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(52,087)</w:t>
            </w:r>
          </w:p>
        </w:tc>
      </w:tr>
      <w:tr>
        <w:trPr>
          <w:trHeight w:val="20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Dividends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(54,904)</w:t>
            </w:r>
          </w:p>
        </w:tc>
      </w:tr>
      <w:tr>
        <w:trPr>
          <w:trHeight w:val="197"/>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Repurchase of Class C common stock</w:t>
            </w: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(96)</w:t>
            </w:r>
          </w:p>
        </w:tc>
      </w:tr>
      <w:tr>
        <w:trPr>
          <w:trHeight w:val="20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(10,898)</w:t>
            </w:r>
          </w:p>
        </w:tc>
      </w:tr>
      <w:tr>
        <w:trPr>
          <w:trHeight w:val="197"/>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Stock options exercised</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10,898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931</w:t>
            </w:r>
          </w:p>
        </w:tc>
      </w:tr>
      <w:tr>
        <w:trPr>
          <w:trHeight w:val="20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borrowings,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116,245</w:t>
            </w:r>
          </w:p>
        </w:tc>
      </w:tr>
      <w:tr>
        <w:trPr>
          <w:trHeight w:val="197"/>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Proceeds from long-term borrowings</w:t>
            </w: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1,492,500</w:t>
            </w:r>
          </w:p>
        </w:tc>
      </w:tr>
      <w:tr>
        <w:trPr>
          <w:trHeight w:val="20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Repayment of long term borrowings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(188,556)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(450,000)</w:t>
            </w:r>
          </w:p>
        </w:tc>
      </w:tr>
      <w:tr>
        <w:trPr>
          <w:trHeight w:val="197"/>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Tax receivable agreement obligations</w:t>
            </w:r>
          </w:p>
        </w:tc>
        <w:tc>
          <w:tcPr>
            <w:tcW w:w="2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(13,286)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Debt issuance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(35,702)</w:t>
            </w:r>
          </w:p>
        </w:tc>
      </w:tr>
      <w:tr>
        <w:trPr>
          <w:trHeight w:val="196"/>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(375)</w:t>
            </w:r>
          </w:p>
        </w:tc>
      </w:tr>
      <w:tr>
        <w:trPr>
          <w:trHeight w:val="202"/>
        </w:trPr>
        <w:tc>
          <w:tcPr>
            <w:tcW w:w="710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(483,897)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1,005,614</w:t>
            </w:r>
          </w:p>
        </w:tc>
      </w:tr>
      <w:tr>
        <w:trPr>
          <w:trHeight w:val="216"/>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(2,391)</w:t>
            </w:r>
          </w:p>
        </w:tc>
      </w:tr>
      <w:tr>
        <w:trPr>
          <w:trHeight w:val="216"/>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(238,486)</w:t>
            </w:r>
          </w:p>
        </w:tc>
      </w:tr>
      <w:tr>
        <w:trPr>
          <w:trHeight w:val="197"/>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cash equivalents, and restricted or segregated cash, beginning of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773,280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736,047</w:t>
            </w:r>
          </w:p>
        </w:tc>
      </w:tr>
      <w:tr>
        <w:trPr>
          <w:trHeight w:val="227"/>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or segregated cash,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748,015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497,561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320" w:top="125" w:right="109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25" w:right="109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1"/>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7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paid for interest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98,750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90,726</w:t>
            </w:r>
          </w:p>
        </w:tc>
      </w:tr>
      <w:tr>
        <w:trPr>
          <w:trHeight w:val="196"/>
        </w:trPr>
        <w:tc>
          <w:tcPr>
            <w:tcW w:w="7100" w:type="dxa"/>
            <w:vAlign w:val="bottom"/>
          </w:tcPr>
          <w:p>
            <w:pPr>
              <w:ind w:left="120"/>
              <w:spacing w:after="0"/>
              <w:rPr>
                <w:sz w:val="20"/>
                <w:szCs w:val="20"/>
                <w:color w:val="auto"/>
              </w:rPr>
            </w:pPr>
            <w:r>
              <w:rPr>
                <w:rFonts w:ascii="Arial" w:cs="Arial" w:eastAsia="Arial" w:hAnsi="Arial"/>
                <w:sz w:val="14"/>
                <w:szCs w:val="14"/>
                <w:color w:val="auto"/>
              </w:rPr>
              <w:t>Cash paid for taxes</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36,451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1,746</w:t>
            </w:r>
          </w:p>
        </w:tc>
      </w:tr>
      <w:tr>
        <w:trPr>
          <w:trHeight w:val="222"/>
        </w:trPr>
        <w:tc>
          <w:tcPr>
            <w:tcW w:w="7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7"/>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7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and accrued incentive compensation to developers relating to capitalized software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1,441</w:t>
            </w:r>
          </w:p>
        </w:tc>
      </w:tr>
      <w:tr>
        <w:trPr>
          <w:trHeight w:val="197"/>
        </w:trPr>
        <w:tc>
          <w:tcPr>
            <w:tcW w:w="7100" w:type="dxa"/>
            <w:vAlign w:val="bottom"/>
          </w:tcPr>
          <w:p>
            <w:pPr>
              <w:ind w:left="120"/>
              <w:spacing w:after="0"/>
              <w:rPr>
                <w:sz w:val="20"/>
                <w:szCs w:val="20"/>
                <w:color w:val="auto"/>
              </w:rPr>
            </w:pPr>
            <w:r>
              <w:rPr>
                <w:rFonts w:ascii="Arial" w:cs="Arial" w:eastAsia="Arial" w:hAnsi="Arial"/>
                <w:sz w:val="14"/>
                <w:szCs w:val="14"/>
                <w:color w:val="auto"/>
              </w:rPr>
              <w:t>See Note 3 for a description of non-cash investing activities relating to the acquisition of KCG</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7"/>
        </w:trPr>
        <w:tc>
          <w:tcPr>
            <w:tcW w:w="7100" w:type="dxa"/>
            <w:vAlign w:val="bottom"/>
          </w:tcPr>
          <w:p>
            <w:pPr>
              <w:ind w:left="120"/>
              <w:spacing w:after="0"/>
              <w:rPr>
                <w:sz w:val="20"/>
                <w:szCs w:val="20"/>
                <w:color w:val="auto"/>
              </w:rPr>
            </w:pPr>
            <w:r>
              <w:rPr>
                <w:rFonts w:ascii="Arial" w:cs="Arial" w:eastAsia="Arial" w:hAnsi="Arial"/>
                <w:sz w:val="14"/>
                <w:szCs w:val="14"/>
                <w:color w:val="auto"/>
              </w:rPr>
              <w:t>Tax receivable agreement described in Note 5</w:t>
            </w: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(644)</w:t>
            </w:r>
          </w:p>
        </w:tc>
      </w:tr>
      <w:tr>
        <w:trPr>
          <w:trHeight w:val="222"/>
        </w:trPr>
        <w:tc>
          <w:tcPr>
            <w:tcW w:w="7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1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(1) Net of ITG Acquisition for the three months ended March 31, 2019; see Note 3</w:t>
      </w:r>
    </w:p>
    <w:p>
      <w:pPr>
        <w:spacing w:after="0" w:line="28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25" w:right="10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shares and per share amounts, unless otherwise noted)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June 30, 2020, VFI owned approximately 64.1% of the membership interests of Virtu Financial. VFI is the sole managing member of Virtu Financial and operates and controls all of the businesses and affairs of Virtu Financial and its subsidiaries (the “Group”).</w:t>
      </w:r>
    </w:p>
    <w:p>
      <w:pPr>
        <w:spacing w:after="0" w:line="21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21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July 20, 2017 (the “KCG Closing Date”), the Company completed the all-cash acquisition of KCG Holdings, Inc. (“KCG”) (the “Acquisition of KCG”).</w:t>
      </w:r>
    </w:p>
    <w:p>
      <w:pPr>
        <w:spacing w:after="0" w:line="19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On March 1, 2019 (the “ITG Closing Date”), the Company completed the acquisition of Investment Technology Group, Inc. and its subsidiaries (“ITG”) in an all-cash transaction valued at $30.30 per ITG share, for a total of approximately $1.0 billion (the “ITG Acquisition”). See Note 3 “ITG Acquisition” for further details. ITG was a global financial technology company. ITG's business contributes to the Company's Execution Services segment.</w:t>
      </w:r>
    </w:p>
    <w:p>
      <w:pPr>
        <w:spacing w:after="0" w:line="17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Virtu Financial’s principal U.S. subsidiaries include Virtu Americas LLC (“VAL”) and Virtu ITG LLC (“VITG”), which are U.S. broker-dealers, and Virtu Alternet Securities LLC (“VALT”, collectively with VAL and VITG, the "broker-dealers"). As part of the Company's integration efforts, the Company has been in the process of consolidating its U.S. broker-dealers. The Company submitted applications to withdraw the SEC registrations for Virtu Financial BD LLC (“VFBD”) and Virtu Financial Capital Markets LLC (“VFCM”), which were approved in March 2020, having previously consolidated their broker-dealer activities within VAL as of December 31, 2019. To further optimize its U.S. operations, the Company consolidated VITG and VALT operations into VAL as of June 1, 2020 and submitted applications to withdraw SEC registrations for VITG and VALT broker dealers.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and Virtu ITG Europe Limited, each formed in Ireland;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9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Form of Presentation</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2019. The condensed consolidated financial statements of the Company include its equity interests in Virtu Financial and its subsidiaries. The Company operates and controls all business and affairs of Virtu Financial and its subsidiaries indirectly through its equity interest in Virtu Financial.</w:t>
      </w:r>
    </w:p>
    <w:p>
      <w:pPr>
        <w:spacing w:after="0" w:line="21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92"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Effective this quarter, the Company has changed the presentation of its Condensed Consolidated Statements of Comprehensive Income. As a result, the Company made the following reclassifications to prior period amounts to be consistent with current period presentation. For the three and six months ended June 30, 2019, respectively, the Company reclassified $23.6 million and $47.2 million of Payments for order flow to Brokerage, exchange, clearance fees and payments for order flow, net, previously reported as Brokerage, exchange and clearance fees, net. Brokerage, exchange and clearance fees, net and Payments for order flow both represent costs associated with transacting trades. For the three and six months ended June 30, 2019, respectively, the Company reclassified $3.4 million and $5.9 million of sublease income from Other, net to Operations and administrative to net with other occupancy costs within Operations and administrative.</w:t>
      </w:r>
    </w:p>
    <w:p>
      <w:pPr>
        <w:spacing w:after="0" w:line="20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and its majority and wholly-owned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discussed in Note 3 “ITG Acquisition”, the Company has accounted for the ITG Acquisition under the acquisition method of</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accounting. Under the acquisition method of accounting, the assets and liabilities of ITG, as of the ITG Closing Date, were recorded at their respective fair values and added to the carrying value of the Company’s existing assets and liabilities. The reported financial condition, results of operations and cash flows of the Company for the periods following the ITG Acquisition reflect ITG's and the Company's balances, and reflect the impact of purchase accounting adjustments. The financial results for the six months ended June 30, 2019 comprise the Company's results for the entire applicable period and the results of ITG from the ITG Closing Date through June 30, 2019. All periods prior to the ITG Closing Date comprise solely the Company's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w:t>
      </w:r>
    </w:p>
    <w:p>
      <w:pPr>
        <w:spacing w:after="0" w:line="19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Company grants restricted stock awards ("RSAs") and restricted stock units (“RSUs”), certain of which entitle recipients to receive nonforfeitable dividends during the vesting period on a basis equivalent to the dividends paid to holders of</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common stock. As a result, the unvested RSAs and participating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21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Cash restricted or segregated under regulations and other represents (i) special reserve bank accounts for the exclusive benefit of customers (“Special Reserve Bank Account”) maintained by VAL in accordance with Rule 15c3-3 of the Securities Exchange Act of 1934, as amended (“Customer Protection Rule”), or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 and Securities Loaned</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 and Securities Sold Under Agreements to Repurchase</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21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from/Payables to Broker-dealers and Clearing Organizations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to minimize the risk of any losses from these counterparties.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Owned Including Those Pledged as Collateral and Financial Instruments Sold, Not Yet Purchased</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7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Transfers in or out of levels are recognized based on the beginning fair value of the period in which they occurred.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5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 Trading</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w:t>
      </w:r>
    </w:p>
    <w:p>
      <w:pPr>
        <w:spacing w:after="0" w:line="203"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Company presents its trading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 Hedging</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may use derivative instruments for risk management purposes, including cash flow hedges used to manage interest rate risk on long-term borrowings and net investment hedges used to manage foreign exchange risk. The Company has entered into floating-to-fixed interest rate swap agreements in order to manage interest rate risk associated with its long-term debt obligations. Additionally, the Company may seek to reduce the impact of fluctuations in foreign exchange rates on its net investment in certain non-U.S. operations through the use of foreign currency forward contracts. For interest rate swap agreements and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presents its hedging derivatives balances on a net-by-counterparty basis when the criteria for offsetting are met. Balances associated with hedging derivatives are recorded within Receivables from/Payables to broker-dealers and clearing organizations on the Condensed Consolidated Statements of Financial Condition. Cash flows associated with such derivative activities are included in cash flows from operating activities on the Condensed Consolidated Statements of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Commission Arrangements</w:t>
      </w:r>
    </w:p>
    <w:p>
      <w:pPr>
        <w:spacing w:after="0" w:line="25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Institutional customers are permitted to allocate a portion of their gross commissions to pay for research products and other services provided by third parties and the Company’s subsidiaries. The amounts allocated for those purposes are commonly referred to as client commission arrangements. The cost of independent research and directed brokerage arrangements is accounted for on an accrual basis. Commission revenue is recorded when earned on a trade date basis. Payments relating to client commission arrangements are netted against the commission revenues. Research receivable, including prepaid research on behalf of customers and balance transfers due from other broker-dealers, net of an allowance is included in Receivables from customers and Receivables from broker-dealers and clearing organizations, while accrued research payable is included in Accounts payable, accrued expenses, and other liabilities in the Condensed Consolidated Statements of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capitalizes costs of materials, consultants, and payroll and payroll related costs for employees incurred in developing internal-use software and software to be sold, leased, or marketed. Costs incurred during the preliminary project and post-implementation stages are charged to expense.</w:t>
      </w:r>
    </w:p>
    <w:p>
      <w:pPr>
        <w:spacing w:after="0" w:line="151"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5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Capitalized software development costs and related accumulated amortization are included in Property, equipment and capitalized software in the accompanying Condensed Consolidated Statements of Financial Condition and are amortized over a period of 1.5 to 3 years, which represents the estimated useful lives of the underlying software.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determines if an arrangement is a lease at the inception of the arrangement. Operating leases are included in Operating lease right-of use ("ROU") assets and Operating lease liabilities on the Condensed Consolidated Statements of Financial Condition. Operating lease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Condensed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of the lease,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Certain of the Company's lease agreements contain fixed lease payments that contain lease and non-lease components; for such leases, the Company accounts for the lease and non-lease components as a single lease component. The Company nets its sublease income against corresponding lease expenses within Operations and Administrative expenses on the Condensed Consolidated Statement of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14"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Company assesses goodwill for impairment on an annual basis on July 1 and on an interim basis when certain events occur or certain circumstances exist. In the impairment assessment as of July 1, 2019, the Company assessed qualitative factors as described in ASC 350-20 for each of its reporting units for any indicators that the fair values of the reporting units were less than their carrying values. No impairment was identified.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Memberships and Stock</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Exchange memberships are recorded at cost or, if any other than temporary impairment in value has occurred, at a value that reflects management’s estimate of fair value. Exchange memberships acquired in connection with the Acquisition of KCG were recorded at their fair values on the dates of acquisition. Exchange stock includes shares that entitle the Company to certain trading privileges.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Income, net</w:t>
      </w:r>
    </w:p>
    <w:p>
      <w:pPr>
        <w:spacing w:after="0" w:line="252"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 net and Technology Services</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 The Company recognizes the related revenue when the third-party research services are rendered and payments are made to the service provider.</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8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Dividends Income/Interest and Dividends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Exchange, Clearance Fees and Payments for Order Flow, Net</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Brokerage, exchange, clearance fees and payments for order flow, net, comprise the costs of executing and clearing trades and are accrued on a trade date basis in the Condensed Consolidated Statements of Comprehensive Income. These costs are net of rebates, which consist of volume discounts, credits or payments received from exchanges or other market places related to the placement and/or removal of liquidity from the order flow in the marketplace. Rebates are recorded on an accrual basis. Payments for order flow represent payments to broker-dealer clients, in the normal course of business, for directing their order flow in U.S. equities to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21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5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Comprehensive income consists of two components: net income and other comprehensive income (“OCI”). The Company’s OCI is comprised of foreign currency translation adjustments and mark-to-market gains and losses on the Company's derivative instruments designated as hedging instruments under ASC 815.</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component of stockholders’ equity. 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included in Accumulated other comprehensive income on the Condensed Consolidated Statements of Financial Condition and Other comprehensive income on the Condensed Consolidated Statements of Comprehensive Income, to the extent they are effective.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are in the form of stock options, Class A common stock, par value $0.00001 per share (the “Class A Common Stock”), RSAs and RSUs, as applicable. The fair value of the stock option grants is determined through the application of the Black-Scholes-Merton model. The fair values of the Class A Common Stock and RSUs are determined based on the volume weighted average price for the three days preceding the grant. With respect to the RSUs, forfeitures are accounted for as they occur. The fair value of RSAs is determined based on the closing price as of the grant date. The fair value of share-based awards granted to employees is expensed based on the vesting conditions and is recognized on a straight-line basis over the vesting period, or, in the case of RSAs subject to performance conditions, from the date that achievement of the performance target becomes probable through the remainder of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5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76"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June 30, 2020, the Company held noncontrolling interests of 10% and 50%, respectively, in these JVs.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Company has an interest in a JV that offers derivatives trading technology and execution services to broker-dealers, professional traders and select hedge funds. As of June 30, 2020, the Company held approximately a 10% noncontrolling interest in this JV.</w:t>
      </w:r>
    </w:p>
    <w:p>
      <w:pPr>
        <w:spacing w:after="0" w:line="17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 has an interest in a JV that is developing a member-owned equities exchange with the goal of increasing competition and transparency, while reducing fixed costs and simplifying execution of equity trading in the US. As of June 30, 2020, the Company held approximately a 14.6% noncontrolling interest in this JV.</w:t>
      </w:r>
    </w:p>
    <w:p>
      <w:pPr>
        <w:spacing w:after="0" w:line="21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Company's four JVs meet the criteria to be considered VIEs. 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22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exposure to the obligations of these VIEs is generally limited to its interests in each respective JV, which is the carrying value of the equity investment in each JV.</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nonconsolidated VIEs at June 30, 2020:</w:t>
      </w:r>
    </w:p>
    <w:p>
      <w:pPr>
        <w:spacing w:after="0" w:line="5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Carrying Amount</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Asset</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Liability</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8"/>
              </w:rPr>
              <w:t>to Loss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VIEs' assets</w:t>
            </w:r>
          </w:p>
        </w:tc>
      </w:tr>
      <w:tr>
        <w:trPr>
          <w:trHeight w:val="202"/>
        </w:trPr>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32,316</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186,013</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nonconsolidated VIEs at December 31, 2019:</w:t>
      </w:r>
    </w:p>
    <w:p>
      <w:pPr>
        <w:spacing w:after="0" w:line="5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Carrying Amount</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Asset</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Liability</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8"/>
              </w:rPr>
              <w:t>to Loss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VIEs' assets</w:t>
            </w:r>
          </w:p>
        </w:tc>
      </w:tr>
      <w:tr>
        <w:trPr>
          <w:trHeight w:val="202"/>
        </w:trPr>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28,579</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28,579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119,051</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 In August 2018, the FASB issued ASU 2018-13,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 Measurement (Topic 820): Disclosure Framework-Changes to the Disclosure Requirements for Fair Value Measurement</w:t>
      </w:r>
      <w:r>
        <w:rPr>
          <w:rFonts w:ascii="Arial" w:cs="Arial" w:eastAsia="Arial" w:hAnsi="Arial"/>
          <w:sz w:val="18"/>
          <w:szCs w:val="18"/>
          <w:color w:val="auto"/>
        </w:rPr>
        <w:t>, which modified the disclosure requirements on fair value measurements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820, Fair Value 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this ASU on January 1, 2020. The updated disclosures are included in Note 10 “Financial Assets and Liabilities”.</w:t>
      </w:r>
    </w:p>
    <w:p>
      <w:pPr>
        <w:spacing w:after="0" w:line="22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In October 2018, the FASB issued ASU 2018-17,</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 (Topic 810): Targeted Improvements to Related Party Guidance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 Variable Interest Entities</w:t>
      </w:r>
      <w:r>
        <w:rPr>
          <w:rFonts w:ascii="Arial" w:cs="Arial" w:eastAsia="Arial" w:hAnsi="Arial"/>
          <w:sz w:val="18"/>
          <w:szCs w:val="18"/>
          <w:color w:val="auto"/>
        </w:rPr>
        <w:t>, which modified how VIEs are assessed for consolidation purposes under ASC Topic 810, Consolidation. Under the update,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interests held through related parties in common control arrangements should be considered on a proportional basis for determining whether fees paid to decision makers and service providers are variable interests. The Company adopted this ASU on January 1, 2020, and it did not have a material impact on its condensed consolidated financial statements.</w:t>
      </w:r>
    </w:p>
    <w:p>
      <w:pPr>
        <w:spacing w:after="0" w:line="21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b w:val="1"/>
          <w:bCs w:val="1"/>
          <w:i w:val="1"/>
          <w:iCs w:val="1"/>
          <w:color w:val="auto"/>
        </w:rPr>
        <w:t xml:space="preserve">Measurement of Credit Losses on Financial Instruments </w:t>
      </w:r>
      <w:r>
        <w:rPr>
          <w:rFonts w:ascii="Arial" w:cs="Arial" w:eastAsia="Arial" w:hAnsi="Arial"/>
          <w:sz w:val="16"/>
          <w:szCs w:val="16"/>
          <w:color w:val="auto"/>
        </w:rPr>
        <w:t>- In June 2016, the FASB issued ASU 2016-13,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(Topic 326) -Measurement of Credit Losses on Financial Instruments</w:t>
      </w:r>
      <w:r>
        <w:rPr>
          <w:rFonts w:ascii="Arial" w:cs="Arial" w:eastAsia="Arial" w:hAnsi="Arial"/>
          <w:sz w:val="16"/>
          <w:szCs w:val="16"/>
          <w:color w:val="auto"/>
        </w:rPr>
        <w:t>. This ASU amends several aspects of the measurement of credit losses on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including 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current U.S. GAAP.</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adopted this ASU on January 1, 2020 using the modified retrospective method of adoption. The ASU impacts only those financial instruments that are carried by the Company at amortized cost such as collateralized financing arrangements (repurchase agreements and securities borrowing/ lending transactions) and receivables from customers, broker-dealers and clearing organizations. The adoption of this ASU did not have a material impact to the Company's financial condition,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 as of June 30, 2020</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 December 2019, the FASB issued ASU 2019-12,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 removes certain exceptions related to the approach for intraperiod tax allocation, the methodology for calculating income taxes in an interim period, and the 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ASU is effective for periods beginning after December 15, 2020, including interim periods within that fiscal year; early adoption is permitted. Most amendments within the ASU are required to be applied on a prospective basis, while certain amendments must be applied on a retrospective or modified retrospective basis. The Company is currently evaluating the impact of the new standard on its condensed consolidated financial statements and related disclosures.</w:t>
      </w:r>
    </w:p>
    <w:p>
      <w:pPr>
        <w:spacing w:after="0" w:line="21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b w:val="1"/>
          <w:bCs w:val="1"/>
          <w:i w:val="1"/>
          <w:iCs w:val="1"/>
          <w:color w:val="auto"/>
        </w:rPr>
        <w:t xml:space="preserve">Reference Rate Reform </w:t>
      </w:r>
      <w:r>
        <w:rPr>
          <w:rFonts w:ascii="Arial" w:cs="Arial" w:eastAsia="Arial" w:hAnsi="Arial"/>
          <w:sz w:val="17"/>
          <w:szCs w:val="17"/>
          <w:color w:val="auto"/>
        </w:rPr>
        <w:t>- In March 2020, the FASB issued ASU 2020-04,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Reference Rate Reform (Topic 848): Facilitation of the Effects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Reference Rate Reform on Financial Reporting</w:t>
      </w:r>
      <w:r>
        <w:rPr>
          <w:rFonts w:ascii="Arial" w:cs="Arial" w:eastAsia="Arial" w:hAnsi="Arial"/>
          <w:sz w:val="17"/>
          <w:szCs w:val="17"/>
          <w:color w:val="auto"/>
        </w:rPr>
        <w:t>, which is designed to ease the potential burden in accounting for the transition away from LIBOR. The</w:t>
      </w:r>
      <w:r>
        <w:rPr>
          <w:rFonts w:ascii="Arial" w:cs="Arial" w:eastAsia="Arial" w:hAnsi="Arial"/>
          <w:sz w:val="17"/>
          <w:szCs w:val="17"/>
          <w:i w:val="1"/>
          <w:iCs w:val="1"/>
          <w:color w:val="auto"/>
        </w:rPr>
        <w:t xml:space="preserve"> </w:t>
      </w:r>
      <w:r>
        <w:rPr>
          <w:rFonts w:ascii="Arial" w:cs="Arial" w:eastAsia="Arial" w:hAnsi="Arial"/>
          <w:sz w:val="17"/>
          <w:szCs w:val="17"/>
          <w:color w:val="auto"/>
        </w:rPr>
        <w:t>ASU applies to 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The Company is evaluating the impact of the ASU, but does not expect it to have a material impact on its Condensed Consolidated Financial Statements and related disclosures.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ITG Acquisition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(as amended from time to time, the “Credit Agreement”), with the lenders party thereto, Jefferies Finance LLC, as administrative agent and Jefferies Finance LLC and RBC Capital Markets, as joint lead arrangers and joint bookrunners. The Credit Agreement provided (i) a senior secured first lien term loan in an aggregate principal amount of $1,500.0 million,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The Credit Agreement was subsequently amended as described further in Note 9 “Borrowings”.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 of the ITG Acquisition</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The ITG Acquisition has been accounted for as a business combination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six months ended June 30, 2019 comprise the results of the Company for the entire applicable period and the results of ITG from the ITG Closing Date through June 30, 2019. All periods prior to the ITG Closing Date comprise solely the results of the Company.</w:t>
      </w:r>
    </w:p>
    <w:p>
      <w:pPr>
        <w:spacing w:after="0" w:line="222"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Condensed Consolidated Statements of Comprehensive Income for the six months ended June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goodwill</w:t>
      </w:r>
    </w:p>
    <w:p>
      <w:pPr>
        <w:spacing w:after="0" w:line="252"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aggregate cash purchase price of approximately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purchase price was allocated to the assets acquired and liabilities assumed using their fair values at the ITG Closing Date. The Company engaged third party specialists for the purchase price allocation.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allocated to intangible assets, the amortization period and goodwill were as follows:</w:t>
      </w:r>
    </w:p>
    <w:p>
      <w:pPr>
        <w:spacing w:after="0" w:line="4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6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76,000</w:t>
            </w:r>
          </w:p>
        </w:tc>
        <w:tc>
          <w:tcPr>
            <w:tcW w:w="17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2740" w:type="dxa"/>
            <w:vAlign w:val="bottom"/>
            <w:gridSpan w:val="2"/>
          </w:tcPr>
          <w:p>
            <w:pPr>
              <w:ind w:left="100"/>
              <w:spacing w:after="0"/>
              <w:rPr>
                <w:sz w:val="20"/>
                <w:szCs w:val="20"/>
                <w:color w:val="auto"/>
              </w:rPr>
            </w:pPr>
            <w:r>
              <w:rPr>
                <w:rFonts w:ascii="Arial" w:cs="Arial" w:eastAsia="Arial" w:hAnsi="Arial"/>
                <w:sz w:val="14"/>
                <w:szCs w:val="14"/>
                <w:color w:val="auto"/>
              </w:rPr>
              <w:t>Customer relationships</w:t>
            </w:r>
          </w:p>
        </w:tc>
        <w:tc>
          <w:tcPr>
            <w:tcW w:w="32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437,600</w:t>
            </w:r>
          </w:p>
        </w:tc>
        <w:tc>
          <w:tcPr>
            <w:tcW w:w="174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Trade names</w:t>
            </w: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3,600</w:t>
            </w:r>
          </w:p>
        </w:tc>
        <w:tc>
          <w:tcPr>
            <w:tcW w:w="17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Intangible assets</w:t>
            </w:r>
          </w:p>
        </w:tc>
        <w:tc>
          <w:tcPr>
            <w:tcW w:w="32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517,200</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Goodwill</w:t>
            </w:r>
          </w:p>
        </w:tc>
        <w:tc>
          <w:tcPr>
            <w:tcW w:w="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312,343</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829,543</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263238"/>
        </w:rPr>
        <w:t xml:space="preserve">The Company estimated the fair value of the intangible assets, which involved the use of significant estimates and assumptions with respect to the timing and amounts of revenue growth rates, customer attrition rates, future tax rates, royalty rates, contributory asset charges, discount rate and the resulting cash flows. </w:t>
      </w:r>
      <w:r>
        <w:rPr>
          <w:rFonts w:ascii="Arial" w:cs="Arial" w:eastAsia="Arial" w:hAnsi="Arial"/>
          <w:sz w:val="17"/>
          <w:szCs w:val="17"/>
          <w:color w:val="000000"/>
        </w:rPr>
        <w:t>The total Goodwill of $312.3 million was assigned to the Execution Services segment. Such goodwill is attributable to the expansion</w:t>
      </w:r>
      <w:r>
        <w:rPr>
          <w:rFonts w:ascii="Arial" w:cs="Arial" w:eastAsia="Arial" w:hAnsi="Arial"/>
          <w:sz w:val="17"/>
          <w:szCs w:val="17"/>
          <w:color w:val="263238"/>
        </w:rPr>
        <w:t xml:space="preserve"> </w:t>
      </w:r>
      <w:r>
        <w:rPr>
          <w:rFonts w:ascii="Arial" w:cs="Arial" w:eastAsia="Arial" w:hAnsi="Arial"/>
          <w:sz w:val="17"/>
          <w:szCs w:val="17"/>
          <w:color w:val="000000"/>
        </w:rPr>
        <w:t>of product offerings and expected synergies of the combined workforce, products and technologies of the Company and ITG.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 of Equity Compensation Plan</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 a Registration Statement on Form S-8 on the ITG Closing Date to register such shares of Class A Common Stock.</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treatment of the ITG Acquisition</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ITG Acquisition is being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21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recorded deferred tax assets of $17.6 million and deferred tax liabilities of $71.1 million with respect to recording ITG’s assets and liabilities under the purchase method of accounting as described above as well as recording the value of other tax attributes acquired as a result of the ITG Acquisition, as described in Note 13 “Income Taxes”.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ind w:right="860" w:firstLine="648"/>
        <w:spacing w:after="0" w:line="276" w:lineRule="auto"/>
        <w:rPr>
          <w:sz w:val="20"/>
          <w:szCs w:val="20"/>
          <w:color w:val="auto"/>
        </w:rPr>
      </w:pPr>
      <w:r>
        <w:rPr>
          <w:rFonts w:ascii="Arial" w:cs="Arial" w:eastAsia="Arial" w:hAnsi="Arial"/>
          <w:sz w:val="18"/>
          <w:szCs w:val="18"/>
          <w:color w:val="auto"/>
        </w:rPr>
        <w:t>The below table contains a reconciliation of net income (loss) before noncontrolling interest to net income (loss) available for common stockholders: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8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 and noncontrolling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404,535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(66,579)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870,760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(82,783)</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69,250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(11,094)</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147,237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(13,679)</w:t>
            </w:r>
          </w:p>
        </w:tc>
        <w:tc>
          <w:tcPr>
            <w:tcW w:w="0" w:type="dxa"/>
            <w:vAlign w:val="bottom"/>
          </w:tcPr>
          <w:p>
            <w:pPr>
              <w:spacing w:after="0"/>
              <w:rPr>
                <w:sz w:val="1"/>
                <w:szCs w:val="1"/>
                <w:color w:val="auto"/>
              </w:rPr>
            </w:pPr>
          </w:p>
        </w:tc>
      </w:tr>
      <w:tr>
        <w:trPr>
          <w:trHeight w:val="202"/>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335,285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(55,485)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723,523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(69,104)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(136,143)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25,594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(303,312)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32,540</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199,142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420,211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(36,564)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3"/>
            <w:vMerge w:val="restart"/>
          </w:tcPr>
          <w:p>
            <w:pPr>
              <w:ind w:left="660"/>
              <w:spacing w:after="0"/>
              <w:rPr>
                <w:sz w:val="20"/>
                <w:szCs w:val="20"/>
                <w:color w:val="auto"/>
              </w:rPr>
            </w:pPr>
            <w:r>
              <w:rPr>
                <w:rFonts w:ascii="Arial" w:cs="Arial" w:eastAsia="Arial" w:hAnsi="Arial"/>
                <w:sz w:val="18"/>
                <w:szCs w:val="18"/>
                <w:color w:val="auto"/>
                <w:w w:val="89"/>
              </w:rPr>
              <w:t>The calculation of basic and diluted earnings per share is presented below:</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0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9"/>
                <w:szCs w:val="19"/>
                <w:color w:val="auto"/>
              </w:rPr>
            </w:pPr>
          </w:p>
        </w:tc>
        <w:tc>
          <w:tcPr>
            <w:tcW w:w="238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199,142</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(29,891)</w:t>
            </w:r>
          </w:p>
        </w:tc>
        <w:tc>
          <w:tcPr>
            <w:tcW w:w="1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420,211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(36,564)</w:t>
            </w:r>
          </w:p>
        </w:tc>
        <w:tc>
          <w:tcPr>
            <w:tcW w:w="0" w:type="dxa"/>
            <w:vAlign w:val="bottom"/>
          </w:tcPr>
          <w:p>
            <w:pPr>
              <w:spacing w:after="0"/>
              <w:rPr>
                <w:sz w:val="1"/>
                <w:szCs w:val="1"/>
                <w:color w:val="auto"/>
              </w:rPr>
            </w:pPr>
          </w:p>
        </w:tc>
      </w:tr>
      <w:tr>
        <w:trPr>
          <w:trHeight w:val="208"/>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37"/>
        </w:trPr>
        <w:tc>
          <w:tcPr>
            <w:tcW w:w="6040" w:type="dxa"/>
            <w:vAlign w:val="bottom"/>
            <w:gridSpan w:val="3"/>
          </w:tcPr>
          <w:p>
            <w:pPr>
              <w:ind w:left="20"/>
              <w:spacing w:after="0" w:line="137" w:lineRule="exact"/>
              <w:rPr>
                <w:sz w:val="20"/>
                <w:szCs w:val="20"/>
                <w:color w:val="auto"/>
              </w:rPr>
            </w:pPr>
            <w:r>
              <w:rPr>
                <w:rFonts w:ascii="Arial" w:cs="Arial" w:eastAsia="Arial" w:hAnsi="Arial"/>
                <w:sz w:val="14"/>
                <w:szCs w:val="14"/>
                <w:color w:val="auto"/>
                <w:w w:val="99"/>
              </w:rPr>
              <w:t>Net income (loss) available for common stockholders, net of dividends and undistributed earnings</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allocated to participating securities</w:t>
            </w:r>
          </w:p>
        </w:tc>
        <w:tc>
          <w:tcPr>
            <w:tcW w:w="18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193,636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(30,357)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409,418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(37,471)</w:t>
            </w:r>
          </w:p>
        </w:tc>
        <w:tc>
          <w:tcPr>
            <w:tcW w:w="0" w:type="dxa"/>
            <w:vAlign w:val="bottom"/>
          </w:tcPr>
          <w:p>
            <w:pPr>
              <w:spacing w:after="0"/>
              <w:rPr>
                <w:sz w:val="1"/>
                <w:szCs w:val="1"/>
                <w:color w:val="auto"/>
              </w:rPr>
            </w:pPr>
          </w:p>
        </w:tc>
      </w:tr>
      <w:tr>
        <w:trPr>
          <w:trHeight w:val="222"/>
        </w:trPr>
        <w:tc>
          <w:tcPr>
            <w:tcW w:w="34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121,527,673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112,828,240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120,642,415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110,076,375</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24"/>
                <w:szCs w:val="24"/>
                <w:color w:val="auto"/>
              </w:rPr>
            </w:pPr>
          </w:p>
        </w:tc>
        <w:tc>
          <w:tcPr>
            <w:tcW w:w="238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Diluted earnings (loss) per share: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040" w:type="dxa"/>
            <w:vAlign w:val="bottom"/>
            <w:gridSpan w:val="3"/>
          </w:tcPr>
          <w:p>
            <w:pPr>
              <w:ind w:left="20"/>
              <w:spacing w:after="0" w:line="157" w:lineRule="exact"/>
              <w:rPr>
                <w:sz w:val="20"/>
                <w:szCs w:val="20"/>
                <w:color w:val="auto"/>
              </w:rPr>
            </w:pPr>
            <w:r>
              <w:rPr>
                <w:rFonts w:ascii="Arial" w:cs="Arial" w:eastAsia="Arial" w:hAnsi="Arial"/>
                <w:sz w:val="14"/>
                <w:szCs w:val="14"/>
                <w:color w:val="auto"/>
                <w:w w:val="99"/>
              </w:rPr>
              <w:t>Net income (loss) available for common stockholders, net of dividends and undistributed earnings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allocated to participating securities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193,636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(30,357)</w:t>
            </w:r>
          </w:p>
        </w:tc>
        <w:tc>
          <w:tcPr>
            <w:tcW w:w="1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409,418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(37,471)</w:t>
            </w:r>
          </w:p>
        </w:tc>
        <w:tc>
          <w:tcPr>
            <w:tcW w:w="0" w:type="dxa"/>
            <w:vAlign w:val="bottom"/>
          </w:tcPr>
          <w:p>
            <w:pPr>
              <w:spacing w:after="0"/>
              <w:rPr>
                <w:sz w:val="1"/>
                <w:szCs w:val="1"/>
                <w:color w:val="auto"/>
              </w:rPr>
            </w:pPr>
          </w:p>
        </w:tc>
      </w:tr>
      <w:tr>
        <w:trPr>
          <w:trHeight w:val="222"/>
        </w:trPr>
        <w:tc>
          <w:tcPr>
            <w:tcW w:w="34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40" w:type="dxa"/>
            <w:vAlign w:val="bottom"/>
            <w:gridSpan w:val="3"/>
          </w:tcPr>
          <w:p>
            <w:pPr>
              <w:ind w:left="340"/>
              <w:spacing w:after="0"/>
              <w:rPr>
                <w:sz w:val="20"/>
                <w:szCs w:val="20"/>
                <w:color w:val="auto"/>
              </w:rPr>
            </w:pPr>
            <w:r>
              <w:rPr>
                <w:rFonts w:ascii="Arial" w:cs="Arial" w:eastAsia="Arial" w:hAnsi="Arial"/>
                <w:sz w:val="14"/>
                <w:szCs w:val="14"/>
                <w:color w:val="auto"/>
              </w:rPr>
              <w:t>Issued and outstanding</w:t>
            </w:r>
          </w:p>
        </w:tc>
        <w:tc>
          <w:tcPr>
            <w:tcW w:w="1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121,527,673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112,828,240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120,642,415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110,076,375</w:t>
            </w:r>
          </w:p>
        </w:tc>
        <w:tc>
          <w:tcPr>
            <w:tcW w:w="0" w:type="dxa"/>
            <w:vAlign w:val="bottom"/>
          </w:tcPr>
          <w:p>
            <w:pPr>
              <w:spacing w:after="0"/>
              <w:rPr>
                <w:sz w:val="1"/>
                <w:szCs w:val="1"/>
                <w:color w:val="auto"/>
              </w:rPr>
            </w:pPr>
          </w:p>
        </w:tc>
      </w:tr>
      <w:tr>
        <w:trPr>
          <w:trHeight w:val="163"/>
        </w:trPr>
        <w:tc>
          <w:tcPr>
            <w:tcW w:w="60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w w:val="98"/>
              </w:rPr>
              <w:t>Issuable pursuant to Amended and Restated 2015 Management Incentive Plan and Warrants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issued in connection with the Founder Member Loan (1)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711,232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371,274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122,238,905</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112,828,240</w:t>
            </w: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121,013,689</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110,076,375</w:t>
            </w:r>
          </w:p>
        </w:tc>
        <w:tc>
          <w:tcPr>
            <w:tcW w:w="0" w:type="dxa"/>
            <w:vAlign w:val="bottom"/>
          </w:tcPr>
          <w:p>
            <w:pPr>
              <w:spacing w:after="0"/>
              <w:rPr>
                <w:sz w:val="1"/>
                <w:szCs w:val="1"/>
                <w:color w:val="auto"/>
              </w:rPr>
            </w:pPr>
          </w:p>
        </w:tc>
      </w:tr>
      <w:tr>
        <w:trPr>
          <w:trHeight w:val="222"/>
        </w:trPr>
        <w:tc>
          <w:tcPr>
            <w:tcW w:w="34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40" w:type="dxa"/>
            <w:vAlign w:val="bottom"/>
            <w:gridSpan w:val="3"/>
          </w:tcPr>
          <w:p>
            <w:pPr>
              <w:ind w:left="20"/>
              <w:spacing w:after="0"/>
              <w:rPr>
                <w:sz w:val="20"/>
                <w:szCs w:val="20"/>
                <w:color w:val="auto"/>
              </w:rPr>
            </w:pPr>
            <w:r>
              <w:rPr>
                <w:rFonts w:ascii="Arial" w:cs="Arial" w:eastAsia="Arial" w:hAnsi="Arial"/>
                <w:sz w:val="14"/>
                <w:szCs w:val="14"/>
                <w:color w:val="auto"/>
              </w:rPr>
              <w:t>Diluted earnings (loss)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c>
          <w:tcPr>
            <w:tcW w:w="1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2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400" w:hanging="332"/>
        <w:spacing w:after="0" w:line="257"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dilutive impact excludes from the computation of earnings (loss) per share for the three and six months ended June 30, 2019, respectively, 669,064 and 746,392 unexercised stock options and 299,288 and 262,785 restricted stock units issuable pursuant to the Amended and Restated Investment Technology Group, Inc. 2007 Omnibus Equity Compensation Plan because the inclusion of these instruments would have been anti-dilutive.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 Receivable Agreements</w:t>
      </w:r>
    </w:p>
    <w:p>
      <w:pPr>
        <w:spacing w:after="0" w:line="36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connection with the IPO and the Reorganization Transactions, the Company entered into tax receivable agreements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 each Exchange, management estimates the Company’s cumulative TRA obligations to be reported on the Condensed Consolidated Statement of Financial Condition, which amounted to $256.0 million and $269.3 million as of June 30, 2020 and December 31, 2019, respectively.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its second payment of $12.4 million in September 2018, and its third payment of $13.3 million in March 2020.</w:t>
      </w:r>
    </w:p>
    <w:p>
      <w:pPr>
        <w:spacing w:after="0" w:line="194" w:lineRule="exact"/>
        <w:rPr>
          <w:sz w:val="20"/>
          <w:szCs w:val="20"/>
          <w:color w:val="auto"/>
        </w:rPr>
      </w:pPr>
    </w:p>
    <w:p>
      <w:pPr>
        <w:ind w:firstLine="683"/>
        <w:spacing w:after="0" w:line="269" w:lineRule="auto"/>
        <w:rPr>
          <w:sz w:val="20"/>
          <w:szCs w:val="20"/>
          <w:color w:val="auto"/>
        </w:rPr>
      </w:pPr>
      <w:r>
        <w:rPr>
          <w:rFonts w:ascii="Arial" w:cs="Arial" w:eastAsia="Arial" w:hAnsi="Arial"/>
          <w:sz w:val="17"/>
          <w:szCs w:val="17"/>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$3.3 million to $20.7 million per year over the next 15 years.</w:t>
      </w:r>
    </w:p>
    <w:p>
      <w:pPr>
        <w:spacing w:after="0" w:line="20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connection with the employee exchanges and May 2018 Secondary Offering between the Company and TJMT Holdings LLC and the other selling stockholders, both as described in Note 17 “Capital Structure”, the Company recorded an additional deferred tax asset of $78.7 million and a payment liability pursuant to the tax receivable agreements of $79.7 million, with the $1.0 million difference recorded as a decrease to additional paid-in capital.</w:t>
      </w:r>
    </w:p>
    <w:p>
      <w:pPr>
        <w:spacing w:after="0" w:line="21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connection with the employee exchanges and May 2019 Secondary Offering between the Company and TJMT Holdings LLC and the other selling stockholders, both as described in Note 17 “Capital Structure”, the Company recorded an additional deferred tax asset of $49.1 million and payment liability pursuant to the tax receivable agreements of $54.9 million, with the $5.8 million difference recorded as a decrease to additional paid-in capital.</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 result of the reduction in the U.S. corporate income tax rate as further described in Note 13 “Income Taxes”, the aforementioned deferred tax asset and related payment liability were subsequently reduced, and the Company recorded a reduction of its tax receivable agreement obligation of $86.6 million due to the change in the corporate income tax rate.</w:t>
      </w:r>
    </w:p>
    <w:p>
      <w:pPr>
        <w:spacing w:after="0" w:line="211"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At June 30, 2020 and December 31, 2019, the Company’s remaining deferred tax assets that relate to the matters described above were approximately $188.7 million and $197.6 million, respectively, and the Company’s liabilities over the next 15 years pursuant to the tax receivable agreements were approximately $256.0 million and $269.3 million, respectively. The amounts recorded as of June 30, 2020 are based on best estimates available at the respective dates and may be subject to change after the filing of the Company’s U.S. federal and state income tax returns for the years in which tax savings were realized.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two operating segments: (i) Market Making; (ii) Execution Services; and one non-operating segment: Corporate. As of June 30, 2020 and December 31, 2019, the Company’s total amount of goodwill recorded was $1,148.9 million. No goodwill impairment was recognized during the three and six months ended June 30, 2020 or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goodwill by segment as of June 30, 2020 and December 31, 2019:</w:t>
      </w:r>
    </w:p>
    <w:p>
      <w:pPr>
        <w:spacing w:after="0" w:line="4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Market Making</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Execution</w:t>
            </w:r>
          </w:p>
        </w:tc>
        <w:tc>
          <w:tcPr>
            <w:tcW w:w="160" w:type="dxa"/>
            <w:vAlign w:val="bottom"/>
          </w:tcPr>
          <w:p>
            <w:pPr>
              <w:spacing w:after="0"/>
              <w:rPr>
                <w:sz w:val="14"/>
                <w:szCs w:val="14"/>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as of period-end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393,634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1,148,926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June 30, 2020 and December 31, 2019, the Company's total amount of intangible assets recorded was $491.7 million and $529.6 million, respectively. Acquired intangible assets consisted of the following as of June 30, 2020 and December 31, 2019:</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As of June 30, 2020</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ind w:left="20"/>
              <w:spacing w:after="0" w:line="153" w:lineRule="exact"/>
              <w:rPr>
                <w:sz w:val="20"/>
                <w:szCs w:val="20"/>
                <w:color w:val="auto"/>
              </w:rPr>
            </w:pPr>
            <w:r>
              <w:rPr>
                <w:rFonts w:ascii="Arial" w:cs="Arial" w:eastAsia="Arial" w:hAnsi="Arial"/>
                <w:sz w:val="14"/>
                <w:szCs w:val="14"/>
                <w:b w:val="1"/>
                <w:bCs w:val="1"/>
                <w:color w:val="auto"/>
                <w:w w:val="89"/>
              </w:rPr>
              <w:t>Useful Lives</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1.4</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97"/>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136,000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(71,084)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64,916</w:t>
            </w:r>
          </w:p>
        </w:tc>
        <w:tc>
          <w:tcPr>
            <w:tcW w:w="500" w:type="dxa"/>
            <w:vAlign w:val="bottom"/>
            <w:gridSpan w:val="2"/>
          </w:tcPr>
          <w:p>
            <w:pPr>
              <w:jc w:val="center"/>
              <w:ind w:left="188"/>
              <w:spacing w:after="0"/>
              <w:rPr>
                <w:sz w:val="20"/>
                <w:szCs w:val="20"/>
                <w:color w:val="auto"/>
              </w:rPr>
            </w:pPr>
            <w:r>
              <w:rPr>
                <w:rFonts w:ascii="Arial" w:cs="Arial" w:eastAsia="Arial" w:hAnsi="Arial"/>
                <w:sz w:val="14"/>
                <w:szCs w:val="14"/>
                <w:color w:val="auto"/>
              </w:rPr>
              <w:t>1</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tcPr>
          <w:p>
            <w:pPr>
              <w:jc w:val="center"/>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8"/>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416,223</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7"/>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3,451</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7"/>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4,882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4,882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Indefinite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748,877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(257,151)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491,726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Useful Lives</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1.4</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97"/>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136,000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(58,203)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77,797</w:t>
            </w:r>
          </w:p>
        </w:tc>
        <w:tc>
          <w:tcPr>
            <w:tcW w:w="500" w:type="dxa"/>
            <w:vAlign w:val="bottom"/>
            <w:gridSpan w:val="2"/>
          </w:tcPr>
          <w:p>
            <w:pPr>
              <w:jc w:val="center"/>
              <w:ind w:left="188"/>
              <w:spacing w:after="0"/>
              <w:rPr>
                <w:sz w:val="20"/>
                <w:szCs w:val="20"/>
                <w:color w:val="auto"/>
              </w:rPr>
            </w:pPr>
            <w:r>
              <w:rPr>
                <w:rFonts w:ascii="Arial" w:cs="Arial" w:eastAsia="Arial" w:hAnsi="Arial"/>
                <w:sz w:val="14"/>
                <w:szCs w:val="14"/>
                <w:color w:val="auto"/>
              </w:rPr>
              <w:t>1</w:t>
            </w: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tcPr>
          <w:p>
            <w:pPr>
              <w:jc w:val="center"/>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440,144</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3,855</w:t>
            </w:r>
          </w:p>
        </w:tc>
        <w:tc>
          <w:tcPr>
            <w:tcW w:w="50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3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4,882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4,882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Indefinite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748,877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(219,239)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529,638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Amortization expense relating to finite-lived intangible assets was approximately $19.0 million and $20.6 million for the three months ended June 30, 2020 and 2019, respectively, and $37.9 million and $31.5 million for the six months ended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June 30, 2020 and 2019, respectively. This is included in Amortization of purchased intangibles and acquired capitalized software in the accompanying Condensed Consolidated Statements of Comprehensive Income.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record amortization expense as follows over the remaining current year and five subsequent years:</w:t>
      </w:r>
    </w:p>
    <w:p>
      <w:pPr>
        <w:spacing w:after="0" w:line="298" w:lineRule="exact"/>
        <w:rPr>
          <w:sz w:val="20"/>
          <w:szCs w:val="20"/>
          <w:color w:val="auto"/>
        </w:rPr>
      </w:pPr>
    </w:p>
    <w:tbl>
      <w:tblPr>
        <w:tblLayout w:type="fixed"/>
        <w:tblInd w:w="5560" w:type="dxa"/>
        <w:tblCellMar>
          <w:top w:w="0" w:type="dxa"/>
          <w:left w:w="0" w:type="dxa"/>
          <w:bottom w:w="0" w:type="dxa"/>
          <w:right w:w="0" w:type="dxa"/>
        </w:tblCellMar>
      </w:tblPr>
      <w:tr>
        <w:trPr>
          <w:trHeight w:val="192"/>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June 30, 2020</w:t>
            </w:r>
          </w:p>
        </w:tc>
      </w:tr>
      <w:tr>
        <w:trPr>
          <w:trHeight w:val="202"/>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Remainder of 2020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36,341</w:t>
            </w:r>
          </w:p>
        </w:tc>
      </w:tr>
      <w:tr>
        <w:trPr>
          <w:trHeight w:val="197"/>
        </w:trPr>
        <w:tc>
          <w:tcPr>
            <w:tcW w:w="160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69,676</w:t>
            </w:r>
          </w:p>
        </w:tc>
      </w:tr>
      <w:tr>
        <w:trPr>
          <w:trHeight w:val="208"/>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64,852</w:t>
            </w:r>
          </w:p>
        </w:tc>
      </w:tr>
      <w:tr>
        <w:trPr>
          <w:trHeight w:val="197"/>
        </w:trPr>
        <w:tc>
          <w:tcPr>
            <w:tcW w:w="160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63,960</w:t>
            </w:r>
          </w:p>
        </w:tc>
      </w:tr>
      <w:tr>
        <w:trPr>
          <w:trHeight w:val="208"/>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50,845</w:t>
            </w:r>
          </w:p>
        </w:tc>
      </w:tr>
      <w:tr>
        <w:trPr>
          <w:trHeight w:val="191"/>
        </w:trPr>
        <w:tc>
          <w:tcPr>
            <w:tcW w:w="1600" w:type="dxa"/>
            <w:vAlign w:val="bottom"/>
          </w:tcPr>
          <w:p>
            <w:pPr>
              <w:ind w:left="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47,879</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Receivables from/Payables to Broker-Dealers and Clearing Organizations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June 30, 2020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9"/>
              </w:rPr>
              <w:t>December 31, 2019</w:t>
            </w:r>
          </w:p>
        </w:tc>
      </w:tr>
      <w:tr>
        <w:trPr>
          <w:trHeight w:val="202"/>
        </w:trPr>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6"/>
        </w:trPr>
        <w:tc>
          <w:tcPr>
            <w:tcW w:w="7060" w:type="dxa"/>
            <w:vAlign w:val="bottom"/>
            <w:gridSpan w:val="2"/>
          </w:tcPr>
          <w:p>
            <w:pPr>
              <w:spacing w:after="0"/>
              <w:rPr>
                <w:sz w:val="20"/>
                <w:szCs w:val="20"/>
                <w:color w:val="auto"/>
              </w:rPr>
            </w:pPr>
            <w:r>
              <w:rPr>
                <w:rFonts w:ascii="Arial" w:cs="Arial" w:eastAsia="Arial" w:hAnsi="Arial"/>
                <w:sz w:val="14"/>
                <w:szCs w:val="14"/>
                <w:color w:val="auto"/>
              </w:rPr>
              <w:t>Due from prime brokers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834,473</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418,059</w:t>
            </w:r>
          </w:p>
        </w:tc>
      </w:tr>
      <w:tr>
        <w:trPr>
          <w:trHeight w:val="209"/>
        </w:trPr>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Deposits with clearing organizations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345,892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231,977</w:t>
            </w:r>
          </w:p>
        </w:tc>
      </w:tr>
      <w:tr>
        <w:trPr>
          <w:trHeight w:val="196"/>
        </w:trPr>
        <w:tc>
          <w:tcPr>
            <w:tcW w:w="7060" w:type="dxa"/>
            <w:vAlign w:val="bottom"/>
            <w:gridSpan w:val="2"/>
          </w:tcPr>
          <w:p>
            <w:pPr>
              <w:spacing w:after="0"/>
              <w:rPr>
                <w:sz w:val="20"/>
                <w:szCs w:val="20"/>
                <w:color w:val="auto"/>
              </w:rPr>
            </w:pPr>
            <w:r>
              <w:rPr>
                <w:rFonts w:ascii="Arial" w:cs="Arial" w:eastAsia="Arial" w:hAnsi="Arial"/>
                <w:sz w:val="14"/>
                <w:szCs w:val="14"/>
                <w:color w:val="auto"/>
              </w:rPr>
              <w:t>Net equity with futures commission merchants</w:t>
            </w:r>
          </w:p>
        </w:tc>
        <w:tc>
          <w:tcPr>
            <w:tcW w:w="280" w:type="dxa"/>
            <w:vAlign w:val="bottom"/>
          </w:tcPr>
          <w:p>
            <w:pPr>
              <w:spacing w:after="0"/>
              <w:rPr>
                <w:sz w:val="17"/>
                <w:szCs w:val="17"/>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198,114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267,748</w:t>
            </w:r>
          </w:p>
        </w:tc>
      </w:tr>
      <w:tr>
        <w:trPr>
          <w:trHeight w:val="209"/>
        </w:trPr>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Unsettled trades with clearing organization</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701,596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214,618</w:t>
            </w:r>
          </w:p>
        </w:tc>
      </w:tr>
      <w:tr>
        <w:trPr>
          <w:trHeight w:val="196"/>
        </w:trPr>
        <w:tc>
          <w:tcPr>
            <w:tcW w:w="7060" w:type="dxa"/>
            <w:vAlign w:val="bottom"/>
            <w:gridSpan w:val="2"/>
          </w:tcPr>
          <w:p>
            <w:pPr>
              <w:spacing w:after="0"/>
              <w:rPr>
                <w:sz w:val="20"/>
                <w:szCs w:val="20"/>
                <w:color w:val="auto"/>
              </w:rPr>
            </w:pPr>
            <w:r>
              <w:rPr>
                <w:rFonts w:ascii="Arial" w:cs="Arial" w:eastAsia="Arial" w:hAnsi="Arial"/>
                <w:sz w:val="14"/>
                <w:szCs w:val="14"/>
                <w:color w:val="auto"/>
              </w:rPr>
              <w:t>Securities failed to deliver</w:t>
            </w:r>
          </w:p>
        </w:tc>
        <w:tc>
          <w:tcPr>
            <w:tcW w:w="28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348,105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178,324</w:t>
            </w:r>
          </w:p>
        </w:tc>
      </w:tr>
      <w:tr>
        <w:trPr>
          <w:trHeight w:val="203"/>
        </w:trPr>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Commissions and fees</w:t>
            </w: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7,858</w:t>
            </w:r>
          </w:p>
        </w:tc>
      </w:tr>
      <w:tr>
        <w:trPr>
          <w:trHeight w:val="202"/>
        </w:trPr>
        <w:tc>
          <w:tcPr>
            <w:tcW w:w="7060" w:type="dxa"/>
            <w:vAlign w:val="bottom"/>
            <w:gridSpan w:val="2"/>
          </w:tcPr>
          <w:p>
            <w:pPr>
              <w:ind w:left="200"/>
              <w:spacing w:after="0"/>
              <w:rPr>
                <w:sz w:val="20"/>
                <w:szCs w:val="20"/>
                <w:color w:val="auto"/>
              </w:rPr>
            </w:pPr>
            <w:r>
              <w:rPr>
                <w:rFonts w:ascii="Arial" w:cs="Arial" w:eastAsia="Arial" w:hAnsi="Arial"/>
                <w:sz w:val="14"/>
                <w:szCs w:val="14"/>
                <w:color w:val="auto"/>
              </w:rPr>
              <w:t>Total receivables from broker-dealers and clearing organizations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2,441,283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1,318,584</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7"/>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8"/>
        </w:trPr>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to prime brokers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464,049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511,524</w:t>
            </w:r>
          </w:p>
        </w:tc>
      </w:tr>
      <w:tr>
        <w:trPr>
          <w:trHeight w:val="196"/>
        </w:trPr>
        <w:tc>
          <w:tcPr>
            <w:tcW w:w="7060" w:type="dxa"/>
            <w:vAlign w:val="bottom"/>
            <w:gridSpan w:val="2"/>
          </w:tcPr>
          <w:p>
            <w:pPr>
              <w:spacing w:after="0"/>
              <w:rPr>
                <w:sz w:val="20"/>
                <w:szCs w:val="20"/>
                <w:color w:val="auto"/>
              </w:rPr>
            </w:pPr>
            <w:r>
              <w:rPr>
                <w:rFonts w:ascii="Arial" w:cs="Arial" w:eastAsia="Arial" w:hAnsi="Arial"/>
                <w:sz w:val="14"/>
                <w:szCs w:val="14"/>
                <w:color w:val="auto"/>
              </w:rPr>
              <w:t>Net equity with futures commission merchants</w:t>
            </w:r>
          </w:p>
        </w:tc>
        <w:tc>
          <w:tcPr>
            <w:tcW w:w="28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90,669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50,950</w:t>
            </w:r>
          </w:p>
        </w:tc>
      </w:tr>
      <w:tr>
        <w:trPr>
          <w:trHeight w:val="209"/>
        </w:trPr>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Unsettled trades with clearing organization</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443,096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118,286</w:t>
            </w:r>
          </w:p>
        </w:tc>
      </w:tr>
      <w:tr>
        <w:trPr>
          <w:trHeight w:val="196"/>
        </w:trPr>
        <w:tc>
          <w:tcPr>
            <w:tcW w:w="7060" w:type="dxa"/>
            <w:vAlign w:val="bottom"/>
            <w:gridSpan w:val="2"/>
          </w:tcPr>
          <w:p>
            <w:pPr>
              <w:spacing w:after="0"/>
              <w:rPr>
                <w:sz w:val="20"/>
                <w:szCs w:val="20"/>
                <w:color w:val="auto"/>
              </w:rPr>
            </w:pPr>
            <w:r>
              <w:rPr>
                <w:rFonts w:ascii="Arial" w:cs="Arial" w:eastAsia="Arial" w:hAnsi="Arial"/>
                <w:sz w:val="14"/>
                <w:szCs w:val="14"/>
                <w:color w:val="auto"/>
              </w:rPr>
              <w:t>Securities failed to receive</w:t>
            </w:r>
          </w:p>
        </w:tc>
        <w:tc>
          <w:tcPr>
            <w:tcW w:w="28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200,567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144,494</w:t>
            </w:r>
          </w:p>
        </w:tc>
      </w:tr>
      <w:tr>
        <w:trPr>
          <w:trHeight w:val="203"/>
        </w:trPr>
        <w:tc>
          <w:tcPr>
            <w:tcW w:w="7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Commissions and fees</w:t>
            </w: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1,496</w:t>
            </w:r>
          </w:p>
        </w:tc>
      </w:tr>
      <w:tr>
        <w:trPr>
          <w:trHeight w:val="202"/>
        </w:trPr>
        <w:tc>
          <w:tcPr>
            <w:tcW w:w="7060" w:type="dxa"/>
            <w:vAlign w:val="bottom"/>
            <w:gridSpan w:val="2"/>
          </w:tcPr>
          <w:p>
            <w:pPr>
              <w:ind w:left="200"/>
              <w:spacing w:after="0"/>
              <w:rPr>
                <w:sz w:val="20"/>
                <w:szCs w:val="20"/>
                <w:color w:val="auto"/>
              </w:rPr>
            </w:pPr>
            <w:r>
              <w:rPr>
                <w:rFonts w:ascii="Arial" w:cs="Arial" w:eastAsia="Arial" w:hAnsi="Arial"/>
                <w:sz w:val="14"/>
                <w:szCs w:val="14"/>
                <w:color w:val="auto"/>
              </w:rPr>
              <w:t>Total payables to broker-dealers and clearing organizations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1,200,212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826,750</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prime brokerage credit facilities (described in Note 9 “Borrowings”) of approximately $112.4 million and $134.3 million as of June 30, 2020 and December 31, 2019,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Collateralized Transactions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June 30, 2020 and December 31, 2019, substantially all of the securities received as collateral have been repledged. The fair value of the collateralized transactions at June 30, 2020 and December 31, 2019 are summarized as follows: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7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December 31, 2019</w:t>
            </w:r>
          </w:p>
        </w:tc>
      </w:tr>
      <w:tr>
        <w:trPr>
          <w:trHeight w:val="202"/>
        </w:trPr>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Securities received as collateral:</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6"/>
        </w:trPr>
        <w:tc>
          <w:tcPr>
            <w:tcW w:w="7560" w:type="dxa"/>
            <w:vAlign w:val="bottom"/>
            <w:gridSpan w:val="2"/>
          </w:tcPr>
          <w:p>
            <w:pPr>
              <w:ind w:left="200"/>
              <w:spacing w:after="0"/>
              <w:rPr>
                <w:sz w:val="20"/>
                <w:szCs w:val="20"/>
                <w:color w:val="auto"/>
              </w:rPr>
            </w:pPr>
            <w:r>
              <w:rPr>
                <w:rFonts w:ascii="Arial" w:cs="Arial" w:eastAsia="Arial" w:hAnsi="Arial"/>
                <w:sz w:val="14"/>
                <w:szCs w:val="14"/>
                <w:color w:val="auto"/>
              </w:rPr>
              <w:t>Securities borrowed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1,402,709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1,881,005</w:t>
            </w:r>
          </w:p>
        </w:tc>
      </w:tr>
      <w:tr>
        <w:trPr>
          <w:trHeight w:val="203"/>
        </w:trPr>
        <w:tc>
          <w:tcPr>
            <w:tcW w:w="7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Securities purchased under agreements to resell</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244,242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142,922</w:t>
            </w:r>
          </w:p>
        </w:tc>
      </w:tr>
      <w:tr>
        <w:trPr>
          <w:trHeight w:val="196"/>
        </w:trPr>
        <w:tc>
          <w:tcPr>
            <w:tcW w:w="7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1,646,951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2,023,927</w:t>
            </w:r>
          </w:p>
        </w:tc>
      </w:tr>
      <w:tr>
        <w:trPr>
          <w:trHeight w:val="26"/>
        </w:trPr>
        <w:tc>
          <w:tcPr>
            <w:tcW w:w="7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the normal course of business, the Company pledges qualified securities with clearing organizations to satisfy daily margin and clearing fund requirements.</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Financial instruments owned and pledged, where the counterparty has the right to repledge, at June 30, 2020 and December 31, 2019 consisted of the following:</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7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December 31, 2019</w:t>
            </w:r>
          </w:p>
        </w:tc>
      </w:tr>
      <w:tr>
        <w:trPr>
          <w:trHeight w:val="202"/>
        </w:trPr>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575,235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654,366</w:t>
            </w:r>
          </w:p>
        </w:tc>
      </w:tr>
      <w:tr>
        <w:trPr>
          <w:trHeight w:val="197"/>
        </w:trPr>
        <w:tc>
          <w:tcPr>
            <w:tcW w:w="7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Exchange traded notes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27,736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42,590</w:t>
            </w:r>
          </w:p>
        </w:tc>
      </w:tr>
      <w:tr>
        <w:trPr>
          <w:trHeight w:val="221"/>
        </w:trPr>
        <w:tc>
          <w:tcPr>
            <w:tcW w:w="7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602,971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696,956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 net</w:t>
      </w:r>
    </w:p>
    <w:p>
      <w:pPr>
        <w:spacing w:after="0" w:line="25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8"/>
          <w:szCs w:val="18"/>
          <w:color w:val="auto"/>
        </w:rPr>
        <w:t>The following summarizes the Company's short-term borrowing balances outstanding, net of related debt issuance costs, with each described in further detail below.</w:t>
      </w:r>
    </w:p>
    <w:p>
      <w:pPr>
        <w:spacing w:after="0" w:line="2"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gridSpan w:val="2"/>
            <w:vMerge w:val="restart"/>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5"/>
              </w:rPr>
              <w:t>Borrowing Outstanding</w:t>
            </w:r>
          </w:p>
        </w:tc>
        <w:tc>
          <w:tcPr>
            <w:tcW w:w="120" w:type="dxa"/>
            <w:vAlign w:val="bottom"/>
            <w:gridSpan w:val="2"/>
            <w:vMerge w:val="restart"/>
          </w:tcPr>
          <w:p>
            <w:pPr>
              <w:spacing w:after="0"/>
              <w:rPr>
                <w:sz w:val="13"/>
                <w:szCs w:val="13"/>
                <w:color w:val="auto"/>
              </w:rPr>
            </w:pPr>
          </w:p>
        </w:tc>
        <w:tc>
          <w:tcPr>
            <w:tcW w:w="17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Deferred Debt Issuance</w:t>
            </w:r>
          </w:p>
        </w:tc>
        <w:tc>
          <w:tcPr>
            <w:tcW w:w="16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Short-term Borrowings,</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222"/>
        </w:trPr>
        <w:tc>
          <w:tcPr>
            <w:tcW w:w="4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Short-term bank loans</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26,274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7"/>
              </w:rPr>
              <w:t>Borrowing Outstanding</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Deferred Debt Issuance</w:t>
            </w:r>
          </w:p>
        </w:tc>
        <w:tc>
          <w:tcPr>
            <w:tcW w:w="16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Short-term Borrowings,</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202"/>
        </w:trPr>
        <w:tc>
          <w:tcPr>
            <w:tcW w:w="4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Broker-dealer credit facilities</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197"/>
        </w:trPr>
        <w:tc>
          <w:tcPr>
            <w:tcW w:w="4480" w:type="dxa"/>
            <w:vAlign w:val="bottom"/>
            <w:gridSpan w:val="3"/>
          </w:tcPr>
          <w:p>
            <w:pPr>
              <w:spacing w:after="0"/>
              <w:rPr>
                <w:sz w:val="20"/>
                <w:szCs w:val="20"/>
                <w:color w:val="auto"/>
              </w:rPr>
            </w:pPr>
            <w:r>
              <w:rPr>
                <w:rFonts w:ascii="Arial" w:cs="Arial" w:eastAsia="Arial" w:hAnsi="Arial"/>
                <w:sz w:val="14"/>
                <w:szCs w:val="14"/>
                <w:color w:val="auto"/>
              </w:rPr>
              <w:t>Short-term bank loans</w:t>
            </w:r>
          </w:p>
        </w:tc>
        <w:tc>
          <w:tcPr>
            <w:tcW w:w="5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45,586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45,586</w:t>
            </w:r>
          </w:p>
        </w:tc>
        <w:tc>
          <w:tcPr>
            <w:tcW w:w="0" w:type="dxa"/>
            <w:vAlign w:val="bottom"/>
          </w:tcPr>
          <w:p>
            <w:pPr>
              <w:spacing w:after="0"/>
              <w:rPr>
                <w:sz w:val="1"/>
                <w:szCs w:val="1"/>
                <w:color w:val="auto"/>
              </w:rPr>
            </w:pPr>
          </w:p>
        </w:tc>
      </w:tr>
      <w:tr>
        <w:trPr>
          <w:trHeight w:val="221"/>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75,586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73,486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Credit Facilities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$300 million, which was subsequently increased to $400 million in April 2020, and is collateralized by the trading and deposit account of one of the Company’s broker-dealer subsidiaries maintained at the financial institution.</w:t>
      </w:r>
    </w:p>
    <w:p>
      <w:pPr>
        <w:spacing w:after="0" w:line="21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November 3, 2017, the Company entered into the second credit facility (the “Committed Facility”) with the same financial institution which was subsequently amended and restated March 1, 2019 to increase the borrowing limit to $600 million and subsequently amended to adjust sublimits and certain other terms, including most recently on July 29, 2020.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bears interest at the adjusted LIBOR or base rate plus 1.25% per annum. Following the July 29, 2020 amendment,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March 20, 2020, VAL,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may be borrowed in one or more borrowings on or after March 20, 2020 and prior to September 20, 2020, as further described below. VAL intends to use the proceeds of the Founder Member Loans solely to finance the purchase and settlement of securities and to fund margin deposits with the National Securities Clearing Corporation and Options Clearing Corporation.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Terms of the warrant are set forth in further detail in Note 17 “Capital Structure”. The interest rate for the Founder Member Loans, to the extent drawn and outstanding, will be 8.0% per annum, and the Founder Member Loans will be due on September 20, 2020. If an event of default occurs and is continuing, the Lender may increase the interest rate 2.0% above what would otherwise be applicable on overdue amounts, and declare all Founder Member Loans immediately due and payable. VAL may prepay the Founder Member Loans in whole or in part at any time without penalty. There was no outstanding balance on this loan as of June 30, 2020. The foregoing description of the Founder Member Loan Facility does not purport to be complete and is qualified in its entirety by reference to the complete text of the Founder Member Loan Facility, which is filed as an exhibit to the Company's 2020 quarterly report on Form 10-Q for the period ended March 31, 2020 filed with Securities and Exchange Commission on May 11, 2020.</w:t>
      </w:r>
    </w:p>
    <w:p>
      <w:pPr>
        <w:spacing w:after="0" w:line="209"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 These balances are included within Short-term borrowings on the Condensed Consolidated Statement of Financial Condition.</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2"/>
              </w:rPr>
              <w:t>Financing Available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w:t>
            </w:r>
          </w:p>
        </w:tc>
        <w:tc>
          <w:tcPr>
            <w:tcW w:w="18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3"/>
                <w:szCs w:val="13"/>
                <w:color w:val="auto"/>
              </w:rPr>
            </w:pPr>
          </w:p>
        </w:tc>
        <w:tc>
          <w:tcPr>
            <w:tcW w:w="126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Borrowings, net</w:t>
            </w: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00" w:type="dxa"/>
            <w:vAlign w:val="bottom"/>
            <w:gridSpan w:val="2"/>
          </w:tcPr>
          <w:p>
            <w:pPr>
              <w:ind w:left="120"/>
              <w:spacing w:after="0"/>
              <w:rPr>
                <w:sz w:val="20"/>
                <w:szCs w:val="20"/>
                <w:color w:val="auto"/>
              </w:rPr>
            </w:pPr>
            <w:r>
              <w:rPr>
                <w:rFonts w:ascii="Arial" w:cs="Arial" w:eastAsia="Arial" w:hAnsi="Arial"/>
                <w:sz w:val="14"/>
                <w:szCs w:val="14"/>
                <w:color w:val="auto"/>
              </w:rPr>
              <w:t>Uncommitted facility (1)</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1.08%</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ind w:left="9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Committed facility (2)</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Founder Member Loan Facility (3)</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8.00%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300,000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1,300,000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220" w:hanging="181"/>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$0.5 million of deferred debt issuance costs are included within Other assets on the Condensed Consolidated Statement of Financial Condition</w:t>
      </w:r>
    </w:p>
    <w:p>
      <w:pPr>
        <w:spacing w:after="0" w:line="25" w:lineRule="exact"/>
        <w:rPr>
          <w:rFonts w:ascii="Arial" w:cs="Arial" w:eastAsia="Arial" w:hAnsi="Arial"/>
          <w:sz w:val="13"/>
          <w:szCs w:val="13"/>
          <w:color w:val="auto"/>
        </w:rPr>
      </w:pPr>
    </w:p>
    <w:p>
      <w:pPr>
        <w:ind w:left="220" w:hanging="181"/>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$0.9 million of deferred debt issuance costs are included within Other assets on the Condensed Consolidated Statement of Financial Condition</w:t>
      </w:r>
    </w:p>
    <w:p>
      <w:pPr>
        <w:spacing w:after="0" w:line="26" w:lineRule="exact"/>
        <w:rPr>
          <w:rFonts w:ascii="Arial" w:cs="Arial" w:eastAsia="Arial" w:hAnsi="Arial"/>
          <w:sz w:val="13"/>
          <w:szCs w:val="13"/>
          <w:color w:val="auto"/>
        </w:rPr>
      </w:pPr>
    </w:p>
    <w:p>
      <w:pPr>
        <w:ind w:left="220" w:hanging="181"/>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$6.2 million of deferred debt issuance costs are included within Other assets on the Condensed Consolidated Statement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-307975</wp:posOffset>
            </wp:positionV>
            <wp:extent cx="3806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At December 31, 2019</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2"/>
              </w:rPr>
              <w:t>Financing Available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Borrowing</w:t>
            </w:r>
          </w:p>
        </w:tc>
        <w:tc>
          <w:tcPr>
            <w:tcW w:w="18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3"/>
                <w:szCs w:val="13"/>
                <w:color w:val="auto"/>
              </w:rPr>
            </w:pPr>
          </w:p>
        </w:tc>
        <w:tc>
          <w:tcPr>
            <w:tcW w:w="126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gridSpan w:val="2"/>
          </w:tcPr>
          <w:p>
            <w:pPr>
              <w:ind w:left="12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2.55%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20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7"/>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Uncommitted facility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361</w:t>
            </w:r>
          </w:p>
        </w:tc>
      </w:tr>
      <w:tr>
        <w:trPr>
          <w:trHeight w:val="208"/>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Committed facility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254</w:t>
            </w:r>
          </w:p>
        </w:tc>
      </w:tr>
      <w:tr>
        <w:trPr>
          <w:trHeight w:val="197"/>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Demand Loan</w:t>
            </w:r>
          </w:p>
        </w:tc>
        <w:tc>
          <w:tcPr>
            <w:tcW w:w="30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Founder Member Loan Facility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615</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Bank Loans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June 30, 2020, there was $26.3 million associated with international settlement activities outstanding under these facilities at a weighted average interest rate of approximately 3.1%. At December 31, 2019, there was $45.6 million associated with international settlement activities outstanding under these facilities at a weighted average interest rate of approximately 4.5%. These short-term bank loan balances are included within Short-term borrowings on the Condensed Consolidated Statement of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Revolving Facility</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Company's Amended Credit Agreement (as defined below) provides for a $50.0 million senior secured first lien revolving facility. There were no outstanding borrowings under the facility as of June 30, 2020 or December 31, 2019. Interest expense in relation to the facility was $0.1 million for the three months ended June 30, 2020 and $0.4 million for the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Brokerage Credit Facilities</w:t>
      </w:r>
    </w:p>
    <w:p>
      <w:pPr>
        <w:spacing w:after="0" w:line="23"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At June 30, 2020</w:t>
            </w: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23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340" w:type="dxa"/>
            <w:vAlign w:val="bottom"/>
          </w:tcPr>
          <w:p>
            <w:pPr>
              <w:spacing w:after="0"/>
              <w:rPr>
                <w:sz w:val="13"/>
                <w:szCs w:val="13"/>
                <w:color w:val="auto"/>
              </w:rPr>
            </w:pPr>
          </w:p>
        </w:tc>
        <w:tc>
          <w:tcPr>
            <w:tcW w:w="20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3"/>
              </w:rPr>
              <w:t>Financing</w:t>
            </w:r>
          </w:p>
        </w:tc>
        <w:tc>
          <w:tcPr>
            <w:tcW w:w="400" w:type="dxa"/>
            <w:vAlign w:val="bottom"/>
          </w:tcPr>
          <w:p>
            <w:pPr>
              <w:spacing w:after="0"/>
              <w:rPr>
                <w:sz w:val="13"/>
                <w:szCs w:val="13"/>
                <w:color w:val="auto"/>
              </w:rPr>
            </w:pPr>
          </w:p>
        </w:tc>
        <w:tc>
          <w:tcPr>
            <w:tcW w:w="1820" w:type="dxa"/>
            <w:vAlign w:val="bottom"/>
          </w:tcPr>
          <w:p>
            <w:pPr>
              <w:jc w:val="right"/>
              <w:ind w:right="728"/>
              <w:spacing w:after="0" w:line="153"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1"/>
              </w:rPr>
              <w:t>Available</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Prime Brokerage Credit Facilities: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2.78%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616,000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112,412</w:t>
            </w:r>
          </w:p>
        </w:tc>
        <w:tc>
          <w:tcPr>
            <w:tcW w:w="0" w:type="dxa"/>
            <w:vAlign w:val="bottom"/>
          </w:tcPr>
          <w:p>
            <w:pPr>
              <w:spacing w:after="0"/>
              <w:rPr>
                <w:sz w:val="1"/>
                <w:szCs w:val="1"/>
                <w:color w:val="auto"/>
              </w:rPr>
            </w:pPr>
          </w:p>
        </w:tc>
      </w:tr>
      <w:tr>
        <w:trPr>
          <w:trHeight w:val="221"/>
        </w:trPr>
        <w:tc>
          <w:tcPr>
            <w:tcW w:w="4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616,000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112,412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At December 31, 2019</w:t>
            </w: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23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60" w:type="dxa"/>
            <w:vAlign w:val="bottom"/>
          </w:tcPr>
          <w:p>
            <w:pPr>
              <w:spacing w:after="0"/>
              <w:rPr>
                <w:sz w:val="13"/>
                <w:szCs w:val="13"/>
                <w:color w:val="auto"/>
              </w:rPr>
            </w:pPr>
          </w:p>
        </w:tc>
        <w:tc>
          <w:tcPr>
            <w:tcW w:w="20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Financing</w:t>
            </w:r>
          </w:p>
        </w:tc>
        <w:tc>
          <w:tcPr>
            <w:tcW w:w="400" w:type="dxa"/>
            <w:vAlign w:val="bottom"/>
          </w:tcPr>
          <w:p>
            <w:pPr>
              <w:spacing w:after="0"/>
              <w:rPr>
                <w:sz w:val="13"/>
                <w:szCs w:val="13"/>
                <w:color w:val="auto"/>
              </w:rPr>
            </w:pPr>
          </w:p>
        </w:tc>
        <w:tc>
          <w:tcPr>
            <w:tcW w:w="1820" w:type="dxa"/>
            <w:vAlign w:val="bottom"/>
          </w:tcPr>
          <w:p>
            <w:pPr>
              <w:jc w:val="right"/>
              <w:ind w:right="728"/>
              <w:spacing w:after="0" w:line="153"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1"/>
              </w:rPr>
              <w:t>Available</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8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Prime Brokerage Credit Facilities:</w:t>
            </w:r>
          </w:p>
        </w:tc>
        <w:tc>
          <w:tcPr>
            <w:tcW w:w="2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586,000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134,331</w:t>
            </w:r>
          </w:p>
        </w:tc>
        <w:tc>
          <w:tcPr>
            <w:tcW w:w="0" w:type="dxa"/>
            <w:vAlign w:val="bottom"/>
          </w:tcPr>
          <w:p>
            <w:pPr>
              <w:spacing w:after="0"/>
              <w:rPr>
                <w:sz w:val="1"/>
                <w:szCs w:val="1"/>
                <w:color w:val="auto"/>
              </w:rPr>
            </w:pPr>
          </w:p>
        </w:tc>
      </w:tr>
      <w:tr>
        <w:trPr>
          <w:trHeight w:val="261"/>
        </w:trPr>
        <w:tc>
          <w:tcPr>
            <w:tcW w:w="4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586,000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134,331</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 Payables to broker-dealers and clearing organizations within the Condensed Consolidated Statements of Financial Condition.</w:t>
      </w:r>
    </w:p>
    <w:p>
      <w:pPr>
        <w:spacing w:after="0" w:line="260"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Interest expense in relation to the facilities was approximately $1.3 million and $1.8 million for the three months ended June 30, 2020 and 2019, respectively, and $2.6 million and $3.7 million for the six months ended June 30,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summarizes the Company’s long-term borrowings, net of unamortized discount and debt issuance costs, where applicable:</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At June 30, 2020</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Maturity</w:t>
            </w: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Discount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Deferred Debt</w:t>
            </w:r>
          </w:p>
        </w:tc>
        <w:tc>
          <w:tcPr>
            <w:tcW w:w="140" w:type="dxa"/>
            <w:vAlign w:val="bottom"/>
          </w:tcPr>
          <w:p>
            <w:pPr>
              <w:spacing w:after="0"/>
              <w:rPr>
                <w:sz w:val="13"/>
                <w:szCs w:val="13"/>
                <w:color w:val="auto"/>
              </w:rPr>
            </w:pPr>
          </w:p>
        </w:tc>
        <w:tc>
          <w:tcPr>
            <w:tcW w:w="124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2"/>
              </w:rPr>
              <w:t>Issuance 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0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Long-term borrowings: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March 2026</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3.19%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1,736,512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(5,501)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(30,660)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1,700,351</w:t>
            </w: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January 2023</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32,165</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1,768,940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(5,501)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(30,923)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1,732,516</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At December 31, 2019</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Maturity</w:t>
            </w: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Deferred Debt</w:t>
            </w:r>
          </w:p>
        </w:tc>
        <w:tc>
          <w:tcPr>
            <w:tcW w:w="140" w:type="dxa"/>
            <w:vAlign w:val="bottom"/>
          </w:tcPr>
          <w:p>
            <w:pPr>
              <w:spacing w:after="0"/>
              <w:rPr>
                <w:sz w:val="13"/>
                <w:szCs w:val="13"/>
                <w:color w:val="auto"/>
              </w:rPr>
            </w:pPr>
          </w:p>
        </w:tc>
        <w:tc>
          <w:tcPr>
            <w:tcW w:w="124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2"/>
              </w:rPr>
              <w:t>Issuance 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8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Long-term borrowings:</w:t>
            </w: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0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March 2026</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5.20%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1,925,000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(6,795)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1,885,692</w:t>
            </w: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January 2023</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32,174</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1,957,225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(6,795)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(32,564)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1,917,866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w:t>
      </w:r>
    </w:p>
    <w:p>
      <w:pPr>
        <w:spacing w:after="0" w:line="1" w:lineRule="exact"/>
        <w:rPr>
          <w:sz w:val="20"/>
          <w:szCs w:val="20"/>
          <w:color w:val="auto"/>
        </w:rPr>
      </w:pPr>
    </w:p>
    <w:p>
      <w:pPr>
        <w:ind w:right="24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1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October 9, 2019 (the “Amendment No. 1 Closing Date”), VFH entered into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paid related fees and expenses. The terms, conditions and covenants applicable to the Incremental Term Loans are the same as the terms, conditions and covenants applicable to the existing term loans under the Credit Agreement, including a maturity date of March 1, 2026.</w:t>
      </w:r>
    </w:p>
    <w:p>
      <w:pPr>
        <w:spacing w:after="0" w:line="223"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On March 2, 2020 (the “Amendment No. 2 Closing Date”), VFH entered into Amendment No. 2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w:t>
      </w:r>
    </w:p>
    <w:p>
      <w:pPr>
        <w:spacing w:after="0" w:line="4"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0" w:lineRule="exact"/>
        <w:rPr>
          <w:sz w:val="20"/>
          <w:szCs w:val="20"/>
          <w:color w:val="auto"/>
        </w:rPr>
      </w:pPr>
    </w:p>
    <w:p>
      <w:pPr>
        <w:ind w:right="400" w:firstLine="648"/>
        <w:spacing w:after="0" w:line="258" w:lineRule="auto"/>
        <w:rPr>
          <w:sz w:val="20"/>
          <w:szCs w:val="20"/>
          <w:color w:val="auto"/>
        </w:rPr>
      </w:pPr>
      <w:r>
        <w:rPr>
          <w:rFonts w:ascii="Arial" w:cs="Arial" w:eastAsia="Arial" w:hAnsi="Arial"/>
          <w:sz w:val="18"/>
          <w:szCs w:val="18"/>
          <w:color w:val="auto"/>
        </w:rPr>
        <w:t>On January 29, 2020, the Company entered into a five-year $1,000 million floating-to-fixed interest rate swap agreement. The Company also previously entered into a five-year $525 million floating-to-fixed interest rate swap agreement.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these two interest rate swaps meet the criteria to be considered qualifying cash flow hedges under ASC 815,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2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VFH’s material non-regulated domestic restricted subsidiaries and secured by substantially all of the assets of VFH and the guarantors, in each case, subject to certain exceptions.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Amended Credit Agreement, term loans will mature on March 1, 2026. The term loans amortize in annual installments equal to 1.0% of the original aggregate principal amount of the term loans. The revolving commitments will terminate on March 1, 2022. During the year ended December 31, 2019, $100.0 million was repaid under the First Lien Term Loan Facility. In May of 2020, an additional $188.5 million was repaid under this facility. As of June 30, 2020, $1,737 million was outstanding under the First Lien Term Loan Facility.</w:t>
      </w:r>
    </w:p>
    <w:p>
      <w:pPr>
        <w:spacing w:after="0" w:line="214"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1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To finance the Acquisition of KCG, on June 30, 2017, Virtu Financial and VFH previously entered into the Fourth Amended and Restated Credit Agreement which, upon the closing of the Acquisition of KCG, provided for an aggregate $1,150.00 million of first lien secured term loans (the “Existing Term Loan Facility”). As described above, the Existing Term Loan Facility was fully terminated following its repayment in full with the proceeds of the First Lien Term Loan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Second Lien Notes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21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July 20, 2017, VFH assumed all of the obligations of the Escrow Issuer under the Indenture and the Notes.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211"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As described above, the Credit Agreement was amended on October 9, 2019, on which date VFH borrowed an additional $525.0 million of incremental first lien term loans, the proceeds of which were used together with cash on hand to redeem the Notes in full. The Indenture was fully terminated following such redemption.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SBI Bonds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($32.4 million) as of June 30, 2020 and ¥3.5 billion ($32.2 million) as of December 31, 2019. The Company recorded a gain of $0.1 million and a loss of $0.9 million during the three months ended June 30, 2020 and 2019, respectively, and a loss of $0.2 million and a loss of $0.5 million during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2020, aggregate future required minimum principal payments based on the terms of the long-term borrowings were as follows:</w:t>
      </w:r>
    </w:p>
    <w:p>
      <w:pPr>
        <w:spacing w:after="0" w:line="321"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6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660" w:type="dxa"/>
            <w:vAlign w:val="bottom"/>
          </w:tcPr>
          <w:p>
            <w:pPr>
              <w:jc w:val="right"/>
              <w:ind w:right="508"/>
              <w:spacing w:after="0"/>
              <w:rPr>
                <w:sz w:val="20"/>
                <w:szCs w:val="20"/>
                <w:color w:val="auto"/>
              </w:rPr>
            </w:pPr>
            <w:r>
              <w:rPr>
                <w:rFonts w:ascii="Arial" w:cs="Arial" w:eastAsia="Arial" w:hAnsi="Arial"/>
                <w:sz w:val="14"/>
                <w:szCs w:val="14"/>
                <w:b w:val="1"/>
                <w:bCs w:val="1"/>
                <w:color w:val="auto"/>
              </w:rPr>
              <w:t>June 30, 2020</w:t>
            </w:r>
          </w:p>
        </w:tc>
      </w:tr>
      <w:tr>
        <w:trPr>
          <w:trHeight w:val="202"/>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600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600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32,428</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1,736,512</w:t>
            </w:r>
          </w:p>
        </w:tc>
      </w:tr>
      <w:tr>
        <w:trPr>
          <w:trHeight w:val="227"/>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principal of long-term borrowings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1,768,940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25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of financial instruments between levels during the three and six months ended June 30,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 June 30, 2020:</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Counterparty and</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Cash Collateral</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Netting</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549,568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1,262,683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1,812,251</w:t>
            </w:r>
          </w:p>
        </w:tc>
        <w:tc>
          <w:tcPr>
            <w:tcW w:w="0" w:type="dxa"/>
            <w:vAlign w:val="bottom"/>
          </w:tcPr>
          <w:p>
            <w:pPr>
              <w:spacing w:after="0"/>
              <w:rPr>
                <w:sz w:val="1"/>
                <w:szCs w:val="1"/>
                <w:color w:val="auto"/>
              </w:rPr>
            </w:pPr>
          </w:p>
        </w:tc>
      </w:tr>
      <w:tr>
        <w:trPr>
          <w:trHeight w:val="197"/>
        </w:trPr>
        <w:tc>
          <w:tcPr>
            <w:tcW w:w="448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37,033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42,874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79,907</w:t>
            </w: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84,233</w:t>
            </w:r>
          </w:p>
        </w:tc>
        <w:tc>
          <w:tcPr>
            <w:tcW w:w="0" w:type="dxa"/>
            <w:vAlign w:val="bottom"/>
          </w:tcPr>
          <w:p>
            <w:pPr>
              <w:spacing w:after="0"/>
              <w:rPr>
                <w:sz w:val="1"/>
                <w:szCs w:val="1"/>
                <w:color w:val="auto"/>
              </w:rPr>
            </w:pPr>
          </w:p>
        </w:tc>
      </w:tr>
      <w:tr>
        <w:trPr>
          <w:trHeight w:val="197"/>
        </w:trPr>
        <w:tc>
          <w:tcPr>
            <w:tcW w:w="448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40,338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41,764</w:t>
            </w: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(190,354)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11,011</w:t>
            </w:r>
          </w:p>
        </w:tc>
        <w:tc>
          <w:tcPr>
            <w:tcW w:w="0" w:type="dxa"/>
            <w:vAlign w:val="bottom"/>
          </w:tcPr>
          <w:p>
            <w:pPr>
              <w:spacing w:after="0"/>
              <w:rPr>
                <w:sz w:val="1"/>
                <w:szCs w:val="1"/>
                <w:color w:val="auto"/>
              </w:rPr>
            </w:pPr>
          </w:p>
        </w:tc>
      </w:tr>
      <w:tr>
        <w:trPr>
          <w:trHeight w:val="197"/>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9,456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9,456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636,395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1,592,581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(190,354)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2,038,622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gridSpan w:val="2"/>
          </w:tcPr>
          <w:p>
            <w:pPr>
              <w:ind w:left="20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332,703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242,532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575,235</w:t>
            </w: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27,733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27,736</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332,706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270,265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602,971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investment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51,599</w:t>
            </w:r>
          </w:p>
        </w:tc>
        <w:tc>
          <w:tcPr>
            <w:tcW w:w="0" w:type="dxa"/>
            <w:vAlign w:val="bottom"/>
          </w:tcPr>
          <w:p>
            <w:pPr>
              <w:spacing w:after="0"/>
              <w:rPr>
                <w:sz w:val="1"/>
                <w:szCs w:val="1"/>
                <w:color w:val="auto"/>
              </w:rPr>
            </w:pPr>
          </w:p>
        </w:tc>
      </w:tr>
      <w:tr>
        <w:trPr>
          <w:trHeight w:val="197"/>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Exchange stock</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53,642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1,228,425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1,157,738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2,386,163</w:t>
            </w:r>
          </w:p>
        </w:tc>
        <w:tc>
          <w:tcPr>
            <w:tcW w:w="0" w:type="dxa"/>
            <w:vAlign w:val="bottom"/>
          </w:tcPr>
          <w:p>
            <w:pPr>
              <w:spacing w:after="0"/>
              <w:rPr>
                <w:sz w:val="1"/>
                <w:szCs w:val="1"/>
                <w:color w:val="auto"/>
              </w:rPr>
            </w:pPr>
          </w:p>
        </w:tc>
      </w:tr>
      <w:tr>
        <w:trPr>
          <w:trHeight w:val="196"/>
        </w:trPr>
        <w:tc>
          <w:tcPr>
            <w:tcW w:w="448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202,492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203,927</w:t>
            </w:r>
          </w:p>
        </w:tc>
        <w:tc>
          <w:tcPr>
            <w:tcW w:w="0" w:type="dxa"/>
            <w:vAlign w:val="bottom"/>
          </w:tcPr>
          <w:p>
            <w:pPr>
              <w:spacing w:after="0"/>
              <w:rPr>
                <w:sz w:val="1"/>
                <w:szCs w:val="1"/>
                <w:color w:val="auto"/>
              </w:rPr>
            </w:pPr>
          </w:p>
        </w:tc>
      </w:tr>
      <w:tr>
        <w:trPr>
          <w:trHeight w:val="209"/>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145,194</w:t>
            </w:r>
          </w:p>
        </w:tc>
        <w:tc>
          <w:tcPr>
            <w:tcW w:w="0" w:type="dxa"/>
            <w:vAlign w:val="bottom"/>
          </w:tcPr>
          <w:p>
            <w:pPr>
              <w:spacing w:after="0"/>
              <w:rPr>
                <w:sz w:val="1"/>
                <w:szCs w:val="1"/>
                <w:color w:val="auto"/>
              </w:rPr>
            </w:pPr>
          </w:p>
        </w:tc>
      </w:tr>
      <w:tr>
        <w:trPr>
          <w:trHeight w:val="196"/>
        </w:trPr>
        <w:tc>
          <w:tcPr>
            <w:tcW w:w="448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2,228</w:t>
            </w:r>
          </w:p>
        </w:tc>
        <w:tc>
          <w:tcPr>
            <w:tcW w:w="0" w:type="dxa"/>
            <w:vAlign w:val="bottom"/>
          </w:tcPr>
          <w:p>
            <w:pPr>
              <w:spacing w:after="0"/>
              <w:rPr>
                <w:sz w:val="1"/>
                <w:szCs w:val="1"/>
                <w:color w:val="auto"/>
              </w:rPr>
            </w:pPr>
          </w:p>
        </w:tc>
      </w:tr>
      <w:tr>
        <w:trPr>
          <w:trHeight w:val="209"/>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(190,877)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16,303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16,303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1,447,233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1,497,491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(190,877)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2,753,847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 December 31, 2019:</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3"/>
                <w:szCs w:val="13"/>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Counterparty and</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30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w w:val="98"/>
              </w:rPr>
              <w:t>Observable 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Cash Collateral</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Netting</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1,080,518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1,680,777</w:t>
            </w: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106,690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20,847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127,537</w:t>
            </w: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171,591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171,591</w:t>
            </w: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48,894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49,137</w:t>
            </w: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(211,398)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197"/>
        </w:trPr>
        <w:tc>
          <w:tcPr>
            <w:tcW w:w="4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8,538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8,538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715,730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1,564,402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(211,398)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2,068,734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362,439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291,927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654,366</w:t>
            </w:r>
          </w:p>
        </w:tc>
        <w:tc>
          <w:tcPr>
            <w:tcW w:w="0" w:type="dxa"/>
            <w:vAlign w:val="bottom"/>
          </w:tcPr>
          <w:p>
            <w:pPr>
              <w:spacing w:after="0"/>
              <w:rPr>
                <w:sz w:val="1"/>
                <w:szCs w:val="1"/>
                <w:color w:val="auto"/>
              </w:rPr>
            </w:pPr>
          </w:p>
        </w:tc>
      </w:tr>
      <w:tr>
        <w:trPr>
          <w:trHeight w:val="196"/>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42,578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42,590</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362,451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334,505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696,956</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Equity investment</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46,245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46,245</w:t>
            </w: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Exchange stock</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197"/>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2,721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46,245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48,966</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1,022,814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1,163,888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2,186,702</w:t>
            </w: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39,091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41,804</w:t>
            </w: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244,700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244,700</w:t>
            </w: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Exchange traded notes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21,646</w:t>
            </w:r>
          </w:p>
        </w:tc>
        <w:tc>
          <w:tcPr>
            <w:tcW w:w="0" w:type="dxa"/>
            <w:vAlign w:val="bottom"/>
          </w:tcPr>
          <w:p>
            <w:pPr>
              <w:spacing w:after="0"/>
              <w:rPr>
                <w:sz w:val="1"/>
                <w:szCs w:val="1"/>
                <w:color w:val="auto"/>
              </w:rPr>
            </w:pPr>
          </w:p>
        </w:tc>
      </w:tr>
      <w:tr>
        <w:trPr>
          <w:trHeight w:val="197"/>
        </w:trPr>
        <w:tc>
          <w:tcPr>
            <w:tcW w:w="4480" w:type="dxa"/>
            <w:vAlign w:val="bottom"/>
            <w:gridSpan w:val="2"/>
          </w:tcPr>
          <w:p>
            <w:pPr>
              <w:ind w:left="12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196,554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0" w:type="dxa"/>
            <w:vAlign w:val="bottom"/>
          </w:tcPr>
          <w:p>
            <w:pPr>
              <w:ind w:left="540"/>
              <w:spacing w:after="0"/>
              <w:rPr>
                <w:sz w:val="20"/>
                <w:szCs w:val="20"/>
                <w:color w:val="auto"/>
              </w:rPr>
            </w:pPr>
            <w:r>
              <w:rPr>
                <w:rFonts w:ascii="Arial" w:cs="Arial" w:eastAsia="Arial" w:hAnsi="Arial"/>
                <w:sz w:val="14"/>
                <w:szCs w:val="14"/>
                <w:color w:val="auto"/>
              </w:rPr>
              <w:t>(196,535)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1,065,007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1,629,486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540"/>
              <w:spacing w:after="0"/>
              <w:rPr>
                <w:sz w:val="20"/>
                <w:szCs w:val="20"/>
                <w:color w:val="auto"/>
              </w:rPr>
            </w:pPr>
            <w:r>
              <w:rPr>
                <w:rFonts w:ascii="Arial" w:cs="Arial" w:eastAsia="Arial" w:hAnsi="Arial"/>
                <w:sz w:val="14"/>
                <w:szCs w:val="14"/>
                <w:color w:val="auto"/>
              </w:rPr>
              <w:t>(196,535)</w:t>
            </w:r>
          </w:p>
        </w:tc>
        <w:tc>
          <w:tcPr>
            <w:tcW w:w="12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2,497,958</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SBI Investment</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has a minority investment (the “SBI Investment”) in SBI Japannext Co., Ltd. (“SBI”), a proprietary trading system based in Tokyo. In connection with the SBI Investment, the Company issued the SBI Bonds (as described in Note 9 “Borrowings”) and used the proceeds to partially finance the transaction. The SBI Investment is included within Level 3 of the fair value hierarchy. As of June 30, 2020, the fair value of the SBI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table below presents information on the valuation techniques, significant unobservable inputs and their ranges for the SBI Investment:</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June 30, 2020</w:t>
            </w: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vMerge w:val="restart"/>
          </w:tcPr>
          <w:p>
            <w:pPr>
              <w:spacing w:after="0"/>
              <w:rPr>
                <w:sz w:val="13"/>
                <w:szCs w:val="13"/>
                <w:color w:val="auto"/>
              </w:rPr>
            </w:pPr>
          </w:p>
        </w:tc>
        <w:tc>
          <w:tcPr>
            <w:tcW w:w="17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9"/>
              </w:rPr>
              <w:t>Significant Unobservable</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20" w:type="dxa"/>
            <w:vAlign w:val="bottom"/>
            <w:vMerge w:val="restart"/>
          </w:tcPr>
          <w:p>
            <w:pPr>
              <w:spacing w:after="0"/>
              <w:rPr>
                <w:sz w:val="13"/>
                <w:szCs w:val="13"/>
                <w:color w:val="auto"/>
              </w:rPr>
            </w:pPr>
          </w:p>
        </w:tc>
        <w:tc>
          <w:tcPr>
            <w:tcW w:w="98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Average</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51,599</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Estimated revenue growth</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(7.4)% - 20.0%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700" w:type="dxa"/>
            <w:vAlign w:val="bottom"/>
          </w:tcPr>
          <w:p>
            <w:pPr>
              <w:jc w:val="right"/>
              <w:spacing w:after="0"/>
              <w:rPr>
                <w:sz w:val="20"/>
                <w:szCs w:val="20"/>
                <w:color w:val="auto"/>
              </w:rPr>
            </w:pPr>
            <w:r>
              <w:rPr>
                <w:rFonts w:ascii="Arial" w:cs="Arial" w:eastAsia="Arial" w:hAnsi="Arial"/>
                <w:sz w:val="14"/>
                <w:szCs w:val="14"/>
                <w:color w:val="auto"/>
              </w:rPr>
              <w:t>14.4%</w:t>
            </w:r>
          </w:p>
        </w:tc>
        <w:tc>
          <w:tcPr>
            <w:tcW w:w="760" w:type="dxa"/>
            <w:vAlign w:val="bottom"/>
          </w:tcPr>
          <w:p>
            <w:pPr>
              <w:ind w:left="20"/>
              <w:spacing w:after="0"/>
              <w:rPr>
                <w:sz w:val="20"/>
                <w:szCs w:val="20"/>
                <w:color w:val="auto"/>
              </w:rPr>
            </w:pPr>
            <w:r>
              <w:rPr>
                <w:rFonts w:ascii="Arial" w:cs="Arial" w:eastAsia="Arial" w:hAnsi="Arial"/>
                <w:sz w:val="14"/>
                <w:szCs w:val="14"/>
                <w:color w:val="auto"/>
              </w:rPr>
              <w:t>- 14.4%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Future enterprise value/</w:t>
            </w: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EBIDTA ratio</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11.9x</w:t>
            </w:r>
          </w:p>
        </w:tc>
        <w:tc>
          <w:tcPr>
            <w:tcW w:w="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- 55.7x</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15.9x</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the fair value of the SBI Investment are included within Other, net in the Condensed Consolidated Statements of Comprehensive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the changes in the Company's Level 3 financial instruments measured at fair value on a recurring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3"/>
          </w:tcPr>
          <w:p>
            <w:pPr>
              <w:ind w:left="600"/>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Total Realized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(Losses) on</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Balance at March</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Net Transfers into</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 June</w:t>
            </w: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Unrealized Gains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Settlement</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held at June 30,</w:t>
            </w:r>
          </w:p>
        </w:tc>
        <w:tc>
          <w:tcPr>
            <w:tcW w:w="0" w:type="dxa"/>
            <w:vAlign w:val="bottom"/>
          </w:tcPr>
          <w:p>
            <w:pPr>
              <w:spacing w:after="0"/>
              <w:rPr>
                <w:sz w:val="1"/>
                <w:szCs w:val="1"/>
                <w:color w:val="auto"/>
              </w:rPr>
            </w:pPr>
          </w:p>
        </w:tc>
      </w:tr>
      <w:tr>
        <w:trPr>
          <w:trHeight w:val="192"/>
        </w:trPr>
        <w:tc>
          <w:tcPr>
            <w:tcW w:w="22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31, 2020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(out of) Level 3</w:t>
            </w: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30, 2020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46,668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51,599</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222"/>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46,668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51,599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3"/>
          </w:tcPr>
          <w:p>
            <w:pPr>
              <w:ind w:left="600"/>
              <w:spacing w:after="0"/>
              <w:rPr>
                <w:sz w:val="20"/>
                <w:szCs w:val="20"/>
                <w:color w:val="auto"/>
              </w:rPr>
            </w:pPr>
            <w:r>
              <w:rPr>
                <w:rFonts w:ascii="Arial" w:cs="Arial" w:eastAsia="Arial" w:hAnsi="Arial"/>
                <w:sz w:val="14"/>
                <w:szCs w:val="14"/>
                <w:b w:val="1"/>
                <w:bCs w:val="1"/>
                <w:color w:val="auto"/>
              </w:rPr>
              <w:t>Three Months Ended June 30, 2019</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Total Realized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(Losses) on</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Balance at March</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Net Transfers into</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 June</w:t>
            </w: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Purchases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Unrealized Gains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Settlement</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held at June 30,</w:t>
            </w:r>
          </w:p>
        </w:tc>
        <w:tc>
          <w:tcPr>
            <w:tcW w:w="0" w:type="dxa"/>
            <w:vAlign w:val="bottom"/>
          </w:tcPr>
          <w:p>
            <w:pPr>
              <w:spacing w:after="0"/>
              <w:rPr>
                <w:sz w:val="1"/>
                <w:szCs w:val="1"/>
                <w:color w:val="auto"/>
              </w:rPr>
            </w:pPr>
          </w:p>
        </w:tc>
      </w:tr>
      <w:tr>
        <w:trPr>
          <w:trHeight w:val="192"/>
        </w:trPr>
        <w:tc>
          <w:tcPr>
            <w:tcW w:w="22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(out of) Level 3</w:t>
            </w:r>
          </w:p>
        </w:tc>
        <w:tc>
          <w:tcPr>
            <w:tcW w:w="1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30, 2019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2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46,529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46,351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22"/>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46,529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46,351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3"/>
          </w:tcPr>
          <w:p>
            <w:pPr>
              <w:ind w:left="640"/>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7"/>
              </w:rPr>
              <w:t>Total Realized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(Losses) 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Net Transfers into</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 June</w:t>
            </w: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Purchases</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7"/>
              </w:rPr>
              <w:t>Unrealized Gains /</w:t>
            </w:r>
          </w:p>
        </w:tc>
        <w:tc>
          <w:tcPr>
            <w:tcW w:w="6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12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held at June 30,</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7"/>
              </w:rPr>
              <w:t>(Losses)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(out of) Level 3</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30, 2020</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46,245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5,354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51,599</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r>
        <w:trPr>
          <w:trHeight w:val="22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46,245</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5,354</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gridSpan w:val="4"/>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11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51,599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Six Months Ended June 30, 2019</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(Losses) on</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June</w:t>
            </w: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Investments still</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held at June 30,</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(out of) Level 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30, 2019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45,856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46,351</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02"/>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45,856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46,351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financial assets and liabilities not carried at fair value on a recurring basis as of June 30, 2020:</w:t>
      </w:r>
    </w:p>
    <w:p>
      <w:pPr>
        <w:spacing w:after="0" w:line="5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Quoted Prices in</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3"/>
                <w:szCs w:val="13"/>
                <w:color w:val="auto"/>
              </w:rPr>
            </w:pPr>
          </w:p>
        </w:tc>
        <w:tc>
          <w:tcPr>
            <w:tcW w:w="10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Identical Assets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670,770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670,770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Cash restricted or segregated under regulations and other</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77,245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77,245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77,245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1,435,777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1,435,777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1,435,777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244,242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244,242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244,242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Receivables from broker-dealers and clearing organizations</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2,441,283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2,441,283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495,079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1,946,204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4,869,317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4,869,317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1,243,094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3,626,223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borrowings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26,274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Long-term borrowings</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1,732,516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1,729,869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1,729,869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1,204,114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1,204,114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1,204,114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Securities sold under agreements to repurchase</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312,568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312,568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312,568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broker-dealers and clearing organizations</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1,200,212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1,200,212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3,932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1,196,280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4,475,684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4,473,037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3,932</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4,469,105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financial assets and liabilities not carried at fair value on a recurring basis as of December 31, 2019:</w:t>
      </w:r>
    </w:p>
    <w:p>
      <w:pPr>
        <w:spacing w:after="0" w:line="5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Quoted Prices in</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3"/>
                <w:szCs w:val="13"/>
                <w:color w:val="auto"/>
              </w:rPr>
            </w:pPr>
          </w:p>
        </w:tc>
        <w:tc>
          <w:tcPr>
            <w:tcW w:w="10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Identical Assets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8"/>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732,164</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732,164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732,164</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restricted or segregated under regulations and other</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1,928,763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Receivables from broker-dealers and clearing organizations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1,318,584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1,318,584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40,842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1,277,742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4,163,659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4,163,659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814,122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3,349,537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Short-term borrowings</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73,486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75,586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75,586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1,917,866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1,966,850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1,966,850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1,600,099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sold under agreements to repurchase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340,742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Payables to broker dealer and clearing organizations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826,750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826,750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49,514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777,236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4,758,943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4,810,027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49,514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4,760,513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Financial Assets and Liabilities</w:t>
      </w:r>
    </w:p>
    <w:p>
      <w:pPr>
        <w:spacing w:after="0" w:line="25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tables set forth the gross and net presentation of certain financial assets and financial liabilities as of June 30, 2020 and December 31, 2019:</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 in the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Net Amounts of Assets</w:t>
            </w:r>
          </w:p>
        </w:tc>
        <w:tc>
          <w:tcPr>
            <w:tcW w:w="120" w:type="dxa"/>
            <w:vAlign w:val="bottom"/>
          </w:tcPr>
          <w:p>
            <w:pPr>
              <w:spacing w:after="0"/>
              <w:rPr>
                <w:sz w:val="12"/>
                <w:szCs w:val="12"/>
                <w:color w:val="auto"/>
              </w:rPr>
            </w:pPr>
          </w:p>
        </w:tc>
        <w:tc>
          <w:tcPr>
            <w:tcW w:w="26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Condensed Consolidated Statement of</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5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95"/>
              </w:rPr>
              <w:t>Financial Condition</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 Offset</w:t>
            </w:r>
          </w:p>
        </w:tc>
        <w:tc>
          <w:tcPr>
            <w:tcW w:w="180" w:type="dxa"/>
            <w:vAlign w:val="bottom"/>
          </w:tcPr>
          <w:p>
            <w:pPr>
              <w:spacing w:after="0"/>
              <w:rPr>
                <w:sz w:val="10"/>
                <w:szCs w:val="10"/>
                <w:color w:val="auto"/>
              </w:rPr>
            </w:pPr>
          </w:p>
        </w:tc>
        <w:tc>
          <w:tcPr>
            <w:tcW w:w="144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 the Condensed</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Condensed</w:t>
            </w:r>
          </w:p>
        </w:tc>
        <w:tc>
          <w:tcPr>
            <w:tcW w:w="120" w:type="dxa"/>
            <w:vAlign w:val="bottom"/>
          </w:tcPr>
          <w:p>
            <w:pPr>
              <w:spacing w:after="0"/>
              <w:rPr>
                <w:sz w:val="13"/>
                <w:szCs w:val="13"/>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Consolidated Statement</w:t>
            </w:r>
          </w:p>
        </w:tc>
        <w:tc>
          <w:tcPr>
            <w:tcW w:w="1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2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1"/>
              </w:rPr>
              <w:t>Recognized Assets</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Collateral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Offsetting of Financial Assets: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1,435,777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1,435,777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(1,402,709)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(5,369)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27,699</w:t>
            </w:r>
          </w:p>
        </w:tc>
        <w:tc>
          <w:tcPr>
            <w:tcW w:w="0" w:type="dxa"/>
            <w:vAlign w:val="bottom"/>
          </w:tcPr>
          <w:p>
            <w:pPr>
              <w:spacing w:after="0"/>
              <w:rPr>
                <w:sz w:val="1"/>
                <w:szCs w:val="1"/>
                <w:color w:val="auto"/>
              </w:rPr>
            </w:pPr>
          </w:p>
        </w:tc>
      </w:tr>
      <w:tr>
        <w:trPr>
          <w:trHeight w:val="16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244,242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244,242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(244,242)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201,365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(190,354)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11,011</w:t>
            </w:r>
          </w:p>
        </w:tc>
        <w:tc>
          <w:tcPr>
            <w:tcW w:w="0" w:type="dxa"/>
            <w:vAlign w:val="bottom"/>
          </w:tcPr>
          <w:p>
            <w:pPr>
              <w:spacing w:after="0"/>
              <w:rPr>
                <w:sz w:val="1"/>
                <w:szCs w:val="1"/>
                <w:color w:val="auto"/>
              </w:rPr>
            </w:pPr>
          </w:p>
        </w:tc>
      </w:tr>
      <w:tr>
        <w:trPr>
          <w:trHeight w:val="196"/>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9,456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9,456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(9,455)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7"/>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1,890,840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1,700,486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(1,646,951)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38,711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Gross Amounts Not Offset in the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Condensed Consolidated Statement of</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500" w:type="dxa"/>
            <w:vAlign w:val="bottom"/>
            <w:gridSpan w:val="4"/>
            <w:vMerge w:val="restart"/>
          </w:tcPr>
          <w:p>
            <w:pPr>
              <w:jc w:val="center"/>
              <w:ind w:right="68"/>
              <w:spacing w:after="0"/>
              <w:rPr>
                <w:sz w:val="20"/>
                <w:szCs w:val="20"/>
                <w:color w:val="auto"/>
              </w:rPr>
            </w:pPr>
            <w:r>
              <w:rPr>
                <w:rFonts w:ascii="Arial" w:cs="Arial" w:eastAsia="Arial" w:hAnsi="Arial"/>
                <w:sz w:val="14"/>
                <w:szCs w:val="14"/>
                <w:b w:val="1"/>
                <w:bCs w:val="1"/>
                <w:color w:val="auto"/>
                <w:w w:val="95"/>
              </w:rPr>
              <w:t>Financial Condition</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 Offset</w:t>
            </w:r>
          </w:p>
        </w:tc>
        <w:tc>
          <w:tcPr>
            <w:tcW w:w="162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Liabilities Presented in</w:t>
            </w:r>
          </w:p>
        </w:tc>
        <w:tc>
          <w:tcPr>
            <w:tcW w:w="1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 the Condensed</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the Condensed</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Financial</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Consolidated Statement</w:t>
            </w:r>
          </w:p>
        </w:tc>
        <w:tc>
          <w:tcPr>
            <w:tcW w:w="1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0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Collateral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1,204,114</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1,204,114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(1,190,531)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(5,369)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8,214</w:t>
            </w:r>
          </w:p>
        </w:tc>
        <w:tc>
          <w:tcPr>
            <w:tcW w:w="0" w:type="dxa"/>
            <w:vAlign w:val="bottom"/>
          </w:tcPr>
          <w:p>
            <w:pPr>
              <w:spacing w:after="0"/>
              <w:rPr>
                <w:sz w:val="1"/>
                <w:szCs w:val="1"/>
                <w:color w:val="auto"/>
              </w:rPr>
            </w:pPr>
          </w:p>
        </w:tc>
      </w:tr>
      <w:tr>
        <w:trPr>
          <w:trHeight w:val="16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312,568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312,568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7"/>
        </w:trPr>
        <w:tc>
          <w:tcPr>
            <w:tcW w:w="270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Payable to broker-dealers and clearing</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68,843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68,843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97"/>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190,909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(190,877)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7"/>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16,303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16,303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(9,455)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6,848</w:t>
            </w:r>
          </w:p>
        </w:tc>
        <w:tc>
          <w:tcPr>
            <w:tcW w:w="0" w:type="dxa"/>
            <w:vAlign w:val="bottom"/>
          </w:tcPr>
          <w:p>
            <w:pPr>
              <w:spacing w:after="0"/>
              <w:rPr>
                <w:sz w:val="1"/>
                <w:szCs w:val="1"/>
                <w:color w:val="auto"/>
              </w:rPr>
            </w:pPr>
          </w:p>
        </w:tc>
      </w:tr>
      <w:tr>
        <w:trPr>
          <w:trHeight w:val="227"/>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1,792,737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(190,877)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1,601,860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(1,503,085)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(83,193)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15,582</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Gross Amounts Not Offset in the</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 Statement of Financial</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Net Amounts of Assets</w:t>
            </w: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4"/>
              </w:rPr>
              <w:t>Condition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Financial</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Consolidated Statement</w:t>
            </w:r>
          </w:p>
        </w:tc>
        <w:tc>
          <w:tcPr>
            <w:tcW w:w="1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0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Recognized Assets</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Collateral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Offsetting of Financial Assets: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1,928,763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(1,881,005)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(15,280)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32,478</w:t>
            </w:r>
          </w:p>
        </w:tc>
        <w:tc>
          <w:tcPr>
            <w:tcW w:w="0" w:type="dxa"/>
            <w:vAlign w:val="bottom"/>
          </w:tcPr>
          <w:p>
            <w:pPr>
              <w:spacing w:after="0"/>
              <w:rPr>
                <w:sz w:val="1"/>
                <w:szCs w:val="1"/>
                <w:color w:val="auto"/>
              </w:rPr>
            </w:pPr>
          </w:p>
        </w:tc>
      </w:tr>
      <w:tr>
        <w:trPr>
          <w:trHeight w:val="16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(142,922)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7"/>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242,552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(211,398)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197"/>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8,538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8,538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7"/>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2,322,885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(211,398)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2,111,487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(2,032,464)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63,743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Gross Amounts Not Offset in the</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Consolidated Statement of</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500" w:type="dxa"/>
            <w:vAlign w:val="bottom"/>
            <w:gridSpan w:val="4"/>
            <w:vMerge w:val="restart"/>
          </w:tcPr>
          <w:p>
            <w:pPr>
              <w:jc w:val="right"/>
              <w:ind w:right="648"/>
              <w:spacing w:after="0"/>
              <w:rPr>
                <w:sz w:val="20"/>
                <w:szCs w:val="20"/>
                <w:color w:val="auto"/>
              </w:rPr>
            </w:pPr>
            <w:r>
              <w:rPr>
                <w:rFonts w:ascii="Arial" w:cs="Arial" w:eastAsia="Arial" w:hAnsi="Arial"/>
                <w:sz w:val="14"/>
                <w:szCs w:val="14"/>
                <w:b w:val="1"/>
                <w:bCs w:val="1"/>
                <w:color w:val="auto"/>
              </w:rPr>
              <w:t>Financial Condition</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62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Liabilities Presented in</w:t>
            </w:r>
          </w:p>
        </w:tc>
        <w:tc>
          <w:tcPr>
            <w:tcW w:w="1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Gross Amounts of</w:t>
            </w: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the Consolidated</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Financial</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Counterparty</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Consolidated Statement</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Statement of Financial</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Netting/ Cash</w:t>
            </w:r>
          </w:p>
        </w:tc>
        <w:tc>
          <w:tcPr>
            <w:tcW w:w="10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of Financial Condition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Condition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Collateral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1,600,099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(1,552,146)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(15,281)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32,672</w:t>
            </w:r>
          </w:p>
        </w:tc>
        <w:tc>
          <w:tcPr>
            <w:tcW w:w="0" w:type="dxa"/>
            <w:vAlign w:val="bottom"/>
          </w:tcPr>
          <w:p>
            <w:pPr>
              <w:spacing w:after="0"/>
              <w:rPr>
                <w:sz w:val="1"/>
                <w:szCs w:val="1"/>
                <w:color w:val="auto"/>
              </w:rPr>
            </w:pPr>
          </w:p>
        </w:tc>
      </w:tr>
      <w:tr>
        <w:trPr>
          <w:trHeight w:val="16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340,742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(340,718)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7"/>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196,554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(196,535)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7"/>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3,087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2,140,482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(196,535)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1,943,947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(1,895,951)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32,715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presents gross obligations for securities sold under agreements to repurchase and for securities lending transactions by remaining contractual maturity and the class of collateral pledged:</w:t>
      </w:r>
    </w:p>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2"/>
              </w:rPr>
              <w:t>June 30, 2020</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Remaining Contractual Maturity</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Overnight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Less than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rPr>
              <w:t>30-60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rPr>
              <w:t>61-90</w:t>
            </w:r>
          </w:p>
        </w:tc>
        <w:tc>
          <w:tcPr>
            <w:tcW w:w="80" w:type="dxa"/>
            <w:vAlign w:val="bottom"/>
          </w:tcPr>
          <w:p>
            <w:pPr>
              <w:spacing w:after="0"/>
              <w:rPr>
                <w:sz w:val="13"/>
                <w:szCs w:val="13"/>
                <w:color w:val="auto"/>
              </w:rPr>
            </w:pPr>
          </w:p>
        </w:tc>
        <w:tc>
          <w:tcPr>
            <w:tcW w:w="12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Greater than 90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Continuous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80" w:type="dxa"/>
            <w:vAlign w:val="bottom"/>
          </w:tcPr>
          <w:p>
            <w:pPr>
              <w:spacing w:after="0"/>
              <w:rPr>
                <w:sz w:val="16"/>
                <w:szCs w:val="16"/>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26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U.S. and Non-U.S. government obligations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12,568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150,000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50,000</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Equity securities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1,204,114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1,204,114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CCEEFF"/>
            </w:tcBorders>
            <w:gridSpan w:val="3"/>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1,204,114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1,204,114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Remaining Contractual Maturity</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Overnight and</w:t>
            </w:r>
          </w:p>
        </w:tc>
        <w:tc>
          <w:tcPr>
            <w:tcW w:w="80" w:type="dxa"/>
            <w:vAlign w:val="bottom"/>
          </w:tcPr>
          <w:p>
            <w:pPr>
              <w:spacing w:after="0"/>
              <w:rPr>
                <w:sz w:val="13"/>
                <w:szCs w:val="13"/>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2"/>
              </w:rPr>
              <w:t>Less than 30 days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rPr>
              <w:t>30-60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center"/>
              <w:ind w:right="228"/>
              <w:spacing w:after="0" w:line="153" w:lineRule="exact"/>
              <w:rPr>
                <w:sz w:val="20"/>
                <w:szCs w:val="20"/>
                <w:color w:val="auto"/>
              </w:rPr>
            </w:pPr>
            <w:r>
              <w:rPr>
                <w:rFonts w:ascii="Arial" w:cs="Arial" w:eastAsia="Arial" w:hAnsi="Arial"/>
                <w:sz w:val="14"/>
                <w:szCs w:val="14"/>
                <w:b w:val="1"/>
                <w:bCs w:val="1"/>
                <w:color w:val="auto"/>
              </w:rPr>
              <w:t>61-90</w:t>
            </w:r>
          </w:p>
        </w:tc>
        <w:tc>
          <w:tcPr>
            <w:tcW w:w="80" w:type="dxa"/>
            <w:vAlign w:val="bottom"/>
          </w:tcPr>
          <w:p>
            <w:pPr>
              <w:spacing w:after="0"/>
              <w:rPr>
                <w:sz w:val="13"/>
                <w:szCs w:val="13"/>
                <w:color w:val="auto"/>
              </w:rPr>
            </w:pPr>
          </w:p>
        </w:tc>
        <w:tc>
          <w:tcPr>
            <w:tcW w:w="122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Greater than 90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Continuous</w:t>
            </w:r>
          </w:p>
        </w:tc>
        <w:tc>
          <w:tcPr>
            <w:tcW w:w="8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days</w:t>
            </w:r>
          </w:p>
        </w:tc>
        <w:tc>
          <w:tcPr>
            <w:tcW w:w="280" w:type="dxa"/>
            <w:vAlign w:val="bottom"/>
          </w:tcPr>
          <w:p>
            <w:pPr>
              <w:spacing w:after="0"/>
              <w:rPr>
                <w:sz w:val="16"/>
                <w:szCs w:val="16"/>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26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0" w:type="dxa"/>
            <w:vAlign w:val="bottom"/>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75,000</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U.S. and Non-U.S. government obligations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65,742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65,742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65,742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340,742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Equity securities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1,600,099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1,600,099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1,600,099</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1,600,099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June 30, 2020 and December 31,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Assets</w:t>
            </w:r>
          </w:p>
        </w:tc>
        <w:tc>
          <w:tcPr>
            <w:tcW w:w="100" w:type="dxa"/>
            <w:vAlign w:val="bottom"/>
            <w:shd w:val="clear" w:color="auto" w:fill="CCEEFF"/>
          </w:tcPr>
          <w:p>
            <w:pPr>
              <w:spacing w:after="0"/>
              <w:rPr>
                <w:sz w:val="17"/>
                <w:szCs w:val="17"/>
                <w:color w:val="auto"/>
              </w:rPr>
            </w:pPr>
          </w:p>
        </w:tc>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Notional</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Fair Value</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Notional</w:t>
            </w:r>
          </w:p>
        </w:tc>
      </w:tr>
      <w:tr>
        <w:trPr>
          <w:trHeight w:val="152"/>
        </w:trPr>
        <w:tc>
          <w:tcPr>
            <w:tcW w:w="29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Derivative instruments not designated as</w:t>
            </w: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2"/>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 futures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Receivables from broker-dealers and clearing</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2,170,159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4,502,017</w:t>
            </w:r>
          </w:p>
        </w:tc>
      </w:tr>
      <w:tr>
        <w:trPr>
          <w:trHeight w:val="157"/>
        </w:trPr>
        <w:tc>
          <w:tcPr>
            <w:tcW w:w="2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Commodity futures</w:t>
            </w:r>
          </w:p>
        </w:tc>
        <w:tc>
          <w:tcPr>
            <w:tcW w:w="31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495,103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6,949,099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40,656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7,758,974</w:t>
            </w:r>
          </w:p>
        </w:tc>
      </w:tr>
      <w:tr>
        <w:trPr>
          <w:trHeight w:val="16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futures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Receivables from broker-dealers and clearing</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907,339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1,116,246</w:t>
            </w:r>
          </w:p>
        </w:tc>
      </w:tr>
      <w:tr>
        <w:trPr>
          <w:trHeight w:val="157"/>
        </w:trPr>
        <w:tc>
          <w:tcPr>
            <w:tcW w:w="2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Fixed income futures</w:t>
            </w:r>
          </w:p>
        </w:tc>
        <w:tc>
          <w:tcPr>
            <w:tcW w:w="31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15,512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155,697</w:t>
            </w:r>
          </w:p>
        </w:tc>
      </w:tr>
      <w:tr>
        <w:trPr>
          <w:trHeight w:val="208"/>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Financial instruments owned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655,661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442,808</w:t>
            </w:r>
          </w:p>
        </w:tc>
      </w:tr>
      <w:tr>
        <w:trPr>
          <w:trHeight w:val="197"/>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Currency forwards</w:t>
            </w: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Financial instruments owned</w:t>
            </w: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201,365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24,829,993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242,552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24,369,818</w:t>
            </w:r>
          </w:p>
        </w:tc>
      </w:tr>
      <w:tr>
        <w:trPr>
          <w:trHeight w:val="208"/>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525,000</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Liabilities</w:t>
            </w:r>
          </w:p>
        </w:tc>
        <w:tc>
          <w:tcPr>
            <w:tcW w:w="100" w:type="dxa"/>
            <w:vAlign w:val="bottom"/>
            <w:shd w:val="clear" w:color="auto" w:fill="CCEEFF"/>
          </w:tcPr>
          <w:p>
            <w:pPr>
              <w:spacing w:after="0"/>
              <w:rPr>
                <w:sz w:val="17"/>
                <w:szCs w:val="17"/>
                <w:color w:val="auto"/>
              </w:rPr>
            </w:pPr>
          </w:p>
        </w:tc>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Notional</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Fair Value</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Notional</w:t>
            </w:r>
          </w:p>
        </w:tc>
      </w:tr>
      <w:tr>
        <w:trPr>
          <w:trHeight w:val="146"/>
        </w:trPr>
        <w:tc>
          <w:tcPr>
            <w:tcW w:w="29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Derivative instruments not designated as</w:t>
            </w: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92"/>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 futures</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Payables to broker-dealers and clearing</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97,216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83,803</w:t>
            </w: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color w:val="auto"/>
              </w:rPr>
              <w:t>Commodity futures</w:t>
            </w:r>
          </w:p>
        </w:tc>
        <w:tc>
          <w:tcPr>
            <w:tcW w:w="3220" w:type="dxa"/>
            <w:vAlign w:val="bottom"/>
          </w:tcPr>
          <w:p>
            <w:pPr>
              <w:ind w:left="60"/>
              <w:spacing w:after="0"/>
              <w:rPr>
                <w:sz w:val="20"/>
                <w:szCs w:val="20"/>
                <w:color w:val="auto"/>
              </w:rPr>
            </w:pPr>
            <w:r>
              <w:rPr>
                <w:rFonts w:ascii="Arial" w:cs="Arial" w:eastAsia="Arial" w:hAnsi="Arial"/>
                <w:sz w:val="14"/>
                <w:szCs w:val="14"/>
                <w:color w:val="auto"/>
              </w:rPr>
              <w:t>Payables to broker-dealers and clearing</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8"/>
        </w:trPr>
        <w:tc>
          <w:tcPr>
            <w:tcW w:w="2900" w:type="dxa"/>
            <w:vAlign w:val="bottom"/>
          </w:tcPr>
          <w:p>
            <w:pPr>
              <w:spacing w:after="0"/>
              <w:rPr>
                <w:sz w:val="16"/>
                <w:szCs w:val="16"/>
                <w:color w:val="auto"/>
              </w:rPr>
            </w:pPr>
          </w:p>
        </w:tc>
        <w:tc>
          <w:tcPr>
            <w:tcW w:w="3220" w:type="dxa"/>
            <w:vAlign w:val="bottom"/>
          </w:tcPr>
          <w:p>
            <w:pPr>
              <w:ind w:left="60"/>
              <w:spacing w:after="0"/>
              <w:rPr>
                <w:sz w:val="20"/>
                <w:szCs w:val="20"/>
                <w:color w:val="auto"/>
              </w:rPr>
            </w:pPr>
            <w:r>
              <w:rPr>
                <w:rFonts w:ascii="Arial" w:cs="Arial" w:eastAsia="Arial" w:hAnsi="Arial"/>
                <w:sz w:val="14"/>
                <w:szCs w:val="14"/>
                <w:color w:val="auto"/>
              </w:rPr>
              <w:t>organizations</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(2,907)</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45,279</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(45,175)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3,604,979</w:t>
            </w:r>
          </w:p>
        </w:tc>
      </w:tr>
      <w:tr>
        <w:trPr>
          <w:trHeight w:val="163"/>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futures</w:t>
            </w:r>
          </w:p>
        </w:tc>
        <w:tc>
          <w:tcPr>
            <w:tcW w:w="3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Payables to broker-dealers and clearing</w:t>
            </w:r>
          </w:p>
        </w:tc>
        <w:tc>
          <w:tcPr>
            <w:tcW w:w="13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2900" w:type="dxa"/>
            <w:vAlign w:val="bottom"/>
            <w:shd w:val="clear" w:color="auto" w:fill="CCEEFF"/>
          </w:tcPr>
          <w:p>
            <w:pPr>
              <w:spacing w:after="0"/>
              <w:rPr>
                <w:sz w:val="16"/>
                <w:szCs w:val="16"/>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organizations</w:t>
            </w:r>
          </w:p>
        </w:tc>
        <w:tc>
          <w:tcPr>
            <w:tcW w:w="13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4,192</w:t>
            </w:r>
          </w:p>
        </w:tc>
        <w:tc>
          <w:tcPr>
            <w:tcW w:w="13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1,735,199</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(23,223)</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6,594,991</w:t>
            </w:r>
          </w:p>
        </w:tc>
      </w:tr>
      <w:tr>
        <w:trPr>
          <w:trHeight w:val="157"/>
        </w:trPr>
        <w:tc>
          <w:tcPr>
            <w:tcW w:w="2900" w:type="dxa"/>
            <w:vAlign w:val="bottom"/>
          </w:tcPr>
          <w:p>
            <w:pPr>
              <w:ind w:left="20"/>
              <w:spacing w:after="0" w:line="157" w:lineRule="exact"/>
              <w:rPr>
                <w:sz w:val="20"/>
                <w:szCs w:val="20"/>
                <w:color w:val="auto"/>
              </w:rPr>
            </w:pPr>
            <w:r>
              <w:rPr>
                <w:rFonts w:ascii="Arial" w:cs="Arial" w:eastAsia="Arial" w:hAnsi="Arial"/>
                <w:sz w:val="14"/>
                <w:szCs w:val="14"/>
                <w:color w:val="auto"/>
              </w:rPr>
              <w:t>Fixed income futures</w:t>
            </w:r>
          </w:p>
        </w:tc>
        <w:tc>
          <w:tcPr>
            <w:tcW w:w="3220" w:type="dxa"/>
            <w:vAlign w:val="bottom"/>
          </w:tcPr>
          <w:p>
            <w:pPr>
              <w:ind w:left="60"/>
              <w:spacing w:after="0" w:line="157" w:lineRule="exact"/>
              <w:rPr>
                <w:sz w:val="20"/>
                <w:szCs w:val="20"/>
                <w:color w:val="auto"/>
              </w:rPr>
            </w:pPr>
            <w:r>
              <w:rPr>
                <w:rFonts w:ascii="Arial" w:cs="Arial" w:eastAsia="Arial" w:hAnsi="Arial"/>
                <w:sz w:val="14"/>
                <w:szCs w:val="14"/>
                <w:color w:val="auto"/>
              </w:rPr>
              <w:t>Payables to broker-dealers and clearing</w:t>
            </w: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2900" w:type="dxa"/>
            <w:vAlign w:val="bottom"/>
          </w:tcPr>
          <w:p>
            <w:pPr>
              <w:spacing w:after="0"/>
              <w:rPr>
                <w:sz w:val="16"/>
                <w:szCs w:val="16"/>
                <w:color w:val="auto"/>
              </w:rPr>
            </w:pPr>
          </w:p>
        </w:tc>
        <w:tc>
          <w:tcPr>
            <w:tcW w:w="3220" w:type="dxa"/>
            <w:vAlign w:val="bottom"/>
          </w:tcPr>
          <w:p>
            <w:pPr>
              <w:ind w:left="60"/>
              <w:spacing w:after="0"/>
              <w:rPr>
                <w:sz w:val="20"/>
                <w:szCs w:val="20"/>
                <w:color w:val="auto"/>
              </w:rPr>
            </w:pPr>
            <w:r>
              <w:rPr>
                <w:rFonts w:ascii="Arial" w:cs="Arial" w:eastAsia="Arial" w:hAnsi="Arial"/>
                <w:sz w:val="14"/>
                <w:szCs w:val="14"/>
                <w:color w:val="auto"/>
              </w:rPr>
              <w:t>organizations</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88,070</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94</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190,938</w:t>
            </w:r>
          </w:p>
        </w:tc>
      </w:tr>
      <w:tr>
        <w:trPr>
          <w:trHeight w:val="208"/>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3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Financial instruments sold, not yet purchased</w:t>
            </w:r>
          </w:p>
        </w:tc>
        <w:tc>
          <w:tcPr>
            <w:tcW w:w="13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16,303</w:t>
            </w:r>
          </w:p>
        </w:tc>
        <w:tc>
          <w:tcPr>
            <w:tcW w:w="13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669,130</w:t>
            </w:r>
          </w:p>
        </w:tc>
        <w:tc>
          <w:tcPr>
            <w:tcW w:w="12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3,087</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436,422</w:t>
            </w:r>
          </w:p>
        </w:tc>
      </w:tr>
      <w:tr>
        <w:trPr>
          <w:trHeight w:val="196"/>
        </w:trPr>
        <w:tc>
          <w:tcPr>
            <w:tcW w:w="2900" w:type="dxa"/>
            <w:vAlign w:val="bottom"/>
          </w:tcPr>
          <w:p>
            <w:pPr>
              <w:ind w:left="20"/>
              <w:spacing w:after="0"/>
              <w:rPr>
                <w:sz w:val="20"/>
                <w:szCs w:val="20"/>
                <w:color w:val="auto"/>
              </w:rPr>
            </w:pPr>
            <w:r>
              <w:rPr>
                <w:rFonts w:ascii="Arial" w:cs="Arial" w:eastAsia="Arial" w:hAnsi="Arial"/>
                <w:sz w:val="14"/>
                <w:szCs w:val="14"/>
                <w:color w:val="auto"/>
              </w:rPr>
              <w:t>Currency forwards</w:t>
            </w:r>
          </w:p>
        </w:tc>
        <w:tc>
          <w:tcPr>
            <w:tcW w:w="3220" w:type="dxa"/>
            <w:vAlign w:val="bottom"/>
          </w:tcPr>
          <w:p>
            <w:pPr>
              <w:ind w:left="60"/>
              <w:spacing w:after="0"/>
              <w:rPr>
                <w:sz w:val="20"/>
                <w:szCs w:val="20"/>
                <w:color w:val="auto"/>
              </w:rPr>
            </w:pPr>
            <w:r>
              <w:rPr>
                <w:rFonts w:ascii="Arial" w:cs="Arial" w:eastAsia="Arial" w:hAnsi="Arial"/>
                <w:sz w:val="14"/>
                <w:szCs w:val="14"/>
                <w:color w:val="auto"/>
              </w:rPr>
              <w:t>Financial instruments sold, not yet purchased</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190,909</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24,824,765</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196,554</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24,346,818</w:t>
            </w:r>
          </w:p>
        </w:tc>
      </w:tr>
      <w:tr>
        <w:trPr>
          <w:trHeight w:val="222"/>
        </w:trPr>
        <w:tc>
          <w:tcPr>
            <w:tcW w:w="290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53"/>
        </w:trPr>
        <w:tc>
          <w:tcPr>
            <w:tcW w:w="2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w w:val="93"/>
              </w:rPr>
              <w:t>Derivative instruments designated as hedging</w:t>
            </w:r>
          </w:p>
        </w:tc>
        <w:tc>
          <w:tcPr>
            <w:tcW w:w="3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2"/>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3"/>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3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Payables to broker-dealers and clearing</w:t>
            </w:r>
          </w:p>
        </w:tc>
        <w:tc>
          <w:tcPr>
            <w:tcW w:w="13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2900" w:type="dxa"/>
            <w:vAlign w:val="bottom"/>
            <w:shd w:val="clear" w:color="auto" w:fill="CCEEFF"/>
          </w:tcPr>
          <w:p>
            <w:pPr>
              <w:spacing w:after="0"/>
              <w:rPr>
                <w:sz w:val="16"/>
                <w:szCs w:val="16"/>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organizations</w:t>
            </w:r>
          </w:p>
        </w:tc>
        <w:tc>
          <w:tcPr>
            <w:tcW w:w="13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68,843</w:t>
            </w:r>
          </w:p>
        </w:tc>
        <w:tc>
          <w:tcPr>
            <w:tcW w:w="13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1,525,000</w:t>
            </w:r>
          </w:p>
        </w:tc>
        <w:tc>
          <w:tcPr>
            <w:tcW w:w="12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bl>
    <w:p>
      <w:pPr>
        <w:spacing w:after="0" w:line="3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9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following table summarizes the net gain (loss) from derivative instruments not designated as hedging instruments under ASC 815, which are recorded in total revenues, and from those designated as hedging instruments under ASC 815, which are recorded in other comprehensive income in the accompanying Condensed Consolidated Statements of Comprehensive Income for the three and six months ended June 30,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152"/>
        </w:trPr>
        <w:tc>
          <w:tcPr>
            <w:tcW w:w="29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Derivative instruments not designated as</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9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7"/>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Futures</w:t>
            </w: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ind w:left="420"/>
              <w:spacing w:after="0"/>
              <w:rPr>
                <w:sz w:val="20"/>
                <w:szCs w:val="20"/>
                <w:color w:val="auto"/>
              </w:rPr>
            </w:pPr>
            <w:r>
              <w:rPr>
                <w:rFonts w:ascii="Arial" w:cs="Arial" w:eastAsia="Arial" w:hAnsi="Arial"/>
                <w:sz w:val="14"/>
                <w:szCs w:val="14"/>
                <w:color w:val="auto"/>
              </w:rPr>
              <w:t>35,603</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83,225</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23,702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155,610</w:t>
            </w:r>
          </w:p>
        </w:tc>
      </w:tr>
      <w:tr>
        <w:trPr>
          <w:trHeight w:val="20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(9,229)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192,579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(45,042)</w:t>
            </w:r>
          </w:p>
        </w:tc>
      </w:tr>
      <w:tr>
        <w:trPr>
          <w:trHeight w:val="197"/>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Options</w:t>
            </w:r>
          </w:p>
        </w:tc>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Trading income, net</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25,039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26,300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4,997</w:t>
            </w:r>
          </w:p>
        </w:tc>
      </w:tr>
      <w:tr>
        <w:trPr>
          <w:trHeight w:val="221"/>
        </w:trPr>
        <w:tc>
          <w:tcPr>
            <w:tcW w:w="2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51,413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66,691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242,581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115,565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3"/>
        </w:trPr>
        <w:tc>
          <w:tcPr>
            <w:tcW w:w="29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Derivative instruments designated as</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9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Interest rate swaps (1)</w:t>
            </w: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ind w:left="420"/>
              <w:spacing w:after="0"/>
              <w:rPr>
                <w:sz w:val="20"/>
                <w:szCs w:val="20"/>
                <w:color w:val="auto"/>
              </w:rPr>
            </w:pPr>
            <w:r>
              <w:rPr>
                <w:rFonts w:ascii="Arial" w:cs="Arial" w:eastAsia="Arial" w:hAnsi="Arial"/>
                <w:sz w:val="14"/>
                <w:szCs w:val="14"/>
                <w:color w:val="auto"/>
              </w:rPr>
              <w:t>(9,137)</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(64,739)</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right="100" w:firstLine="8"/>
        <w:spacing w:after="0" w:line="252"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January 29, 2020, the Company entered into a five-year $1,000 million floating-to-fixed interest rate swap agreement. The Company also previously entered into a five-year $525 million floating-to-fixed interest rate swap agreement. As of January 1, 2020, these two interest rate swaps met the criteria to be considered qualifying cash flow hedges under ASC 815, and as such, the mark-to-market gains (losses) on the instruments were recorded within Other comprehensive income on the Condensed Consolidated Statement of Comprehensive Income for the three and six months ended June 30, 2020.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Revenues from Contracts with 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w:t>
      </w:r>
    </w:p>
    <w:p>
      <w:pPr>
        <w:spacing w:after="0" w:line="21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Commissions, net</w:t>
      </w:r>
      <w:r>
        <w:rPr>
          <w:rFonts w:ascii="Arial" w:cs="Arial" w:eastAsia="Arial" w:hAnsi="Arial"/>
          <w:sz w:val="17"/>
          <w:szCs w:val="17"/>
          <w:color w:val="auto"/>
        </w:rPr>
        <w:t>. The Company earns commission revenue by acting as an agent on behalf of customers. The Company’s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w:t>
      </w:r>
    </w:p>
    <w:p>
      <w:pPr>
        <w:spacing w:after="0" w:line="20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Workflow technology. </w:t>
      </w:r>
      <w:r>
        <w:rPr>
          <w:rFonts w:ascii="Arial" w:cs="Arial" w:eastAsia="Arial" w:hAnsi="Arial"/>
          <w:sz w:val="18"/>
          <w:szCs w:val="18"/>
          <w:color w:val="auto"/>
        </w:rPr>
        <w:t>Through its front-end workflow solutions and network capabilities, the Company provides order and trade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order routing services.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21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The Company provides customers with analytics products and services, including trading and portfolio analytics tools.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84" w:lineRule="exact"/>
        <w:rPr>
          <w:sz w:val="20"/>
          <w:szCs w:val="20"/>
          <w:color w:val="auto"/>
        </w:rPr>
      </w:pPr>
    </w:p>
    <w:p>
      <w:pPr>
        <w:ind w:left="1300" w:right="140" w:hanging="644"/>
        <w:spacing w:after="0" w:line="258" w:lineRule="auto"/>
        <w:tabs>
          <w:tab w:leader="none" w:pos="1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commission value for each customer for the products and services it receives, which is priced using the value for similar stand-alone subscription arrangements; and</w:t>
      </w:r>
    </w:p>
    <w:p>
      <w:pPr>
        <w:spacing w:after="0" w:line="1" w:lineRule="exact"/>
        <w:rPr>
          <w:rFonts w:ascii="Arial" w:cs="Arial" w:eastAsia="Arial" w:hAnsi="Arial"/>
          <w:sz w:val="18"/>
          <w:szCs w:val="18"/>
          <w:color w:val="auto"/>
        </w:rPr>
      </w:pPr>
    </w:p>
    <w:p>
      <w:pPr>
        <w:ind w:left="1300" w:right="220" w:hanging="644"/>
        <w:spacing w:after="0" w:line="260"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calculated ratio of the commission value for the products and services relative to the total amount of commissions generated from the customer.</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tables present the Company’s revenue from contracts with customers disaggregated by the services described above, by timing of revenue recognition, reconciled to the Company’s segments, for the three and six months ended June 30, 2020 and 2019:</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2020</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Execution Services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110,703</w:t>
            </w:r>
          </w:p>
        </w:tc>
      </w:tr>
      <w:tr>
        <w:trPr>
          <w:trHeight w:val="197"/>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Workflow technology</w:t>
            </w: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26,589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26,589</w:t>
            </w:r>
          </w:p>
        </w:tc>
      </w:tr>
      <w:tr>
        <w:trPr>
          <w:trHeight w:val="203"/>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Analytics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10,444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10,444</w:t>
            </w:r>
          </w:p>
        </w:tc>
      </w:tr>
      <w:tr>
        <w:trPr>
          <w:trHeight w:val="196"/>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148,370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147,736</w:t>
            </w:r>
          </w:p>
        </w:tc>
      </w:tr>
      <w:tr>
        <w:trPr>
          <w:trHeight w:val="276"/>
        </w:trPr>
        <w:tc>
          <w:tcPr>
            <w:tcW w:w="4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7"/>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Other sources of revenue</w:t>
            </w:r>
          </w:p>
        </w:tc>
        <w:tc>
          <w:tcPr>
            <w:tcW w:w="1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759,751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640"/>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758,167</w:t>
            </w:r>
          </w:p>
        </w:tc>
      </w:tr>
      <w:tr>
        <w:trPr>
          <w:trHeight w:val="276"/>
        </w:trPr>
        <w:tc>
          <w:tcPr>
            <w:tcW w:w="4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196"/>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759,117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148,076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905,903</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759,117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887,187</w:t>
            </w:r>
          </w:p>
        </w:tc>
      </w:tr>
      <w:tr>
        <w:trPr>
          <w:trHeight w:val="196"/>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Services transferred over time</w:t>
            </w: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18,716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18,716</w:t>
            </w:r>
          </w:p>
        </w:tc>
      </w:tr>
      <w:tr>
        <w:trPr>
          <w:trHeight w:val="227"/>
        </w:trPr>
        <w:tc>
          <w:tcPr>
            <w:tcW w:w="41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759,117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148,076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(1,290)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905,903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2019</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Execution Services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103,727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108,688</w:t>
            </w:r>
          </w:p>
        </w:tc>
      </w:tr>
      <w:tr>
        <w:trPr>
          <w:trHeight w:val="197"/>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Workflow technology</w:t>
            </w: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25,455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25,455</w:t>
            </w:r>
          </w:p>
        </w:tc>
      </w:tr>
      <w:tr>
        <w:trPr>
          <w:trHeight w:val="203"/>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Analytics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10,977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10,977</w:t>
            </w:r>
          </w:p>
        </w:tc>
      </w:tr>
      <w:tr>
        <w:trPr>
          <w:trHeight w:val="196"/>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140,159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145,120</w:t>
            </w:r>
          </w:p>
        </w:tc>
      </w:tr>
      <w:tr>
        <w:trPr>
          <w:trHeight w:val="276"/>
        </w:trPr>
        <w:tc>
          <w:tcPr>
            <w:tcW w:w="4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6"/>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Other sources of revenue</w:t>
            </w:r>
          </w:p>
        </w:tc>
        <w:tc>
          <w:tcPr>
            <w:tcW w:w="1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229,068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74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229,981</w:t>
            </w:r>
          </w:p>
        </w:tc>
      </w:tr>
      <w:tr>
        <w:trPr>
          <w:trHeight w:val="276"/>
        </w:trPr>
        <w:tc>
          <w:tcPr>
            <w:tcW w:w="4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196"/>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234,029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141,470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375,101</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19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354,840</w:t>
            </w:r>
          </w:p>
        </w:tc>
      </w:tr>
      <w:tr>
        <w:trPr>
          <w:trHeight w:val="197"/>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Services transferred over time</w:t>
            </w: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20,261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20,261</w:t>
            </w:r>
          </w:p>
        </w:tc>
      </w:tr>
      <w:tr>
        <w:trPr>
          <w:trHeight w:val="227"/>
        </w:trPr>
        <w:tc>
          <w:tcPr>
            <w:tcW w:w="41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234,029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375,101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June 30, 2020</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Execution Services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Commissions, net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242,363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242,499</w:t>
            </w:r>
          </w:p>
        </w:tc>
      </w:tr>
      <w:tr>
        <w:trPr>
          <w:trHeight w:val="208"/>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Workflow technology</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55,332</w:t>
            </w:r>
          </w:p>
        </w:tc>
      </w:tr>
      <w:tr>
        <w:trPr>
          <w:trHeight w:val="197"/>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Analytics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20,650</w:t>
            </w:r>
          </w:p>
        </w:tc>
      </w:tr>
      <w:tr>
        <w:trPr>
          <w:trHeight w:val="202"/>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318,345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318,481</w:t>
            </w:r>
          </w:p>
        </w:tc>
      </w:tr>
      <w:tr>
        <w:trPr>
          <w:trHeight w:val="270"/>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0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1,589,567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1,588,043</w:t>
            </w:r>
          </w:p>
        </w:tc>
      </w:tr>
      <w:tr>
        <w:trPr>
          <w:trHeight w:val="270"/>
        </w:trPr>
        <w:tc>
          <w:tcPr>
            <w:tcW w:w="40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21"/>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1,589,703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317,941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(1,120)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1,906,524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4100" w:type="dxa"/>
            <w:vAlign w:val="bottom"/>
            <w:gridSpan w:val="2"/>
          </w:tcPr>
          <w:p>
            <w:pPr>
              <w:ind w:left="12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1,589,703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280,665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640"/>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1,869,248</w:t>
            </w:r>
          </w:p>
        </w:tc>
      </w:tr>
      <w:tr>
        <w:trPr>
          <w:trHeight w:val="203"/>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37,276</w:t>
            </w:r>
          </w:p>
        </w:tc>
      </w:tr>
      <w:tr>
        <w:trPr>
          <w:trHeight w:val="202"/>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1,589,703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317,941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1,906,524</w:t>
            </w:r>
          </w:p>
        </w:tc>
      </w:tr>
      <w:tr>
        <w:trPr>
          <w:trHeight w:val="21"/>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June 30, 2019</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Execution Services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Commissions, net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9,961</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161,482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171,443</w:t>
            </w:r>
          </w:p>
        </w:tc>
      </w:tr>
      <w:tr>
        <w:trPr>
          <w:trHeight w:val="208"/>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Workflow technology</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34,327</w:t>
            </w:r>
          </w:p>
        </w:tc>
      </w:tr>
      <w:tr>
        <w:trPr>
          <w:trHeight w:val="197"/>
        </w:trPr>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Analytics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14,497</w:t>
            </w:r>
          </w:p>
        </w:tc>
      </w:tr>
      <w:tr>
        <w:trPr>
          <w:trHeight w:val="202"/>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210,306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220,267</w:t>
            </w:r>
          </w:p>
        </w:tc>
      </w:tr>
      <w:tr>
        <w:trPr>
          <w:trHeight w:val="270"/>
        </w:trPr>
        <w:tc>
          <w:tcPr>
            <w:tcW w:w="4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03"/>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502,313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515,266</w:t>
            </w:r>
          </w:p>
        </w:tc>
      </w:tr>
      <w:tr>
        <w:trPr>
          <w:trHeight w:val="270"/>
        </w:trPr>
        <w:tc>
          <w:tcPr>
            <w:tcW w:w="4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21"/>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512,274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224,520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735,533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4120" w:type="dxa"/>
            <w:vAlign w:val="bottom"/>
            <w:gridSpan w:val="2"/>
          </w:tcPr>
          <w:p>
            <w:pPr>
              <w:ind w:left="12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512,274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197,470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708,483</w:t>
            </w:r>
          </w:p>
        </w:tc>
      </w:tr>
      <w:tr>
        <w:trPr>
          <w:trHeight w:val="203"/>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27,050</w:t>
            </w:r>
          </w:p>
        </w:tc>
      </w:tr>
      <w:tr>
        <w:trPr>
          <w:trHeight w:val="202"/>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512,274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224,520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735,533</w:t>
            </w:r>
          </w:p>
        </w:tc>
      </w:tr>
      <w:tr>
        <w:trPr>
          <w:trHeight w:val="21"/>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 and Revenue Recognized from Past Performance Obligations</w:t>
      </w:r>
    </w:p>
    <w:p>
      <w:pPr>
        <w:spacing w:after="0" w:line="25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of June 30, 2020, the aggregate amount of the transaction price allocated to the performance obligations relating to technology services, workflow technology, and analytics revenues that are unsatisfied (or partially unsatisfied) was not material.</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recognized $0.7 million and $0.5 million of revenue related to performance obligations satisfied in previous period for the three and six months ended June 30,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Receivables related to revenues from contracts with customers amounted to $59.3 million and $53.6 million as of June 30, 2020 and December 31, 2019, respectively. The Company did not identify any contract assets. There were no impairment losses on receivables as of June 30, 2020.</w:t>
      </w:r>
    </w:p>
    <w:p>
      <w:pPr>
        <w:spacing w:after="0" w:line="15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Deferred revenue primarily relates to deferred commissions allocated to analytics products and subscription fees billed in advance of satisfying the performance obligations. Deferred revenue related to contracts with customers was $8.1 million and $8.6 million as of June 30, 2020 and December 31, 2019, respectively. The Company recognized revenue of $7.6 million and $7.8 million for the three months ended June 30, 2020 and 2019, respectively, and $15.1 million and $14.9 million for the six months ended June 30, 2020 and 2019, respectively that had been initially recorded as deferred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identified any costs to obtain or fulfill its contracts under ASC 606.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 in Virtu Financial. These noncontrolling interests are subject to U.S. taxation as partnerships. Accordingly, for the three and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2020 and 2019, the income attributable to these noncontrolling interests was reported in the Condensed Consolidated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but the related U.S. income tax expense attributable to these noncontrolling interests was not reported by the Company as it is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of the individual partners. The Company’s provisions for (benefits from) income taxes and effective tax rates were $69.3 million, 17.1%,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 million, 16.7% for the three months ended June 30, 2020 and 2019, respectively, and $147.2 million, 16.9%, and $(13.7) million, 16.5%,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June 30, 2020 and 2019, respectively. Income tax expense is also affected by the differing effective tax rates in foreign, state and local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jurisdictions where certain of the Company’s subsidiaries are subject to corporate taxation.</w:t>
      </w:r>
    </w:p>
    <w:p>
      <w:pPr>
        <w:spacing w:after="0" w:line="2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Included in Other assets on the Condensed Consolidated Statements of Financial Condition at June 30, 2020 and December 31, 2019 were current income tax receivables of $18.9 million and $39.3 million, respectively. The balances at June 30, 2020 and December 31, 2019 primarily comprised income tax benefits due to the Company from federal, state, local, and foreign tax jurisdictions based on income before taxes. Included in Accounts payable, accrued expenses and other liabilities on the Condensed Consolidated Statements of Financial Condition at June 30, 2020 and December 31, 2019 were current tax liabilities of $71.0 million and $11.5 million, respectively. The balances at June 30, 2020 and December 31, 2019 primarily comprised income taxes owed to federal, state and local, and foreign tax jurisdictions based on income before taxes.</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Deferred income taxes arise primarily due to the amortization of the deferred tax assets recognized in connection with the IPO (see Note 5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21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June 30, 2020 and December 31, 2019, the Company had U.S. federal net operating loss carryforwards of $0.0 million and $91.3 million, respectively, and has recorded a deferred tax asset related to these federal net operating carryforwards of $0.0 million and $19.2 million, respectively. The Company did not record a valuation allowance against this deferred tax asset. At June 30, 2020, the Company recorded deferred income taxes related to state and local net operating losses of $3.7 million. These net operating losses will begin to expire in 2031. The Company did not record a valuation allowance against this deferred tax asset.</w:t>
      </w:r>
    </w:p>
    <w:p>
      <w:pPr>
        <w:spacing w:after="0" w:line="19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a result of the ITG Acquisition, the Company had non-U.S. net operating losses at June 30, 2020 and December 31, 2019 of $76.0 million and $86.3 million, respectively, and recorded a related deferred tax asset of $15.5 million and $17.9 million, respectively. A valuation allowance of $15.1 million and $15.6 million was recorded against this deferred tax asset at June 30, 2020 and December 31, 2019, respectively, as it is more likely than not that a portion of this deferred tax asset will not be realized. As a result of the Acquisition of KCG, the Company had non-U.S. net operating losses at June 30, 2020 and December 31, 2019 of $239.0 million and $239.0 million, respectively, and recorded a related deferred tax asset of $44.9 million and $44.9 million, respectively. A full valuation allowance was also recorded against this deferred tax asset at June 30, 2020 and December 31, 2019 as it is more likely than not that this deferred tax asset will not be realized. No valuation allowance against the remaining deferred taxes was recorded as of June 30, 2020 and December 31, 2019 because it is more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likely than not that these deferred tax assets will be fully realized.</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subject to taxation in U.S. federal, state, local and foreign jurisdictions. As of June 30, 2020, the Company’s tax years for 2013 through 2018 and 2010 through 2018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2018. The final outcome of these examinations is not yet determinable. However, the Company anticipates that adjustments related to these examinations, if any, will not result in a material change to the financial condition, results of operations and cash flows.</w:t>
      </w:r>
    </w:p>
    <w:p>
      <w:pPr>
        <w:spacing w:after="0" w:line="219"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 of Comprehensive Income, respectively.</w:t>
      </w:r>
    </w:p>
    <w:p>
      <w:pPr>
        <w:spacing w:after="0" w:line="17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had $9.0 million of unrecognized tax benefits as of June 30, 2020, all of which would affect the Company’s effective tax rate if recognized. The Company has determined that there are no uncertain tax positions that would have a material impact on the Company’s financial position as of June 30,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19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On January 29, 2019, the Company was named as a defendant in </w:t>
      </w:r>
      <w:r>
        <w:rPr>
          <w:rFonts w:ascii="Arial" w:cs="Arial" w:eastAsia="Arial" w:hAnsi="Arial"/>
          <w:sz w:val="16"/>
          <w:szCs w:val="16"/>
          <w:i w:val="1"/>
          <w:iCs w:val="1"/>
          <w:color w:val="auto"/>
        </w:rPr>
        <w:t>Ford v. ProShares Trust II, et al.</w:t>
      </w:r>
      <w:r>
        <w:rPr>
          <w:rFonts w:ascii="Arial" w:cs="Arial" w:eastAsia="Arial" w:hAnsi="Arial"/>
          <w:sz w:val="16"/>
          <w:szCs w:val="16"/>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a ProShares inverse-volatility ETF. Additionally, on February 27, 2019, and March 1, 2019, the Company was named as a defendant in </w:t>
      </w:r>
      <w:r>
        <w:rPr>
          <w:rFonts w:ascii="Arial" w:cs="Arial" w:eastAsia="Arial" w:hAnsi="Arial"/>
          <w:sz w:val="16"/>
          <w:szCs w:val="16"/>
          <w:i w:val="1"/>
          <w:iCs w:val="1"/>
          <w:color w:val="auto"/>
        </w:rPr>
        <w:t>Bittner v. ProShares Trust II, et al.</w:t>
      </w:r>
      <w:r>
        <w:rPr>
          <w:rFonts w:ascii="Arial" w:cs="Arial" w:eastAsia="Arial" w:hAnsi="Arial"/>
          <w:sz w:val="16"/>
          <w:szCs w:val="16"/>
          <w:color w:val="auto"/>
        </w:rPr>
        <w:t xml:space="preserve">, No. 19-cv-1840, and </w:t>
      </w:r>
      <w:r>
        <w:rPr>
          <w:rFonts w:ascii="Arial" w:cs="Arial" w:eastAsia="Arial" w:hAnsi="Arial"/>
          <w:sz w:val="16"/>
          <w:szCs w:val="16"/>
          <w:i w:val="1"/>
          <w:iCs w:val="1"/>
          <w:color w:val="auto"/>
        </w:rPr>
        <w:t>Mareno v. ProShares Trust II, et al</w:t>
      </w:r>
      <w:r>
        <w:rPr>
          <w:rFonts w:ascii="Arial" w:cs="Arial" w:eastAsia="Arial" w:hAnsi="Arial"/>
          <w:sz w:val="16"/>
          <w:szCs w:val="16"/>
          <w:color w:val="auto"/>
        </w:rPr>
        <w:t xml:space="preserve">., No. 19-cv-1955, respectively. The complaints were filed in federal district court in New York on behalf of putative classes, and asserted substantially similar claims against the Company and other financial institutions. On April 29, 2019, these three actions were consolidated in federal district court in New York as </w:t>
      </w:r>
      <w:r>
        <w:rPr>
          <w:rFonts w:ascii="Arial" w:cs="Arial" w:eastAsia="Arial" w:hAnsi="Arial"/>
          <w:sz w:val="16"/>
          <w:szCs w:val="16"/>
          <w:i w:val="1"/>
          <w:iCs w:val="1"/>
          <w:color w:val="auto"/>
        </w:rPr>
        <w:t>In re</w:t>
      </w:r>
      <w:r>
        <w:rPr>
          <w:rFonts w:ascii="Arial" w:cs="Arial" w:eastAsia="Arial" w:hAnsi="Arial"/>
          <w:sz w:val="16"/>
          <w:szCs w:val="16"/>
          <w:color w:val="auto"/>
        </w:rPr>
        <w:t xml:space="preserve"> </w:t>
      </w:r>
      <w:r>
        <w:rPr>
          <w:rFonts w:ascii="Arial" w:cs="Arial" w:eastAsia="Arial" w:hAnsi="Arial"/>
          <w:sz w:val="16"/>
          <w:szCs w:val="16"/>
          <w:i w:val="1"/>
          <w:iCs w:val="1"/>
          <w:color w:val="auto"/>
        </w:rPr>
        <w:t>ProShares Trust II Securities Litigation</w:t>
      </w:r>
      <w:r>
        <w:rPr>
          <w:rFonts w:ascii="Arial" w:cs="Arial" w:eastAsia="Arial" w:hAnsi="Arial"/>
          <w:sz w:val="16"/>
          <w:szCs w:val="16"/>
          <w:color w:val="auto"/>
        </w:rPr>
        <w:t>, No. 19-cv-886-DLC. A consolidated amended complaint, which did not specify the amount of alleged damages,</w:t>
      </w:r>
      <w:r>
        <w:rPr>
          <w:rFonts w:ascii="Arial" w:cs="Arial" w:eastAsia="Arial" w:hAnsi="Arial"/>
          <w:sz w:val="16"/>
          <w:szCs w:val="16"/>
          <w:i w:val="1"/>
          <w:iCs w:val="1"/>
          <w:color w:val="auto"/>
        </w:rPr>
        <w:t xml:space="preserve"> </w:t>
      </w:r>
      <w:r>
        <w:rPr>
          <w:rFonts w:ascii="Arial" w:cs="Arial" w:eastAsia="Arial" w:hAnsi="Arial"/>
          <w:sz w:val="16"/>
          <w:szCs w:val="16"/>
          <w:color w:val="auto"/>
        </w:rPr>
        <w:t>was filed in the consolidated action on June 21, 2019. Defendants moved to dismiss the consolidated amended complaint on August 2, 2019. In response, plaintiffs filed a consolidated second amended complaint on September 6, 2019, which also did not specify the amount of alleged damages. Defendants moved to dismiss the consolidated second amended complaint on September 27, 2019. The defendants’ motion to dismiss was granted on January 3, 2020, and plaintiffs subsequently filed a Notice of Appeal of the district court's ruling on the motion to dismiss on January 31, 2020 and an opening brief on May 14, 2020. The Company believes that the claims are without merit and is defending itself vigorously.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and Regulatory Matters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high frequency trading, best execution, internalization, alternative trading system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the Financial Industry Regulatory Authority and other regulators. It is the Company's practice to cooperate and comply with the requests for information and documents.</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is currently the subject of various regulatory reviews and investigations by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further reduced to €3.0 million (approximately $3.4 million). The Company has fully reserved for the monetary penalty as of June 30, 2020 and anticipates paying the fine during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 Indemnification Arrangements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9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Company adopted ASU 2016-02 on January 1, 2019, and elected the modified retrospective method of implementation. The standard requires the recognition of right-of-use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Condensed Consolidated Statement of Financial Condition and for which lease expense is recognized on a straight-line basis over the lease term.</w:t>
      </w:r>
    </w:p>
    <w:p>
      <w:pPr>
        <w:spacing w:after="0" w:line="20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Topic 842 primarily affected the accounting treatment for operating lease agreements in which the Company is the lessee. These leases are primarily for corporate office space, datacenters, and technology equipment. The leases have remaining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terms of 1 year to 15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also subleases certain office space and facilities to third parties. The subleases have remaining terms of 1 to 12 years. The Company recognizes sublease income on a straight-line basis over the term of the sublease within Operations and administrative expense on the Condensed Consolidated Statement of Comprehensive Income.</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the implied discount rate for most of the Company's leases is not readily determinable, the Company uses its incremental borrowing rate on its secured borrowings in determining the present value of lease payments.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assets and liabilities are summarized as follows:</w:t>
      </w:r>
    </w:p>
    <w:p>
      <w:pPr>
        <w:sectPr>
          <w:pgSz w:w="11900" w:h="16838" w:orient="portrait"/>
          <w:cols w:equalWidth="0" w:num="1">
            <w:col w:w="11220"/>
          </w:cols>
          <w:pgMar w:left="320" w:top="125" w:right="359" w:bottom="1440" w:gutter="0" w:footer="0" w:header="0"/>
        </w:sect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thousands)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leases</w:t>
      </w:r>
    </w:p>
    <w:p>
      <w:pPr>
        <w:spacing w:after="0" w:line="42" w:lineRule="exact"/>
        <w:rPr>
          <w:sz w:val="20"/>
          <w:szCs w:val="20"/>
          <w:color w:val="auto"/>
        </w:rPr>
      </w:pPr>
    </w:p>
    <w:p>
      <w:pPr>
        <w:ind w:left="220" w:right="40"/>
        <w:spacing w:after="0" w:line="377" w:lineRule="auto"/>
        <w:rPr>
          <w:sz w:val="20"/>
          <w:szCs w:val="20"/>
          <w:color w:val="auto"/>
        </w:rPr>
      </w:pPr>
      <w:r>
        <w:rPr>
          <w:rFonts w:ascii="Arial" w:cs="Arial" w:eastAsia="Arial" w:hAnsi="Arial"/>
          <w:sz w:val="13"/>
          <w:szCs w:val="13"/>
          <w:color w:val="auto"/>
        </w:rPr>
        <w:t>Operating lease right-of-use assets Operating lease liabilities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Finance leases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Property and equipment, at cost</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Accumulated depreciation</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Financial Statement Location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392"/>
        </w:trPr>
        <w:tc>
          <w:tcPr>
            <w:tcW w:w="44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294,531</w:t>
            </w:r>
          </w:p>
        </w:tc>
        <w:tc>
          <w:tcPr>
            <w:tcW w:w="1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314,526</w:t>
            </w:r>
          </w:p>
        </w:tc>
      </w:tr>
      <w:tr>
        <w:trPr>
          <w:trHeight w:val="203"/>
        </w:trPr>
        <w:tc>
          <w:tcPr>
            <w:tcW w:w="44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7"/>
                <w:szCs w:val="17"/>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339,602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365,364</w:t>
            </w:r>
          </w:p>
        </w:tc>
      </w:tr>
      <w:tr>
        <w:trPr>
          <w:trHeight w:val="675"/>
        </w:trPr>
        <w:tc>
          <w:tcPr>
            <w:tcW w:w="4420" w:type="dxa"/>
            <w:vAlign w:val="bottom"/>
            <w:gridSpan w:val="2"/>
          </w:tcPr>
          <w:p>
            <w:pPr>
              <w:spacing w:after="0"/>
              <w:rPr>
                <w:sz w:val="20"/>
                <w:szCs w:val="20"/>
                <w:color w:val="auto"/>
              </w:rPr>
            </w:pPr>
            <w:r>
              <w:rPr>
                <w:rFonts w:ascii="Arial" w:cs="Arial" w:eastAsia="Arial" w:hAnsi="Arial"/>
                <w:sz w:val="14"/>
                <w:szCs w:val="14"/>
                <w:color w:val="auto"/>
              </w:rPr>
              <w:t>Property, equipment, and capitalized software, net</w:t>
            </w:r>
          </w:p>
        </w:tc>
        <w:tc>
          <w:tcPr>
            <w:tcW w:w="280" w:type="dxa"/>
            <w:vAlign w:val="bottom"/>
          </w:tcPr>
          <w:p>
            <w:pPr>
              <w:spacing w:after="0"/>
              <w:rPr>
                <w:sz w:val="24"/>
                <w:szCs w:val="24"/>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36,046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37,589</w:t>
            </w:r>
          </w:p>
        </w:tc>
      </w:tr>
      <w:tr>
        <w:trPr>
          <w:trHeight w:val="203"/>
        </w:trPr>
        <w:tc>
          <w:tcPr>
            <w:tcW w:w="4420" w:type="dxa"/>
            <w:vAlign w:val="bottom"/>
            <w:gridSpan w:val="2"/>
          </w:tcPr>
          <w:p>
            <w:pPr>
              <w:spacing w:after="0"/>
              <w:rPr>
                <w:sz w:val="20"/>
                <w:szCs w:val="20"/>
                <w:color w:val="auto"/>
              </w:rPr>
            </w:pPr>
            <w:r>
              <w:rPr>
                <w:rFonts w:ascii="Arial" w:cs="Arial" w:eastAsia="Arial" w:hAnsi="Arial"/>
                <w:sz w:val="14"/>
                <w:szCs w:val="14"/>
                <w:color w:val="auto"/>
              </w:rPr>
              <w:t>Property, equipment, and capitalized software, net</w:t>
            </w:r>
          </w:p>
        </w:tc>
        <w:tc>
          <w:tcPr>
            <w:tcW w:w="280" w:type="dxa"/>
            <w:vAlign w:val="bottom"/>
          </w:tcPr>
          <w:p>
            <w:pPr>
              <w:spacing w:after="0"/>
              <w:rPr>
                <w:sz w:val="17"/>
                <w:szCs w:val="17"/>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(24,903)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(24,579)</w:t>
            </w:r>
          </w:p>
        </w:tc>
      </w:tr>
      <w:tr>
        <w:trPr>
          <w:trHeight w:val="203"/>
        </w:trPr>
        <w:tc>
          <w:tcPr>
            <w:tcW w:w="4420" w:type="dxa"/>
            <w:vAlign w:val="bottom"/>
            <w:gridSpan w:val="2"/>
          </w:tcPr>
          <w:p>
            <w:pPr>
              <w:spacing w:after="0"/>
              <w:rPr>
                <w:sz w:val="20"/>
                <w:szCs w:val="20"/>
                <w:color w:val="auto"/>
              </w:rPr>
            </w:pPr>
            <w:r>
              <w:rPr>
                <w:rFonts w:ascii="Arial" w:cs="Arial" w:eastAsia="Arial" w:hAnsi="Arial"/>
                <w:sz w:val="14"/>
                <w:szCs w:val="14"/>
                <w:color w:val="auto"/>
              </w:rPr>
              <w:t>Accounts payable, accrued expenses, and other liabilities</w:t>
            </w:r>
          </w:p>
        </w:tc>
        <w:tc>
          <w:tcPr>
            <w:tcW w:w="280" w:type="dxa"/>
            <w:vAlign w:val="bottom"/>
          </w:tcPr>
          <w:p>
            <w:pPr>
              <w:spacing w:after="0"/>
              <w:rPr>
                <w:sz w:val="17"/>
                <w:szCs w:val="17"/>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11,405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13,371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-805815</wp:posOffset>
            </wp:positionV>
            <wp:extent cx="702056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0560" cy="12890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-506095</wp:posOffset>
            </wp:positionV>
            <wp:extent cx="702056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0560" cy="12890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-248920</wp:posOffset>
            </wp:positionV>
            <wp:extent cx="702056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0560" cy="12890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-1071880</wp:posOffset>
            </wp:positionV>
            <wp:extent cx="70205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60"/>
          </w:cols>
          <w:pgMar w:left="320" w:top="125" w:right="359" w:bottom="1440" w:gutter="0" w:footer="0" w:header="0"/>
          <w:type w:val="continuous"/>
        </w:sectPr>
      </w:pP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remaining lease term and discount rate are as follows:</w:t>
      </w:r>
    </w:p>
    <w:p>
      <w:pPr>
        <w:spacing w:after="0" w:line="298"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438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r>
      <w:tr>
        <w:trPr>
          <w:trHeight w:val="188"/>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1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97"/>
        </w:trPr>
        <w:tc>
          <w:tcPr>
            <w:tcW w:w="4380" w:type="dxa"/>
            <w:vAlign w:val="bottom"/>
          </w:tcPr>
          <w:p>
            <w:pPr>
              <w:ind w:left="120"/>
              <w:spacing w:after="0"/>
              <w:rPr>
                <w:sz w:val="20"/>
                <w:szCs w:val="20"/>
                <w:color w:val="auto"/>
              </w:rPr>
            </w:pPr>
            <w:r>
              <w:rPr>
                <w:rFonts w:ascii="Arial" w:cs="Arial" w:eastAsia="Arial" w:hAnsi="Arial"/>
                <w:sz w:val="14"/>
                <w:szCs w:val="14"/>
                <w:color w:val="auto"/>
              </w:rPr>
              <w:t>Operating leases</w:t>
            </w:r>
          </w:p>
        </w:tc>
        <w:tc>
          <w:tcPr>
            <w:tcW w:w="2040" w:type="dxa"/>
            <w:vAlign w:val="bottom"/>
            <w:gridSpan w:val="3"/>
          </w:tcPr>
          <w:p>
            <w:pPr>
              <w:jc w:val="right"/>
              <w:ind w:right="120"/>
              <w:spacing w:after="0"/>
              <w:rPr>
                <w:sz w:val="20"/>
                <w:szCs w:val="20"/>
                <w:color w:val="auto"/>
              </w:rPr>
            </w:pPr>
            <w:r>
              <w:rPr>
                <w:rFonts w:ascii="Arial" w:cs="Arial" w:eastAsia="Arial" w:hAnsi="Arial"/>
                <w:sz w:val="14"/>
                <w:szCs w:val="14"/>
                <w:color w:val="auto"/>
              </w:rPr>
              <w:t>7.20 years</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7.50 years</w:t>
            </w:r>
          </w:p>
        </w:tc>
      </w:tr>
      <w:tr>
        <w:trPr>
          <w:trHeight w:val="208"/>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leases</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1.64 years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 years</w:t>
            </w:r>
          </w:p>
        </w:tc>
      </w:tr>
      <w:tr>
        <w:trPr>
          <w:trHeight w:val="197"/>
        </w:trPr>
        <w:tc>
          <w:tcPr>
            <w:tcW w:w="438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4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380" w:type="dxa"/>
            <w:vAlign w:val="bottom"/>
          </w:tcPr>
          <w:p>
            <w:pPr>
              <w:ind w:left="120"/>
              <w:spacing w:after="0"/>
              <w:rPr>
                <w:sz w:val="20"/>
                <w:szCs w:val="20"/>
                <w:color w:val="auto"/>
              </w:rPr>
            </w:pPr>
            <w:r>
              <w:rPr>
                <w:rFonts w:ascii="Arial" w:cs="Arial" w:eastAsia="Arial" w:hAnsi="Arial"/>
                <w:sz w:val="14"/>
                <w:szCs w:val="14"/>
                <w:color w:val="auto"/>
              </w:rPr>
              <w:t>Finance leases</w:t>
            </w:r>
          </w:p>
        </w:tc>
        <w:tc>
          <w:tcPr>
            <w:tcW w:w="1760" w:type="dxa"/>
            <w:vAlign w:val="bottom"/>
          </w:tcPr>
          <w:p>
            <w:pPr>
              <w:jc w:val="right"/>
              <w:spacing w:after="0"/>
              <w:rPr>
                <w:sz w:val="20"/>
                <w:szCs w:val="20"/>
                <w:color w:val="auto"/>
              </w:rPr>
            </w:pPr>
            <w:r>
              <w:rPr>
                <w:rFonts w:ascii="Arial" w:cs="Arial" w:eastAsia="Arial" w:hAnsi="Arial"/>
                <w:sz w:val="14"/>
                <w:szCs w:val="14"/>
                <w:color w:val="auto"/>
              </w:rPr>
              <w:t>3.34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98"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320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20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Fixed</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18,452</w:t>
            </w:r>
          </w:p>
        </w:tc>
        <w:tc>
          <w:tcPr>
            <w:tcW w:w="10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19,288</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36,812</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34,084</w:t>
            </w:r>
          </w:p>
        </w:tc>
        <w:tc>
          <w:tcPr>
            <w:tcW w:w="100" w:type="dxa"/>
            <w:vAlign w:val="bottom"/>
          </w:tcPr>
          <w:p>
            <w:pPr>
              <w:spacing w:after="0"/>
              <w:rPr>
                <w:sz w:val="17"/>
                <w:szCs w:val="17"/>
                <w:color w:val="auto"/>
              </w:rPr>
            </w:pPr>
          </w:p>
        </w:tc>
      </w:tr>
      <w:tr>
        <w:trPr>
          <w:trHeight w:val="208"/>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4,221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3,447</w:t>
            </w:r>
          </w:p>
        </w:tc>
        <w:tc>
          <w:tcPr>
            <w:tcW w:w="100" w:type="dxa"/>
            <w:vAlign w:val="bottom"/>
            <w:shd w:val="clear" w:color="auto" w:fill="CCEEFF"/>
          </w:tcPr>
          <w:p>
            <w:pPr>
              <w:spacing w:after="0"/>
              <w:rPr>
                <w:sz w:val="18"/>
                <w:szCs w:val="18"/>
                <w:color w:val="auto"/>
              </w:rPr>
            </w:pPr>
          </w:p>
        </w:tc>
      </w:tr>
      <w:tr>
        <w:trPr>
          <w:trHeight w:val="197"/>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Impairment of ROU Asset</w:t>
            </w:r>
          </w:p>
        </w:tc>
        <w:tc>
          <w:tcPr>
            <w:tcW w:w="40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25,857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25,857</w:t>
            </w:r>
          </w:p>
        </w:tc>
        <w:tc>
          <w:tcPr>
            <w:tcW w:w="100" w:type="dxa"/>
            <w:vAlign w:val="bottom"/>
          </w:tcPr>
          <w:p>
            <w:pPr>
              <w:spacing w:after="0"/>
              <w:rPr>
                <w:sz w:val="17"/>
                <w:szCs w:val="17"/>
                <w:color w:val="auto"/>
              </w:rPr>
            </w:pPr>
          </w:p>
        </w:tc>
      </w:tr>
      <w:tr>
        <w:trPr>
          <w:trHeight w:val="202"/>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cost</w:t>
            </w:r>
          </w:p>
        </w:tc>
        <w:tc>
          <w:tcPr>
            <w:tcW w:w="4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20,538</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47,014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41,033</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63,388</w:t>
            </w:r>
          </w:p>
        </w:tc>
        <w:tc>
          <w:tcPr>
            <w:tcW w:w="100" w:type="dxa"/>
            <w:vAlign w:val="bottom"/>
            <w:tcBorders>
              <w:top w:val="single" w:sz="8" w:color="CCEEFF"/>
            </w:tcBorders>
            <w:shd w:val="clear" w:color="auto" w:fill="CCEEFF"/>
          </w:tcPr>
          <w:p>
            <w:pPr>
              <w:spacing w:after="0"/>
              <w:rPr>
                <w:sz w:val="17"/>
                <w:szCs w:val="17"/>
                <w:color w:val="auto"/>
              </w:rPr>
            </w:pPr>
          </w:p>
        </w:tc>
      </w:tr>
      <w:tr>
        <w:trPr>
          <w:trHeight w:val="270"/>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Amortization of right-of-use assets</w:t>
            </w:r>
          </w:p>
        </w:tc>
        <w:tc>
          <w:tcPr>
            <w:tcW w:w="40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2,983</w:t>
            </w:r>
          </w:p>
        </w:tc>
        <w:tc>
          <w:tcPr>
            <w:tcW w:w="10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3,082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6,170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6,052</w:t>
            </w:r>
          </w:p>
        </w:tc>
        <w:tc>
          <w:tcPr>
            <w:tcW w:w="100" w:type="dxa"/>
            <w:vAlign w:val="bottom"/>
          </w:tcPr>
          <w:p>
            <w:pPr>
              <w:spacing w:after="0"/>
              <w:rPr>
                <w:sz w:val="17"/>
                <w:szCs w:val="17"/>
                <w:color w:val="auto"/>
              </w:rPr>
            </w:pPr>
          </w:p>
        </w:tc>
      </w:tr>
      <w:tr>
        <w:trPr>
          <w:trHeight w:val="203"/>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on lease liabilities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7"/>
                <w:szCs w:val="17"/>
                <w:color w:val="auto"/>
              </w:rPr>
            </w:pPr>
          </w:p>
        </w:tc>
      </w:tr>
      <w:tr>
        <w:trPr>
          <w:trHeight w:val="19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 Finance lease cost</w:t>
            </w:r>
          </w:p>
        </w:tc>
        <w:tc>
          <w:tcPr>
            <w:tcW w:w="40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3,095</w:t>
            </w:r>
          </w:p>
        </w:tc>
        <w:tc>
          <w:tcPr>
            <w:tcW w:w="10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3,257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6,411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6,413</w:t>
            </w:r>
          </w:p>
        </w:tc>
        <w:tc>
          <w:tcPr>
            <w:tcW w:w="100" w:type="dxa"/>
            <w:vAlign w:val="bottom"/>
          </w:tcPr>
          <w:p>
            <w:pPr>
              <w:spacing w:after="0"/>
              <w:rPr>
                <w:sz w:val="17"/>
                <w:szCs w:val="17"/>
                <w:color w:val="auto"/>
              </w:rPr>
            </w:pPr>
          </w:p>
        </w:tc>
      </w:tr>
      <w:tr>
        <w:trPr>
          <w:trHeight w:val="276"/>
        </w:trPr>
        <w:tc>
          <w:tcPr>
            <w:tcW w:w="3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90"/>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Sublease income</w:t>
            </w:r>
          </w:p>
        </w:tc>
        <w:tc>
          <w:tcPr>
            <w:tcW w:w="40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4,118</w:t>
            </w:r>
          </w:p>
        </w:tc>
        <w:tc>
          <w:tcPr>
            <w:tcW w:w="100" w:type="dxa"/>
            <w:vAlign w:val="bottom"/>
          </w:tcPr>
          <w:p>
            <w:pPr>
              <w:spacing w:after="0"/>
              <w:rPr>
                <w:sz w:val="16"/>
                <w:szCs w:val="16"/>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7,595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5,915</w:t>
            </w:r>
          </w:p>
        </w:tc>
        <w:tc>
          <w:tcPr>
            <w:tcW w:w="100" w:type="dxa"/>
            <w:vAlign w:val="bottom"/>
          </w:tcPr>
          <w:p>
            <w:pPr>
              <w:spacing w:after="0"/>
              <w:rPr>
                <w:sz w:val="16"/>
                <w:szCs w:val="16"/>
                <w:color w:val="auto"/>
              </w:rPr>
            </w:pPr>
          </w:p>
        </w:tc>
      </w:tr>
    </w:tbl>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June 30, 2019, the Company ceased use of certain office lease premises as part of its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ongoing effort to consolidate office space. For the three and six months ended June 30, 2019, the Company recognized $65.2 million in Termination of office leases on the Condensed Consolidated Statement of Comprehensive Income related to these premises, comprising $25.9 million of impairments of ROU assets, $37.9 million of write-offs of leasehold improvements and fixed assets, and $1.4 million of dilapidation charges. There was no impairment of ROU assets during the three and six months ended June 30, 2020.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operating and finance leases with non-cancelable lease terms, as of June 30, 2020, are as follows:</w:t>
      </w:r>
    </w:p>
    <w:p>
      <w:pPr>
        <w:spacing w:after="0" w:line="309" w:lineRule="exact"/>
        <w:rPr>
          <w:sz w:val="20"/>
          <w:szCs w:val="20"/>
          <w:color w:val="auto"/>
        </w:rPr>
      </w:pPr>
    </w:p>
    <w:tbl>
      <w:tblPr>
        <w:tblLayout w:type="fixed"/>
        <w:tblInd w:w="2580" w:type="dxa"/>
        <w:tblCellMar>
          <w:top w:w="0" w:type="dxa"/>
          <w:left w:w="0" w:type="dxa"/>
          <w:bottom w:w="0" w:type="dxa"/>
          <w:right w:w="0" w:type="dxa"/>
        </w:tblCellMar>
      </w:tblPr>
      <w:tr>
        <w:trPr>
          <w:trHeight w:val="192"/>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38,156</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5,414</w:t>
            </w: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4,833</w:t>
            </w: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67,130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2,094</w:t>
            </w: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33,928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2025 and thereafter</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141,357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2500" w:type="dxa"/>
            <w:vAlign w:val="bottom"/>
            <w:gridSpan w:val="2"/>
          </w:tcPr>
          <w:p>
            <w:pPr>
              <w:ind w:left="120"/>
              <w:spacing w:after="0"/>
              <w:rPr>
                <w:sz w:val="20"/>
                <w:szCs w:val="20"/>
                <w:color w:val="auto"/>
              </w:rPr>
            </w:pPr>
            <w:r>
              <w:rPr>
                <w:rFonts w:ascii="Arial" w:cs="Arial" w:eastAsia="Arial" w:hAnsi="Arial"/>
                <w:sz w:val="14"/>
                <w:szCs w:val="14"/>
                <w:color w:val="auto"/>
              </w:rPr>
              <w:t>Total lease payments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418,192</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12,468</w:t>
            </w:r>
          </w:p>
        </w:tc>
      </w:tr>
      <w:tr>
        <w:trPr>
          <w:trHeight w:val="203"/>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Less imputed interest</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(78,590)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r>
      <w:tr>
        <w:trPr>
          <w:trHeight w:val="202"/>
        </w:trPr>
        <w:tc>
          <w:tcPr>
            <w:tcW w:w="2500" w:type="dxa"/>
            <w:vAlign w:val="bottom"/>
            <w:gridSpan w:val="2"/>
          </w:tcPr>
          <w:p>
            <w:pPr>
              <w:ind w:left="120"/>
              <w:spacing w:after="0"/>
              <w:rPr>
                <w:sz w:val="20"/>
                <w:szCs w:val="20"/>
                <w:color w:val="auto"/>
              </w:rPr>
            </w:pPr>
            <w:r>
              <w:rPr>
                <w:rFonts w:ascii="Arial" w:cs="Arial" w:eastAsia="Arial" w:hAnsi="Arial"/>
                <w:sz w:val="14"/>
                <w:szCs w:val="14"/>
                <w:color w:val="auto"/>
              </w:rPr>
              <w:t>Total lease liability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339,602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11,405</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operating and finance leases with non-cancelable lease terms, as of December 31, 2019, are as follows:</w:t>
      </w:r>
    </w:p>
    <w:p>
      <w:pPr>
        <w:spacing w:after="0" w:line="321" w:lineRule="exact"/>
        <w:rPr>
          <w:sz w:val="20"/>
          <w:szCs w:val="20"/>
          <w:color w:val="auto"/>
        </w:rPr>
      </w:pPr>
    </w:p>
    <w:tbl>
      <w:tblPr>
        <w:tblLayout w:type="fixed"/>
        <w:tblInd w:w="2580" w:type="dxa"/>
        <w:tblCellMar>
          <w:top w:w="0" w:type="dxa"/>
          <w:left w:w="0" w:type="dxa"/>
          <w:bottom w:w="0" w:type="dxa"/>
          <w:right w:w="0" w:type="dxa"/>
        </w:tblCellMar>
      </w:tblPr>
      <w:tr>
        <w:trPr>
          <w:trHeight w:val="192"/>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76,118</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10,929</w:t>
            </w: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3,305</w:t>
            </w: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66,850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565</w:t>
            </w:r>
          </w:p>
        </w:tc>
      </w:tr>
      <w:tr>
        <w:trPr>
          <w:trHeight w:val="20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32,144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2025 and thereafter</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141,371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2500" w:type="dxa"/>
            <w:vAlign w:val="bottom"/>
            <w:gridSpan w:val="2"/>
          </w:tcPr>
          <w:p>
            <w:pPr>
              <w:ind w:left="120"/>
              <w:spacing w:after="0"/>
              <w:rPr>
                <w:sz w:val="20"/>
                <w:szCs w:val="20"/>
                <w:color w:val="auto"/>
              </w:rPr>
            </w:pPr>
            <w:r>
              <w:rPr>
                <w:rFonts w:ascii="Arial" w:cs="Arial" w:eastAsia="Arial" w:hAnsi="Arial"/>
                <w:sz w:val="14"/>
                <w:szCs w:val="14"/>
                <w:color w:val="auto"/>
              </w:rPr>
              <w:t>Total lease payments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453,221</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14,799</w:t>
            </w:r>
          </w:p>
        </w:tc>
      </w:tr>
      <w:tr>
        <w:trPr>
          <w:trHeight w:val="203"/>
        </w:trPr>
        <w:tc>
          <w:tcPr>
            <w:tcW w:w="2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Less imputed interest</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(87,857)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w:t>
            </w:r>
          </w:p>
        </w:tc>
      </w:tr>
      <w:tr>
        <w:trPr>
          <w:trHeight w:val="202"/>
        </w:trPr>
        <w:tc>
          <w:tcPr>
            <w:tcW w:w="2500" w:type="dxa"/>
            <w:vAlign w:val="bottom"/>
            <w:gridSpan w:val="2"/>
          </w:tcPr>
          <w:p>
            <w:pPr>
              <w:ind w:left="120"/>
              <w:spacing w:after="0"/>
              <w:rPr>
                <w:sz w:val="20"/>
                <w:szCs w:val="20"/>
                <w:color w:val="auto"/>
              </w:rPr>
            </w:pPr>
            <w:r>
              <w:rPr>
                <w:rFonts w:ascii="Arial" w:cs="Arial" w:eastAsia="Arial" w:hAnsi="Arial"/>
                <w:sz w:val="14"/>
                <w:szCs w:val="14"/>
                <w:color w:val="auto"/>
              </w:rPr>
              <w:t>Total lease liability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365,364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13,371</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w:t>
      </w:r>
    </w:p>
    <w:p>
      <w:pPr>
        <w:spacing w:after="0" w:line="256"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The following table provides a reconciliation of cash and cash equivalents together with restricted or segregated cash as reported within the Condensed Consolidated Statements of Financial Condition to the sum of the same such amounts shown in the Condensed Consolidated Statements of Cash Flows.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7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670,770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732,164</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77,245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41,116</w:t>
            </w:r>
          </w:p>
        </w:tc>
        <w:tc>
          <w:tcPr>
            <w:tcW w:w="0" w:type="dxa"/>
            <w:vAlign w:val="bottom"/>
          </w:tcPr>
          <w:p>
            <w:pPr>
              <w:spacing w:after="0"/>
              <w:rPr>
                <w:sz w:val="1"/>
                <w:szCs w:val="1"/>
                <w:color w:val="auto"/>
              </w:rPr>
            </w:pPr>
          </w:p>
        </w:tc>
      </w:tr>
      <w:tr>
        <w:trPr>
          <w:trHeight w:val="227"/>
        </w:trPr>
        <w:tc>
          <w:tcPr>
            <w:tcW w:w="7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748,015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773,280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Structure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June 30, 2020 and December 31, 2019, there were 5,559,713 and 7,919,952 Virtu Financial Units outstanding held by Employee Holdco (as defined below), respectively, and 2,360,239 and 609,984 of such Virtu Financial Units and corresponding Class C Common Stock were exchanged into Class A Common Stock, forfeited or repurchased during the six months ended June 30, 2020 and 2019,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2015 Management Incentive Plan</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stockholders on June 5, 2020.</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Investment Technology Group, Inc. 2007 Omnibus Equity Compensation Plan</w:t>
      </w:r>
    </w:p>
    <w:p>
      <w:pPr>
        <w:spacing w:after="0" w:line="252"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KCG</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the KCG Closing Date, the Company completed the all-cash Acquisition of KCG. In connection with the Acquisition of KCG, the Company issued 8,012,821 shares of the Company’s Class A Common Stock to Aranda Investments Pte. Ltd. (“Aranda”), an affiliate of Temasek Holdings (Private) Limited (“Temasek”), for an aggregate purchase price of approximately $125.0 million and 40,064,103 shares of the Company’s Class A Common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The investment agreements were filed as exhibits to the Company’s 2019 Annual Report on Form 10-K filed with the Securities and Exchange Commission on February 28,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20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2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Exchanges</w:t>
      </w:r>
    </w:p>
    <w:p>
      <w:pPr>
        <w:spacing w:after="0" w:line="252"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During the six months ended June 30, 2020 and 2019, pursuant to the exchange agreement by and among the Company, Virtu Financial and holders of Virtu Financial Units, certain current and former employees elected to exchange 2,360,239 and 609,984 units, respectively in Virtu Financial held directly or on their behalf by Virtu Employee Holdco LLC (“Employee Holdco”) on a one-for-one basis for shares of Class A Common Stock.</w:t>
      </w:r>
    </w:p>
    <w:p>
      <w:pPr>
        <w:spacing w:after="0" w:line="17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of KCG, the Company holds approximately a 64.1% interest in Virtu Financial at June 30, 2020.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Issuance</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March 20, 2020, in connection with and in consideration of the Founder Member’s commitments under the Founder Member Loan Facility (as described in Note 9 “Borrowings”), the Company delivered to the Founder Member a warrant (the “Warrant”) to purchase shares of the Company’s Class A Common Stock. Pursuant to the Warrant, the Founder Member may purchase up to 3,000,000 shares of Class A Common Stock, which number of shares will be increased to 10,000,000 if, at any time during the term of the Founder Member Facility, Founder Member Loans equal to or greater than $100 million remain outstanding for a certain period of time specified in the Warrant. The exercise price per share of the Class A Common Stock issuable pursuant to the Warrant is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The Warrant may be exercised on or after May 22, 2020, the eleventh (11th) trading day following the date on which the Company publicly announced its earnings results for the first quarter of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 The foregoing description of the Warrant does not purport to be complete and is qualified in its entirety by reference to the complete text of the Warrant, which was filed as an exhibit to the Company's 2020 quarterly report on Form 10-Q for the period ended March 31, 2020 filed with the Securities and Exchange Commission on May 11, 2020.</w:t>
      </w:r>
    </w:p>
    <w:p>
      <w:pPr>
        <w:spacing w:after="0" w:line="20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 of the Warrant was determined using a Black-Scholes-Merton model, and was recorded as a debt issuance cost within Other Assets on the Condensed Consolidated Statement of Financial Condition and as an increase to Additional paid-in capital on the Condensed Consolidated Statement of Changes in Equity. The balance will be amortized on a straight-line basis from March 20, 2020 through September 20, 2020, the date on which the Founder Member Loan Facility expires, and recorded as expense within Debt issue cost related to debt refinancing, prepayment and commitment fees in the Condensed Consolidated Statement of Comprehensive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changes in Other Comprehensive Income (Loss) for the three and six months ended June 30, 2020 and 2019:</w:t>
      </w:r>
    </w:p>
    <w:p>
      <w:pPr>
        <w:spacing w:after="0" w:line="321"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June 30, 2020</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AOCI Beginning</w:t>
            </w: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Amounts</w:t>
            </w:r>
          </w:p>
        </w:tc>
        <w:tc>
          <w:tcPr>
            <w:tcW w:w="12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Amounts recorded</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AOCI Ending Balance</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AOCI to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 AOCI</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Net change in unrealized cash flow hedges gains (losses) (1)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center"/>
              <w:ind w:left="648"/>
              <w:spacing w:after="0"/>
              <w:rPr>
                <w:sz w:val="20"/>
                <w:szCs w:val="20"/>
                <w:color w:val="auto"/>
              </w:rPr>
            </w:pPr>
            <w:r>
              <w:rPr>
                <w:rFonts w:ascii="Arial" w:cs="Arial" w:eastAsia="Arial" w:hAnsi="Arial"/>
                <w:sz w:val="14"/>
                <w:szCs w:val="14"/>
                <w:color w:val="auto"/>
                <w:w w:val="94"/>
              </w:rPr>
              <w:t>(8,823)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(36,710)</w:t>
            </w:r>
          </w:p>
        </w:tc>
        <w:tc>
          <w:tcPr>
            <w:tcW w:w="0" w:type="dxa"/>
            <w:vAlign w:val="bottom"/>
          </w:tcPr>
          <w:p>
            <w:pPr>
              <w:spacing w:after="0"/>
              <w:rPr>
                <w:sz w:val="1"/>
                <w:szCs w:val="1"/>
                <w:color w:val="auto"/>
              </w:rPr>
            </w:pPr>
          </w:p>
        </w:tc>
      </w:tr>
      <w:tr>
        <w:trPr>
          <w:trHeight w:val="197"/>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(6,531)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tcPr>
          <w:p>
            <w:pPr>
              <w:jc w:val="center"/>
              <w:ind w:left="668"/>
              <w:spacing w:after="0"/>
              <w:rPr>
                <w:sz w:val="20"/>
                <w:szCs w:val="20"/>
                <w:color w:val="auto"/>
              </w:rPr>
            </w:pPr>
            <w:r>
              <w:rPr>
                <w:rFonts w:ascii="Arial" w:cs="Arial" w:eastAsia="Arial" w:hAnsi="Arial"/>
                <w:sz w:val="14"/>
                <w:szCs w:val="14"/>
                <w:color w:val="auto"/>
                <w:w w:val="91"/>
              </w:rPr>
              <w:t>3,674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center"/>
              <w:ind w:left="648"/>
              <w:spacing w:after="0"/>
              <w:rPr>
                <w:sz w:val="20"/>
                <w:szCs w:val="20"/>
                <w:color w:val="auto"/>
              </w:rPr>
            </w:pPr>
            <w:r>
              <w:rPr>
                <w:rFonts w:ascii="Arial" w:cs="Arial" w:eastAsia="Arial" w:hAnsi="Arial"/>
                <w:sz w:val="14"/>
                <w:szCs w:val="14"/>
                <w:color w:val="auto"/>
                <w:w w:val="94"/>
              </w:rPr>
              <w:t>(5,149)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(39,567)</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40"/>
        <w:spacing w:after="0"/>
        <w:rPr>
          <w:sz w:val="20"/>
          <w:szCs w:val="20"/>
          <w:color w:val="auto"/>
        </w:rPr>
      </w:pPr>
      <w:r>
        <w:rPr>
          <w:rFonts w:ascii="Arial" w:cs="Arial" w:eastAsia="Arial" w:hAnsi="Arial"/>
          <w:sz w:val="12"/>
          <w:szCs w:val="12"/>
          <w:color w:val="auto"/>
        </w:rPr>
        <w:t>(1) Amounts reclassified from AOCI to income are included within Financing interest expense on long-term borrowings on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-86360</wp:posOffset>
            </wp:positionV>
            <wp:extent cx="38830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93"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708"/>
              <w:spacing w:after="0"/>
              <w:rPr>
                <w:sz w:val="20"/>
                <w:szCs w:val="20"/>
                <w:color w:val="auto"/>
              </w:rPr>
            </w:pPr>
            <w:r>
              <w:rPr>
                <w:rFonts w:ascii="Arial" w:cs="Arial" w:eastAsia="Arial" w:hAnsi="Arial"/>
                <w:sz w:val="14"/>
                <w:szCs w:val="14"/>
                <w:b w:val="1"/>
                <w:bCs w:val="1"/>
                <w:color w:val="auto"/>
                <w:w w:val="92"/>
              </w:rPr>
              <w:t>Six Months Ended June 30, 2020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AOCI Beginning</w:t>
            </w: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Amounts</w:t>
            </w:r>
          </w:p>
        </w:tc>
        <w:tc>
          <w:tcPr>
            <w:tcW w:w="12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Amounts recorded</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AOCI Ending Balance</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AOCI to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 AOCI</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change in unrealized cash flow hedges gains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(40,608)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(36,710)</w:t>
            </w:r>
          </w:p>
        </w:tc>
        <w:tc>
          <w:tcPr>
            <w:tcW w:w="0" w:type="dxa"/>
            <w:vAlign w:val="bottom"/>
          </w:tcPr>
          <w:p>
            <w:pPr>
              <w:spacing w:after="0"/>
              <w:rPr>
                <w:sz w:val="1"/>
                <w:szCs w:val="1"/>
                <w:color w:val="auto"/>
              </w:rPr>
            </w:pPr>
          </w:p>
        </w:tc>
      </w:tr>
      <w:tr>
        <w:trPr>
          <w:trHeight w:val="197"/>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(2,210)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02"/>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3,898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(42,818)</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(39,567)</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40"/>
        <w:spacing w:after="0"/>
        <w:rPr>
          <w:sz w:val="20"/>
          <w:szCs w:val="20"/>
          <w:color w:val="auto"/>
        </w:rPr>
      </w:pPr>
      <w:r>
        <w:rPr>
          <w:rFonts w:ascii="Arial" w:cs="Arial" w:eastAsia="Arial" w:hAnsi="Arial"/>
          <w:sz w:val="12"/>
          <w:szCs w:val="12"/>
          <w:color w:val="auto"/>
        </w:rPr>
        <w:t>(1) Amounts reclassified from AOCI to income are included within Financing interest expense on long-term borrowings on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 June 30, 2019</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AOCI Beginning</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Amounts</w:t>
            </w:r>
          </w:p>
        </w:tc>
        <w:tc>
          <w:tcPr>
            <w:tcW w:w="12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Amounts recorded</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AOCI Ending Balance</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7"/>
              </w:rPr>
              <w:t>AOCI to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 AOCI</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(2,218)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202"/>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(2,218)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7"/>
                <w:szCs w:val="17"/>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w w:val="93"/>
              </w:rPr>
              <w:t>Six Months Ended June 30, 2019</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AOCI Beginning</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Amounts</w:t>
            </w:r>
          </w:p>
        </w:tc>
        <w:tc>
          <w:tcPr>
            <w:tcW w:w="12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Amounts recorded</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AOCI Ending Balance</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7"/>
              </w:rPr>
              <w:t>AOCI to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 AOCI</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256"/>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6"/>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stock options for the six months ended June 30, 2020 and 2019:</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1"/>
              </w:rPr>
              <w:t>Options Outstanding</w:t>
            </w:r>
          </w:p>
        </w:tc>
        <w:tc>
          <w:tcPr>
            <w:tcW w:w="1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6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13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Exercise Price Per</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2018</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3,486,150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4"/>
                <w:szCs w:val="14"/>
                <w:color w:val="auto"/>
                <w:w w:val="87"/>
              </w:rPr>
              <w:t>6.30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1,660,400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96"/>
        </w:trPr>
        <w:tc>
          <w:tcPr>
            <w:tcW w:w="40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156,129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17"/>
                <w:szCs w:val="17"/>
                <w:color w:val="auto"/>
              </w:rPr>
            </w:pPr>
          </w:p>
        </w:tc>
        <w:tc>
          <w:tcPr>
            <w:tcW w:w="1500" w:type="dxa"/>
            <w:vAlign w:val="bottom"/>
          </w:tcPr>
          <w:p>
            <w:pPr>
              <w:ind w:left="1240"/>
              <w:spacing w:after="0"/>
              <w:rPr>
                <w:sz w:val="20"/>
                <w:szCs w:val="20"/>
                <w:color w:val="auto"/>
              </w:rPr>
            </w:pPr>
            <w:r>
              <w:rPr>
                <w:rFonts w:ascii="Arial" w:cs="Arial" w:eastAsia="Arial" w:hAnsi="Arial"/>
                <w:sz w:val="14"/>
                <w:szCs w:val="14"/>
                <w:color w:val="auto"/>
                <w:w w:val="87"/>
              </w:rPr>
              <w:t>4.87</w:t>
            </w:r>
          </w:p>
        </w:tc>
        <w:tc>
          <w:tcPr>
            <w:tcW w:w="1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156,129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ind w:left="12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June 30, 2019</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3,248,779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18.74</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4"/>
                <w:szCs w:val="14"/>
                <w:color w:val="auto"/>
                <w:w w:val="87"/>
              </w:rPr>
              <w:t>5.74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3,248,779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2019</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3,233,779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18.74</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4"/>
                <w:szCs w:val="14"/>
                <w:color w:val="auto"/>
                <w:w w:val="87"/>
              </w:rPr>
              <w:t>5.24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3,233,779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97"/>
        </w:trPr>
        <w:tc>
          <w:tcPr>
            <w:tcW w:w="40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(617,923)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17.64</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(617,923)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ind w:left="12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June 30, 2020</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2,615,856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4"/>
                <w:szCs w:val="14"/>
                <w:color w:val="auto"/>
                <w:w w:val="87"/>
              </w:rPr>
              <w:t>4.74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2,615,856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recognized $1.4 million for the six months ended June 30, 2019 of compensation expense in relation to the stock options issued and outstanding. The stock options to purchase shares of Class A Common Stock were fully vested in 2019, and as such there was no compensation expense recognized in relation to stock options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Investment Technology Group, Inc. 2007 Omnibus Equity Compensation Plan</w:t>
      </w:r>
    </w:p>
    <w:p>
      <w:pPr>
        <w:spacing w:after="0" w:line="25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Restricted Stock Units and Restricted Stock Awards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Pursuant to the Amended and Restated 2015 Management Incentive Plan as described in Note 17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six months ended June 30, 2020 and 2019, respectively, there were 852,599 and 423,393 shares of immediately vested Class A Common Stock granted as part of year-end compensation. In addition, the Company accrued compensation expense of $25.8 million and $2.5 million for the six months ended June 30, 2020 and 2019,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the RSUs (including the Assumed Awards) and RSAs: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RSUs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92"/>
        </w:trPr>
        <w:tc>
          <w:tcPr>
            <w:tcW w:w="86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2018</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1,378,922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97"/>
        </w:trPr>
        <w:tc>
          <w:tcPr>
            <w:tcW w:w="8600" w:type="dxa"/>
            <w:vAlign w:val="bottom"/>
          </w:tcPr>
          <w:p>
            <w:pPr>
              <w:ind w:left="100"/>
              <w:spacing w:after="0"/>
              <w:rPr>
                <w:sz w:val="20"/>
                <w:szCs w:val="20"/>
                <w:color w:val="auto"/>
              </w:rPr>
            </w:pPr>
            <w:r>
              <w:rPr>
                <w:rFonts w:ascii="Arial" w:cs="Arial" w:eastAsia="Arial" w:hAnsi="Arial"/>
                <w:sz w:val="14"/>
                <w:szCs w:val="14"/>
                <w:color w:val="auto"/>
              </w:rPr>
              <w:t>Granted</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3,305,045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25.76</w:t>
            </w: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97"/>
        </w:trPr>
        <w:tc>
          <w:tcPr>
            <w:tcW w:w="86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(820,287)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23.81</w:t>
            </w: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At June 30, 2019</w:t>
            </w: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3,674,531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202"/>
        </w:trPr>
        <w:tc>
          <w:tcPr>
            <w:tcW w:w="8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2019</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2,993,489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97"/>
        </w:trPr>
        <w:tc>
          <w:tcPr>
            <w:tcW w:w="8600" w:type="dxa"/>
            <w:vAlign w:val="bottom"/>
          </w:tcPr>
          <w:p>
            <w:pPr>
              <w:ind w:left="100"/>
              <w:spacing w:after="0"/>
              <w:rPr>
                <w:sz w:val="20"/>
                <w:szCs w:val="20"/>
                <w:color w:val="auto"/>
              </w:rPr>
            </w:pPr>
            <w:r>
              <w:rPr>
                <w:rFonts w:ascii="Arial" w:cs="Arial" w:eastAsia="Arial" w:hAnsi="Arial"/>
                <w:sz w:val="14"/>
                <w:szCs w:val="14"/>
                <w:color w:val="auto"/>
              </w:rPr>
              <w:t>Granted (1)</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3,039,940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197"/>
        </w:trPr>
        <w:tc>
          <w:tcPr>
            <w:tcW w:w="86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(1,889,862)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At June 30, 2020</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3,979,091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0</wp:posOffset>
            </wp:positionV>
            <wp:extent cx="866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Excluded in the number of RSUs and RSAs is 400,000 participating RSAs where the grant date has not been achieved because the performance conditions have not been met.</w:t>
      </w:r>
    </w:p>
    <w:p>
      <w:pPr>
        <w:spacing w:after="0" w:line="3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recognized $7.8 million and $16.4 million for the three months ended June 30, 2020 and 2019 and $16.8 million and $39.6 million for the six months ended June 30, 2020 and 2019, respectively, of compensation expense in relation to the RSUs. As of June 30, 2020 and December 31, 2019, total unrecognized share-based compensation expense related to unvested RSUs was $58.4 million and $43.4 million, respectively, and this amount is to be recognized over a weighted average period of 1.37 and 2.0 years, respectively. Awards in which the specific performance conditions have not been met are not included in unrecognized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Regulatory Requirement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Subsidiaries</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U.S. broker-dealer subsidiaries of the Company are subject to the SEC Uniform Net Capital Rule 15c3-1, which requires the maintenance of minimum net capital for each of the U.S. broker-dealers as detailed in the table below. Pursuant to NYSE rules, VAL was also required to maintain $1.0 million of capital in connection with the operation of its designated market maker (“DMM”) business as of June 30, 2020. The required amount is determined under the exchange rules as the greater of (i) $1 million or (ii) $75,000 for every 0.1% of NYSE transaction dollar volume in each of the securities for which the Company is registered as the DMM.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regulatory capital and regulatory capital requirements of the U.S broker-dealer subsidiaries as of June 30, 2020 were as follows:</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Regulatory Capital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Virtu Americas LLC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567,577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562,287</w:t>
            </w:r>
          </w:p>
        </w:tc>
        <w:tc>
          <w:tcPr>
            <w:tcW w:w="0" w:type="dxa"/>
            <w:vAlign w:val="bottom"/>
          </w:tcPr>
          <w:p>
            <w:pPr>
              <w:spacing w:after="0"/>
              <w:rPr>
                <w:sz w:val="1"/>
                <w:szCs w:val="1"/>
                <w:color w:val="auto"/>
              </w:rPr>
            </w:pPr>
          </w:p>
        </w:tc>
      </w:tr>
      <w:tr>
        <w:trPr>
          <w:trHeight w:val="197"/>
        </w:trPr>
        <w:tc>
          <w:tcPr>
            <w:tcW w:w="5700" w:type="dxa"/>
            <w:vAlign w:val="bottom"/>
            <w:gridSpan w:val="2"/>
          </w:tcPr>
          <w:p>
            <w:pPr>
              <w:spacing w:after="0"/>
              <w:rPr>
                <w:sz w:val="20"/>
                <w:szCs w:val="20"/>
                <w:color w:val="auto"/>
              </w:rPr>
            </w:pPr>
            <w:r>
              <w:rPr>
                <w:rFonts w:ascii="Arial" w:cs="Arial" w:eastAsia="Arial" w:hAnsi="Arial"/>
                <w:sz w:val="14"/>
                <w:szCs w:val="14"/>
                <w:color w:val="auto"/>
              </w:rPr>
              <w:t>Virtu ITG LLC</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22,904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21,904</w:t>
            </w: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Virtu Alternet Securities LLC</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As of June 30, 2020, VAL had $44.5 million of cash in special reserve bank accounts for the benefit of customers pursuant to SEC Rule 15c3-3, </w:t>
      </w:r>
      <w:r>
        <w:rPr>
          <w:rFonts w:ascii="Arial" w:cs="Arial" w:eastAsia="Arial" w:hAnsi="Arial"/>
          <w:sz w:val="16"/>
          <w:szCs w:val="16"/>
          <w:i w:val="1"/>
          <w:iCs w:val="1"/>
          <w:color w:val="auto"/>
        </w:rPr>
        <w:t xml:space="preserve">Computation for Determination of Reserve Requirements, </w:t>
      </w:r>
      <w:r>
        <w:rPr>
          <w:rFonts w:ascii="Arial" w:cs="Arial" w:eastAsia="Arial" w:hAnsi="Arial"/>
          <w:sz w:val="16"/>
          <w:szCs w:val="16"/>
          <w:color w:val="auto"/>
        </w:rPr>
        <w:t>and $28.8 million of cash in reserve bank accounts for the benefit of proprietary accounts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brokers. Balances in special reserve bank accounts previously maintained by VITG were moved to VAL upon consolidation of the broker dealers. The balances are included within Cash restricted or segregated under regulations and other on the Condensed Consolidated Statement of Financial Condition.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regulatory capital and regulatory capital requirements of the U.S. broker-dealer subsidiaries as of December 31, 2019 were as follows:</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Regulatory Capital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Virtu Americas LLC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257,452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254,881</w:t>
            </w:r>
          </w:p>
        </w:tc>
        <w:tc>
          <w:tcPr>
            <w:tcW w:w="0" w:type="dxa"/>
            <w:vAlign w:val="bottom"/>
          </w:tcPr>
          <w:p>
            <w:pPr>
              <w:spacing w:after="0"/>
              <w:rPr>
                <w:sz w:val="1"/>
                <w:szCs w:val="1"/>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4"/>
                <w:szCs w:val="14"/>
                <w:color w:val="auto"/>
              </w:rPr>
              <w:t>Virtu Financial BD LLC</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30,317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Virtu Financial Capital Markets LLC</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4"/>
                <w:szCs w:val="14"/>
                <w:color w:val="auto"/>
              </w:rPr>
              <w:t>Virtu ITG LLC</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66,069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65,069</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Virtu Alternet Securities LLC</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 xml:space="preserve">As of December 31, 2019, VAL and VITG had $22.3 million and $7.4 million, respectively, of cash in special reserve bank accounts for the benefit of customers pursuant to SEC Rule 15c3-3, </w:t>
      </w:r>
      <w:r>
        <w:rPr>
          <w:rFonts w:ascii="Arial" w:cs="Arial" w:eastAsia="Arial" w:hAnsi="Arial"/>
          <w:sz w:val="18"/>
          <w:szCs w:val="18"/>
          <w:i w:val="1"/>
          <w:iCs w:val="1"/>
          <w:color w:val="auto"/>
        </w:rPr>
        <w:t>Computation for Determination of Reserve Requirements,</w:t>
      </w:r>
      <w:r>
        <w:rPr>
          <w:rFonts w:ascii="Arial" w:cs="Arial" w:eastAsia="Arial" w:hAnsi="Arial"/>
          <w:sz w:val="18"/>
          <w:szCs w:val="18"/>
          <w:color w:val="auto"/>
        </w:rPr>
        <w:t xml:space="preserve"> and $4.5 million and $5.0 million, respectively, of cash in reserve bank accounts for the benefit of proprietary accounts of brokers.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Subsidiaries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 Kong, and the Monetary Authority of Singapore. Virtu Financial Canada ULC was admitted to membership in IIROC in March 2019.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regulatory net capital balances and regulatory capital requirements applicable to the Company's foreign subsidiaries as of June 30, 2020 were as follows:</w:t>
      </w:r>
    </w:p>
    <w:tbl>
      <w:tblPr>
        <w:tblLayout w:type="fixed"/>
        <w:tblInd w:w="200" w:type="dxa"/>
        <w:tblCellMar>
          <w:top w:w="0" w:type="dxa"/>
          <w:left w:w="0" w:type="dxa"/>
          <w:bottom w:w="0" w:type="dxa"/>
          <w:right w:w="0" w:type="dxa"/>
        </w:tblCellMar>
      </w:tblPr>
      <w:tr>
        <w:trPr>
          <w:trHeight w:val="150"/>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Regulatory Capital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line="150" w:lineRule="exact"/>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Canada</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15,014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14,830</w:t>
            </w: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TriAct Canada Marketplace LP</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97"/>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Financial Canada ULC</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Ireland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ITG Europe Limited (1)</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51,183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26,921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24,262</w:t>
            </w: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Financial Ireland Limited (1)</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44,937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36,693</w:t>
            </w:r>
          </w:p>
        </w:tc>
        <w:tc>
          <w:tcPr>
            <w:tcW w:w="0" w:type="dxa"/>
            <w:vAlign w:val="bottom"/>
          </w:tcPr>
          <w:p>
            <w:pPr>
              <w:spacing w:after="0"/>
              <w:rPr>
                <w:sz w:val="1"/>
                <w:szCs w:val="1"/>
                <w:color w:val="auto"/>
              </w:rPr>
            </w:pPr>
          </w:p>
        </w:tc>
      </w:tr>
      <w:tr>
        <w:trPr>
          <w:trHeight w:val="197"/>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ITG UK Limited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97"/>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Asia Pacific</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ITG Australia Limited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25,488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12,419</w:t>
            </w:r>
          </w:p>
        </w:tc>
        <w:tc>
          <w:tcPr>
            <w:tcW w:w="0" w:type="dxa"/>
            <w:vAlign w:val="bottom"/>
          </w:tcPr>
          <w:p>
            <w:pPr>
              <w:spacing w:after="0"/>
              <w:rPr>
                <w:sz w:val="1"/>
                <w:szCs w:val="1"/>
                <w:color w:val="auto"/>
              </w:rPr>
            </w:pPr>
          </w:p>
        </w:tc>
      </w:tr>
      <w:tr>
        <w:trPr>
          <w:trHeight w:val="197"/>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ITG Hong Kong Limited</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1,946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ITG Singapore Pte Limited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73"/>
        </w:trPr>
        <w:tc>
          <w:tcPr>
            <w:tcW w:w="5700" w:type="dxa"/>
            <w:vAlign w:val="bottom"/>
            <w:gridSpan w:val="2"/>
          </w:tcPr>
          <w:p>
            <w:pPr>
              <w:ind w:left="120"/>
              <w:spacing w:after="0"/>
              <w:rPr>
                <w:sz w:val="20"/>
                <w:szCs w:val="20"/>
                <w:color w:val="auto"/>
              </w:rPr>
            </w:pPr>
            <w:r>
              <w:rPr>
                <w:rFonts w:ascii="Arial" w:cs="Arial" w:eastAsia="Arial" w:hAnsi="Arial"/>
                <w:sz w:val="13"/>
                <w:szCs w:val="13"/>
                <w:color w:val="auto"/>
              </w:rPr>
              <w:t>(1) Preliminary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2020, Virtu ITG Europe Limited and Virtu ITG Canada Corp had $3.1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11"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The regulatory net capital balances and regulatory capital requirements applicable to the Company's foreign subsidiaries as of December 31, 2019 were as follows:</w:t>
      </w:r>
    </w:p>
    <w:tbl>
      <w:tblPr>
        <w:tblLayout w:type="fixed"/>
        <w:tblInd w:w="200" w:type="dxa"/>
        <w:tblCellMar>
          <w:top w:w="0" w:type="dxa"/>
          <w:left w:w="0" w:type="dxa"/>
          <w:bottom w:w="0" w:type="dxa"/>
          <w:right w:w="0" w:type="dxa"/>
        </w:tblCellMar>
      </w:tblPr>
      <w:tr>
        <w:trPr>
          <w:trHeight w:val="150"/>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Regulatory Capital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line="150" w:lineRule="exact"/>
              <w:rPr>
                <w:sz w:val="20"/>
                <w:szCs w:val="20"/>
                <w:color w:val="auto"/>
              </w:rPr>
            </w:pPr>
            <w:r>
              <w:rPr>
                <w:rFonts w:ascii="Arial" w:cs="Arial" w:eastAsia="Arial" w:hAnsi="Arial"/>
                <w:sz w:val="14"/>
                <w:szCs w:val="14"/>
                <w:b w:val="1"/>
                <w:bCs w:val="1"/>
                <w:color w:val="auto"/>
                <w:w w:val="95"/>
              </w:rPr>
              <w:t>Excess Regulatory</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Canada</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13,029</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TriAct Canada Marketplace LP</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196"/>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Financial Canada ULC</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2,459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Ireland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ITG Europe Limited</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54,129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32,484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21,645</w:t>
            </w: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Financial Ireland Limited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78,385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35,152</w:t>
            </w:r>
          </w:p>
        </w:tc>
        <w:tc>
          <w:tcPr>
            <w:tcW w:w="0" w:type="dxa"/>
            <w:vAlign w:val="bottom"/>
          </w:tcPr>
          <w:p>
            <w:pPr>
              <w:spacing w:after="0"/>
              <w:rPr>
                <w:sz w:val="1"/>
                <w:szCs w:val="1"/>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ITG UK Limited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Asia Pacific</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ITG Australia Limited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16,123</w:t>
            </w:r>
          </w:p>
        </w:tc>
        <w:tc>
          <w:tcPr>
            <w:tcW w:w="0" w:type="dxa"/>
            <w:vAlign w:val="bottom"/>
          </w:tcPr>
          <w:p>
            <w:pPr>
              <w:spacing w:after="0"/>
              <w:rPr>
                <w:sz w:val="1"/>
                <w:szCs w:val="1"/>
                <w:color w:val="auto"/>
              </w:rPr>
            </w:pPr>
          </w:p>
        </w:tc>
      </w:tr>
      <w:tr>
        <w:trPr>
          <w:trHeight w:val="197"/>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Virtu ITG Hong Kong Limited</w:t>
            </w:r>
          </w:p>
        </w:tc>
        <w:tc>
          <w:tcPr>
            <w:tcW w:w="16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08"/>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Virtu ITG Singapore Pte Limited</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31, 2019, Virtu ITG Europe Limited and Virtu ITG Canada Corp had $1.2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Geographic Information and Business Segments</w:t>
      </w:r>
    </w:p>
    <w:p>
      <w:pPr>
        <w:spacing w:after="0" w:line="25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 2020 and 2019</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r>
      <w:tr>
        <w:trPr>
          <w:trHeight w:val="202"/>
        </w:trPr>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4400" w:type="dxa"/>
            <w:vAlign w:val="bottom"/>
            <w:gridSpan w:val="2"/>
          </w:tcPr>
          <w:p>
            <w:pPr>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767,707</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270,719</w:t>
            </w:r>
          </w:p>
        </w:tc>
        <w:tc>
          <w:tcPr>
            <w:tcW w:w="18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1,560,733</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559,495</w:t>
            </w:r>
          </w:p>
        </w:tc>
        <w:tc>
          <w:tcPr>
            <w:tcW w:w="100" w:type="dxa"/>
            <w:vAlign w:val="bottom"/>
          </w:tcPr>
          <w:p>
            <w:pPr>
              <w:spacing w:after="0"/>
              <w:rPr>
                <w:sz w:val="17"/>
                <w:szCs w:val="17"/>
                <w:color w:val="auto"/>
              </w:rPr>
            </w:pPr>
          </w:p>
        </w:tc>
      </w:tr>
      <w:tr>
        <w:trPr>
          <w:trHeight w:val="209"/>
        </w:trPr>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Ireland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48,890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172,464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84,565</w:t>
            </w:r>
          </w:p>
        </w:tc>
        <w:tc>
          <w:tcPr>
            <w:tcW w:w="100" w:type="dxa"/>
            <w:vAlign w:val="bottom"/>
            <w:shd w:val="clear" w:color="auto" w:fill="CCEEFF"/>
          </w:tcPr>
          <w:p>
            <w:pPr>
              <w:spacing w:after="0"/>
              <w:rPr>
                <w:sz w:val="18"/>
                <w:szCs w:val="18"/>
                <w:color w:val="auto"/>
              </w:rPr>
            </w:pPr>
          </w:p>
        </w:tc>
      </w:tr>
      <w:tr>
        <w:trPr>
          <w:trHeight w:val="196"/>
        </w:trPr>
        <w:tc>
          <w:tcPr>
            <w:tcW w:w="4400" w:type="dxa"/>
            <w:vAlign w:val="bottom"/>
            <w:gridSpan w:val="2"/>
          </w:tcPr>
          <w:p>
            <w:pPr>
              <w:spacing w:after="0"/>
              <w:rPr>
                <w:sz w:val="20"/>
                <w:szCs w:val="20"/>
                <w:color w:val="auto"/>
              </w:rPr>
            </w:pPr>
            <w:r>
              <w:rPr>
                <w:rFonts w:ascii="Arial" w:cs="Arial" w:eastAsia="Arial" w:hAnsi="Arial"/>
                <w:sz w:val="14"/>
                <w:szCs w:val="14"/>
                <w:color w:val="auto"/>
              </w:rPr>
              <w:t>Singapore</w:t>
            </w:r>
          </w:p>
        </w:tc>
        <w:tc>
          <w:tcPr>
            <w:tcW w:w="3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46,818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29,707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113,862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56,545</w:t>
            </w:r>
          </w:p>
        </w:tc>
        <w:tc>
          <w:tcPr>
            <w:tcW w:w="100" w:type="dxa"/>
            <w:vAlign w:val="bottom"/>
          </w:tcPr>
          <w:p>
            <w:pPr>
              <w:spacing w:after="0"/>
              <w:rPr>
                <w:sz w:val="17"/>
                <w:szCs w:val="17"/>
                <w:color w:val="auto"/>
              </w:rPr>
            </w:pPr>
          </w:p>
        </w:tc>
      </w:tr>
      <w:tr>
        <w:trPr>
          <w:trHeight w:val="209"/>
        </w:trPr>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15,088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20,300</w:t>
            </w:r>
          </w:p>
        </w:tc>
        <w:tc>
          <w:tcPr>
            <w:tcW w:w="100" w:type="dxa"/>
            <w:vAlign w:val="bottom"/>
            <w:shd w:val="clear" w:color="auto" w:fill="CCEEFF"/>
          </w:tcPr>
          <w:p>
            <w:pPr>
              <w:spacing w:after="0"/>
              <w:rPr>
                <w:sz w:val="18"/>
                <w:szCs w:val="18"/>
                <w:color w:val="auto"/>
              </w:rPr>
            </w:pPr>
          </w:p>
        </w:tc>
      </w:tr>
      <w:tr>
        <w:trPr>
          <w:trHeight w:val="196"/>
        </w:trPr>
        <w:tc>
          <w:tcPr>
            <w:tcW w:w="440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3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10,591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22,078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13,893</w:t>
            </w:r>
          </w:p>
        </w:tc>
        <w:tc>
          <w:tcPr>
            <w:tcW w:w="100" w:type="dxa"/>
            <w:vAlign w:val="bottom"/>
          </w:tcPr>
          <w:p>
            <w:pPr>
              <w:spacing w:after="0"/>
              <w:rPr>
                <w:sz w:val="17"/>
                <w:szCs w:val="17"/>
                <w:color w:val="auto"/>
              </w:rPr>
            </w:pPr>
          </w:p>
        </w:tc>
      </w:tr>
      <w:tr>
        <w:trPr>
          <w:trHeight w:val="209"/>
        </w:trPr>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8"/>
                <w:szCs w:val="18"/>
                <w:color w:val="auto"/>
              </w:rPr>
            </w:pPr>
          </w:p>
        </w:tc>
      </w:tr>
      <w:tr>
        <w:trPr>
          <w:trHeight w:val="196"/>
        </w:trPr>
        <w:tc>
          <w:tcPr>
            <w:tcW w:w="44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923</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1,268</w:t>
            </w:r>
          </w:p>
        </w:tc>
        <w:tc>
          <w:tcPr>
            <w:tcW w:w="100" w:type="dxa"/>
            <w:vAlign w:val="bottom"/>
            <w:tcBorders>
              <w:bottom w:val="single" w:sz="8" w:color="CCEEFF"/>
            </w:tcBorders>
          </w:tcPr>
          <w:p>
            <w:pPr>
              <w:spacing w:after="0"/>
              <w:rPr>
                <w:sz w:val="17"/>
                <w:szCs w:val="17"/>
                <w:color w:val="auto"/>
              </w:rPr>
            </w:pPr>
          </w:p>
        </w:tc>
      </w:tr>
      <w:tr>
        <w:trPr>
          <w:trHeight w:val="227"/>
        </w:trPr>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905,903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375,101</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1,906,524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735,533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6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20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POSIT, and MATCHNow. The Execution Services segment also includes revenues derived from providing</w:t>
      </w:r>
    </w:p>
    <w:p>
      <w:pPr>
        <w:spacing w:after="0" w:line="2" w:lineRule="exact"/>
        <w:rPr>
          <w:sz w:val="20"/>
          <w:szCs w:val="20"/>
          <w:color w:val="auto"/>
        </w:rPr>
      </w:pPr>
    </w:p>
    <w:p>
      <w:pPr>
        <w:ind w:right="80" w:firstLine="8"/>
        <w:spacing w:after="0" w:line="273"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203"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73" w:lineRule="exact"/>
        <w:rPr>
          <w:sz w:val="20"/>
          <w:szCs w:val="20"/>
          <w:color w:val="auto"/>
        </w:rPr>
      </w:pPr>
    </w:p>
    <w:p>
      <w:pPr>
        <w:jc w:val="both"/>
        <w:ind w:right="420" w:firstLine="648"/>
        <w:spacing w:after="0" w:line="311" w:lineRule="auto"/>
        <w:rPr>
          <w:sz w:val="20"/>
          <w:szCs w:val="20"/>
          <w:color w:val="auto"/>
        </w:rPr>
      </w:pPr>
      <w:r>
        <w:rPr>
          <w:rFonts w:ascii="Arial" w:cs="Arial" w:eastAsia="Arial" w:hAnsi="Arial"/>
          <w:sz w:val="16"/>
          <w:szCs w:val="16"/>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June 30, 2020 and 2019 are summarized in the following table:</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Execution</w:t>
            </w: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Making</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759,117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148,076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905,903</w:t>
            </w:r>
          </w:p>
        </w:tc>
        <w:tc>
          <w:tcPr>
            <w:tcW w:w="0" w:type="dxa"/>
            <w:vAlign w:val="bottom"/>
          </w:tcPr>
          <w:p>
            <w:pPr>
              <w:spacing w:after="0"/>
              <w:rPr>
                <w:sz w:val="1"/>
                <w:szCs w:val="1"/>
                <w:color w:val="auto"/>
              </w:rPr>
            </w:pPr>
          </w:p>
        </w:tc>
      </w:tr>
      <w:tr>
        <w:trPr>
          <w:trHeight w:val="197"/>
        </w:trPr>
        <w:tc>
          <w:tcPr>
            <w:tcW w:w="4900" w:type="dxa"/>
            <w:vAlign w:val="bottom"/>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14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397,596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16,454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404,535</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375,101</w:t>
            </w:r>
          </w:p>
        </w:tc>
        <w:tc>
          <w:tcPr>
            <w:tcW w:w="0" w:type="dxa"/>
            <w:vAlign w:val="bottom"/>
          </w:tcPr>
          <w:p>
            <w:pPr>
              <w:spacing w:after="0"/>
              <w:rPr>
                <w:sz w:val="1"/>
                <w:szCs w:val="1"/>
                <w:color w:val="auto"/>
              </w:rPr>
            </w:pPr>
          </w:p>
        </w:tc>
      </w:tr>
      <w:tr>
        <w:trPr>
          <w:trHeight w:val="197"/>
        </w:trPr>
        <w:tc>
          <w:tcPr>
            <w:tcW w:w="4900" w:type="dxa"/>
            <w:vAlign w:val="bottom"/>
          </w:tcPr>
          <w:p>
            <w:pPr>
              <w:ind w:left="120"/>
              <w:spacing w:after="0"/>
              <w:rPr>
                <w:sz w:val="20"/>
                <w:szCs w:val="20"/>
                <w:color w:val="auto"/>
              </w:rPr>
            </w:pPr>
            <w:r>
              <w:rPr>
                <w:rFonts w:ascii="Arial" w:cs="Arial" w:eastAsia="Arial" w:hAnsi="Arial"/>
                <w:sz w:val="14"/>
                <w:szCs w:val="14"/>
                <w:color w:val="auto"/>
              </w:rPr>
              <w:t>Income (loss) before income taxes and noncontrolling interest</w:t>
            </w:r>
          </w:p>
        </w:tc>
        <w:tc>
          <w:tcPr>
            <w:tcW w:w="14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21,962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(21,697)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(66,844)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Arial" w:cs="Arial" w:eastAsia="Arial" w:hAnsi="Arial"/>
                <w:sz w:val="14"/>
                <w:szCs w:val="14"/>
                <w:color w:val="auto"/>
              </w:rPr>
              <w:t>(66,579)</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Pre-tax earnings by segment for the six months ended June 30, 2020 and 2019 are summarized in the following table: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Execution</w:t>
            </w:r>
          </w:p>
        </w:tc>
        <w:tc>
          <w:tcPr>
            <w:tcW w:w="18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Making</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120"/>
              <w:spacing w:after="0"/>
              <w:rPr>
                <w:sz w:val="20"/>
                <w:szCs w:val="20"/>
                <w:color w:val="auto"/>
              </w:rPr>
            </w:pPr>
            <w:r>
              <w:rPr>
                <w:rFonts w:ascii="Arial" w:cs="Arial" w:eastAsia="Arial" w:hAnsi="Arial"/>
                <w:sz w:val="14"/>
                <w:szCs w:val="14"/>
                <w:color w:val="auto"/>
              </w:rPr>
              <w:t>Total revenue</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1,589,703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317,941</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1,906,524</w:t>
            </w: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849,142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35,850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870,760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120"/>
              <w:spacing w:after="0"/>
              <w:rPr>
                <w:sz w:val="20"/>
                <w:szCs w:val="20"/>
                <w:color w:val="auto"/>
              </w:rPr>
            </w:pPr>
            <w:r>
              <w:rPr>
                <w:rFonts w:ascii="Arial" w:cs="Arial" w:eastAsia="Arial" w:hAnsi="Arial"/>
                <w:sz w:val="14"/>
                <w:szCs w:val="14"/>
                <w:color w:val="auto"/>
              </w:rPr>
              <w:t>Total revenue</w:t>
            </w:r>
          </w:p>
        </w:tc>
        <w:tc>
          <w:tcPr>
            <w:tcW w:w="14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512,274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224,520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735,533</w:t>
            </w: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(loss) before income taxes and noncontrolling interest</w:t>
            </w: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(86,182)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(82,783)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incurs expenses and maintains balances with its affiliates in the ordinary course of business. As of June 30, 2020, and December 31, 2019 the Company had net receivables from its affiliates of $1.6 million and $1.3 million, respectively.</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held a minority interest in SBI since 2016 (see Note 10 “Financial Assets and Liabilities”). The Company pays exchange fees to SBI for the trading activities conducted on its proprietary trading system. The Company paid $6.0 million and $2.7 million for the three months ended June 30, 2020 and 2019, respectively, and $9.7 million and $6.1 million for the six months ended June 30, 2020 and 2019, respectively, to SBI for these trading activities.</w:t>
      </w:r>
    </w:p>
    <w:p>
      <w:pPr>
        <w:spacing w:after="0" w:line="21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$4.7 million and $5.2 million for the three months ended June 30, 2020 and 2019, respectively, and $9.4 million and $10.4 million to the JVs for the six months ended June 30, 2020 and 2019, respectively.</w:t>
      </w:r>
    </w:p>
    <w:p>
      <w:pPr>
        <w:spacing w:after="0" w:line="18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Company purchases network connections services from affiliates of Level 3 Communications (“Level 3”). Temasek and its affiliates have a significant ownership interest in Level 3. The Company paid $0.3 million and $0.5 million for the three months ended June 30, 2020 and 2019, respectively, and $0.8 million and $0.8 million for the six months ended June 30, 2020 and 2019, respectively, to Level 3 for these services.</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makes commission-sharing arrangement ("CSA") payments to affiliates of DBS Group Holdings ("DBS"). Temasek and its affiliates have a significant ownership interest in DBS. The Company made payments of $0.2 million for the three and six months ended June 30, 2020.</w:t>
      </w:r>
    </w:p>
    <w:p>
      <w:pPr>
        <w:spacing w:after="0" w:line="15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described in Note 9 “Borrowings” and Note 17 “Capital Structure”, on March 20, 2020 a subsidiary of the Company entered into an agreement with the Founder Member to establish the Founder Member Facility and, upon the execution of the Founder Member Facility and in consideration of the Founder Member’s commitments thereunder, the Company delivered to the Founder Member the Warrant. The transactions were unanimously approved by the Company’s disinterested Directors.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July 29, 2020, the Company amended the terms of its Committed Broker Dealer Facility to increase the sublimit applicable to Borrowing Base B borrowings up to $200 million.</w:t>
      </w:r>
    </w:p>
    <w:p>
      <w:pPr>
        <w:spacing w:after="0" w:line="19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On August 4, 2020, the Company completed the disposition of the MatchNOW business pursuant to a previously announced agreement with Cboe Global Markets, Inc., resulting in a gain of approximately $56.6 million, with potential additional benefit of up to approximately $23.0 million, conditioned on future performance of MatchNOW.</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August 7, 2020, the Company’s board of directors declared a dividend of $0.24 per share of Class A Common Stock and Class B Common Stock and per participating Restricted Stock Unit and Restricted Stock Award that will be paid on September 15, 2020 to holders of record as of September 1,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IN PROGRESS</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The following management’s discussion and analysis covers the three and six months ended June 30, 2020 </w:t>
      </w:r>
      <w:r>
        <w:rPr>
          <w:rFonts w:ascii="Arial" w:cs="Arial" w:eastAsia="Arial" w:hAnsi="Arial"/>
          <w:sz w:val="18"/>
          <w:szCs w:val="18"/>
          <w:color w:val="auto"/>
        </w:rPr>
        <w:t>and</w:t>
      </w:r>
      <w:r>
        <w:rPr>
          <w:rFonts w:ascii="Arial" w:cs="Arial" w:eastAsia="Arial" w:hAnsi="Arial"/>
          <w:sz w:val="18"/>
          <w:szCs w:val="18"/>
          <w:i w:val="1"/>
          <w:iCs w:val="1"/>
          <w:color w:val="auto"/>
        </w:rPr>
        <w:t xml:space="preserve"> 2019 and should be read in conjunction with the condensed consolidated financial statements of Virtu Financial, Inc.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period ended June 30, 2020, which are included in Part I, Item I of this Quarterly Report on Form 10-Q, and the</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audited consolidated financial statements and accompanying notes and MD&amp;A for the year ended December 31, 2019, which are included in Items 8 and 7, respectively, of the Company’s Annual Report on Form 10-K for the year ended December 31, 2019.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w:t>
      </w:r>
    </w:p>
    <w:p>
      <w:pPr>
        <w:spacing w:after="0" w:line="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Annual Report on Form 10-K for the year ended December 31, 2019, as filed with the Securities and Exchange Commission ("SEC") on February 28, 2020 (the "2019 Form 10-K"), could affect our actual financial results or results of operations and cash flows, and could cause actual results to differ materially from those in such forward-looking statements, including but not limited to:</w:t>
      </w:r>
    </w:p>
    <w:p>
      <w:pPr>
        <w:spacing w:after="0" w:line="84" w:lineRule="exact"/>
        <w:rPr>
          <w:sz w:val="20"/>
          <w:szCs w:val="20"/>
          <w:color w:val="auto"/>
        </w:rPr>
      </w:pPr>
    </w:p>
    <w:p>
      <w:pPr>
        <w:ind w:left="980" w:right="80" w:hanging="162"/>
        <w:spacing w:after="0" w:line="286"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continuing impacts of COVID-19 and the governmental and other responses thereto, including but not limited to the deployment of our business continuity plan pursuant to which a significant number of our employees currently work remotely and our return to office plan, each of which may increase operational risk, as well as increases in market, counterparty and other forms of operational risk;</w:t>
      </w:r>
    </w:p>
    <w:p>
      <w:pPr>
        <w:spacing w:after="0" w:line="57" w:lineRule="exact"/>
        <w:rPr>
          <w:rFonts w:ascii="Arial" w:cs="Arial" w:eastAsia="Arial" w:hAnsi="Arial"/>
          <w:sz w:val="17"/>
          <w:szCs w:val="17"/>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levels of overall trading activity;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upon trading counterparties and clearing houses performing their obligations to us;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failures of our customized trading platform;</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inherent to the electronic market making business and trading generally;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in market making activities and execution services;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on continued access to sources of liquidity;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self-clearing and other operational elements of our business;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obligations to comply with applicable regulatory capital requirements;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or other legal and regulatory-based liabilities;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28" w:lineRule="exact"/>
        <w:rPr>
          <w:rFonts w:ascii="Arial" w:cs="Arial" w:eastAsia="Arial" w:hAnsi="Arial"/>
          <w:sz w:val="17"/>
          <w:szCs w:val="17"/>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obligations to comply with laws and regulations applicable to our operations in the U.S. and abroad;</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enhanced media and regulatory scrutiny and its impact upon public perception of us or of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need to maintain and continue developing proprietary technologies;</w:t>
      </w:r>
    </w:p>
    <w:p>
      <w:pPr>
        <w:spacing w:after="0" w:line="117" w:lineRule="exact"/>
        <w:rPr>
          <w:rFonts w:ascii="Arial" w:cs="Arial" w:eastAsia="Arial" w:hAnsi="Arial"/>
          <w:sz w:val="18"/>
          <w:szCs w:val="18"/>
          <w:color w:val="auto"/>
        </w:rPr>
      </w:pPr>
    </w:p>
    <w:p>
      <w:pPr>
        <w:ind w:left="980" w:right="320" w:hanging="16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the ITG Acquisition (as defined below) on existing business relationships, operating results, and ongoing business operations generally;</w:t>
      </w:r>
    </w:p>
    <w:p>
      <w:pPr>
        <w:spacing w:after="0" w:line="62" w:lineRule="exact"/>
        <w:rPr>
          <w:rFonts w:ascii="Arial" w:cs="Arial" w:eastAsia="Arial" w:hAnsi="Arial"/>
          <w:sz w:val="18"/>
          <w:szCs w:val="18"/>
          <w:color w:val="auto"/>
        </w:rPr>
      </w:pPr>
    </w:p>
    <w:p>
      <w:pPr>
        <w:ind w:left="980" w:right="20" w:hanging="16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have incurred in connection with the ITG Acquisition, and the integration of ITG (as defined below) into our business;</w:t>
      </w:r>
    </w:p>
    <w:p>
      <w:pPr>
        <w:spacing w:after="0" w:line="62" w:lineRule="exact"/>
        <w:rPr>
          <w:rFonts w:ascii="Arial" w:cs="Arial" w:eastAsia="Arial" w:hAnsi="Arial"/>
          <w:sz w:val="18"/>
          <w:szCs w:val="18"/>
          <w:color w:val="auto"/>
        </w:rPr>
      </w:pPr>
    </w:p>
    <w:p>
      <w:pPr>
        <w:ind w:left="980" w:hanging="16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we may encounter significant difficulties or delays in integrating the ITG business with ours and that the anticipated benefits, cost savings and synergies or capital release may not be achieved;</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potential liabilities and risks relating to ITG's business;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constraints, system failures, and delays;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third party infrastructure or systems;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open source software;</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in our proprietary technology;</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confidential and proprietary information;</w:t>
      </w:r>
    </w:p>
    <w:p>
      <w:pPr>
        <w:spacing w:after="0" w:line="117" w:lineRule="exact"/>
        <w:rPr>
          <w:rFonts w:ascii="Arial" w:cs="Arial" w:eastAsia="Arial" w:hAnsi="Arial"/>
          <w:sz w:val="18"/>
          <w:szCs w:val="18"/>
          <w:color w:val="auto"/>
        </w:rPr>
      </w:pPr>
    </w:p>
    <w:p>
      <w:pPr>
        <w:ind w:left="980" w:right="860" w:hanging="16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protect our systems from internal or external cyber threats that could result in damage to our computer systems, business interruption, loss of data or other consequences;</w:t>
      </w:r>
    </w:p>
    <w:p>
      <w:pPr>
        <w:spacing w:after="0" w:line="62"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international operations and expansion, including failed acquisitions or dispositions;</w:t>
      </w:r>
    </w:p>
    <w:p>
      <w:pPr>
        <w:spacing w:after="0" w:line="117" w:lineRule="exact"/>
        <w:rPr>
          <w:rFonts w:ascii="Arial" w:cs="Arial" w:eastAsia="Arial" w:hAnsi="Arial"/>
          <w:sz w:val="18"/>
          <w:szCs w:val="18"/>
          <w:color w:val="auto"/>
        </w:rPr>
      </w:pPr>
    </w:p>
    <w:p>
      <w:pPr>
        <w:ind w:left="980" w:right="400" w:hanging="162"/>
        <w:spacing w:after="0" w:line="259"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8"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potential growth and associated corporate actions;</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access, or delay in accessing the capital markets to sell shares or raise additional capital;</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executives and failure to recruit and retain qualified personnel; and</w:t>
      </w:r>
    </w:p>
    <w:p>
      <w:pPr>
        <w:spacing w:after="0" w:line="117" w:lineRule="exact"/>
        <w:rPr>
          <w:rFonts w:ascii="Arial" w:cs="Arial" w:eastAsia="Arial" w:hAnsi="Arial"/>
          <w:sz w:val="18"/>
          <w:szCs w:val="18"/>
          <w:color w:val="auto"/>
        </w:rPr>
      </w:pPr>
    </w:p>
    <w:p>
      <w:pPr>
        <w:ind w:left="980" w:hanging="16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losing access to a significant exchange or other trading venue.</w:t>
      </w:r>
    </w:p>
    <w:p>
      <w:pPr>
        <w:spacing w:after="0" w:line="36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condensed consolidated financial statements for the three and six months ended June 30, 2020 and 2019 reflect our operations and those of our consolidated subsidiaries. As discussed in Note 1 “Organization and Basis of Presentation” and in Note 3 “ITG Acquisition” of Part I Item 1 “Financial Statements” of this Quarterly Report on Form 10-Q, we have accounted for the ITG Acquisition under the acquisition method of accounting. Under the acquisition method of accounting, the assets and liabilities of ITG, as of the ITG Closing Date (as defined below), were recorded at their respective fair values and added to the carrying value of our existing assets and liabilities. Our reported financial condition, results of operations and cash flows for the periods following the ITG Closing Date reflect ITG's and our balances, and reflect the impact of purchase accounting adjustments, including revised amortization and depreciation expense for acquired assets. The financial results for the six months ended June 30, 2019 comprise our results for the entire applicable period and the results of ITG from the ITG Closing Date through June 30, 2019. All periods prior to the ITG Closing Date comprise our results without the results of ITG.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ongoing COVID-19 global and national health emergency has caused significant disruption in the international and United States economies and financial markets. On March 11, 2020, the World Health Organization declared the COVID-19 outbreak a pandemic. The spread of COVID-19 has caused, among other matters, illness, death, quarantines, cancellation of events and travel, business and school shutdowns, reduction in business activity and financial transactions, labor shortages, supply chain interruptions and overall economic and financial market volatility and instability. The United States now has the world’s most reported COVID-19 cases, and all 50 states and the District of Columbia have reported cases of infected individuals. Similar impacts have been experienced in every country in which we do business. The Company has been impacted in various ways by the COVID-19 outbreak, including experiencing elevated levels of trading volumes and market volatility in the markets in which we operate, which contributed positively to our results, and increases in short term funding requirements with clearing houses and counterparties as a consequence of these elevated trading volumes and market volatility. The Company also implemented its business continuity plan, including remote work arrangements for the majority of our employees during this pandemic.</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will continue to monitor the impact of COVID-19, but at the date of this report it is too early to determine the full impact this virus may have on the global financial markets and the overall economy, as well as our business. Should this emerging macro-economic risk continue for an extended period, there could be an adverse material financial impact to the Company's businesses and investments, including a material reduction in the Company's results of operations. For more information on the potential impacts of the COVID-19 outbreak on our business, see Part II Item 1A “Risk Factors” of this Quarterly Report on 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8"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 party licensing or processing fees.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214"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On July 20, 2017, the KCG Closing Date, the Company completed the all-cash Acquisition of KCG. KCG was a leading independent securities firm offering clients a range of services designed to address trading needs across asset classes, product types and geographies.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described below, we completed the ITG Acquisition on the ITG Closing Date. ITG was a global financial technology company that offered a suite of trading and financial technology products to help leading brokers and asset managers improve returns for investors around the world. ITG empowered traders and investors to reduce the end-to-end cost of implementing investments via liquidity, execution, analytics and workflow technology solutions.</w:t>
      </w:r>
    </w:p>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two operating segments: Market Making and Execution Services, and one non-operating segment: Corporate. Our management allocates resources, assesses performance and manages our business according to these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Making</w:t>
      </w:r>
    </w:p>
    <w:p>
      <w:pPr>
        <w:spacing w:after="0" w:line="2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4"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Services</w:t>
      </w:r>
    </w:p>
    <w:p>
      <w:pPr>
        <w:spacing w:after="0" w:line="25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POSIT and MATCHNow.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Investment Technology Group, Inc.</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1, 2019, the ITG Closing Date, we announced the completion of the ITG Acquisition, a cash transaction valued at $30.30 per ITG share, or a total of approximately $1.0 billion.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described below, the Credit Agreement was amended on October 9, 2019, on which date VFH borrowed and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2015 Management Incentive Plan</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w:t>
      </w:r>
    </w:p>
    <w:p>
      <w:pPr>
        <w:spacing w:after="0" w:line="21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June 30, 2020, options to purchase 1,628,750 shares in the aggregate were forfeited and 4,983,394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Investment Technology Group, Inc. 2007 Omnibus Equity Compensation Plan</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Financial Information</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 of Financial Condition as of June 30, 2020 in the amount of $104.0 million; (ii) deferred tax assets reflected on our Condensed Consolidated Statement of Financial Condition as of June 30, 2020 in the amount of $169.7 million and tax receivable agreement obligation in the amount of $256.0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 of Financial Condition as of June 30, 2020; and (iv) provision for corporate income tax in the amount of $55.2 million and $120.6 million reflected on our Condensed Consolidated Statements of Comprehensive Income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shows our i) Total revenue, ii) Total operating expenses, and iii) Income before income taxes and noncontrolling interest by segment for the three and six months ended June 30, 2020 and 2019:</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759,117</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234,029</w:t>
            </w: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1,589,703</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512,274</w:t>
            </w:r>
          </w:p>
        </w:tc>
      </w:tr>
      <w:tr>
        <w:trPr>
          <w:trHeight w:val="203"/>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361,521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212,067</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740,561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442,773</w:t>
            </w: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397,596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21,962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849,142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69,501</w:t>
            </w:r>
          </w:p>
        </w:tc>
      </w:tr>
      <w:tr>
        <w:trPr>
          <w:trHeight w:val="208"/>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148,076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141,470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317,941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224,520</w:t>
            </w:r>
          </w:p>
        </w:tc>
      </w:tr>
      <w:tr>
        <w:trPr>
          <w:trHeight w:val="203"/>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131,622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163,167</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282,091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290,622</w:t>
            </w: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16,454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(21,697)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35,850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(66,102)</w:t>
            </w:r>
          </w:p>
        </w:tc>
      </w:tr>
      <w:tr>
        <w:trPr>
          <w:trHeight w:val="20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(1,261)</w:t>
            </w:r>
          </w:p>
        </w:tc>
      </w:tr>
      <w:tr>
        <w:trPr>
          <w:trHeight w:val="203"/>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8,225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66,446</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84,921</w:t>
            </w: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(9,515)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(66,844)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(86,182)</w:t>
            </w:r>
          </w:p>
        </w:tc>
      </w:tr>
      <w:tr>
        <w:trPr>
          <w:trHeight w:val="208"/>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905,903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375,101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1,906,524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735,533</w:t>
            </w:r>
          </w:p>
        </w:tc>
      </w:tr>
      <w:tr>
        <w:trPr>
          <w:trHeight w:val="203"/>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501,368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441,680</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1,035,764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818,316</w:t>
            </w:r>
          </w:p>
        </w:tc>
      </w:tr>
      <w:tr>
        <w:trPr>
          <w:trHeight w:val="190"/>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Income (loss) before income taxes and noncontrolling interest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404,535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(66,579)</w:t>
            </w:r>
          </w:p>
        </w:tc>
        <w:tc>
          <w:tcPr>
            <w:tcW w:w="1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870,760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(82,783)</w:t>
            </w:r>
          </w:p>
        </w:tc>
      </w:tr>
    </w:tbl>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results of operations for the three and six months ended June 30, 2020 and 2019:</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196"/>
        </w:trPr>
        <w:tc>
          <w:tcPr>
            <w:tcW w:w="53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income, net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743,996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205,923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1,546,461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463,463</w:t>
            </w: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Interest and dividends income</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9,340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24,162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35,856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53,293</w:t>
            </w:r>
          </w:p>
        </w:tc>
      </w:tr>
      <w:tr>
        <w:trPr>
          <w:trHeight w:val="20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147,736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145,120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318,481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220,267</w:t>
            </w:r>
          </w:p>
        </w:tc>
      </w:tr>
      <w:tr>
        <w:trPr>
          <w:trHeight w:val="196"/>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4,831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(1,490)</w:t>
            </w:r>
          </w:p>
        </w:tc>
      </w:tr>
      <w:tr>
        <w:trPr>
          <w:trHeight w:val="202"/>
        </w:trPr>
        <w:tc>
          <w:tcPr>
            <w:tcW w:w="5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revenue</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905,903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375,101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1,906,524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735,533</w:t>
            </w:r>
          </w:p>
        </w:tc>
      </w:tr>
      <w:tr>
        <w:trPr>
          <w:trHeight w:val="216"/>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203,503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99,487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377,321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187,101</w:t>
            </w:r>
          </w:p>
        </w:tc>
      </w:tr>
      <w:tr>
        <w:trPr>
          <w:trHeight w:val="208"/>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Communication and data processing</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55,662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54,423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110,689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96,237</w:t>
            </w:r>
          </w:p>
        </w:tc>
      </w:tr>
      <w:tr>
        <w:trPr>
          <w:trHeight w:val="197"/>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Employee compensation and payroll taxes</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120,934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83,702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291,292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191,540</w:t>
            </w:r>
          </w:p>
        </w:tc>
      </w:tr>
      <w:tr>
        <w:trPr>
          <w:trHeight w:val="208"/>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expense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70,281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82,193</w:t>
            </w:r>
          </w:p>
        </w:tc>
      </w:tr>
      <w:tr>
        <w:trPr>
          <w:trHeight w:val="197"/>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Operations and administrative</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21,737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31,453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48,867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50,970</w:t>
            </w:r>
          </w:p>
        </w:tc>
      </w:tr>
      <w:tr>
        <w:trPr>
          <w:trHeight w:val="208"/>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31,260</w:t>
            </w:r>
          </w:p>
        </w:tc>
      </w:tr>
      <w:tr>
        <w:trPr>
          <w:trHeight w:val="197"/>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18,954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20,606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37,912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31,528</w:t>
            </w:r>
          </w:p>
        </w:tc>
      </w:tr>
      <w:tr>
        <w:trPr>
          <w:trHeight w:val="208"/>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65,207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65,208</w:t>
            </w:r>
          </w:p>
        </w:tc>
      </w:tr>
      <w:tr>
        <w:trPr>
          <w:trHeight w:val="197"/>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13,195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(1,319)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17,366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7,894</w:t>
            </w:r>
          </w:p>
        </w:tc>
      </w:tr>
      <w:tr>
        <w:trPr>
          <w:trHeight w:val="208"/>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Transaction advisory fees and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16,907</w:t>
            </w:r>
          </w:p>
        </w:tc>
      </w:tr>
      <w:tr>
        <w:trPr>
          <w:trHeight w:val="197"/>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Financing interest expense on long-term borrowings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21,736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34,689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47,406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57,478</w:t>
            </w:r>
          </w:p>
        </w:tc>
      </w:tr>
      <w:tr>
        <w:trPr>
          <w:trHeight w:val="196"/>
        </w:trPr>
        <w:tc>
          <w:tcPr>
            <w:tcW w:w="5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501,368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441,680</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1,035,764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818,316</w:t>
            </w:r>
          </w:p>
        </w:tc>
      </w:tr>
      <w:tr>
        <w:trPr>
          <w:trHeight w:val="196"/>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Income (loss) before income taxes and noncontrolling interest</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404,535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(66,579)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870,760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(82,783)</w:t>
            </w:r>
          </w:p>
        </w:tc>
      </w:tr>
      <w:tr>
        <w:trPr>
          <w:trHeight w:val="203"/>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69,250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(11,094)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147,237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(13,679)</w:t>
            </w:r>
          </w:p>
        </w:tc>
      </w:tr>
      <w:tr>
        <w:trPr>
          <w:trHeight w:val="202"/>
        </w:trPr>
        <w:tc>
          <w:tcPr>
            <w:tcW w:w="532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335,285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(55,485)</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723,523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(69,104)</w:t>
            </w:r>
          </w:p>
        </w:tc>
      </w:tr>
      <w:tr>
        <w:trPr>
          <w:trHeight w:val="21"/>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5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21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market 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primarily in the following two categories: Global Equities and Global FICC, Options and Other. Our trading income, net, results from gains and losses associated with trading strategies, which are designed to capture small bid-ask spreads, while hedging risks. Trading income, net, accounted for 81% and 63% of our total revenues for the six months ended June 30, 2020 and 2019, respectively.</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Our market making activities require us to hold securities on a regular basis, and we generate revenues in the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We earn revenues on transactions for which we charge explicit commissions or commission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equivalents,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 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0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9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have interests in multiple strategic investments and telecommunications joint ventures (“JVs”). We record our pro-rata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JV’s earnings or losses within other, net, while fees related to the use of communication services provided by the JVs are recorded within communications and data processing.</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have a noncontrolling investment (the “SBI Investment”) in SBI, a proprietary trading system based in Tokyo. In connection with 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Brokerage, exchange, clearance fees and payments for order flow, net. </w:t>
      </w:r>
      <w:r>
        <w:rPr>
          <w:rFonts w:ascii="Arial" w:cs="Arial" w:eastAsia="Arial" w:hAnsi="Arial"/>
          <w:sz w:val="18"/>
          <w:szCs w:val="18"/>
          <w:color w:val="auto"/>
        </w:rPr>
        <w:t>Brokerage, exchange, clearance fees and payments for order flow are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2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Communication and data processing. </w:t>
      </w:r>
      <w:r>
        <w:rPr>
          <w:rFonts w:ascii="Arial" w:cs="Arial" w:eastAsia="Arial" w:hAnsi="Arial"/>
          <w:sz w:val="18"/>
          <w:szCs w:val="18"/>
          <w:color w:val="auto"/>
        </w:rPr>
        <w:t>Communication and data processing represent primarily fixed expenses for leased equipment,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b w:val="1"/>
          <w:bCs w:val="1"/>
          <w:i w:val="1"/>
          <w:iCs w:val="1"/>
          <w:color w:val="auto"/>
        </w:rPr>
        <w:t xml:space="preserve">Employee compensation and payroll taxes. </w:t>
      </w:r>
      <w:r>
        <w:rPr>
          <w:rFonts w:ascii="Arial" w:cs="Arial" w:eastAsia="Arial" w:hAnsi="Arial"/>
          <w:sz w:val="18"/>
          <w:szCs w:val="18"/>
          <w:color w:val="auto"/>
        </w:rPr>
        <w:t>Employee compensation and payroll taxes include employee salaries, cash and non-cash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21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pursuant to collateralized lending transactions. Typically, dividend expense is incurred when a dividend is paid on securities sold short.</w:t>
      </w:r>
    </w:p>
    <w:p>
      <w:pPr>
        <w:spacing w:after="0" w:line="15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represents occupancy, recruiting, travel and related expense,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other expenses.</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results from the depreciation of fixed assets, such as computing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intangibles and acquired capitalized software. </w:t>
      </w:r>
      <w:r>
        <w:rPr>
          <w:rFonts w:ascii="Arial" w:cs="Arial" w:eastAsia="Arial" w:hAnsi="Arial"/>
          <w:sz w:val="18"/>
          <w:szCs w:val="18"/>
          <w:color w:val="auto"/>
        </w:rPr>
        <w:t>Amortization of purchased intangibles and acquired capitalized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214"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write-off expense related to certain office space we ceased use of as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effort to 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92"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Debt issue costs related to debt refinancing, prepayment and commitment fees. </w:t>
      </w:r>
      <w:r>
        <w:rPr>
          <w:rFonts w:ascii="Arial" w:cs="Arial" w:eastAsia="Arial" w:hAnsi="Arial"/>
          <w:sz w:val="18"/>
          <w:szCs w:val="18"/>
          <w:color w:val="auto"/>
        </w:rPr>
        <w:t>As a result of the refinancing or early termination of our long-term borrowings, we 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Transaction advisory fees and expenses. </w:t>
      </w:r>
      <w:r>
        <w:rPr>
          <w:rFonts w:ascii="Arial" w:cs="Arial" w:eastAsia="Arial" w:hAnsi="Arial"/>
          <w:sz w:val="18"/>
          <w:szCs w:val="18"/>
          <w:color w:val="auto"/>
        </w:rPr>
        <w:t>Transaction advisory fees and expenses primarily reflect professional fees incurred by us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ITG Acquisition in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Financing interest expense on long-term borrowings. </w:t>
      </w:r>
      <w:r>
        <w:rPr>
          <w:rFonts w:ascii="Arial" w:cs="Arial" w:eastAsia="Arial" w:hAnsi="Arial"/>
          <w:sz w:val="18"/>
          <w:szCs w:val="18"/>
          <w:color w:val="auto"/>
        </w:rPr>
        <w:t>Financing interest expense reflects interest accrued on outstanding indebtedness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borrowing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are subject to U.S. federal, state and local income tax at the rate applicable to corporations less the rate attributable to the noncontrolling interest in Virtu Financial.</w:t>
      </w:r>
    </w:p>
    <w:p>
      <w:pPr>
        <w:spacing w:after="0" w:line="19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20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Items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supplement our condensed consolidated financial statements presented in accordance with generally accepted accounting principles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 GAAP”), we use the following non-U.S. GAAP (“Non-GAAP”) financial measures of financial performance:</w:t>
      </w:r>
    </w:p>
    <w:p>
      <w:pPr>
        <w:spacing w:after="0" w:line="238" w:lineRule="exact"/>
        <w:rPr>
          <w:sz w:val="20"/>
          <w:szCs w:val="20"/>
          <w:color w:val="auto"/>
        </w:rPr>
      </w:pPr>
    </w:p>
    <w:p>
      <w:pPr>
        <w:ind w:left="1060" w:right="40" w:hanging="242"/>
        <w:spacing w:after="0" w:line="271" w:lineRule="auto"/>
        <w:tabs>
          <w:tab w:leader="none" w:pos="10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0" w:lineRule="exact"/>
        <w:rPr>
          <w:rFonts w:ascii="Arial" w:cs="Arial" w:eastAsia="Arial" w:hAnsi="Arial"/>
          <w:sz w:val="17"/>
          <w:szCs w:val="17"/>
          <w:color w:val="auto"/>
        </w:rPr>
      </w:pPr>
    </w:p>
    <w:p>
      <w:pPr>
        <w:ind w:left="1060" w:right="100" w:hanging="242"/>
        <w:spacing w:after="0" w:line="255" w:lineRule="auto"/>
        <w:tabs>
          <w:tab w:leader="none" w:pos="10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 based compensation and other expenses, which includes reserves for legal matters, COVID-19 one-time costs and donations and Other, net.</w:t>
      </w:r>
    </w:p>
    <w:p>
      <w:pPr>
        <w:spacing w:after="0" w:line="84" w:lineRule="exact"/>
        <w:rPr>
          <w:rFonts w:ascii="Arial" w:cs="Arial" w:eastAsia="Arial" w:hAnsi="Arial"/>
          <w:sz w:val="18"/>
          <w:szCs w:val="18"/>
          <w:color w:val="auto"/>
        </w:rPr>
      </w:pPr>
    </w:p>
    <w:p>
      <w:pPr>
        <w:ind w:left="1060" w:hanging="242"/>
        <w:spacing w:after="0" w:line="259" w:lineRule="auto"/>
        <w:tabs>
          <w:tab w:leader="none" w:pos="10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an effective tax rate, which was approximately 24%.</w:t>
      </w:r>
    </w:p>
    <w:p>
      <w:pPr>
        <w:spacing w:after="0" w:line="78" w:lineRule="exact"/>
        <w:rPr>
          <w:rFonts w:ascii="Arial" w:cs="Arial" w:eastAsia="Arial" w:hAnsi="Arial"/>
          <w:sz w:val="18"/>
          <w:szCs w:val="18"/>
          <w:color w:val="auto"/>
        </w:rPr>
      </w:pPr>
    </w:p>
    <w:p>
      <w:pPr>
        <w:ind w:left="1060" w:hanging="242"/>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6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19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8" w:lineRule="exact"/>
        <w:rPr>
          <w:sz w:val="20"/>
          <w:szCs w:val="20"/>
          <w:color w:val="auto"/>
        </w:rPr>
      </w:pPr>
    </w:p>
    <w:p>
      <w:pPr>
        <w:ind w:left="1060" w:hanging="242"/>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do not reflect every cash expenditure, future requirements for capital expenditures or contractual commitments;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060" w:right="40" w:hanging="242"/>
        <w:spacing w:after="0" w:line="277" w:lineRule="auto"/>
        <w:tabs>
          <w:tab w:leader="none" w:pos="10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EBITDA-based measures do not reflect the significant interest expense or the cash requirements necessary to service interest or principal payment on our debt;</w:t>
      </w:r>
    </w:p>
    <w:p>
      <w:pPr>
        <w:spacing w:after="0" w:line="62" w:lineRule="exact"/>
        <w:rPr>
          <w:rFonts w:ascii="Arial" w:cs="Arial" w:eastAsia="Arial" w:hAnsi="Arial"/>
          <w:sz w:val="18"/>
          <w:szCs w:val="18"/>
          <w:color w:val="auto"/>
        </w:rPr>
      </w:pPr>
    </w:p>
    <w:p>
      <w:pPr>
        <w:ind w:left="1060" w:right="280" w:hanging="242"/>
        <w:spacing w:after="0" w:line="263" w:lineRule="auto"/>
        <w:tabs>
          <w:tab w:leader="none" w:pos="10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5" w:lineRule="exact"/>
        <w:rPr>
          <w:rFonts w:ascii="Arial" w:cs="Arial" w:eastAsia="Arial" w:hAnsi="Arial"/>
          <w:sz w:val="18"/>
          <w:szCs w:val="18"/>
          <w:color w:val="auto"/>
        </w:rPr>
      </w:pPr>
    </w:p>
    <w:p>
      <w:pPr>
        <w:ind w:left="1060" w:hanging="24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1060" w:hanging="242"/>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40" w:lineRule="exact"/>
        <w:rPr>
          <w:rFonts w:ascii="Arial" w:cs="Arial" w:eastAsia="Arial" w:hAnsi="Arial"/>
          <w:sz w:val="16"/>
          <w:szCs w:val="16"/>
          <w:color w:val="auto"/>
        </w:rPr>
      </w:pPr>
    </w:p>
    <w:p>
      <w:pPr>
        <w:ind w:left="1060" w:hanging="242"/>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do not reflect limitations on our costs related to transferring earnings from our subsidiaries to us.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21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reconciles the Condensed Consolidated Statements of Comprehensive Income to arrive at Adjusted Net Trading Income, EBITDA, Adjusted EBITDA, and Operating Margins for the three and six months ended June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vMerge w:val="restart"/>
          </w:tcPr>
          <w:p>
            <w:pPr>
              <w:jc w:val="right"/>
              <w:ind w:right="128"/>
              <w:spacing w:after="0"/>
              <w:rPr>
                <w:sz w:val="20"/>
                <w:szCs w:val="20"/>
                <w:color w:val="auto"/>
              </w:rPr>
            </w:pPr>
            <w:r>
              <w:rPr>
                <w:rFonts w:ascii="Arial" w:cs="Arial" w:eastAsia="Arial" w:hAnsi="Arial"/>
                <w:sz w:val="14"/>
                <w:szCs w:val="14"/>
                <w:b w:val="1"/>
                <w:bCs w:val="1"/>
                <w:color w:val="auto"/>
                <w:w w:val="99"/>
              </w:rPr>
              <w:t>Three Months Ended June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5"/>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743,996</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205,923</w:t>
            </w: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1,546,461</w:t>
            </w:r>
          </w:p>
        </w:tc>
        <w:tc>
          <w:tcPr>
            <w:tcW w:w="5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463,463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147,736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145,120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318,481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220,267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(28,841)</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(36,824)</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(70,281)</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(82,193)</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668,728</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238,894</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1,453,196</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335,285</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(55,485)</w:t>
            </w: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723,523</w:t>
            </w:r>
          </w:p>
        </w:tc>
        <w:tc>
          <w:tcPr>
            <w:tcW w:w="5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(69,104)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interest expense on long-term borrowings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37,912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31,528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69,250</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(11,094)</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147,237</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(13,679)</w:t>
            </w:r>
          </w:p>
        </w:tc>
        <w:tc>
          <w:tcPr>
            <w:tcW w:w="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6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475,133</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2,207</w:t>
            </w: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1,007,517</w:t>
            </w:r>
          </w:p>
        </w:tc>
        <w:tc>
          <w:tcPr>
            <w:tcW w:w="5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45,377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Severance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Transaction advisory fees and expenses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of office leases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960" w:type="dxa"/>
            <w:vAlign w:val="bottom"/>
            <w:gridSpan w:val="2"/>
          </w:tcPr>
          <w:p>
            <w:pPr>
              <w:ind w:left="20"/>
              <w:spacing w:after="0" w:line="157" w:lineRule="exact"/>
              <w:rPr>
                <w:sz w:val="20"/>
                <w:szCs w:val="20"/>
                <w:color w:val="auto"/>
              </w:rPr>
            </w:pPr>
            <w:r>
              <w:rPr>
                <w:rFonts w:ascii="Arial" w:cs="Arial" w:eastAsia="Arial" w:hAnsi="Arial"/>
                <w:sz w:val="14"/>
                <w:szCs w:val="14"/>
                <w:color w:val="auto"/>
                <w:w w:val="97"/>
              </w:rPr>
              <w:t>Charges related to share based compensation at IPO, Amended and Restated 2015 Management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Incentive Plan</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485,758</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89,164</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1,055,464</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Net Income Margin (1)</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49.8</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 %</w:t>
            </w:r>
          </w:p>
        </w:tc>
        <w:tc>
          <w:tcPr>
            <w:tcW w:w="0" w:type="dxa"/>
            <w:vAlign w:val="bottom"/>
          </w:tcPr>
          <w:p>
            <w:pPr>
              <w:spacing w:after="0"/>
              <w:rPr>
                <w:sz w:val="1"/>
                <w:szCs w:val="1"/>
                <w:color w:val="auto"/>
              </w:rPr>
            </w:pPr>
          </w:p>
        </w:tc>
      </w:tr>
      <w:tr>
        <w:trPr>
          <w:trHeight w:val="20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EBITDA Margin (2)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1"/>
        </w:trPr>
        <w:tc>
          <w:tcPr>
            <w:tcW w:w="5960" w:type="dxa"/>
            <w:vAlign w:val="bottom"/>
            <w:gridSpan w:val="2"/>
          </w:tcPr>
          <w:p>
            <w:pPr>
              <w:ind w:left="20"/>
              <w:spacing w:after="0"/>
              <w:rPr>
                <w:sz w:val="20"/>
                <w:szCs w:val="20"/>
                <w:color w:val="auto"/>
              </w:rPr>
            </w:pPr>
            <w:r>
              <w:rPr>
                <w:rFonts w:ascii="Arial" w:cs="Arial" w:eastAsia="Arial" w:hAnsi="Arial"/>
                <w:sz w:val="14"/>
                <w:szCs w:val="14"/>
                <w:color w:val="auto"/>
              </w:rPr>
              <w:t>Adjusted EBITDA Margin (3)</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spacing w:after="0" w:line="19" w:lineRule="exact"/>
        <w:rPr>
          <w:rFonts w:ascii="Arial" w:cs="Arial" w:eastAsia="Arial" w:hAnsi="Arial"/>
          <w:sz w:val="16"/>
          <w:szCs w:val="16"/>
          <w:color w:val="auto"/>
        </w:rPr>
      </w:pPr>
    </w:p>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20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following table reconciles Net Income to arrive at Normalized Adjusted Net Income before income taxes, Normalized provision for income taxes, Normalized Adjusted Net Income and Normalized Adjusted EPS for the three and six months ended June 30, 2020 and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3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335,285</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(55,485)</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723,523</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(69,104)</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69,250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(11,094)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147,237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(13,679)</w:t>
            </w:r>
          </w:p>
        </w:tc>
        <w:tc>
          <w:tcPr>
            <w:tcW w:w="0" w:type="dxa"/>
            <w:vAlign w:val="bottom"/>
          </w:tcPr>
          <w:p>
            <w:pPr>
              <w:spacing w:after="0"/>
              <w:rPr>
                <w:sz w:val="1"/>
                <w:szCs w:val="1"/>
                <w:color w:val="auto"/>
              </w:rPr>
            </w:pPr>
          </w:p>
        </w:tc>
      </w:tr>
      <w:tr>
        <w:trPr>
          <w:trHeight w:val="196"/>
        </w:trPr>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(loss) before income taxes</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404,535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(66,579)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870,760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(82,783)</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980" w:type="dxa"/>
            <w:vAlign w:val="bottom"/>
            <w:gridSpan w:val="2"/>
          </w:tcPr>
          <w:p>
            <w:pPr>
              <w:ind w:left="1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18,954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20,606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37,912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31,528</w:t>
            </w:r>
          </w:p>
        </w:tc>
        <w:tc>
          <w:tcPr>
            <w:tcW w:w="0" w:type="dxa"/>
            <w:vAlign w:val="bottom"/>
          </w:tcPr>
          <w:p>
            <w:pPr>
              <w:spacing w:after="0"/>
              <w:rPr>
                <w:sz w:val="1"/>
                <w:szCs w:val="1"/>
                <w:color w:val="auto"/>
              </w:rPr>
            </w:pPr>
          </w:p>
        </w:tc>
      </w:tr>
      <w:tr>
        <w:trPr>
          <w:trHeight w:val="208"/>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7,894</w:t>
            </w:r>
          </w:p>
        </w:tc>
        <w:tc>
          <w:tcPr>
            <w:tcW w:w="0" w:type="dxa"/>
            <w:vAlign w:val="bottom"/>
          </w:tcPr>
          <w:p>
            <w:pPr>
              <w:spacing w:after="0"/>
              <w:rPr>
                <w:sz w:val="1"/>
                <w:szCs w:val="1"/>
                <w:color w:val="auto"/>
              </w:rPr>
            </w:pPr>
          </w:p>
        </w:tc>
      </w:tr>
      <w:tr>
        <w:trPr>
          <w:trHeight w:val="197"/>
        </w:trPr>
        <w:tc>
          <w:tcPr>
            <w:tcW w:w="5980" w:type="dxa"/>
            <w:vAlign w:val="bottom"/>
            <w:gridSpan w:val="2"/>
          </w:tcPr>
          <w:p>
            <w:pPr>
              <w:ind w:left="120"/>
              <w:spacing w:after="0"/>
              <w:rPr>
                <w:sz w:val="20"/>
                <w:szCs w:val="20"/>
                <w:color w:val="auto"/>
              </w:rPr>
            </w:pPr>
            <w:r>
              <w:rPr>
                <w:rFonts w:ascii="Arial" w:cs="Arial" w:eastAsia="Arial" w:hAnsi="Arial"/>
                <w:sz w:val="14"/>
                <w:szCs w:val="14"/>
                <w:color w:val="auto"/>
              </w:rPr>
              <w:t>Severance</w:t>
            </w:r>
          </w:p>
        </w:tc>
        <w:tc>
          <w:tcPr>
            <w:tcW w:w="2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7,873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4,161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61,224</w:t>
            </w:r>
          </w:p>
        </w:tc>
        <w:tc>
          <w:tcPr>
            <w:tcW w:w="0" w:type="dxa"/>
            <w:vAlign w:val="bottom"/>
          </w:tcPr>
          <w:p>
            <w:pPr>
              <w:spacing w:after="0"/>
              <w:rPr>
                <w:sz w:val="1"/>
                <w:szCs w:val="1"/>
                <w:color w:val="auto"/>
              </w:rPr>
            </w:pPr>
          </w:p>
        </w:tc>
      </w:tr>
      <w:tr>
        <w:trPr>
          <w:trHeight w:val="208"/>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Transaction advisory fees and expenses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16,907</w:t>
            </w:r>
          </w:p>
        </w:tc>
        <w:tc>
          <w:tcPr>
            <w:tcW w:w="0" w:type="dxa"/>
            <w:vAlign w:val="bottom"/>
          </w:tcPr>
          <w:p>
            <w:pPr>
              <w:spacing w:after="0"/>
              <w:rPr>
                <w:sz w:val="1"/>
                <w:szCs w:val="1"/>
                <w:color w:val="auto"/>
              </w:rPr>
            </w:pPr>
          </w:p>
        </w:tc>
      </w:tr>
      <w:tr>
        <w:trPr>
          <w:trHeight w:val="197"/>
        </w:trPr>
        <w:tc>
          <w:tcPr>
            <w:tcW w:w="5980" w:type="dxa"/>
            <w:vAlign w:val="bottom"/>
            <w:gridSpan w:val="2"/>
          </w:tcPr>
          <w:p>
            <w:pPr>
              <w:ind w:left="120"/>
              <w:spacing w:after="0"/>
              <w:rPr>
                <w:sz w:val="20"/>
                <w:szCs w:val="20"/>
                <w:color w:val="auto"/>
              </w:rPr>
            </w:pPr>
            <w:r>
              <w:rPr>
                <w:rFonts w:ascii="Arial" w:cs="Arial" w:eastAsia="Arial" w:hAnsi="Arial"/>
                <w:sz w:val="14"/>
                <w:szCs w:val="14"/>
                <w:color w:val="auto"/>
              </w:rPr>
              <w:t>Termination of office leases</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65,208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65,208</w:t>
            </w:r>
          </w:p>
        </w:tc>
        <w:tc>
          <w:tcPr>
            <w:tcW w:w="0" w:type="dxa"/>
            <w:vAlign w:val="bottom"/>
          </w:tcPr>
          <w:p>
            <w:pPr>
              <w:spacing w:after="0"/>
              <w:rPr>
                <w:sz w:val="1"/>
                <w:szCs w:val="1"/>
                <w:color w:val="auto"/>
              </w:rPr>
            </w:pPr>
          </w:p>
        </w:tc>
      </w:tr>
      <w:tr>
        <w:trPr>
          <w:trHeight w:val="208"/>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197"/>
        </w:trPr>
        <w:tc>
          <w:tcPr>
            <w:tcW w:w="5980" w:type="dxa"/>
            <w:vAlign w:val="bottom"/>
            <w:gridSpan w:val="2"/>
          </w:tcPr>
          <w:p>
            <w:pPr>
              <w:ind w:left="120"/>
              <w:spacing w:after="0"/>
              <w:rPr>
                <w:sz w:val="20"/>
                <w:szCs w:val="20"/>
                <w:color w:val="auto"/>
              </w:rPr>
            </w:pPr>
            <w:r>
              <w:rPr>
                <w:rFonts w:ascii="Arial" w:cs="Arial" w:eastAsia="Arial" w:hAnsi="Arial"/>
                <w:sz w:val="14"/>
                <w:szCs w:val="14"/>
                <w:color w:val="auto"/>
              </w:rPr>
              <w:t>Share based compensation</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16,505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11,983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42,249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21,796</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196"/>
        </w:trPr>
        <w:tc>
          <w:tcPr>
            <w:tcW w:w="5980" w:type="dxa"/>
            <w:vAlign w:val="bottom"/>
            <w:gridSpan w:val="2"/>
          </w:tcPr>
          <w:p>
            <w:pPr>
              <w:ind w:left="120"/>
              <w:spacing w:after="0"/>
              <w:rPr>
                <w:sz w:val="20"/>
                <w:szCs w:val="20"/>
                <w:color w:val="auto"/>
              </w:rPr>
            </w:pPr>
            <w:r>
              <w:rPr>
                <w:rFonts w:ascii="Arial" w:cs="Arial" w:eastAsia="Arial" w:hAnsi="Arial"/>
                <w:sz w:val="14"/>
                <w:szCs w:val="14"/>
                <w:color w:val="auto"/>
              </w:rPr>
              <w:t>Normalized Adjusted Net Income before income taxes</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447,309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39,665</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973,985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124,650</w:t>
            </w: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Normalized provision for income taxes (1)</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107,354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9,520</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233,757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29,916</w:t>
            </w:r>
          </w:p>
        </w:tc>
        <w:tc>
          <w:tcPr>
            <w:tcW w:w="0" w:type="dxa"/>
            <w:vAlign w:val="bottom"/>
          </w:tcPr>
          <w:p>
            <w:pPr>
              <w:spacing w:after="0"/>
              <w:rPr>
                <w:sz w:val="1"/>
                <w:szCs w:val="1"/>
                <w:color w:val="auto"/>
              </w:rPr>
            </w:pPr>
          </w:p>
        </w:tc>
      </w:tr>
      <w:tr>
        <w:trPr>
          <w:trHeight w:val="196"/>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Normalized Adjusted 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339,955</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30,145</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740,228</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94,734</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197,050,236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194,217,318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196,049,119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192,959,477</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Normalized Adjusted EPS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8427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79"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24% for 2020 and 24% for 2019.</w:t>
      </w:r>
    </w:p>
    <w:p>
      <w:pPr>
        <w:spacing w:after="0" w:line="19" w:lineRule="exact"/>
        <w:rPr>
          <w:rFonts w:ascii="Arial" w:cs="Arial" w:eastAsia="Arial" w:hAnsi="Arial"/>
          <w:sz w:val="16"/>
          <w:szCs w:val="16"/>
          <w:color w:val="auto"/>
        </w:rPr>
      </w:pPr>
    </w:p>
    <w:p>
      <w:pPr>
        <w:ind w:left="420" w:right="40" w:hanging="412"/>
        <w:spacing w:after="0" w:line="288"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six months ended June 30, 2020 and 2019 as well as warrants issued in connection with the Founder Member Loan during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reconcile Trading income, net to Adjusted Net Trading Income by segment for the three and six months ended June 30, 2020 and 2019:</w:t>
      </w:r>
    </w:p>
    <w:p>
      <w:pPr>
        <w:spacing w:after="0" w:line="54"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30, 2020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7"/>
                <w:szCs w:val="17"/>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1"/>
              </w:rPr>
              <w:t>Execution Services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96"/>
        </w:trPr>
        <w:tc>
          <w:tcPr>
            <w:tcW w:w="3720" w:type="dxa"/>
            <w:vAlign w:val="bottom"/>
            <w:gridSpan w:val="2"/>
          </w:tcPr>
          <w:p>
            <w:pPr>
              <w:spacing w:after="0"/>
              <w:rPr>
                <w:sz w:val="20"/>
                <w:szCs w:val="20"/>
                <w:color w:val="auto"/>
              </w:rPr>
            </w:pPr>
            <w:r>
              <w:rPr>
                <w:rFonts w:ascii="Arial" w:cs="Arial" w:eastAsia="Arial" w:hAnsi="Arial"/>
                <w:sz w:val="14"/>
                <w:szCs w:val="14"/>
                <w:color w:val="auto"/>
              </w:rPr>
              <w:t>Trading income,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744,685</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743,996</w:t>
            </w:r>
          </w:p>
        </w:tc>
      </w:tr>
      <w:tr>
        <w:trPr>
          <w:trHeight w:val="208"/>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Commissions, net and technology services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147,736</w:t>
            </w:r>
          </w:p>
        </w:tc>
      </w:tr>
      <w:tr>
        <w:trPr>
          <w:trHeight w:val="197"/>
        </w:trPr>
        <w:tc>
          <w:tcPr>
            <w:tcW w:w="3720" w:type="dxa"/>
            <w:vAlign w:val="bottom"/>
            <w:gridSpan w:val="2"/>
          </w:tcPr>
          <w:p>
            <w:pPr>
              <w:spacing w:after="0"/>
              <w:rPr>
                <w:sz w:val="20"/>
                <w:szCs w:val="20"/>
                <w:color w:val="auto"/>
              </w:rPr>
            </w:pPr>
            <w:r>
              <w:rPr>
                <w:rFonts w:ascii="Arial" w:cs="Arial" w:eastAsia="Arial" w:hAnsi="Arial"/>
                <w:sz w:val="14"/>
                <w:szCs w:val="14"/>
                <w:color w:val="auto"/>
              </w:rPr>
              <w:t>Interest and dividends income</w:t>
            </w: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9,340</w:t>
            </w:r>
          </w:p>
        </w:tc>
      </w:tr>
      <w:tr>
        <w:trPr>
          <w:trHeight w:val="163"/>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Brokerage, exchange, clearance fees and payments for order</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 net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(172,872)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(203,503)</w:t>
            </w:r>
          </w:p>
        </w:tc>
      </w:tr>
      <w:tr>
        <w:trPr>
          <w:trHeight w:val="197"/>
        </w:trPr>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and dividends expense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(28,085)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(28,841)</w:t>
            </w:r>
          </w:p>
        </w:tc>
      </w:tr>
      <w:tr>
        <w:trPr>
          <w:trHeight w:val="222"/>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Net Trading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668,728</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30, 2019</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7"/>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7"/>
                <w:szCs w:val="17"/>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1"/>
              </w:rPr>
              <w:t>Execution Services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96"/>
        </w:trPr>
        <w:tc>
          <w:tcPr>
            <w:tcW w:w="3720" w:type="dxa"/>
            <w:vAlign w:val="bottom"/>
            <w:gridSpan w:val="2"/>
          </w:tcPr>
          <w:p>
            <w:pPr>
              <w:spacing w:after="0"/>
              <w:rPr>
                <w:sz w:val="20"/>
                <w:szCs w:val="20"/>
                <w:color w:val="auto"/>
              </w:rPr>
            </w:pPr>
            <w:r>
              <w:rPr>
                <w:rFonts w:ascii="Arial" w:cs="Arial" w:eastAsia="Arial" w:hAnsi="Arial"/>
                <w:sz w:val="14"/>
                <w:szCs w:val="14"/>
                <w:color w:val="auto"/>
              </w:rPr>
              <w:t>Trading income,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205,568</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205,923</w:t>
            </w:r>
          </w:p>
        </w:tc>
      </w:tr>
      <w:tr>
        <w:trPr>
          <w:trHeight w:val="209"/>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Commissions, net and technology services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145,120</w:t>
            </w:r>
          </w:p>
        </w:tc>
      </w:tr>
      <w:tr>
        <w:trPr>
          <w:trHeight w:val="196"/>
        </w:trPr>
        <w:tc>
          <w:tcPr>
            <w:tcW w:w="3720" w:type="dxa"/>
            <w:vAlign w:val="bottom"/>
            <w:gridSpan w:val="2"/>
          </w:tcPr>
          <w:p>
            <w:pPr>
              <w:spacing w:after="0"/>
              <w:rPr>
                <w:sz w:val="20"/>
                <w:szCs w:val="20"/>
                <w:color w:val="auto"/>
              </w:rPr>
            </w:pPr>
            <w:r>
              <w:rPr>
                <w:rFonts w:ascii="Arial" w:cs="Arial" w:eastAsia="Arial" w:hAnsi="Arial"/>
                <w:sz w:val="14"/>
                <w:szCs w:val="14"/>
                <w:color w:val="auto"/>
              </w:rPr>
              <w:t>Interest and dividends income</w:t>
            </w: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23,284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24,162</w:t>
            </w:r>
          </w:p>
        </w:tc>
      </w:tr>
      <w:tr>
        <w:trPr>
          <w:trHeight w:val="163"/>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Brokerage, exchange, clearance fees and payments for order</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 net</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(99,487)</w:t>
            </w:r>
          </w:p>
        </w:tc>
      </w:tr>
      <w:tr>
        <w:trPr>
          <w:trHeight w:val="197"/>
        </w:trPr>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and dividends expense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(36,824)</w:t>
            </w:r>
          </w:p>
        </w:tc>
      </w:tr>
      <w:tr>
        <w:trPr>
          <w:trHeight w:val="222"/>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Net Trading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238,894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Six Months Ended June 30, 2020</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7"/>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1"/>
              </w:rPr>
              <w:t>Execution Services</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02"/>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1,547,347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1,546,461</w:t>
            </w:r>
          </w:p>
        </w:tc>
      </w:tr>
      <w:tr>
        <w:trPr>
          <w:trHeight w:val="197"/>
        </w:trPr>
        <w:tc>
          <w:tcPr>
            <w:tcW w:w="3700" w:type="dxa"/>
            <w:vAlign w:val="bottom"/>
            <w:gridSpan w:val="2"/>
          </w:tcPr>
          <w:p>
            <w:pPr>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318,345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318,481</w:t>
            </w:r>
          </w:p>
        </w:tc>
      </w:tr>
      <w:tr>
        <w:trPr>
          <w:trHeight w:val="208"/>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35,856</w:t>
            </w:r>
          </w:p>
        </w:tc>
      </w:tr>
      <w:tr>
        <w:trPr>
          <w:trHeight w:val="157"/>
        </w:trPr>
        <w:tc>
          <w:tcPr>
            <w:tcW w:w="3700" w:type="dxa"/>
            <w:vAlign w:val="bottom"/>
            <w:gridSpan w:val="2"/>
          </w:tcPr>
          <w:p>
            <w:pPr>
              <w:spacing w:after="0" w:line="157" w:lineRule="exact"/>
              <w:rPr>
                <w:sz w:val="20"/>
                <w:szCs w:val="20"/>
                <w:color w:val="auto"/>
              </w:rPr>
            </w:pPr>
            <w:r>
              <w:rPr>
                <w:rFonts w:ascii="Arial" w:cs="Arial" w:eastAsia="Arial" w:hAnsi="Arial"/>
                <w:sz w:val="14"/>
                <w:szCs w:val="14"/>
                <w:color w:val="auto"/>
                <w:w w:val="96"/>
              </w:rPr>
              <w:t>Brokerage, exchange, clearance fees and payments for order</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3700" w:type="dxa"/>
            <w:vAlign w:val="bottom"/>
            <w:gridSpan w:val="2"/>
          </w:tcPr>
          <w:p>
            <w:pPr>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(309,476)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(67,845)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(377,321)</w:t>
            </w:r>
          </w:p>
        </w:tc>
      </w:tr>
      <w:tr>
        <w:trPr>
          <w:trHeight w:val="203"/>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(69,071)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(70,281)</w:t>
            </w:r>
          </w:p>
        </w:tc>
      </w:tr>
      <w:tr>
        <w:trPr>
          <w:trHeight w:val="202"/>
        </w:trPr>
        <w:tc>
          <w:tcPr>
            <w:tcW w:w="3700" w:type="dxa"/>
            <w:vAlign w:val="bottom"/>
            <w:gridSpan w:val="2"/>
          </w:tcPr>
          <w:p>
            <w:pPr>
              <w:spacing w:after="0"/>
              <w:rPr>
                <w:sz w:val="20"/>
                <w:szCs w:val="20"/>
                <w:color w:val="auto"/>
              </w:rPr>
            </w:pPr>
            <w:r>
              <w:rPr>
                <w:rFonts w:ascii="Arial" w:cs="Arial" w:eastAsia="Arial" w:hAnsi="Arial"/>
                <w:sz w:val="14"/>
                <w:szCs w:val="14"/>
                <w:color w:val="auto"/>
              </w:rPr>
              <w:t>Adjusted Net Trading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1,204,389</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248,807</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1,453,196</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Six Months Ended June 30, 2019</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1"/>
              </w:rPr>
              <w:t>Execution Services</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02"/>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Trading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460,689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463,463</w:t>
            </w:r>
          </w:p>
        </w:tc>
      </w:tr>
      <w:tr>
        <w:trPr>
          <w:trHeight w:val="197"/>
        </w:trPr>
        <w:tc>
          <w:tcPr>
            <w:tcW w:w="3720" w:type="dxa"/>
            <w:vAlign w:val="bottom"/>
            <w:gridSpan w:val="2"/>
          </w:tcPr>
          <w:p>
            <w:pPr>
              <w:spacing w:after="0"/>
              <w:rPr>
                <w:sz w:val="20"/>
                <w:szCs w:val="20"/>
                <w:color w:val="auto"/>
              </w:rPr>
            </w:pPr>
            <w:r>
              <w:rPr>
                <w:rFonts w:ascii="Arial" w:cs="Arial" w:eastAsia="Arial" w:hAnsi="Arial"/>
                <w:sz w:val="14"/>
                <w:szCs w:val="14"/>
                <w:color w:val="auto"/>
              </w:rPr>
              <w:t>Commissions, net and technology services</w:t>
            </w: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9,961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210,306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220,267</w:t>
            </w:r>
          </w:p>
        </w:tc>
      </w:tr>
      <w:tr>
        <w:trPr>
          <w:trHeight w:val="208"/>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and dividends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53,293</w:t>
            </w:r>
          </w:p>
        </w:tc>
      </w:tr>
      <w:tr>
        <w:trPr>
          <w:trHeight w:val="157"/>
        </w:trPr>
        <w:tc>
          <w:tcPr>
            <w:tcW w:w="3720" w:type="dxa"/>
            <w:vAlign w:val="bottom"/>
            <w:gridSpan w:val="2"/>
          </w:tcPr>
          <w:p>
            <w:pPr>
              <w:spacing w:after="0" w:line="157" w:lineRule="exact"/>
              <w:rPr>
                <w:sz w:val="20"/>
                <w:szCs w:val="20"/>
                <w:color w:val="auto"/>
              </w:rPr>
            </w:pPr>
            <w:r>
              <w:rPr>
                <w:rFonts w:ascii="Arial" w:cs="Arial" w:eastAsia="Arial" w:hAnsi="Arial"/>
                <w:sz w:val="14"/>
                <w:szCs w:val="14"/>
                <w:color w:val="auto"/>
                <w:w w:val="97"/>
              </w:rPr>
              <w:t>Brokerage, exchange, clearance fees and payments for order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3720" w:type="dxa"/>
            <w:vAlign w:val="bottom"/>
            <w:gridSpan w:val="2"/>
          </w:tcPr>
          <w:p>
            <w:pPr>
              <w:spacing w:after="0"/>
              <w:rPr>
                <w:sz w:val="20"/>
                <w:szCs w:val="20"/>
                <w:color w:val="auto"/>
              </w:rPr>
            </w:pPr>
            <w:r>
              <w:rPr>
                <w:rFonts w:ascii="Arial" w:cs="Arial" w:eastAsia="Arial" w:hAnsi="Arial"/>
                <w:sz w:val="14"/>
                <w:szCs w:val="14"/>
                <w:color w:val="auto"/>
              </w:rPr>
              <w:t>flow, net</w:t>
            </w:r>
          </w:p>
        </w:tc>
        <w:tc>
          <w:tcPr>
            <w:tcW w:w="1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(130,197)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(56,904)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(187,101)</w:t>
            </w:r>
          </w:p>
        </w:tc>
      </w:tr>
      <w:tr>
        <w:trPr>
          <w:trHeight w:val="203"/>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and dividends expense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(70,655)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(11,538)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(82,193)</w:t>
            </w:r>
          </w:p>
        </w:tc>
      </w:tr>
      <w:tr>
        <w:trPr>
          <w:trHeight w:val="202"/>
        </w:trPr>
        <w:tc>
          <w:tcPr>
            <w:tcW w:w="3720" w:type="dxa"/>
            <w:vAlign w:val="bottom"/>
            <w:gridSpan w:val="2"/>
          </w:tcPr>
          <w:p>
            <w:pPr>
              <w:spacing w:after="0"/>
              <w:rPr>
                <w:sz w:val="20"/>
                <w:szCs w:val="20"/>
                <w:color w:val="auto"/>
              </w:rPr>
            </w:pPr>
            <w:r>
              <w:rPr>
                <w:rFonts w:ascii="Arial" w:cs="Arial" w:eastAsia="Arial" w:hAnsi="Arial"/>
                <w:sz w:val="14"/>
                <w:szCs w:val="14"/>
                <w:color w:val="auto"/>
              </w:rPr>
              <w:t>Adjusted Net Trading 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311,585</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156,144</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467,729</w:t>
            </w: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reconcile our Market Making segment Trading income, net to Adjusted Net Trading Income by category for the three and six months ended June 30, 2020 and 2019:</w:t>
      </w:r>
    </w:p>
    <w:p>
      <w:pPr>
        <w:spacing w:after="0" w:line="5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 June 30, 2020</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Global FICC,</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48"/>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Global Equities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Options and</w:t>
            </w:r>
          </w:p>
        </w:tc>
        <w:tc>
          <w:tcPr>
            <w:tcW w:w="160" w:type="dxa"/>
            <w:vAlign w:val="bottom"/>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8"/>
              </w:rPr>
              <w:t>Unallocated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Making</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660,390</w:t>
            </w:r>
          </w:p>
        </w:tc>
        <w:tc>
          <w:tcPr>
            <w:tcW w:w="2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84,295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744,685</w:t>
            </w:r>
          </w:p>
        </w:tc>
        <w:tc>
          <w:tcPr>
            <w:tcW w:w="0" w:type="dxa"/>
            <w:vAlign w:val="bottom"/>
          </w:tcPr>
          <w:p>
            <w:pPr>
              <w:spacing w:after="0"/>
              <w:rPr>
                <w:sz w:val="1"/>
                <w:szCs w:val="1"/>
                <w:color w:val="auto"/>
              </w:rPr>
            </w:pPr>
          </w:p>
        </w:tc>
      </w:tr>
      <w:tr>
        <w:trPr>
          <w:trHeight w:val="208"/>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57"/>
        </w:trPr>
        <w:tc>
          <w:tcPr>
            <w:tcW w:w="3520" w:type="dxa"/>
            <w:vAlign w:val="bottom"/>
            <w:gridSpan w:val="2"/>
          </w:tcPr>
          <w:p>
            <w:pPr>
              <w:ind w:left="20"/>
              <w:spacing w:after="0" w:line="157" w:lineRule="exact"/>
              <w:rPr>
                <w:sz w:val="20"/>
                <w:szCs w:val="20"/>
                <w:color w:val="auto"/>
              </w:rPr>
            </w:pPr>
            <w:r>
              <w:rPr>
                <w:rFonts w:ascii="Arial" w:cs="Arial" w:eastAsia="Arial" w:hAnsi="Arial"/>
                <w:sz w:val="14"/>
                <w:szCs w:val="14"/>
                <w:color w:val="auto"/>
                <w:w w:val="91"/>
              </w:rPr>
              <w:t>Brokerage, exchange, clearance fees and payments for order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(168,683)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(172,872)</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(19,065)</w:t>
            </w:r>
          </w:p>
        </w:tc>
        <w:tc>
          <w:tcPr>
            <w:tcW w:w="0" w:type="dxa"/>
            <w:vAlign w:val="bottom"/>
          </w:tcPr>
          <w:p>
            <w:pPr>
              <w:spacing w:after="0"/>
              <w:rPr>
                <w:sz w:val="1"/>
                <w:szCs w:val="1"/>
                <w:color w:val="auto"/>
              </w:rPr>
            </w:pPr>
          </w:p>
        </w:tc>
      </w:tr>
      <w:tr>
        <w:trPr>
          <w:trHeight w:val="20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0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474,018</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78,096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552,114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 June 30, 2019</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Global FICC,</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49"/>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Global Equities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Options and</w:t>
            </w:r>
          </w:p>
        </w:tc>
        <w:tc>
          <w:tcPr>
            <w:tcW w:w="160" w:type="dxa"/>
            <w:vAlign w:val="bottom"/>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8"/>
              </w:rPr>
              <w:t>Unallocated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Making</w:t>
            </w: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163,044</w:t>
            </w:r>
          </w:p>
        </w:tc>
        <w:tc>
          <w:tcPr>
            <w:tcW w:w="2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41,126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205,568</w:t>
            </w:r>
          </w:p>
        </w:tc>
        <w:tc>
          <w:tcPr>
            <w:tcW w:w="0" w:type="dxa"/>
            <w:vAlign w:val="bottom"/>
          </w:tcPr>
          <w:p>
            <w:pPr>
              <w:spacing w:after="0"/>
              <w:rPr>
                <w:sz w:val="1"/>
                <w:szCs w:val="1"/>
                <w:color w:val="auto"/>
              </w:rPr>
            </w:pPr>
          </w:p>
        </w:tc>
      </w:tr>
      <w:tr>
        <w:trPr>
          <w:trHeight w:val="208"/>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4,961</w:t>
            </w:r>
          </w:p>
        </w:tc>
        <w:tc>
          <w:tcPr>
            <w:tcW w:w="0" w:type="dxa"/>
            <w:vAlign w:val="bottom"/>
          </w:tcPr>
          <w:p>
            <w:pPr>
              <w:spacing w:after="0"/>
              <w:rPr>
                <w:sz w:val="1"/>
                <w:szCs w:val="1"/>
                <w:color w:val="auto"/>
              </w:rPr>
            </w:pPr>
          </w:p>
        </w:tc>
      </w:tr>
      <w:tr>
        <w:trPr>
          <w:trHeight w:val="157"/>
        </w:trPr>
        <w:tc>
          <w:tcPr>
            <w:tcW w:w="3520" w:type="dxa"/>
            <w:vAlign w:val="bottom"/>
            <w:gridSpan w:val="2"/>
          </w:tcPr>
          <w:p>
            <w:pPr>
              <w:ind w:left="20"/>
              <w:spacing w:after="0" w:line="157" w:lineRule="exact"/>
              <w:rPr>
                <w:sz w:val="20"/>
                <w:szCs w:val="20"/>
                <w:color w:val="auto"/>
              </w:rPr>
            </w:pPr>
            <w:r>
              <w:rPr>
                <w:rFonts w:ascii="Arial" w:cs="Arial" w:eastAsia="Arial" w:hAnsi="Arial"/>
                <w:sz w:val="14"/>
                <w:szCs w:val="14"/>
                <w:color w:val="auto"/>
                <w:w w:val="91"/>
              </w:rPr>
              <w:t>Brokerage, exchange, clearance fees and payments for order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(63,630)</w:t>
            </w: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(13,111)</w:t>
            </w:r>
          </w:p>
        </w:tc>
        <w:tc>
          <w:tcPr>
            <w:tcW w:w="0" w:type="dxa"/>
            <w:vAlign w:val="bottom"/>
          </w:tcPr>
          <w:p>
            <w:pPr>
              <w:spacing w:after="0"/>
              <w:rPr>
                <w:sz w:val="1"/>
                <w:szCs w:val="1"/>
                <w:color w:val="auto"/>
              </w:rPr>
            </w:pPr>
          </w:p>
        </w:tc>
      </w:tr>
      <w:tr>
        <w:trPr>
          <w:trHeight w:val="20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0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107,540</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28,348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133,788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Six Months Ended June 30, 2020</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Global Equities</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Global FICC,</w:t>
            </w:r>
          </w:p>
        </w:tc>
        <w:tc>
          <w:tcPr>
            <w:tcW w:w="160" w:type="dxa"/>
            <w:vAlign w:val="bottom"/>
          </w:tcPr>
          <w:p>
            <w:pPr>
              <w:spacing w:after="0"/>
              <w:rPr>
                <w:sz w:val="13"/>
                <w:szCs w:val="13"/>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8"/>
              </w:rPr>
              <w:t>Unallocated</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Options and Other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Making</w:t>
            </w: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1,368,715</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178,632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1,547,347</w:t>
            </w:r>
          </w:p>
        </w:tc>
        <w:tc>
          <w:tcPr>
            <w:tcW w:w="0" w:type="dxa"/>
            <w:vAlign w:val="bottom"/>
          </w:tcPr>
          <w:p>
            <w:pPr>
              <w:spacing w:after="0"/>
              <w:rPr>
                <w:sz w:val="1"/>
                <w:szCs w:val="1"/>
                <w:color w:val="auto"/>
              </w:rPr>
            </w:pPr>
          </w:p>
        </w:tc>
      </w:tr>
      <w:tr>
        <w:trPr>
          <w:trHeight w:val="197"/>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6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exchange, clearance fees and payments for</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order flow, net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(292,922)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(309,476)</w:t>
            </w: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and dividends, net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(30,149)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(33,618)</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1,045,780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158,609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1,204,389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 June 30, 2019</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Global FICC,</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9"/>
              </w:rPr>
              <w:t>Total Market</w:t>
            </w:r>
          </w:p>
        </w:tc>
        <w:tc>
          <w:tcPr>
            <w:tcW w:w="0" w:type="dxa"/>
            <w:vAlign w:val="bottom"/>
          </w:tcPr>
          <w:p>
            <w:pPr>
              <w:spacing w:after="0"/>
              <w:rPr>
                <w:sz w:val="1"/>
                <w:szCs w:val="1"/>
                <w:color w:val="auto"/>
              </w:rPr>
            </w:pPr>
          </w:p>
        </w:tc>
      </w:tr>
      <w:tr>
        <w:trPr>
          <w:trHeight w:val="149"/>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Global Equities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Options and</w:t>
            </w:r>
          </w:p>
        </w:tc>
        <w:tc>
          <w:tcPr>
            <w:tcW w:w="160" w:type="dxa"/>
            <w:vAlign w:val="bottom"/>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8"/>
              </w:rPr>
              <w:t>Unallocated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Making</w:t>
            </w: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371,677</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460,689</w:t>
            </w:r>
          </w:p>
        </w:tc>
        <w:tc>
          <w:tcPr>
            <w:tcW w:w="0" w:type="dxa"/>
            <w:vAlign w:val="bottom"/>
          </w:tcPr>
          <w:p>
            <w:pPr>
              <w:spacing w:after="0"/>
              <w:rPr>
                <w:sz w:val="1"/>
                <w:szCs w:val="1"/>
                <w:color w:val="auto"/>
              </w:rPr>
            </w:pPr>
          </w:p>
        </w:tc>
      </w:tr>
      <w:tr>
        <w:trPr>
          <w:trHeight w:val="197"/>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9,961</w:t>
            </w:r>
          </w:p>
        </w:tc>
        <w:tc>
          <w:tcPr>
            <w:tcW w:w="0" w:type="dxa"/>
            <w:vAlign w:val="bottom"/>
          </w:tcPr>
          <w:p>
            <w:pPr>
              <w:spacing w:after="0"/>
              <w:rPr>
                <w:sz w:val="1"/>
                <w:szCs w:val="1"/>
                <w:color w:val="auto"/>
              </w:rPr>
            </w:pPr>
          </w:p>
        </w:tc>
      </w:tr>
      <w:tr>
        <w:trPr>
          <w:trHeight w:val="16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1"/>
              </w:rPr>
              <w:t>Brokerage, exchange, clearance fees and payments for order</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 net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(130,197)</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and dividends, net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(28,868)</w:t>
            </w:r>
          </w:p>
        </w:tc>
        <w:tc>
          <w:tcPr>
            <w:tcW w:w="0" w:type="dxa"/>
            <w:vAlign w:val="bottom"/>
          </w:tcPr>
          <w:p>
            <w:pPr>
              <w:spacing w:after="0"/>
              <w:rPr>
                <w:sz w:val="1"/>
                <w:szCs w:val="1"/>
                <w:color w:val="auto"/>
              </w:rPr>
            </w:pPr>
          </w:p>
        </w:tc>
      </w:tr>
      <w:tr>
        <w:trPr>
          <w:trHeight w:val="222"/>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247,148</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311,585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our Adjusted Net Trading Income, average daily Adjusted Net Trading Income and percentage of Adjusted Net Trading Income by asset class for the three and six months ended June 30, 2020 and 2019:</w:t>
      </w:r>
    </w:p>
    <w:p>
      <w:pPr>
        <w:spacing w:after="0" w:line="297"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 June 30,</w:t>
            </w:r>
          </w:p>
        </w:tc>
        <w:tc>
          <w:tcPr>
            <w:tcW w:w="118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7"/>
              </w:rPr>
              <w:t>% Change</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9"/>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Global Equities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474,018</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107,540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2"/>
              </w:rPr>
              <w:t>340.8%</w:t>
            </w:r>
          </w:p>
        </w:tc>
      </w:tr>
      <w:tr>
        <w:trPr>
          <w:trHeight w:val="196"/>
        </w:trPr>
        <w:tc>
          <w:tcPr>
            <w:tcW w:w="4700" w:type="dxa"/>
            <w:vAlign w:val="bottom"/>
          </w:tcPr>
          <w:p>
            <w:pPr>
              <w:ind w:left="120"/>
              <w:spacing w:after="0"/>
              <w:rPr>
                <w:sz w:val="20"/>
                <w:szCs w:val="20"/>
                <w:color w:val="auto"/>
              </w:rPr>
            </w:pPr>
            <w:r>
              <w:rPr>
                <w:rFonts w:ascii="Arial" w:cs="Arial" w:eastAsia="Arial" w:hAnsi="Arial"/>
                <w:sz w:val="14"/>
                <w:szCs w:val="14"/>
                <w:color w:val="auto"/>
              </w:rPr>
              <w:t>Global FICC, Options and Other</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78,096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28,348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color w:val="auto"/>
                <w:w w:val="92"/>
              </w:rPr>
              <w:t>175.5%</w:t>
            </w:r>
          </w:p>
        </w:tc>
      </w:tr>
      <w:tr>
        <w:trPr>
          <w:trHeight w:val="203"/>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Unallocated(1)</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rPr>
              <w:t>NM</w:t>
            </w:r>
          </w:p>
        </w:tc>
      </w:tr>
      <w:tr>
        <w:trPr>
          <w:trHeight w:val="196"/>
        </w:trPr>
        <w:tc>
          <w:tcPr>
            <w:tcW w:w="4700" w:type="dxa"/>
            <w:vAlign w:val="bottom"/>
          </w:tcPr>
          <w:p>
            <w:pPr>
              <w:ind w:left="200"/>
              <w:spacing w:after="0"/>
              <w:rPr>
                <w:sz w:val="20"/>
                <w:szCs w:val="20"/>
                <w:color w:val="auto"/>
              </w:rPr>
            </w:pPr>
            <w:r>
              <w:rPr>
                <w:rFonts w:ascii="Arial" w:cs="Arial" w:eastAsia="Arial" w:hAnsi="Arial"/>
                <w:sz w:val="14"/>
                <w:szCs w:val="14"/>
                <w:color w:val="auto"/>
              </w:rPr>
              <w:t>Total Market Making</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552,114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133,788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color w:val="auto"/>
                <w:w w:val="92"/>
              </w:rPr>
              <w:t>312.7%</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6"/>
        </w:trPr>
        <w:tc>
          <w:tcPr>
            <w:tcW w:w="4700" w:type="dxa"/>
            <w:vAlign w:val="bottom"/>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116,614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68"/>
              <w:spacing w:after="0"/>
              <w:rPr>
                <w:sz w:val="20"/>
                <w:szCs w:val="20"/>
                <w:color w:val="auto"/>
              </w:rPr>
            </w:pPr>
            <w:r>
              <w:rPr>
                <w:rFonts w:ascii="Arial" w:cs="Arial" w:eastAsia="Arial" w:hAnsi="Arial"/>
                <w:sz w:val="14"/>
                <w:szCs w:val="14"/>
                <w:color w:val="auto"/>
                <w:w w:val="95"/>
              </w:rPr>
              <w:t>10.9%</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7"/>
        </w:trPr>
        <w:tc>
          <w:tcPr>
            <w:tcW w:w="4700" w:type="dxa"/>
            <w:vAlign w:val="bottom"/>
          </w:tcPr>
          <w:p>
            <w:pPr>
              <w:ind w:left="200"/>
              <w:spacing w:after="0"/>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right="188"/>
              <w:spacing w:after="0"/>
              <w:rPr>
                <w:sz w:val="20"/>
                <w:szCs w:val="20"/>
                <w:color w:val="auto"/>
              </w:rPr>
            </w:pPr>
            <w:r>
              <w:rPr>
                <w:rFonts w:ascii="Arial" w:cs="Arial" w:eastAsia="Arial" w:hAnsi="Arial"/>
                <w:sz w:val="14"/>
                <w:szCs w:val="14"/>
                <w:color w:val="auto"/>
              </w:rPr>
              <w:t>NM</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668,728</w:t>
            </w:r>
          </w:p>
        </w:tc>
        <w:tc>
          <w:tcPr>
            <w:tcW w:w="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238,894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color w:val="auto"/>
                <w:w w:val="92"/>
              </w:rPr>
              <w:t>179.9%</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4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 June 30,</w:t>
            </w:r>
          </w:p>
        </w:tc>
        <w:tc>
          <w:tcPr>
            <w:tcW w:w="1180" w:type="dxa"/>
            <w:vAlign w:val="bottom"/>
            <w:tcBorders>
              <w:bottom w:val="single" w:sz="8" w:color="auto"/>
            </w:tcBorders>
          </w:tcPr>
          <w:p>
            <w:pPr>
              <w:spacing w:after="0"/>
              <w:rPr>
                <w:sz w:val="17"/>
                <w:szCs w:val="17"/>
                <w:color w:val="auto"/>
              </w:rPr>
            </w:pPr>
          </w:p>
        </w:tc>
      </w:tr>
      <w:tr>
        <w:trPr>
          <w:trHeight w:val="19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Average Daily Adjusted Net Trading Income by Category:</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7"/>
              </w:rPr>
              <w:t>% Change</w:t>
            </w:r>
          </w:p>
        </w:tc>
      </w:tr>
      <w:tr>
        <w:trPr>
          <w:trHeight w:val="188"/>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7"/>
        </w:trPr>
        <w:tc>
          <w:tcPr>
            <w:tcW w:w="4700" w:type="dxa"/>
            <w:vAlign w:val="bottom"/>
          </w:tcPr>
          <w:p>
            <w:pPr>
              <w:ind w:left="120"/>
              <w:spacing w:after="0"/>
              <w:rPr>
                <w:sz w:val="20"/>
                <w:szCs w:val="20"/>
                <w:color w:val="auto"/>
              </w:rPr>
            </w:pPr>
            <w:r>
              <w:rPr>
                <w:rFonts w:ascii="Arial" w:cs="Arial" w:eastAsia="Arial" w:hAnsi="Arial"/>
                <w:sz w:val="14"/>
                <w:szCs w:val="14"/>
                <w:color w:val="auto"/>
              </w:rPr>
              <w:t>Global Equities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7,524</w:t>
            </w:r>
          </w:p>
        </w:tc>
        <w:tc>
          <w:tcPr>
            <w:tcW w:w="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color w:val="auto"/>
                <w:w w:val="92"/>
              </w:rPr>
              <w:t>340.8%</w:t>
            </w:r>
          </w:p>
        </w:tc>
      </w:tr>
      <w:tr>
        <w:trPr>
          <w:trHeight w:val="208"/>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Global FICC, Options and Other</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2"/>
              </w:rPr>
              <w:t>175.5%</w:t>
            </w:r>
          </w:p>
        </w:tc>
      </w:tr>
      <w:tr>
        <w:trPr>
          <w:trHeight w:val="197"/>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Unallocated(1)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center"/>
              <w:ind w:right="188"/>
              <w:spacing w:after="0"/>
              <w:rPr>
                <w:sz w:val="20"/>
                <w:szCs w:val="20"/>
                <w:color w:val="auto"/>
              </w:rPr>
            </w:pPr>
            <w:r>
              <w:rPr>
                <w:rFonts w:ascii="Arial" w:cs="Arial" w:eastAsia="Arial" w:hAnsi="Arial"/>
                <w:sz w:val="14"/>
                <w:szCs w:val="14"/>
                <w:color w:val="auto"/>
              </w:rPr>
              <w:t>NM</w:t>
            </w:r>
          </w:p>
        </w:tc>
      </w:tr>
      <w:tr>
        <w:trPr>
          <w:trHeight w:val="202"/>
        </w:trPr>
        <w:tc>
          <w:tcPr>
            <w:tcW w:w="4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Market Making</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2"/>
              </w:rPr>
              <w:t>312.6%</w:t>
            </w:r>
          </w:p>
        </w:tc>
      </w:tr>
      <w:tr>
        <w:trPr>
          <w:trHeight w:val="216"/>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4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0"/>
              </w:rPr>
              <w:t>11.0%</w:t>
            </w:r>
          </w:p>
        </w:tc>
      </w:tr>
      <w:tr>
        <w:trPr>
          <w:trHeight w:val="216"/>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4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rPr>
              <w:t>NM</w:t>
            </w:r>
          </w:p>
        </w:tc>
      </w:tr>
      <w:tr>
        <w:trPr>
          <w:trHeight w:val="216"/>
        </w:trPr>
        <w:tc>
          <w:tcPr>
            <w:tcW w:w="4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10,615</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2"/>
              </w:rPr>
              <w:t>179.9%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142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8"/>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Global Equities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1,045,780</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247,148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323.1%</w:t>
            </w:r>
          </w:p>
        </w:tc>
      </w:tr>
      <w:tr>
        <w:trPr>
          <w:trHeight w:val="197"/>
        </w:trPr>
        <w:tc>
          <w:tcPr>
            <w:tcW w:w="4700" w:type="dxa"/>
            <w:vAlign w:val="bottom"/>
          </w:tcPr>
          <w:p>
            <w:pPr>
              <w:ind w:left="120"/>
              <w:spacing w:after="0"/>
              <w:rPr>
                <w:sz w:val="20"/>
                <w:szCs w:val="20"/>
                <w:color w:val="auto"/>
              </w:rPr>
            </w:pPr>
            <w:r>
              <w:rPr>
                <w:rFonts w:ascii="Arial" w:cs="Arial" w:eastAsia="Arial" w:hAnsi="Arial"/>
                <w:sz w:val="14"/>
                <w:szCs w:val="14"/>
                <w:color w:val="auto"/>
              </w:rPr>
              <w:t>Global FICC, Options and Other</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158,609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64,433</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146.2%</w:t>
            </w:r>
          </w:p>
        </w:tc>
      </w:tr>
      <w:tr>
        <w:trPr>
          <w:trHeight w:val="203"/>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Unallocated(1)</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96"/>
        </w:trPr>
        <w:tc>
          <w:tcPr>
            <w:tcW w:w="4700" w:type="dxa"/>
            <w:vAlign w:val="bottom"/>
          </w:tcPr>
          <w:p>
            <w:pPr>
              <w:ind w:left="200"/>
              <w:spacing w:after="0"/>
              <w:rPr>
                <w:sz w:val="20"/>
                <w:szCs w:val="20"/>
                <w:color w:val="auto"/>
              </w:rPr>
            </w:pPr>
            <w:r>
              <w:rPr>
                <w:rFonts w:ascii="Arial" w:cs="Arial" w:eastAsia="Arial" w:hAnsi="Arial"/>
                <w:sz w:val="14"/>
                <w:szCs w:val="14"/>
                <w:color w:val="auto"/>
              </w:rPr>
              <w:t>Total Market Making</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1,204,389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311,585</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286.5%</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7"/>
        </w:trPr>
        <w:tc>
          <w:tcPr>
            <w:tcW w:w="4700" w:type="dxa"/>
            <w:vAlign w:val="bottom"/>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248,807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156,144</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5"/>
              </w:rPr>
              <w:t>59.3%</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7"/>
        </w:trPr>
        <w:tc>
          <w:tcPr>
            <w:tcW w:w="4700" w:type="dxa"/>
            <w:vAlign w:val="bottom"/>
          </w:tcPr>
          <w:p>
            <w:pPr>
              <w:ind w:left="200"/>
              <w:spacing w:after="0"/>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1,453,196</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467,729</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210.7%</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9"/>
        </w:trPr>
        <w:tc>
          <w:tcPr>
            <w:tcW w:w="47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1420" w:type="dxa"/>
            <w:vAlign w:val="bottom"/>
            <w:tcBorders>
              <w:bottom w:val="single" w:sz="8" w:color="auto"/>
            </w:tcBorders>
          </w:tcPr>
          <w:p>
            <w:pPr>
              <w:spacing w:after="0"/>
              <w:rPr>
                <w:sz w:val="24"/>
                <w:szCs w:val="24"/>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 by Category:</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right="26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76"/>
        </w:trPr>
        <w:tc>
          <w:tcPr>
            <w:tcW w:w="470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8"/>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Global Equities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8,366</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323.2%</w:t>
            </w:r>
          </w:p>
        </w:tc>
      </w:tr>
      <w:tr>
        <w:trPr>
          <w:trHeight w:val="197"/>
        </w:trPr>
        <w:tc>
          <w:tcPr>
            <w:tcW w:w="4700" w:type="dxa"/>
            <w:vAlign w:val="bottom"/>
          </w:tcPr>
          <w:p>
            <w:pPr>
              <w:ind w:left="120"/>
              <w:spacing w:after="0"/>
              <w:rPr>
                <w:sz w:val="20"/>
                <w:szCs w:val="20"/>
                <w:color w:val="auto"/>
              </w:rPr>
            </w:pPr>
            <w:r>
              <w:rPr>
                <w:rFonts w:ascii="Arial" w:cs="Arial" w:eastAsia="Arial" w:hAnsi="Arial"/>
                <w:sz w:val="14"/>
                <w:szCs w:val="14"/>
                <w:color w:val="auto"/>
              </w:rPr>
              <w:t>Global FICC, Options and Other</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146.4%</w:t>
            </w:r>
          </w:p>
        </w:tc>
      </w:tr>
      <w:tr>
        <w:trPr>
          <w:trHeight w:val="203"/>
        </w:trPr>
        <w:tc>
          <w:tcPr>
            <w:tcW w:w="4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Unallocated(1)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96"/>
        </w:trPr>
        <w:tc>
          <w:tcPr>
            <w:tcW w:w="4700" w:type="dxa"/>
            <w:vAlign w:val="bottom"/>
          </w:tcPr>
          <w:p>
            <w:pPr>
              <w:ind w:left="200"/>
              <w:spacing w:after="0"/>
              <w:rPr>
                <w:sz w:val="20"/>
                <w:szCs w:val="20"/>
                <w:color w:val="auto"/>
              </w:rPr>
            </w:pPr>
            <w:r>
              <w:rPr>
                <w:rFonts w:ascii="Arial" w:cs="Arial" w:eastAsia="Arial" w:hAnsi="Arial"/>
                <w:sz w:val="14"/>
                <w:szCs w:val="14"/>
                <w:color w:val="auto"/>
              </w:rPr>
              <w:t>Total Market Making</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9,635</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2,492</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286.6%</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6"/>
        </w:trPr>
        <w:tc>
          <w:tcPr>
            <w:tcW w:w="4700" w:type="dxa"/>
            <w:vAlign w:val="bottom"/>
          </w:tcPr>
          <w:p>
            <w:pPr>
              <w:ind w:left="200"/>
              <w:spacing w:after="0"/>
              <w:rPr>
                <w:sz w:val="20"/>
                <w:szCs w:val="20"/>
                <w:color w:val="auto"/>
              </w:rPr>
            </w:pPr>
            <w:r>
              <w:rPr>
                <w:rFonts w:ascii="Arial" w:cs="Arial" w:eastAsia="Arial" w:hAnsi="Arial"/>
                <w:sz w:val="14"/>
                <w:szCs w:val="14"/>
                <w:color w:val="auto"/>
              </w:rPr>
              <w:t>Execution Services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5"/>
              </w:rPr>
              <w:t>59.4%</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7"/>
        </w:trPr>
        <w:tc>
          <w:tcPr>
            <w:tcW w:w="4700" w:type="dxa"/>
            <w:vAlign w:val="bottom"/>
          </w:tcPr>
          <w:p>
            <w:pPr>
              <w:ind w:left="200"/>
              <w:spacing w:after="0"/>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22"/>
        </w:trPr>
        <w:tc>
          <w:tcPr>
            <w:tcW w:w="4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11,626</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210.8%</w:t>
            </w: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427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firstLine="8"/>
        <w:spacing w:after="0" w:line="269" w:lineRule="auto"/>
        <w:tabs>
          <w:tab w:leader="none" w:pos="6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Under our methodology for recording “trading income, net” in our Condensed Consolidated Statements of Comprehensive Income from Part I Item 1 “Financial Statements”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total revenues increased $530.8 million, or 141.5%, to $905.9 million for the three months ended June 30, 2020, compared to $375.1 million for the three months ended June 30, 2019. The increase was primarily driven by an increase of $538.1 million in Trading income, net, which was driven by higher market volatility and trading volumes from the continued impacts of the COVID-19 pandemic during the three months ended June 30, 2020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The following table shows total revenues by segment for the three months ended June 30, 2020 and 2019.</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Three Months Ended June 30,</w:t>
            </w:r>
          </w:p>
        </w:tc>
        <w:tc>
          <w:tcPr>
            <w:tcW w:w="1600" w:type="dxa"/>
            <w:vAlign w:val="bottom"/>
            <w:tcBorders>
              <w:bottom w:val="single" w:sz="8" w:color="auto"/>
            </w:tcBorders>
          </w:tcPr>
          <w:p>
            <w:pPr>
              <w:spacing w:after="0"/>
              <w:rPr>
                <w:sz w:val="16"/>
                <w:szCs w:val="16"/>
                <w:color w:val="auto"/>
              </w:rPr>
            </w:pPr>
          </w:p>
        </w:tc>
      </w:tr>
      <w:tr>
        <w:trPr>
          <w:trHeight w:val="19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96"/>
        </w:trPr>
        <w:tc>
          <w:tcPr>
            <w:tcW w:w="4240" w:type="dxa"/>
            <w:vAlign w:val="bottom"/>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744,685</w:t>
            </w:r>
          </w:p>
        </w:tc>
        <w:tc>
          <w:tcPr>
            <w:tcW w:w="5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205,568</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262.3%</w:t>
            </w:r>
          </w:p>
        </w:tc>
      </w:tr>
      <w:tr>
        <w:trPr>
          <w:trHeight w:val="209"/>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23,284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(61.3)%</w:t>
            </w:r>
          </w:p>
        </w:tc>
      </w:tr>
      <w:tr>
        <w:trPr>
          <w:trHeight w:val="196"/>
        </w:trPr>
        <w:tc>
          <w:tcPr>
            <w:tcW w:w="4240" w:type="dxa"/>
            <w:vAlign w:val="bottom"/>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4,961</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6,046</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2,699.1%</w:t>
            </w:r>
          </w:p>
        </w:tc>
      </w:tr>
      <w:tr>
        <w:trPr>
          <w:trHeight w:val="202"/>
        </w:trPr>
        <w:tc>
          <w:tcPr>
            <w:tcW w:w="4240" w:type="dxa"/>
            <w:vAlign w:val="bottom"/>
          </w:tcPr>
          <w:p>
            <w:pPr>
              <w:ind w:left="12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759,117</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234,029</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224.4%</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7"/>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97"/>
        </w:trPr>
        <w:tc>
          <w:tcPr>
            <w:tcW w:w="4240" w:type="dxa"/>
            <w:vAlign w:val="bottom"/>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7"/>
              </w:rPr>
              <w:t>(63.6)%</w:t>
            </w:r>
          </w:p>
        </w:tc>
      </w:tr>
      <w:tr>
        <w:trPr>
          <w:trHeight w:val="208"/>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148,370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140,159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5.9%</w:t>
            </w:r>
          </w:p>
        </w:tc>
      </w:tr>
      <w:tr>
        <w:trPr>
          <w:trHeight w:val="197"/>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(3.8)%</w:t>
            </w:r>
          </w:p>
        </w:tc>
      </w:tr>
      <w:tr>
        <w:trPr>
          <w:trHeight w:val="227"/>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148,076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141,470</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4.7%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7"/>
        </w:trPr>
        <w:tc>
          <w:tcPr>
            <w:tcW w:w="4240" w:type="dxa"/>
            <w:vAlign w:val="bottom"/>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8"/>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97"/>
        </w:trPr>
        <w:tc>
          <w:tcPr>
            <w:tcW w:w="4240" w:type="dxa"/>
            <w:vAlign w:val="bottom"/>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224.1</w:t>
            </w:r>
          </w:p>
        </w:tc>
      </w:tr>
      <w:tr>
        <w:trPr>
          <w:trHeight w:val="202"/>
        </w:trPr>
        <w:tc>
          <w:tcPr>
            <w:tcW w:w="4240" w:type="dxa"/>
            <w:vAlign w:val="bottom"/>
          </w:tcPr>
          <w:p>
            <w:pPr>
              <w:ind w:left="12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224.1</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9"/>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743,996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205,923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261.3%</w:t>
            </w:r>
          </w:p>
        </w:tc>
      </w:tr>
      <w:tr>
        <w:trPr>
          <w:trHeight w:val="197"/>
        </w:trPr>
        <w:tc>
          <w:tcPr>
            <w:tcW w:w="4240" w:type="dxa"/>
            <w:vAlign w:val="bottom"/>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9,340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24,162</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7"/>
              </w:rPr>
              <w:t>(61.3)%</w:t>
            </w:r>
          </w:p>
        </w:tc>
      </w:tr>
      <w:tr>
        <w:trPr>
          <w:trHeight w:val="208"/>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147,736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145,120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w:t>
            </w:r>
          </w:p>
        </w:tc>
      </w:tr>
      <w:tr>
        <w:trPr>
          <w:trHeight w:val="197"/>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22"/>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905,903</w:t>
            </w: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375,101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141.5%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increased $538.1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261.3%, to $744.0 million for the three months ended June 30, 2020, compared to $205.9 million for the three months ended June 30, 2019. The increase was primarily driven by the higher market volatility and trading volumes across global markets and major asset categories during the three months ended June 30, 2020 compared to the same period in 2019. Average daily realized volatility of the S&amp;P 500 Index increased 178.7% compared to the prior year, while average daily U.S. equity consolidated volumes increased 78.1%.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Interest and dividends income was primarily earned by our Market Making segment. Interest and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decreased $14.8 million, or 61.3%, to $9.3 million for the three months ended June 30, 2020, compared to $24.2 million for the three months ended June 30, 2019. This decrease was primarily attributable to the lower interest income earned on cash collateral posted as part of securities lending transactions driven by lower interest rates compared to the same period in 2019. As indicated above, rather than analyzing interest and dividends income in isolation, we evaluate it in the broader context of our Adjusted Net Trading Income.</w:t>
      </w:r>
    </w:p>
    <w:p>
      <w:pPr>
        <w:spacing w:after="0" w:line="21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Commissions, net and technology services. </w:t>
      </w:r>
      <w:r>
        <w:rPr>
          <w:rFonts w:ascii="Arial" w:cs="Arial" w:eastAsia="Arial" w:hAnsi="Arial"/>
          <w:sz w:val="18"/>
          <w:szCs w:val="18"/>
          <w:color w:val="auto"/>
        </w:rPr>
        <w:t>Commissions, net and technology services revenues were primarily earned by our Execution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Commissions, net and technology services revenues increased $2.6 million, or 1.8%, to $147.7 million for the three months ended June 30, 2020, compared to $145.1 million for the three months ended June 30, 2019. The increase was primarily driven by the higher market volatility and trading volumes compared to the same period in 2019.</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was $4.8 million for the three months ended June 30, 2020, compared to a loss of $(0.1)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2019. The increase was primarily due to a $5.1 million gain recognized on the minority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75" w:name="page76"/>
    <w:bookmarkEnd w:id="75"/>
    <w:p>
      <w:pPr>
        <w:ind w:right="60"/>
        <w:spacing w:after="0" w:line="277" w:lineRule="auto"/>
        <w:rPr>
          <w:sz w:val="20"/>
          <w:szCs w:val="20"/>
          <w:color w:val="auto"/>
        </w:rPr>
      </w:pPr>
      <w:r>
        <w:rPr>
          <w:rFonts w:ascii="Arial" w:cs="Arial" w:eastAsia="Arial" w:hAnsi="Arial"/>
          <w:sz w:val="18"/>
          <w:szCs w:val="18"/>
          <w:color w:val="auto"/>
        </w:rPr>
        <w:t>investment in SBI Japannext (see Note 10 "Financial Assets and Liabilities" of Part I Item 1 "Financial Statements" of this Quarterly Report on Form 10-Q for details on the SBI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Trading Income</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Adjusted Net Trading Income increased $429.8 million, or 179.9%, to $668.7 million for the three months ended June 30, 2020, compared to $238.9 million for the three months ended June 30, 2019. This increase was primarily attributable to higher Trading income, net in the Market Making segment driven by higher market volatility and trading volumes across major asset categories during the three months ended June 30, 2019 compared to the same period in 2019. In the Market Making segment, Global Equities increased by $366.5 million, or 340.8%, and Global FICC, Options and Other increased by $49.7 million, or 175.5%, for the three months ended June 30, 2020. Adjusted Net Trading Income per day increased $6.8 million, or 179.9%, to $10.6 million for the three months ended June 30, 2020, compared to $3.8 million for the three months ended June 30, 2019. There were 63 trading days for both the three months ended June 30, 2020 and 2019.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operating expenses increased $59.7 million, or 13.5%, to $501.4 million for the three months ended June 30, 2020, compared to $441.7 million for the three months ended June 30, 2019. The increase in operating expenses is primarily due to an increase in brokerage, exchange, clearance fees and payments for order flow, net driven by higher market volatility and trading volumes partially offset by decreases in interest and dividends expense and other operating expenses described in more detail below.</w:t>
      </w:r>
    </w:p>
    <w:p>
      <w:pPr>
        <w:spacing w:after="0" w:line="214" w:lineRule="exact"/>
        <w:rPr>
          <w:sz w:val="20"/>
          <w:szCs w:val="20"/>
          <w:color w:val="auto"/>
        </w:rPr>
      </w:pPr>
    </w:p>
    <w:p>
      <w:pPr>
        <w:jc w:val="both"/>
        <w:ind w:right="260" w:firstLine="648"/>
        <w:spacing w:after="0" w:line="307" w:lineRule="auto"/>
        <w:rPr>
          <w:sz w:val="20"/>
          <w:szCs w:val="20"/>
          <w:color w:val="auto"/>
        </w:rPr>
      </w:pPr>
      <w:r>
        <w:rPr>
          <w:rFonts w:ascii="Arial" w:cs="Arial" w:eastAsia="Arial" w:hAnsi="Arial"/>
          <w:sz w:val="15"/>
          <w:szCs w:val="15"/>
          <w:b w:val="1"/>
          <w:bCs w:val="1"/>
          <w:i w:val="1"/>
          <w:iCs w:val="1"/>
          <w:color w:val="auto"/>
        </w:rPr>
        <w:t xml:space="preserve">Brokerage, exchange, clearance fees and payments for order flow, net. </w:t>
      </w:r>
      <w:r>
        <w:rPr>
          <w:rFonts w:ascii="Arial" w:cs="Arial" w:eastAsia="Arial" w:hAnsi="Arial"/>
          <w:sz w:val="15"/>
          <w:szCs w:val="15"/>
          <w:color w:val="auto"/>
        </w:rPr>
        <w:t>Brokerage exchange, clearance fees and payments for order flow,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increased $104.0 million, or 104.6%, to $203.5 million for the three months ended June 30, 2020, compared to $99.5 million for the three months ended June 30, 2019. This increase was primarily attributable to the increase in volume we traded in Global Equities instruments and other asset categories.</w:t>
      </w:r>
    </w:p>
    <w:p>
      <w:pPr>
        <w:ind w:right="20"/>
        <w:spacing w:after="0" w:line="273" w:lineRule="auto"/>
        <w:rPr>
          <w:sz w:val="20"/>
          <w:szCs w:val="20"/>
          <w:color w:val="auto"/>
        </w:rPr>
      </w:pPr>
      <w:r>
        <w:rPr>
          <w:rFonts w:ascii="Arial" w:cs="Arial" w:eastAsia="Arial" w:hAnsi="Arial"/>
          <w:sz w:val="17"/>
          <w:szCs w:val="17"/>
          <w:color w:val="auto"/>
        </w:rPr>
        <w:t>Within that, payments for order flow increased $77.4 million, or 327.6%, to $101.1 million for the three months ended June 30, 2020, compared to $23.6 million for the three months ended June 30, 2019. The increase was driven by the increases in volumes from our broker-dealer clients eligible for payments for order flow, driven by high participation of retail investors in the market during the past quarter. We evaluate this category representing direct costs associated with transacting business, in the broader context of our Adjusted Net Trading Income.</w:t>
      </w:r>
    </w:p>
    <w:p>
      <w:pPr>
        <w:spacing w:after="0" w:line="2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Communication and data processing. </w:t>
      </w:r>
      <w:r>
        <w:rPr>
          <w:rFonts w:ascii="Arial" w:cs="Arial" w:eastAsia="Arial" w:hAnsi="Arial"/>
          <w:sz w:val="18"/>
          <w:szCs w:val="18"/>
          <w:color w:val="auto"/>
        </w:rPr>
        <w:t>Communication and data processing expense increased $1.2 million, or 2.3%, to $55.7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compared to $54.4 million for the three months ended June 30, 2019. This increase was primarily due to additional telecommunication and networking services from activating our back-up facilities and enabling the majority of our employees to work from home. The increase was partially offset by reductions in connectivity connections as a result of an on-going effort to consolidate various communication and data processing subscriptions.</w:t>
      </w:r>
    </w:p>
    <w:p>
      <w:pPr>
        <w:spacing w:after="0" w:line="21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increased $37.2 million, or 44.5%, to $120.9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2020, compared to $83.7 million for the three months ended June 30, 2019. The increase in compensation levels was primarily attributable to increased incentive compensation, which is recorded at management’s discretion and is generally accrued in connection with the overall level of profitability. The increase reflected strong results for the quarter. We have capitalized and therefore excluded employee compensation and benefits related to software development of $11.7 million and $9.9 million for the three months ended June 30, 2020, and 2019, respectively.</w:t>
      </w:r>
    </w:p>
    <w:p>
      <w:pPr>
        <w:spacing w:after="0" w:line="18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$8.0 million, or 21.7%, to $28.8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2020, compared to $36.8 million for the three months ended June 30, 2019. This decrease was primarily attributable to lower interest expense incurred on cash collateral received as part of securities lending transactions. As indicated above, rather than analyzing interest and dividends expense in isolation, we evaluate it in the broader context of our Adjusted Net Trading Income.</w:t>
      </w:r>
    </w:p>
    <w:p>
      <w:pPr>
        <w:spacing w:after="0" w:line="19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decreased $9.7 million, or 30.9%, to $21.7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2020, compared to $31.5 million for the three months ended June 30, 2019. This decrease was primarily attributable to decreases in travel and entertainment due to the on-going effects of the COVID-19 pandemic as well as the on-going efforts to consolidate office premises and professional services after the ITG Acquisition.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6" w:name="page77"/>
    <w:bookmarkEnd w:id="76"/>
    <w:p>
      <w:pPr>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$1.9 million, or 12.8%, to $16.7 million for the three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compared to $14.8 million for the three months ended June 30, 2019. This increase was primarily attributable to an increase in capital expenditures on telecommunication, networking and other assets.</w:t>
      </w:r>
    </w:p>
    <w:p>
      <w:pPr>
        <w:spacing w:after="0" w:line="21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decreased $1.7 million, or 8.0%, to $19.0 million for the three months ended June 30, 2020, compared to $20.6 million for the three months ended June 30, 2019. This decrease was due to certain technology intangible assets acquired in connection with the KCG Acquisition being fully amortized.</w:t>
      </w:r>
    </w:p>
    <w:p>
      <w:pPr>
        <w:spacing w:after="0" w:line="17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Termination of office leases. </w:t>
      </w:r>
      <w:r>
        <w:rPr>
          <w:rFonts w:ascii="Arial" w:cs="Arial" w:eastAsia="Arial" w:hAnsi="Arial"/>
          <w:sz w:val="18"/>
          <w:szCs w:val="18"/>
          <w:color w:val="auto"/>
        </w:rPr>
        <w:t>There was no expense incurred related to termination of office leases for the three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$65.2 million for the three months ended June 30, 2019. The decrease in termination of office leases was due to the impairment of operating lease right-of-use assets and leasehold improvements and fixed assets incurred in 2019 for certain abandoned office space as part of the effort to integrate and consolidate office space in connection with the ITG Acquisition.</w:t>
      </w:r>
    </w:p>
    <w:p>
      <w:pPr>
        <w:spacing w:after="0" w:line="214"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b w:val="1"/>
          <w:bCs w:val="1"/>
          <w:i w:val="1"/>
          <w:iCs w:val="1"/>
          <w:color w:val="auto"/>
        </w:rPr>
        <w:t xml:space="preserve">Debt issue cost related to debt refinancing and prepayment. </w:t>
      </w:r>
      <w:r>
        <w:rPr>
          <w:rFonts w:ascii="Arial" w:cs="Arial" w:eastAsia="Arial" w:hAnsi="Arial"/>
          <w:sz w:val="17"/>
          <w:szCs w:val="17"/>
          <w:color w:val="auto"/>
        </w:rPr>
        <w:t>There was a $188.5 million prepayment made during the three months ended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2020; as such, debt issue costs incurred related to debt refinancing or prepayment were $13.2 million for the three months ended June 30, 2020. Debt issue costs related to debt refinancing and prepayment were $(1.3) million for the three months ended June 30, 2019.</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Transaction advisory fees and expenses. </w:t>
      </w:r>
      <w:r>
        <w:rPr>
          <w:rFonts w:ascii="Arial" w:cs="Arial" w:eastAsia="Arial" w:hAnsi="Arial"/>
          <w:sz w:val="18"/>
          <w:szCs w:val="18"/>
          <w:color w:val="auto"/>
        </w:rPr>
        <w:t>Transaction advisory fees and expenses decreased $(1.7) million, or 95.2% to $0.1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compared to $1.8 million during the three months ended June 30, 2019. The decrease was due to professional fees incurred in 2019 as a result of the ITG Acquisition.</w:t>
      </w:r>
    </w:p>
    <w:p>
      <w:pPr>
        <w:spacing w:after="0" w:line="21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on long-term borrowings decreased $13.0 million, or 37.3%,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$21.7 million for the three months ended June 30, 2020, compared to $34.7 million for the three months ended June 30, 2019. This decrease was primarily attributable to the decrease in outstanding principal as a result of the prepayment on the First Lien Term Loan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was $69.3 million for the three months ended June 30, 2020, compared to $(11.1) million for the three months ended June 30, 2019. The change was primarily due to the income before income taxes and noncontrolling interest for the three months ended June 30, 2020, compared to a loss before income taxes and noncontrolling interest for the three months ended June 30, 2019.</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total revenues increased $1,171.0 million, or 159.2%, to $1,906.5 million for the six months ended June 30, 2020, compared to $735.5 million for the six months ended June 30, 2019. This increase was primarily attributable to an increase in Trading income, net, of $1,083.0 million, which was driven by higher market volatility and trading volumes during the first half of 2020 compared to 2019, from the impacts of COVID-19 and the governmental and other responses thereto. In addition, 2020 included the results of ITG for the full first quarter of 2020 compared to the results of ITG from the ITG Closing Date through June 30, 2019 in the prior year.</w:t>
      </w:r>
    </w:p>
    <w:p>
      <w:pPr>
        <w:spacing w:after="0" w:line="21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Though our total revenues increased during the period, Commissions, net and technology services within the Execution Services segment did not have the same relative increase in part because we selectively limited our client trading business during certain periods throughout the past six months due to the extraordinary volume and volatility during the period and the operational challenges caused directly or indirectly by COVID-19, including working remotely and increases in short term liquidity requirements.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total revenues by segment for the six months ended June 30, 2020 and 2019.</w:t>
      </w:r>
    </w:p>
    <w:p>
      <w:pPr>
        <w:spacing w:after="0" w:line="298"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Six Months Ended June 30,</w:t>
            </w:r>
          </w:p>
        </w:tc>
        <w:tc>
          <w:tcPr>
            <w:tcW w:w="1600" w:type="dxa"/>
            <w:vAlign w:val="bottom"/>
            <w:tcBorders>
              <w:bottom w:val="single" w:sz="8" w:color="auto"/>
            </w:tcBorders>
          </w:tcPr>
          <w:p>
            <w:pPr>
              <w:spacing w:after="0"/>
              <w:rPr>
                <w:sz w:val="16"/>
                <w:szCs w:val="16"/>
                <w:color w:val="auto"/>
              </w:rPr>
            </w:pPr>
          </w:p>
        </w:tc>
      </w:tr>
      <w:tr>
        <w:trPr>
          <w:trHeight w:val="19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02"/>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1,547,347</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460,689</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235.9%</w:t>
            </w:r>
          </w:p>
        </w:tc>
      </w:tr>
      <w:tr>
        <w:trPr>
          <w:trHeight w:val="20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41,787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(15.2)%</w:t>
            </w:r>
          </w:p>
        </w:tc>
      </w:tr>
      <w:tr>
        <w:trPr>
          <w:trHeight w:val="196"/>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9,961</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7"/>
              </w:rPr>
              <w:t>(98.6)%</w:t>
            </w:r>
          </w:p>
        </w:tc>
      </w:tr>
      <w:tr>
        <w:trPr>
          <w:trHeight w:val="203"/>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6,767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02"/>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1,589,703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512,274</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210.3%</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83"/>
        </w:trPr>
        <w:tc>
          <w:tcPr>
            <w:tcW w:w="4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7"/>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8"/>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97"/>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11,506</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7"/>
              </w:rPr>
              <w:t>(96.5)%</w:t>
            </w:r>
          </w:p>
        </w:tc>
      </w:tr>
      <w:tr>
        <w:trPr>
          <w:trHeight w:val="208"/>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318,345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210,306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51.4%</w:t>
            </w:r>
          </w:p>
        </w:tc>
      </w:tr>
      <w:tr>
        <w:trPr>
          <w:trHeight w:val="197"/>
        </w:trPr>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27"/>
        </w:trPr>
        <w:tc>
          <w:tcPr>
            <w:tcW w:w="4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317,941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224,520</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41.6%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196"/>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03"/>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(1,261)</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w:t>
            </w:r>
          </w:p>
        </w:tc>
      </w:tr>
      <w:tr>
        <w:trPr>
          <w:trHeight w:val="202"/>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(11.2)%</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83"/>
        </w:trPr>
        <w:tc>
          <w:tcPr>
            <w:tcW w:w="4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6"/>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1,546,461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463,463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233.7%</w:t>
            </w:r>
          </w:p>
        </w:tc>
      </w:tr>
      <w:tr>
        <w:trPr>
          <w:trHeight w:val="197"/>
        </w:trPr>
        <w:tc>
          <w:tcPr>
            <w:tcW w:w="4240" w:type="dxa"/>
            <w:vAlign w:val="bottom"/>
            <w:gridSpan w:val="2"/>
          </w:tcPr>
          <w:p>
            <w:pPr>
              <w:ind w:left="12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35,856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53,293</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7"/>
              </w:rPr>
              <w:t>(32.7)%</w:t>
            </w:r>
          </w:p>
        </w:tc>
      </w:tr>
      <w:tr>
        <w:trPr>
          <w:trHeight w:val="208"/>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318,481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220,267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44.6%</w:t>
            </w:r>
          </w:p>
        </w:tc>
      </w:tr>
      <w:tr>
        <w:trPr>
          <w:trHeight w:val="197"/>
        </w:trPr>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(1,490)</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22"/>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1,906,524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735,533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159.2%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increased $1,083.0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233.7%, to $1,546.5 million for the six months ended June 30, 2020, compared to $463.5 million for the six months ended June 30, 2019. The increase was primarily driven by the higher market volatility and trading volumes across global markets and major asset categories during the six months ended June 30, 2020 compared to the same period in the prior year. Average daily realized volatility of the S&amp;P 500 Index increased 253.2% compared to the prior year, while average daily U.S. equity consolidated volumes increased 61.3%.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19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Interest and dividends income was primarily earned by our Market Making segment. Interest and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decreased $17.4 million, or 32.7%, to $35.9 million for the six months ended June 30, 2020, compared to $53.3 million for the six months ended June 30, 2019. This decrease was primarily attributable to lower interest income earned on cash collateral posted as part of securities loaned transactions driven by lower interest rates compared to the prior period. As indicated above, rather than analyzing interest and dividends income in isolation, we evaluate it in the broader context of our Adjusted Net Trading Income.</w:t>
      </w:r>
    </w:p>
    <w:p>
      <w:pPr>
        <w:spacing w:after="0" w:line="21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Commissions, net and technology services. </w:t>
      </w:r>
      <w:r>
        <w:rPr>
          <w:rFonts w:ascii="Arial" w:cs="Arial" w:eastAsia="Arial" w:hAnsi="Arial"/>
          <w:sz w:val="16"/>
          <w:szCs w:val="16"/>
          <w:color w:val="auto"/>
        </w:rPr>
        <w:t>Commissions, net and technology services revenues were primarily earned by our Execution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Commissions, net and technology services revenues increased $98.2 million, or 44.6%, to $318.5 million for the six months ended June 30, 2020, compared to $220.3 million for the six months ended June 30, 2019. The increase was primarily attributable to the higher market volatility and trading volumes across major asset categories during the six months ended June 30, 2020 compared to the prior period, as well as the results of ITG for the full first quarter of 2020 compared to the results of ITG from the ITG Closing Date through March 31, 2019 in the prior period. The ITG Acquisition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brought recurring connectivity revenues generated from workflow technology and subscription revenues from analytics services to Commissions, net and technology services.</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increased $7.2 million, or 484.3%, to $5.7 million for the six months ended June 30, 2020, compared to $(1.5)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2019. The increase was primarily due to a $5.1 million gain recognized on the minority investment in SBI Japannext (see Note 10 "Financial Assets and Liabilities" of Part I Item 1 "Financial Statements" of this Quarterly Report on Form 10-Q for details on the SBI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Trading Income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Net Trading Income increased $985.5 million, or 210.7%, to $1,453.2 million for the six months ended June 30, 2020, compared to $467.7 million for the six months ended June 30, 2019. This increase was primarily attributable to higher Trading income, net, driven by higher market volatility and trading volumes across major asset categories during the six months ended June 30, 2020 compared to the prior period. [Average daily realized volatility of the S&amp;P 500 Index and average daily CVIX realized volatility increased 314.8% and 237.0%, respectively, compared to the prior period, while average daily U.S. equity consolidated volumes increased 50.5%.] There was also an increase in Commissions, net and technology services as a result of higher market volatility and trading volumes across major asset categories, and the ITG Acquisition. There were increases in Trading income, net in Global Equities of $798.6 million, and in Global FICC, Options and Other of $94.2 million, from the Market Making segment. There was also an increase of $92.7 million, or 59.3%, in the Execution Services segment. Adjusted Net Trading Income per day increased $7.9 million, or 210.8%, to $11.6 million for the six months ended June 30, 2020, compared to $3.7 million for the six months ended June 30, 2019. The number of trading days was 125 for both the six months ended June 30, 2020 and 2019, respectively.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operating expenses increased $217.4 million, or 26.6%, to $1,035.8 million for the six months ended June 30, 2020, compared to $818.3 million for the six months ended June 30, 2019. The increase in operating expenses was primarily due to higher trading related expenses as a result of the increases in volumes traded during the six months ended June 30, 2020 compared to the prior period. Additionally, the results of ITG for the full first quarter of 2020 compared to the one-month results of ITG from the ITG Closing Date through March 31, 2019 in the prior period caused an overall increase in expenses in multiple expense categories as described in more detail below.</w:t>
      </w:r>
    </w:p>
    <w:p>
      <w:pPr>
        <w:spacing w:after="0" w:line="20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$190.2 million, or 101.7%, to $377.3 million for the six months ended June 30, 2020, compared to $187.1 million for the six months ended June 30, 2019. This increase was primarily attributable to an increase in volume we traded in Global Equities instruments and other asset categories. Within that, payments for order flow increased $116.1 million, or 246.1%, to $163.3 million for the six months ended June 30, 2020, compared to $47.2 million for the six months ended June 30, 2019. The increase was primarily attributable to the increase in volumes from our broker-dealer clients eligible for payments for order flow, driven by high participation of retail investors in the market during the past six months compared to the prior year. We evaluate this category, representing direct costs associated with transacting our business in the broader context of our Adjusted Net Trading Income.</w:t>
      </w:r>
    </w:p>
    <w:p>
      <w:pPr>
        <w:spacing w:after="0" w:line="193"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increased $14.5 million, or 15.0%, to $110.7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30, 2020, compared to $96.2 million for the six months ended June 30, 2019. This increase was primarily due to the additional connectivity and market data service subscriptions acquired as part of the ITG Acquisition and for additional telecommunication and networking services from activating our back-up facilities and enabling the majority of our employees to work from home. The increase was partially offset by reductions in connectivity connections as a result of an on-going effort to consolidate various communication and data processing subscriptions.</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increased $99.8 million, or 52.1%, to $291.3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2020, compared to $191.5 million for the six months ended June 30, 2019. The increase in compensation levels was primarily attributable to increased incentive compensation, which is recorded at management’s discretion and is generally accrued in connection with the overall level of profitability. Furthermore, we incurred additional compensation expense as a result of one-time cash bonuses awarded to certain employees to mitigate the effects of the COVID-19 pandemic. We have capitalized and therefore excluded employee compensation and benefits related to software development of $19.5 million and $16.7 million for the six months ended June 30, 2020 and 2019, respectively.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and dividends expense. </w:t>
      </w:r>
      <w:r>
        <w:rPr>
          <w:rFonts w:ascii="Arial" w:cs="Arial" w:eastAsia="Arial" w:hAnsi="Arial"/>
          <w:sz w:val="18"/>
          <w:szCs w:val="18"/>
          <w:color w:val="auto"/>
        </w:rPr>
        <w:t>Interest and dividends expense decreased $11.9 million, or 14.5%, to $70.3 million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compared to $82.2 million for the six months ended June 30, 2019. This decrease was primarily attributable to lower interest expense incurred on cash collateral received as part of securities lending transactions. As indicated above, rather than analyzing interest and dividends expense in isolation, we generally evaluate it in the broader context of our Adjusted Net Trading Income.</w:t>
      </w:r>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decreased $2.1 million, or 4.1%, to $48.9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2020, compared to $51.0 million for the six months ended June 30, 2019. The decrease was primarily attributable to decreases in travel and entertainment due to the on-going effects of the COVID-19 pandemic as well the on-going efforts to consolidate office premises and professional services after the ITG Acquisition.</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$2.8 million, or 9.0%, to $34.1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compared to $31.3 million for the six months ended June 30, 2019. This increase was primarily attributable to an increase in capital expenditures on telecommunication, networking and other assets.</w:t>
      </w:r>
    </w:p>
    <w:p>
      <w:pPr>
        <w:spacing w:after="0" w:line="21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increased $6.4 million, or 20.2%, to $37.9 million for the six months ended June 30, 2020, compared to $31.5 million for the six months ended June 30, 2019. This increase was due to the amortization of intangible assets acquired in connection with the ITG Acquisition.</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Termination of office leases. </w:t>
      </w:r>
      <w:r>
        <w:rPr>
          <w:rFonts w:ascii="Arial" w:cs="Arial" w:eastAsia="Arial" w:hAnsi="Arial"/>
          <w:sz w:val="18"/>
          <w:szCs w:val="18"/>
          <w:color w:val="auto"/>
        </w:rPr>
        <w:t>Termination of office leases was $0.3 million for the six months ended June 30, 2020, compared to $65.2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2019. The decrease in termination of office leases was due to the impairment of operating lease right-of-use asset and leasehold improvements and fixed assets incurred in 2019 for certain abandoned office space as part of the effort to integrate and consolidate office space in connection with the ITG Acquisition.</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Debt issue costs related to debt refinancing, prepayment and commitment fees. </w:t>
      </w:r>
      <w:r>
        <w:rPr>
          <w:rFonts w:ascii="Arial" w:cs="Arial" w:eastAsia="Arial" w:hAnsi="Arial"/>
          <w:sz w:val="18"/>
          <w:szCs w:val="18"/>
          <w:color w:val="auto"/>
        </w:rPr>
        <w:t>Expense from debt issue costs related to debt refinancing,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prepayment and commitment fees increased $9.5 million, or 120.0%, to $17.4 million for the six months ended June 30, 2020, compared to $7.9 million for the six months ended June 30, 2019. This was primarily driven by a $188.5 million prepayment made during the six months ended June 30, 2020. The higher amount for the six months ended June 30, 2019 mainly reflects costs incurred related to the termination of the Existing Term Loan Facility (as defined below) in the first quarter of 2019.</w:t>
      </w:r>
    </w:p>
    <w:p>
      <w:pPr>
        <w:spacing w:after="0" w:line="21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b w:val="1"/>
          <w:bCs w:val="1"/>
          <w:i w:val="1"/>
          <w:iCs w:val="1"/>
          <w:color w:val="auto"/>
        </w:rPr>
        <w:t xml:space="preserve">Transaction advisory fees and expenses. </w:t>
      </w:r>
      <w:r>
        <w:rPr>
          <w:rFonts w:ascii="Arial" w:cs="Arial" w:eastAsia="Arial" w:hAnsi="Arial"/>
          <w:sz w:val="16"/>
          <w:szCs w:val="16"/>
          <w:color w:val="auto"/>
        </w:rPr>
        <w:t>Transaction advisory fees and expenses decreased $16.6 million, or 98.4%, to $0.3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2020, compared to $16.9 million for the six months ended June 30, 2019. The decrease was primarily attributable to the ITG Acquisition, for which we incurred significant transaction advisory fees during the first half of 2019. The decrease was partially offset by increases related to the Founder Member Loan Facility, and certain other borrowing arrangements, which we undertook to increase our available short term liquidity in response to the extraordinary volume and volatility environment during the quarter, driven largely by COVID-19 and responses.</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b w:val="1"/>
          <w:bCs w:val="1"/>
          <w:i w:val="1"/>
          <w:iCs w:val="1"/>
          <w:color w:val="auto"/>
        </w:rPr>
        <w:t xml:space="preserve">Financing interest expense on long term borrowings. </w:t>
      </w:r>
      <w:r>
        <w:rPr>
          <w:rFonts w:ascii="Arial" w:cs="Arial" w:eastAsia="Arial" w:hAnsi="Arial"/>
          <w:sz w:val="17"/>
          <w:szCs w:val="17"/>
          <w:color w:val="auto"/>
        </w:rPr>
        <w:t>Financing interest expense on long-term borrowings decreased $10.1 million, or 17.5%,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$47.4 million for the six months ended June 30, 2020, compared to $57.5 million for the six months ended June 30, 2019. This decrease was primarily attributable to the decrease in outstanding principal as a result of the First Lien Term Loan Facility and the Incremental Term Loans as discussed in Note 9 “Borrowings” of Part I Item 1 “Financial Statements” of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was $147.2 million for the six months ended June 30, 2020, compared to a benefit from income taxes of $(13.7) million for the six months ended June 30, 2019. The change was primarily due to the income before income taxes and noncontrolling interest for the six months ended June 30, 2020, compared to a loss before taxes during the prior year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As of June 30, 2020, we had $670.8 million in Cash and cash equivalents. This balance is maintained primarily to support operating activities for capital expenditures and for short-term access to liquidity, and for other general corporate purposes. As of June 30, 2020, we had borrowings under our prime brokerage credit facilities of approximately $112.4 million, no borrowing outstanding under our broker dealer facilities, short-term bank overdrafts of $26.3 million, and long-term debt outstanding in an aggregate principal amount of approximately $1,768.9 million. As of June 30, 2020, our regulatory capital requirements for domestic U.S. broker-dealer subsidiaries were $6.4 million, in aggregate.</w:t>
      </w:r>
    </w:p>
    <w:p>
      <w:pPr>
        <w:spacing w:after="0" w:line="20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subsidiaries, as discussed in Note 9 “Borrowings” of Part I Item 1 “Financial Statements” of this Quarterly Report on Form 10-Q.</w:t>
      </w:r>
    </w:p>
    <w:p>
      <w:pPr>
        <w:spacing w:after="0" w:line="20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As a result of the substantially elevated volume and volatility environment during the quarter attributable largely to the COVID-19 pandemic and governmental and other responses thereto, our trading activities both in our market making segment and in our execution services segment increased materially relative to the equivalent period in the prior year. This increase in our activity and our customers’ activity together with the extraordinary volatility during certain periods within the quarter has driven our short-term liquidity needs significantly higher as compared to prior periods, though these levels declined meaningfully during the quarter relative to their peaks in the first quarter of 2020. In order to manage these increased daily funding obligations, we have taken steps to increase available short-term liquidity and to reduce our short term funding requirements. Increases to our available short-term liquidity included entering into the Founder Member Loan Facility (as defined below), the Demand Loan (as defined below, which was fully repaid during the quarter) and certain changes to the Committed Broker Dealer Facility, each of which are described in further detail below as well as in Note 9 “Borrowings” of Part I Item 1 “Financial Statements” of this Quarterly Report on Form 10-Q. Steps taken to reduce our short-term funding requirements have included arranging for select clients trades to be cleared by another large financial institution, reducing limits on daily client trading activity on a client-by-client basis and selectively reducing our market making activities in certain asset classes or products.</w:t>
      </w:r>
    </w:p>
    <w:p>
      <w:pPr>
        <w:spacing w:after="0" w:line="19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Based on our current level of operations and following the steps taken as detailed above,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 We do not believe that the impacts of COVID-19 or the governmental and other responses thereto to date have adversely impacted our long term financial condition or long term capital requirements.</w:t>
      </w:r>
    </w:p>
    <w:p>
      <w:pPr>
        <w:spacing w:after="0" w:line="19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25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5 “Tax Receivable Agreements” to the condensed consolidated financial statements included in Part I Item 1 “Financial Statements” of this Quarterly Report on Form 10-Q are expected to range from approximately $3.3 million to $20.7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and our third payment of $13.3 million in March 2020. Future payments under the tax receivable agreements in respect of subsequent exchanges would be in addition to these amounts. We currently expect to fund these payments from realized cash tax savings from the favorable tax attributes.</w:t>
      </w:r>
    </w:p>
    <w:p>
      <w:pPr>
        <w:spacing w:after="0" w:line="20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of our operating subsidiaries are subject to separate regulation and capital requirements in the United States and other jurisdictions. Virtu Americas LLC, Virtu ITG LLC, and Virtu Alternet Securities LLC are registered U.S. broker-dealers, and their primary regulators include the SEC and FINRA.</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Virtu Americas LLC is also subject to rules set forth by NYSE and is required to maintain a certain level of capital in connection with the operation of its designated market maker business.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Canadian subsidiaries, Virtu ITG Canada Corp, TriAct Canada Marketplace LP, and Virtu Financial Canada ULC, are subject to regulatory capital requirements and periodic requirements to report their regulatory capital and submit other regulatory reports set forth by the Investment Industry Regulatory Organization of Canada. Virtu Financial Ireland Limited and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Virtu Financial Ireland Limited and Virtu ITG Europe Limited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Exchange, the Securities and Futures Commission, and the Monetary Authority of Singapore, respectively.</w:t>
      </w:r>
    </w:p>
    <w:p>
      <w:pPr>
        <w:spacing w:after="0" w:line="20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See Note 19 “Regulatory Requirement” of Part I Item 1 “Financial Statements” of this Quarterly Report on Form 10-Q for a discussion of regulatory capital requirements of our regulated subsidiaries.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Dealer Credit Facilities, Short-Term Bank Loans, and Prime Brokerage Credit Facilities</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maintain various broker-dealer facilities and short-term credit facilities as part of our daily trading operations. See Note 9 “Borrowings” of Part I Item 1 “Financial Statements” of this Quarterly Report on Form 10-Q for details on our various credit facilities. As of June 30, 2020, there was no outstanding principal balance on our broker-dealer facilities and the outstanding aggregate short-term credit facilities with various prime brokers and other financial institutions from which the Company receives execution or clearing services was approximately $112.4 million, which was netted within Receivables from broker-dealers and clearing organizations on the Condensed Consolidated Statement of Financial Condition of Part I Item 1 “Financial Statements” of this Quarterly Report on Form 10-Q.</w:t>
      </w:r>
    </w:p>
    <w:p>
      <w:pPr>
        <w:spacing w:after="0" w:line="21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bears interest at a rate of 10% per annum, increased by 2.0% with respect to any principal amounts not paid when due and owing. If an event of default occurs and is continuing, the lender may declare all loans immediately due and payable. The Demand Loan was repaid in full as of April 17, 2020.</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may be borrowed in one or more borrowings on or after March 20, 2020 and prior to September 20, 2020, as further described below. The Borrower intends use the proceeds of the Founder Member Loans solely to finance the purchase and settlement of securities and to fund margin deposits with the National Securities Clearing Corporation and Options Clearing Corporation.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as described below. The interest rate for the Founder Member Loans, to the extent drawn and outstanding, will be 8.0% per annum, and the Founder Member Loans will be due on September 20, 2020. If an event of default occurs and is continuing, the Lender may increase the interest rate 2.0% above what would otherwise be applicable on overdue amounts, and declare all Founder Member Loans immediately due and payable. The Borrower may prepay the Founder Member Loans in whole or in part at any time without penalty.</w:t>
      </w:r>
    </w:p>
    <w:p>
      <w:pPr>
        <w:spacing w:after="0" w:line="19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which number of shares will be increased to 10,000,000 if, at any time during the term of the Founder Member Facility, Founder Member Loans equal to or greater than $100 million remain outstanding for a certain period of time specified in the Warrant. The exercise price per share of the Class A Common Stock issuable pursuant to the Warrant is $22.98, which in accordance with the terms of the Warrant, is the average of the volume weighted average prices of the Class A Common Stock for the ten (10) trading days following May 7, 2020, the date on which the Company publicly announced its earnings results for the first quarter of 2020. The Warrant may be exercised on or after May 22, 2020, the eleventh (11th) trading day following the date on which the Company publicly announced its earnings results for the first quarter of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0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foregoing descriptions of the Founder Member Loan Facility and the Warrant do not purport to be complete and are qualified in its entirety by reference to the complete text of the Founder Member Loan Facility and the Warrant, which are filed as exhibits to the Company's quarterly report on Form 10-Q for the period ending March 31, 2020, filed with the Securities and Exchange Commission on May 11,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Credit Agreement provided (i) a senior secured first lien term loan (the “First Lien Term Loan Facility”) in an aggregate principal amount of $1,500 million, drawn in its entirety on the ITG Closing Date, with approximately $404.5 million borrowed by VFH to repay all amounts outstanding under the Existing Term Loan Facility (as defined below) and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1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October 9, 2019 (the “Amendment No. 1 Closing Date”), VFH entered into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pay related fees and expenses. The terms, conditions and covenants applicable to the Incremental Term Loans are the same as the terms, conditions and covenants applicable to the existing term loans under the Credit Agreement, including a maturity date of March 1, 2026.</w:t>
      </w:r>
    </w:p>
    <w:p>
      <w:pPr>
        <w:spacing w:after="0" w:line="223"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On March 2, 2020 (the “Amendment No. 2 Closing Date”), VFH entered into Amendment No. 2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w:t>
      </w:r>
    </w:p>
    <w:p>
      <w:pPr>
        <w:spacing w:after="0" w:line="4"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0" w:lineRule="exact"/>
        <w:rPr>
          <w:sz w:val="20"/>
          <w:szCs w:val="20"/>
          <w:color w:val="auto"/>
        </w:rPr>
      </w:pPr>
    </w:p>
    <w:p>
      <w:pPr>
        <w:ind w:right="420" w:firstLine="648"/>
        <w:spacing w:after="0" w:line="258" w:lineRule="auto"/>
        <w:rPr>
          <w:sz w:val="20"/>
          <w:szCs w:val="20"/>
          <w:color w:val="auto"/>
        </w:rPr>
      </w:pPr>
      <w:r>
        <w:rPr>
          <w:rFonts w:ascii="Arial" w:cs="Arial" w:eastAsia="Arial" w:hAnsi="Arial"/>
          <w:sz w:val="18"/>
          <w:szCs w:val="18"/>
          <w:color w:val="auto"/>
        </w:rPr>
        <w:t>On January 29, 2020, the Company entered into a five-year $1,000 million floating-to-fixed interest rate swap agreement. The Company also previously entered into a five-year $525 million floating-to-fixed interest rate swap agreement.</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these two interest rate swaps meet the criteria to be considered qualifying cash flow hedges under ASC 815,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1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the Amended Credit Agreement, term loans will mature on March 1, 2026. The term loans amortize in annual installments equal to 1.0% of the original aggregate principal amount of the term loans. The revolving commitments will terminate on March 1, 2022.</w:t>
      </w:r>
    </w:p>
    <w:p>
      <w:pPr>
        <w:spacing w:after="0" w:line="19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applicable covenants under the Amended Credit Agreement as of June 30,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main sources of liquidity are cash flow from the operations of our subsidiaries, our broker-dealer credit facilities (as described above), margin financing provided by our prime brokers and cash on hand.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primary sources and uses of cash for the six months ended June 30, 2020 and 2019.</w:t>
      </w:r>
    </w:p>
    <w:p>
      <w:pPr>
        <w:spacing w:after="0" w:line="29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cash provided by (used in):</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202"/>
        </w:trPr>
        <w:tc>
          <w:tcPr>
            <w:tcW w:w="5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499,277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(377,325)</w:t>
            </w:r>
          </w:p>
        </w:tc>
      </w:tr>
      <w:tr>
        <w:trPr>
          <w:trHeight w:val="196"/>
        </w:trPr>
        <w:tc>
          <w:tcPr>
            <w:tcW w:w="5600" w:type="dxa"/>
            <w:vAlign w:val="bottom"/>
            <w:gridSpan w:val="2"/>
          </w:tcPr>
          <w:p>
            <w:pPr>
              <w:ind w:left="12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(36,693)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(864,384)</w:t>
            </w:r>
          </w:p>
        </w:tc>
      </w:tr>
      <w:tr>
        <w:trPr>
          <w:trHeight w:val="209"/>
        </w:trPr>
        <w:tc>
          <w:tcPr>
            <w:tcW w:w="5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1,005,614</w:t>
            </w:r>
          </w:p>
        </w:tc>
      </w:tr>
      <w:tr>
        <w:trPr>
          <w:trHeight w:val="196"/>
        </w:trPr>
        <w:tc>
          <w:tcPr>
            <w:tcW w:w="5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(2,391)</w:t>
            </w:r>
          </w:p>
        </w:tc>
      </w:tr>
      <w:tr>
        <w:trPr>
          <w:trHeight w:val="227"/>
        </w:trPr>
        <w:tc>
          <w:tcPr>
            <w:tcW w:w="5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(238,486)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Net cash provided by operating activities was $499.3 million for the six months ended June 30, 2020, compared to net cash used in operating activities of $377.3 million for the six months ended June 30, 2019. The increase in net cash provided by operating activities was primarily attributable to increases in trading income, net for the six months ended June 30, 2020 compared to the prior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cash used in investing activities was $36.7 million for the six months ended June 30, 2020, compared to net cash used in investing activities of $864.4 million for the six months ended June 30, 2019. The decrease in cash used in investing activities for the six months ended June 30, 2020 was primarily attributable to the $835.6 million cash used for the ITG Acquisition on the ITG Closing Date during the same period of 2019. See Note 3 “ITG Acquisition” of Part I Item 1 “Financial Statements” of this Quarterly Report on Form 10-Q.</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Net cash used in financing activities was $483.9 million for the six months ended June 30, 2020, while net cash provided by financing activities was $1,005.6 million for the six months ended June 30, 2019. The cash used in financing activities for the six months ended June 30, 2020 was primarily attributable to a $188.6 million prepayment on our long-term borrowings and by distributions made to noncontrolling interests of $164.4 million. The cash provided by financing activities of $1,005.6 million during the same period of 2019 reflect net proceeds from long-term borrowings associated with our entering into the Credit Agreement on the ITG Closing Date, as described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25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May 2018 Secondary Offering, the Company, TJMT Holdings LLC,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that certain other persons (including the Company’s CEO) remain parties to the Amended and Restated Registration Rights Agreement.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 of June 30, 2020,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believe inflation has not had a material effect on our financial condition as of June 30, 2020, and December 31, 2019, or on our results of operations and cash flows for the three and six months ended June 30, 2020 and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5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21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10 “Financial Assets and Liabilities” of Part I Item 1 “Financial Statements” of this Quarterly Report on Form 10-Q for further information about fair value measurements.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Income, Net</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Dividends Income/Interest and Dividends Expense</w:t>
      </w:r>
    </w:p>
    <w:p>
      <w:pPr>
        <w:spacing w:after="0" w:line="25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net and Technology Services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 The Company recognizes the related revenue when the third-party research services are rendered and payments are made to the service provider.</w:t>
      </w:r>
    </w:p>
    <w:p>
      <w:pPr>
        <w:spacing w:after="0" w:line="21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9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Workflow technology revenues consist of order and trade execution management and order routing services we provide through our front-end workflow solutions and network capabilities.</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8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1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84" w:lineRule="exact"/>
        <w:rPr>
          <w:sz w:val="20"/>
          <w:szCs w:val="20"/>
          <w:color w:val="auto"/>
        </w:rPr>
      </w:pPr>
    </w:p>
    <w:p>
      <w:pPr>
        <w:ind w:left="1300" w:right="140" w:hanging="644"/>
        <w:spacing w:after="0" w:line="258" w:lineRule="auto"/>
        <w:tabs>
          <w:tab w:leader="none" w:pos="1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commission value for each customer for the products and services it receives, which is priced using the value for similar stand-alone subscription arrangements; and</w:t>
      </w:r>
    </w:p>
    <w:p>
      <w:pPr>
        <w:spacing w:after="0" w:line="1" w:lineRule="exact"/>
        <w:rPr>
          <w:rFonts w:ascii="Arial" w:cs="Arial" w:eastAsia="Arial" w:hAnsi="Arial"/>
          <w:sz w:val="18"/>
          <w:szCs w:val="18"/>
          <w:color w:val="auto"/>
        </w:rPr>
      </w:pPr>
    </w:p>
    <w:p>
      <w:pPr>
        <w:ind w:left="1300" w:right="220" w:hanging="644"/>
        <w:spacing w:after="0" w:line="260"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calculated ratio of the commission value for the products and services relative to the total amount of commissions generated from the customer.</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21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We record as treasury stock shares repurchased from employees for the purpose of settling tax liabilities incurred upon the issuance of common stock, the vesting of restricted stock units or the exercise of 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We are currently subject to audit in various jurisdictions, and these jurisdictions may assess additional income tax liabilities against us. Developments in an audit, litigation, or the relevant laws, regulations, administrative practices, principles,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79"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accessing capital;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exchange rates or other developments in equity and credit markets;</w:t>
      </w:r>
    </w:p>
    <w:p>
      <w:pPr>
        <w:spacing w:after="0" w:line="9" w:lineRule="exact"/>
        <w:rPr>
          <w:rFonts w:ascii="Arial" w:cs="Arial" w:eastAsia="Arial" w:hAnsi="Arial"/>
          <w:sz w:val="18"/>
          <w:szCs w:val="18"/>
          <w:color w:val="auto"/>
        </w:rPr>
      </w:pPr>
    </w:p>
    <w:p>
      <w:pPr>
        <w:ind w:left="660" w:right="100" w:firstLine="320"/>
        <w:spacing w:after="0" w:line="250" w:lineRule="auto"/>
        <w:tabs>
          <w:tab w:leader="none" w:pos="13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factors such as increases in raw materials, labor, or other costs that have a negative effect on earnings and cash flows;</w:t>
      </w:r>
    </w:p>
    <w:p>
      <w:pPr>
        <w:spacing w:after="0" w:line="9" w:lineRule="exact"/>
        <w:rPr>
          <w:rFonts w:ascii="Arial" w:cs="Arial" w:eastAsia="Arial" w:hAnsi="Arial"/>
          <w:sz w:val="18"/>
          <w:szCs w:val="18"/>
          <w:color w:val="auto"/>
        </w:rPr>
      </w:pPr>
    </w:p>
    <w:p>
      <w:pPr>
        <w:ind w:left="660" w:right="280" w:firstLine="320"/>
        <w:spacing w:after="0" w:line="250" w:lineRule="auto"/>
        <w:tabs>
          <w:tab w:leader="none" w:pos="13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financial performance such as negative or declining cash flows or a decline in actual or planned revenue or earnings compared with actual and projected results of relevant prior periods;</w:t>
      </w:r>
    </w:p>
    <w:p>
      <w:pPr>
        <w:ind w:left="660" w:right="40" w:firstLine="320"/>
        <w:spacing w:after="0" w:line="260" w:lineRule="auto"/>
        <w:tabs>
          <w:tab w:leader="none" w:pos="13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relevant entity-specific events such as changes in management, key personnel, strategy, or customers, contemplation of bankruptcy, or litigation.</w:t>
      </w:r>
    </w:p>
    <w:p>
      <w:pPr>
        <w:spacing w:after="0" w:line="21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assess goodwill for impairment on an annual basis as of July 1st and on an interim basis when certain events or circumstances exist. In the impairment assessment as of July 1, 2019, we performed a qualitative assessment as described above for each reporting unit. No impairment of goodwill was identified.</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1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21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Market risk was elevated during the period, largely as a result of the COVID-19 pandemic and the governmental and other responses thereto.</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normal course of business, we maintain inventories of exchange-listed and other equity securities, and to a lesser extent, fixed income securities and listed equity options. The fair value of these financial instruments at June 30, 2020 and December 31, 2019 was $2.6 billion and $2.8 billion, respectively, in long positions and $2.8 billion and $2.5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2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Derivative Instruments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19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Due from Broker-Dealers and Clearing Organizations</w:t>
      </w:r>
      <w:r>
        <w:rPr>
          <w:rFonts w:ascii="Arial" w:cs="Arial" w:eastAsia="Arial" w:hAnsi="Arial"/>
          <w:sz w:val="18"/>
          <w:szCs w:val="18"/>
          <w:color w:val="auto"/>
        </w:rPr>
        <w:t>. Management periodically evaluates our counterparty credit exposures to various brokers</w:t>
      </w:r>
      <w:r>
        <w:rPr>
          <w:rFonts w:ascii="Arial" w:cs="Arial" w:eastAsia="Arial" w:hAnsi="Arial"/>
          <w:sz w:val="18"/>
          <w:szCs w:val="18"/>
          <w:i w:val="1"/>
          <w:iCs w:val="1"/>
          <w:color w:val="auto"/>
        </w:rPr>
        <w:t xml:space="preserve"> </w:t>
      </w:r>
      <w:r>
        <w:rPr>
          <w:rFonts w:ascii="Arial" w:cs="Arial" w:eastAsia="Arial" w:hAnsi="Arial"/>
          <w:sz w:val="18"/>
          <w:szCs w:val="18"/>
          <w:color w:val="auto"/>
        </w:rPr>
        <w:t>and clearing organizations with a view to limiting potential losses resulting from counterparty insolvency.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1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Approximately 15.3% and 27.8% of our revenues for the three months ended June 30, 2020 and 2019, respectively, and approximately 18.1% and 23.9% of our total revenues for the six months ended June 30, 2020 and 2019, respectively, were denominated in non-U.S. Dollar currencies. We estimate that a hypothetical 10% adverse change in the value of the U.S. dollar relative to our foreign denominated earnings would have resulted in decreases in revenues of $13.8 million and $10.4 million for the three months ended June 30, 2020 and 2019, respectively, and $34.6 million and $17.6 million for the six months ended June 30, 2020 and 2019, respectively.</w:t>
      </w:r>
    </w:p>
    <w:p>
      <w:pPr>
        <w:spacing w:after="0" w:line="21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with Off Balance Sheet Risk</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1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2020. Based upon that evaluation, our Chief Executive Officer and Chief Financial Officer concluded that, as of June 30, 2020,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9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 change in our internal control over financial reporting (as defined in Rule 13a-15(f) under the Exchange Act) occurred during the three months ended June 30, 2020 that has or is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Part I Item 1A. “Risk Factors” in our 2019 Form 10-K, except for the following:</w:t>
      </w:r>
    </w:p>
    <w:p>
      <w:pPr>
        <w:spacing w:after="0" w:line="1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effects of the outbreak of the novel coronavirus (COVID-19) have negatively affected the global economy, the United States economy and the global financial markets, and may disrupt our operations and our clients' operations, which could have an adverse effect on our business, financial condition and results of operations.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ongoing COVID-19 global and national health emergency has caused significant disruption in the international and United States economies and financial markets. On March 11, 2020, the World Health Organization declared the COVID-19 outbreak a pandemic. The spread of COVID-19 has caused, among other matters, illness, death, quarantines, cancellation of events and travel, business and school shutdowns, reduction in business activity and financial transactions, labor shortages, supply chain interruptions and overall economic and financial market instability. The United States now has the world’s most reported COVID-19 cases, and all 50 states and the District of Columbia have reported cases of infected individuals. Similar impacts have been experienced in every country in which we do business. The full impact this virus may have on the global financial markets and the overall economy is not currently known. Impacts to our business could be widespread and global, and material impacts may be possible, including the following:</w:t>
      </w:r>
    </w:p>
    <w:p>
      <w:pPr>
        <w:spacing w:after="0" w:line="19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Employees, including our senior executives, contracting COVID-19;</w:t>
      </w:r>
    </w:p>
    <w:p>
      <w:pPr>
        <w:spacing w:after="0" w:line="23" w:lineRule="exact"/>
        <w:rPr>
          <w:rFonts w:ascii="Arial" w:cs="Arial" w:eastAsia="Arial" w:hAnsi="Arial"/>
          <w:sz w:val="18"/>
          <w:szCs w:val="18"/>
          <w:color w:val="auto"/>
        </w:rPr>
      </w:pPr>
    </w:p>
    <w:p>
      <w:pPr>
        <w:ind w:left="660" w:righ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in our operating effectiveness or efficiency as a significant number of our employees currently work from home and potential disruptions or adverse impacts as and when we implement a return to work policy for certain employees;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Unprecedented volatility in global financial markets, which may increase the risk or potential magnitude of operational errors;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liquidity needs, including but not limited to margin funding requirements with clearinghouses or prime brokers, for our business and challenges obtaining sufficient liquidity sources to meet such needs or requirements;</w:t>
      </w:r>
    </w:p>
    <w:p>
      <w:pPr>
        <w:ind w:left="660" w:right="660"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impacts on our clients, counterparties, vendors and other business partners on whom we rely for order flow, funding, and critical technological or operational services and the potential increase in risk of counterparty default or insolvency event;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Closures of our offices or the offices of our clients;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Travel restrictions limiting our ability to collaborate internally and engage with current and potential clients and counterparties externally.</w:t>
      </w:r>
    </w:p>
    <w:p>
      <w:pPr>
        <w:spacing w:after="0" w:line="2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are taking precautions to protect the safety and well-being of our employees, customers and business partners. However, we cannot be certain that the steps we have taken or will take will be deemed to be adequate or appropriate, nor can we predict the level of disruption which will occur to our employee's ability to perform their functions.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further spread of the COVID-19 outbreak may materially disrupt financial activity generally and in the areas in which we operate. This could result in a decline in demand for our products and services, which would negatively impact our liquidity position and our results. Any one or more of these developments could have a material adverse effect on our and our consolidated subsidiaries' business, operations, consolidated financial condition, and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Significant market volatility relating to the outbreak of the novel coronavirus (COVID-19) has significantly increased and could in the future significantly increase our liquidity needs, which could impact our business, financial condition and results of operations if we face challenges in obtaining liquidity.</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COVID-19 pandemic and governmental and other responses thereto has caused and may continue to cause substantially elevated volume and volatility, which has and may continue to result in material increases in our trading activities both in our market making segment and in our execution services segment. This increase in our activity and our customers’ activity together with the extraordinary volatility has resulted in, and may continue to result in, significantly increased margin</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 term funding requirements, which may require us to depend on additional sources of liquidity and upon the availability of third parties for services such as trade clearing, and has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In response to the effects of the outbreak of the novel coronavirus (COVID-19) and in accordance with applicable governmental orders and the guidelines of the Center for Disease Control (CDC), we have implemented our business continuity plan (BCP), which may disrupt or negatively impact our business.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June 30, 2020, under our BCP a significant majority of our global work force was working remotely, which may increase various risks to our business. These include the risks associated with a computer systems and software failure, cyber risks, capacity constraints, malfunctions and delays. Risks associated with trading operations, financial reporting, internal controls and other key functions and responsibilities may also be elevated, as employees rely on critical technologies to communicate and collaborate and perform core functions remotely. The risk of further disruption or adverse impact may also be heightened as and when governmental orders are lifted or relaxed and we begin to reintegrate our personnel and business into our office locations pursuant to our return to office policy.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 repurchases for the three months ended June 30, 2020 were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Shares Purchased (1)</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April 1, 2020 - April 30, 2020</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1,668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44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Arial" w:cs="Arial" w:eastAsia="Arial" w:hAnsi="Arial"/>
                <w:sz w:val="14"/>
                <w:szCs w:val="14"/>
                <w:color w:val="auto"/>
              </w:rPr>
              <w:t>May 1, 2020 - May 31, 2020</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23.57</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1, 2020 - June 30, 2020</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2,940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22.96</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2"/>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Common Stock / Virtu Financial Unit repurchases</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8,727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80" w:firstLine="8"/>
        <w:spacing w:after="0" w:line="273" w:lineRule="auto"/>
        <w:tabs>
          <w:tab w:leader="none" w:pos="204"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Comprises the repurchase of 8,727 shares from employees in order to satisfy statutory tax withholding requirements upon the net settlement of equity awards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2"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2743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274320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224"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Employment Agreement, dated as of April 30, 2020, by and between Virtu Financial Operating LLC and Joseph Molluso</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(incorporated herein by reference to Exhibit 10.4 to the Company’s Quarterly Report on Form 10-Q (File No. 001- 37352) filed</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on May 11, 2020).</w:t>
        </w:r>
      </w:hyperlink>
    </w:p>
    <w:p>
      <w:pPr>
        <w:spacing w:after="0" w:line="2" w:lineRule="exact"/>
        <w:rPr>
          <w:rFonts w:ascii="Arial" w:cs="Arial" w:eastAsia="Arial" w:hAnsi="Arial"/>
          <w:sz w:val="18"/>
          <w:szCs w:val="18"/>
          <w:u w:val="single" w:color="auto"/>
          <w:color w:val="0000FF"/>
        </w:rPr>
      </w:pPr>
    </w:p>
    <w:p>
      <w:pPr>
        <w:ind w:right="160"/>
        <w:spacing w:after="0" w:line="234" w:lineRule="auto"/>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Certification of Chief Executive Officer required by Rule 13a-14(a)/15d-14(a) under the Securities Exchange Act of 1934, as</w:t>
        </w:r>
      </w:hyperlink>
      <w:r>
        <w:rPr>
          <w:rFonts w:ascii="Arial" w:cs="Arial" w:eastAsia="Arial" w:hAnsi="Arial"/>
          <w:sz w:val="18"/>
          <w:szCs w:val="18"/>
          <w:u w:val="single" w:color="auto"/>
          <w:color w:val="0000FF"/>
        </w:rPr>
        <w:t xml:space="preserve"> </w:t>
      </w:r>
      <w:hyperlink w:anchor="page97">
        <w:r>
          <w:rPr>
            <w:rFonts w:ascii="Arial" w:cs="Arial" w:eastAsia="Arial" w:hAnsi="Arial"/>
            <w:sz w:val="18"/>
            <w:szCs w:val="18"/>
            <w:u w:val="single" w:color="auto"/>
            <w:color w:val="0000FF"/>
          </w:rPr>
          <w:t>amended, as adopted pursuant to Section 302 of the Sarbanes-Oxley Act of 2002.</w:t>
        </w:r>
      </w:hyperlink>
    </w:p>
    <w:p>
      <w:pPr>
        <w:spacing w:after="0" w:line="1" w:lineRule="exact"/>
        <w:rPr>
          <w:sz w:val="20"/>
          <w:szCs w:val="20"/>
          <w:color w:val="auto"/>
        </w:rPr>
      </w:pPr>
    </w:p>
    <w:p>
      <w:pPr>
        <w:ind w:right="220"/>
        <w:spacing w:after="0" w:line="234" w:lineRule="auto"/>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Certification of Chief Financial Officer required by Rule 13a-14(a)/15d-14(a) under the Securities Exchange Act of 1934, as</w:t>
        </w:r>
      </w:hyperlink>
      <w:r>
        <w:rPr>
          <w:rFonts w:ascii="Arial" w:cs="Arial" w:eastAsia="Arial" w:hAnsi="Arial"/>
          <w:sz w:val="18"/>
          <w:szCs w:val="18"/>
          <w:u w:val="single" w:color="auto"/>
          <w:color w:val="0000FF"/>
        </w:rPr>
        <w:t xml:space="preserve"> </w:t>
      </w:r>
      <w:hyperlink w:anchor="page98">
        <w:r>
          <w:rPr>
            <w:rFonts w:ascii="Arial" w:cs="Arial" w:eastAsia="Arial" w:hAnsi="Arial"/>
            <w:sz w:val="18"/>
            <w:szCs w:val="18"/>
            <w:u w:val="single" w:color="auto"/>
            <w:color w:val="0000FF"/>
          </w:rPr>
          <w:t>amended, as adopted pursuant to Section 302 of the Sarbanes-Oxley Act of 2002.</w:t>
        </w:r>
      </w:hyperlink>
    </w:p>
    <w:p>
      <w:pPr>
        <w:spacing w:after="0" w:line="1" w:lineRule="exact"/>
        <w:rPr>
          <w:sz w:val="20"/>
          <w:szCs w:val="20"/>
          <w:color w:val="auto"/>
        </w:rPr>
      </w:pPr>
    </w:p>
    <w:p>
      <w:pPr>
        <w:ind w:right="640"/>
        <w:spacing w:after="0" w:line="234" w:lineRule="auto"/>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Certification of Chief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99">
        <w:r>
          <w:rPr>
            <w:rFonts w:ascii="Arial" w:cs="Arial" w:eastAsia="Arial" w:hAnsi="Arial"/>
            <w:sz w:val="18"/>
            <w:szCs w:val="18"/>
            <w:u w:val="single" w:color="auto"/>
            <w:color w:val="0000FF"/>
          </w:rPr>
          <w:t>Sarbanes-Oxley Act of 2002.</w:t>
        </w:r>
      </w:hyperlink>
    </w:p>
    <w:p>
      <w:pPr>
        <w:spacing w:after="0" w:line="1" w:lineRule="exact"/>
        <w:rPr>
          <w:sz w:val="20"/>
          <w:szCs w:val="20"/>
          <w:color w:val="auto"/>
        </w:rPr>
      </w:pPr>
    </w:p>
    <w:p>
      <w:pPr>
        <w:ind w:right="680"/>
        <w:spacing w:after="0" w:line="234" w:lineRule="auto"/>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Certification of Chief Financial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100">
        <w:r>
          <w:rPr>
            <w:rFonts w:ascii="Arial" w:cs="Arial" w:eastAsia="Arial" w:hAnsi="Arial"/>
            <w:sz w:val="18"/>
            <w:szCs w:val="18"/>
            <w:u w:val="single" w:color="auto"/>
            <w:color w:val="0000FF"/>
          </w:rPr>
          <w:t>Sarbanes-Oxley Act of 2002.</w:t>
        </w:r>
      </w:hyperlink>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428" w:lineRule="exact"/>
        <w:rPr>
          <w:sz w:val="20"/>
          <w:szCs w:val="20"/>
          <w:color w:val="auto"/>
        </w:rPr>
      </w:pPr>
    </w:p>
    <w:p>
      <w:pPr>
        <w:sectPr>
          <w:pgSz w:w="11900" w:h="16838" w:orient="portrait"/>
          <w:cols w:equalWidth="0" w:num="2">
            <w:col w:w="1300" w:space="720"/>
            <w:col w:w="9160"/>
          </w:cols>
          <w:pgMar w:left="320" w:top="125" w:right="399" w:bottom="1440" w:gutter="0" w:footer="0" w:header="0"/>
          <w:type w:val="continuous"/>
        </w:sect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0"/>
        <w:spacing w:after="0"/>
        <w:tabs>
          <w:tab w:leader="none" w:pos="2700" w:val="left"/>
          <w:tab w:leader="none" w:pos="49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31750</wp:posOffset>
            </wp:positionV>
            <wp:extent cx="31292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0"/>
        <w:spacing w:after="0"/>
        <w:tabs>
          <w:tab w:leader="none" w:pos="2700" w:val="left"/>
          <w:tab w:leader="none" w:pos="49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31750</wp:posOffset>
            </wp:positionV>
            <wp:extent cx="31292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Alex Ioffe</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320" w:top="125" w:right="5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CEO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 —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A. Cifu, certify that:</w:t>
      </w:r>
    </w:p>
    <w:p>
      <w:pPr>
        <w:spacing w:after="0" w:line="252" w:lineRule="exact"/>
        <w:rPr>
          <w:sz w:val="20"/>
          <w:szCs w:val="20"/>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2020 of Virtu Financial, Inc. (the “registrant”) as filed with the Securities and Exchange Commission on the date hereof;</w:t>
      </w:r>
    </w:p>
    <w:p>
      <w:pPr>
        <w:spacing w:after="0" w:line="19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5620" w:val="left"/>
          <w:tab w:leader="none" w:pos="622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31750</wp:posOffset>
            </wp:positionV>
            <wp:extent cx="31546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CFO 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 —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Alex Ioffe, certify that:</w:t>
      </w:r>
    </w:p>
    <w:p>
      <w:pPr>
        <w:spacing w:after="0" w:line="225"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2020 of Virtu Financial, Inc. (the “registrant”) as filed with the Securities and Exchange Commission on the date hereof;</w:t>
      </w:r>
    </w:p>
    <w:p>
      <w:pPr>
        <w:spacing w:after="0" w:line="19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5680" w:val="left"/>
          <w:tab w:leader="none" w:pos="626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31750</wp:posOffset>
            </wp:positionV>
            <wp:extent cx="31464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Alex Ioffe</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June 30, 2020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2" w:lineRule="exact"/>
        <w:rPr>
          <w:sz w:val="20"/>
          <w:szCs w:val="20"/>
          <w:color w:val="auto"/>
        </w:rPr>
      </w:pPr>
    </w:p>
    <w:p>
      <w:pPr>
        <w:ind w:left="1320" w:hanging="178"/>
        <w:spacing w:after="0"/>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48" w:lineRule="exact"/>
        <w:rPr>
          <w:rFonts w:ascii="Arial" w:cs="Arial" w:eastAsia="Arial" w:hAnsi="Arial"/>
          <w:sz w:val="16"/>
          <w:szCs w:val="16"/>
          <w:color w:val="auto"/>
        </w:rPr>
      </w:pPr>
    </w:p>
    <w:p>
      <w:pPr>
        <w:ind w:left="1140" w:right="260" w:firstLine="2"/>
        <w:spacing w:after="0" w:line="277" w:lineRule="auto"/>
        <w:tabs>
          <w:tab w:leader="none" w:pos="13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63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Douglas A. Cifu</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August 7, 2020</w:t>
      </w:r>
    </w:p>
    <w:p>
      <w:pPr>
        <w:sectPr>
          <w:pgSz w:w="11900" w:h="16838" w:orient="portrait"/>
          <w:cols w:equalWidth="0" w:num="1">
            <w:col w:w="11240"/>
          </w:cols>
          <w:pgMar w:left="320" w:top="89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June 30, 2020 as filed with the Securities and Exchange Commission on the date hereof (the “Report”), I, Alex Ioffe, certify, pursuant to 18 U.S.C. Section 1350, as adopted pursuant to Section 906 of the Sarbanes-Oxley Act of 2002, in my capacity as an officer of the Company that, to my knowledge:</w:t>
      </w:r>
    </w:p>
    <w:p>
      <w:pPr>
        <w:spacing w:after="0" w:line="165" w:lineRule="exact"/>
        <w:rPr>
          <w:sz w:val="20"/>
          <w:szCs w:val="20"/>
          <w:color w:val="auto"/>
        </w:rPr>
      </w:pPr>
    </w:p>
    <w:p>
      <w:pPr>
        <w:ind w:left="1320" w:hanging="178"/>
        <w:spacing w:after="0"/>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48" w:lineRule="exact"/>
        <w:rPr>
          <w:rFonts w:ascii="Arial" w:cs="Arial" w:eastAsia="Arial" w:hAnsi="Arial"/>
          <w:sz w:val="16"/>
          <w:szCs w:val="16"/>
          <w:color w:val="auto"/>
        </w:rPr>
      </w:pPr>
    </w:p>
    <w:p>
      <w:pPr>
        <w:ind w:left="1140" w:right="260" w:firstLine="2"/>
        <w:spacing w:after="0" w:line="27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480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Alex Ioffe</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August 7,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24" Type="http://schemas.openxmlformats.org/officeDocument/2006/relationships/hyperlink" Target="https://www.sec.gov/Archives/edgar/data/1592386/000159238620000006/exhibit104q1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2020-08-10T06:28:22Z</dcterms:created>
  <dcterms:modified xsi:type="dcterms:W3CDTF">2020-08-10T06:28:22Z</dcterms:modified>
</cp:coreProperties>
</file>