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1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70"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7"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38"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1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45720</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257175</wp:posOffset>
            </wp:positionV>
            <wp:extent cx="5829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1120" w:hanging="358"/>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4419600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158115</wp:posOffset>
            </wp:positionV>
            <wp:extent cx="1885950"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right="2560"/>
        <w:spacing w:after="0" w:line="256" w:lineRule="auto"/>
        <w:rPr>
          <w:sz w:val="20"/>
          <w:szCs w:val="20"/>
          <w:color w:val="auto"/>
        </w:rPr>
      </w:pPr>
      <w:r>
        <w:rPr>
          <w:rFonts w:ascii="Arial" w:cs="Arial" w:eastAsia="Arial" w:hAnsi="Arial"/>
          <w:sz w:val="54"/>
          <w:szCs w:val="54"/>
          <w:color w:val="002554"/>
        </w:rPr>
        <w:t>Notice of Annual Meeting of Stockholders</w:t>
      </w:r>
    </w:p>
    <w:p>
      <w:pPr>
        <w:spacing w:after="0" w:line="23" w:lineRule="exact"/>
        <w:rPr>
          <w:sz w:val="20"/>
          <w:szCs w:val="20"/>
          <w:color w:val="auto"/>
        </w:rPr>
      </w:pPr>
    </w:p>
    <w:p>
      <w:pPr>
        <w:ind w:left="760"/>
        <w:spacing w:after="0" w:line="257" w:lineRule="auto"/>
        <w:rPr>
          <w:sz w:val="20"/>
          <w:szCs w:val="20"/>
          <w:color w:val="auto"/>
        </w:rPr>
      </w:pPr>
      <w:r>
        <w:rPr>
          <w:rFonts w:ascii="Arial" w:cs="Arial" w:eastAsia="Arial" w:hAnsi="Arial"/>
          <w:sz w:val="18"/>
          <w:szCs w:val="18"/>
          <w:color w:val="auto"/>
        </w:rPr>
        <w:t>Notice is hereby given that the 2022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of Virtu Financial,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Virtu</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will be held on Thursday, June 2, 2022, at 9:00 a.m. (Eastern Time). The Annual Meeting will be held in a virtual meeting format only. You can attend the Annual Meeting online, vote your shares electronically and submit your questions during the Annual Meeting, by visiting www.virtualshareholdermeeting.com/VIRT2022. You will need to have your 16-Digit Control Number included on your Notice or your proxy card (if you received a printed copy of the proxy materials) to join the Annual Meeting.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holding the meeting for the following purposes:</w:t>
      </w:r>
    </w:p>
    <w:p>
      <w:pPr>
        <w:spacing w:after="0" w:line="117" w:lineRule="exact"/>
        <w:rPr>
          <w:sz w:val="20"/>
          <w:szCs w:val="20"/>
          <w:color w:val="auto"/>
        </w:rPr>
      </w:pPr>
    </w:p>
    <w:p>
      <w:pPr>
        <w:ind w:left="1200" w:right="20" w:hanging="222"/>
        <w:spacing w:after="0" w:line="242"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elect three directors to our board of directors, each to serve as a Class I director for a term of three years expiring at the annual meeting of stockholders to be held in 2025 and until such director’s successor has been duly elected and qualified;</w:t>
      </w:r>
    </w:p>
    <w:p>
      <w:pPr>
        <w:spacing w:after="0" w:line="97" w:lineRule="exact"/>
        <w:rPr>
          <w:rFonts w:ascii="Arial" w:cs="Arial" w:eastAsia="Arial" w:hAnsi="Arial"/>
          <w:sz w:val="22"/>
          <w:szCs w:val="22"/>
          <w:b w:val="1"/>
          <w:bCs w:val="1"/>
          <w:color w:val="00C389"/>
        </w:rPr>
      </w:pPr>
    </w:p>
    <w:p>
      <w:pPr>
        <w:ind w:left="1200" w:right="540" w:hanging="222"/>
        <w:spacing w:after="0" w:line="237"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85" w:lineRule="exact"/>
        <w:rPr>
          <w:rFonts w:ascii="Arial" w:cs="Arial" w:eastAsia="Arial" w:hAnsi="Arial"/>
          <w:sz w:val="22"/>
          <w:szCs w:val="22"/>
          <w:b w:val="1"/>
          <w:bCs w:val="1"/>
          <w:color w:val="00C389"/>
        </w:rPr>
      </w:pPr>
    </w:p>
    <w:p>
      <w:pPr>
        <w:ind w:left="1200" w:right="280" w:hanging="222"/>
        <w:spacing w:after="0" w:line="237"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ratify the appointment of PricewaterhouseCoopers LLP as our independent registered public accounting firm for the fiscal year ending December 31, 2022;</w:t>
      </w:r>
    </w:p>
    <w:p>
      <w:pPr>
        <w:spacing w:after="0" w:line="85" w:lineRule="exact"/>
        <w:rPr>
          <w:rFonts w:ascii="Arial" w:cs="Arial" w:eastAsia="Arial" w:hAnsi="Arial"/>
          <w:sz w:val="22"/>
          <w:szCs w:val="22"/>
          <w:b w:val="1"/>
          <w:bCs w:val="1"/>
          <w:color w:val="00C389"/>
        </w:rPr>
      </w:pPr>
    </w:p>
    <w:p>
      <w:pPr>
        <w:ind w:left="1200" w:right="300" w:hanging="222"/>
        <w:spacing w:after="0" w:line="237"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approve an amendment to the Virtu Financial, Inc. Amended and Restated 2015 Management Incentive Plan to increase the number of shares authorized for issuance thereunder; and</w:t>
      </w:r>
    </w:p>
    <w:p>
      <w:pPr>
        <w:spacing w:after="0" w:line="99" w:lineRule="exact"/>
        <w:rPr>
          <w:rFonts w:ascii="Arial" w:cs="Arial" w:eastAsia="Arial" w:hAnsi="Arial"/>
          <w:sz w:val="22"/>
          <w:szCs w:val="22"/>
          <w:b w:val="1"/>
          <w:bCs w:val="1"/>
          <w:color w:val="00C389"/>
        </w:rPr>
      </w:pPr>
    </w:p>
    <w:p>
      <w:pPr>
        <w:ind w:left="1200" w:right="540" w:hanging="222"/>
        <w:spacing w:after="0" w:line="237"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transact any other business as may properly come before the Annual Meeting or any adjournment or postponement thereof.</w:t>
      </w:r>
    </w:p>
    <w:p>
      <w:pPr>
        <w:spacing w:after="0" w:line="86" w:lineRule="exact"/>
        <w:rPr>
          <w:sz w:val="20"/>
          <w:szCs w:val="20"/>
          <w:color w:val="auto"/>
        </w:rPr>
      </w:pPr>
    </w:p>
    <w:p>
      <w:pPr>
        <w:ind w:left="760" w:right="180"/>
        <w:spacing w:after="0" w:line="282" w:lineRule="auto"/>
        <w:rPr>
          <w:sz w:val="20"/>
          <w:szCs w:val="20"/>
          <w:color w:val="auto"/>
        </w:rPr>
      </w:pPr>
      <w:r>
        <w:rPr>
          <w:rFonts w:ascii="Arial" w:cs="Arial" w:eastAsia="Arial" w:hAnsi="Arial"/>
          <w:sz w:val="17"/>
          <w:szCs w:val="17"/>
          <w:color w:val="auto"/>
        </w:rPr>
        <w:t>Only stockholders of record as of the close of business on April 7, 2022 (the “</w:t>
      </w:r>
      <w:r>
        <w:rPr>
          <w:rFonts w:ascii="Arial" w:cs="Arial" w:eastAsia="Arial" w:hAnsi="Arial"/>
          <w:sz w:val="17"/>
          <w:szCs w:val="17"/>
          <w:b w:val="1"/>
          <w:bCs w:val="1"/>
          <w:color w:val="auto"/>
        </w:rPr>
        <w:t>Record Date</w:t>
      </w:r>
      <w:r>
        <w:rPr>
          <w:rFonts w:ascii="Arial" w:cs="Arial" w:eastAsia="Arial" w:hAnsi="Arial"/>
          <w:sz w:val="17"/>
          <w:szCs w:val="17"/>
          <w:color w:val="auto"/>
        </w:rPr>
        <w:t>”) will be entitled to attend or vote at the Annual Meeting or any adjournment or postponement thereof. A complete list of these stockholders will be available on the bottom panel of your screen during the meeting after entering the 16-Digit Control Number included on your Notice or your proxy card (if you received a printed copy of the proxy materials).</w:t>
      </w:r>
    </w:p>
    <w:p>
      <w:pPr>
        <w:spacing w:after="0" w:line="53" w:lineRule="exact"/>
        <w:rPr>
          <w:sz w:val="20"/>
          <w:szCs w:val="20"/>
          <w:color w:val="auto"/>
        </w:rPr>
      </w:pPr>
    </w:p>
    <w:p>
      <w:pPr>
        <w:ind w:left="760" w:right="360"/>
        <w:spacing w:after="0" w:line="287" w:lineRule="auto"/>
        <w:rPr>
          <w:sz w:val="20"/>
          <w:szCs w:val="20"/>
          <w:color w:val="auto"/>
        </w:rPr>
      </w:pPr>
      <w:r>
        <w:rPr>
          <w:rFonts w:ascii="Arial" w:cs="Arial" w:eastAsia="Arial" w:hAnsi="Arial"/>
          <w:sz w:val="18"/>
          <w:szCs w:val="18"/>
          <w:color w:val="auto"/>
        </w:rPr>
        <w:t>To make it easy to vote, Internet and telephone voting are available. The instructions for voting are on the proxy card.</w:t>
      </w:r>
    </w:p>
    <w:p>
      <w:pPr>
        <w:spacing w:after="0" w:line="45" w:lineRule="exact"/>
        <w:rPr>
          <w:sz w:val="20"/>
          <w:szCs w:val="20"/>
          <w:color w:val="auto"/>
        </w:rPr>
      </w:pPr>
    </w:p>
    <w:p>
      <w:pPr>
        <w:ind w:left="760" w:right="280"/>
        <w:spacing w:after="0" w:line="287" w:lineRule="auto"/>
        <w:rPr>
          <w:sz w:val="20"/>
          <w:szCs w:val="20"/>
          <w:color w:val="auto"/>
        </w:rPr>
      </w:pPr>
      <w:r>
        <w:rPr>
          <w:rFonts w:ascii="Arial" w:cs="Arial" w:eastAsia="Arial" w:hAnsi="Arial"/>
          <w:sz w:val="18"/>
          <w:szCs w:val="18"/>
          <w:color w:val="auto"/>
        </w:rPr>
        <w:t>If you hold your shares through a bank, broker or other holder of record, please follow the voting instructions you received from the holder of record.</w:t>
      </w:r>
    </w:p>
    <w:p>
      <w:pPr>
        <w:spacing w:after="0" w:line="45" w:lineRule="exact"/>
        <w:rPr>
          <w:sz w:val="20"/>
          <w:szCs w:val="20"/>
          <w:color w:val="auto"/>
        </w:rPr>
      </w:pPr>
    </w:p>
    <w:p>
      <w:pPr>
        <w:ind w:left="760" w:right="140"/>
        <w:spacing w:after="0" w:line="286"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hope you will vote your shares as soon as possible. Please mark, sign, date and return the accompanying proxy card or voting instruction form in the postage paid envelope or instruct us by telephone or via the Internet as to how you would like your shares voted. Instructions are included on the proxy card and voting instruction form.</w:t>
      </w:r>
    </w:p>
    <w:p>
      <w:pPr>
        <w:spacing w:after="0" w:line="4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w:t>
      </w:r>
      <w:r>
        <w:rPr>
          <w:rFonts w:ascii="Arial" w:cs="Arial" w:eastAsia="Arial" w:hAnsi="Arial"/>
          <w:sz w:val="12"/>
          <w:szCs w:val="12"/>
          <w:color w:val="auto"/>
        </w:rPr>
        <w:t>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60325</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Robert Greifeld</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Chairman</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22, 2022</w:t>
      </w:r>
    </w:p>
    <w:p>
      <w:pPr>
        <w:spacing w:after="0" w:line="315" w:lineRule="exact"/>
        <w:rPr>
          <w:sz w:val="20"/>
          <w:szCs w:val="20"/>
          <w:color w:val="auto"/>
        </w:rPr>
      </w:pPr>
    </w:p>
    <w:p>
      <w:pPr>
        <w:jc w:val="both"/>
        <w:ind w:left="760"/>
        <w:spacing w:after="0" w:line="27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2, 2022: Virtu’s Proxy Statement and Annual Report on Form 10-K for the fiscal year ended December 31, 2021 are also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82550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Table of Contents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8580" w:type="dxa"/>
            <w:vAlign w:val="bottom"/>
            <w:tcBorders>
              <w:top w:val="single" w:sz="8" w:color="00C389"/>
            </w:tcBorders>
            <w:gridSpan w:val="10"/>
            <w:shd w:val="clear" w:color="auto" w:fill="CCEEFF"/>
          </w:tcPr>
          <w:p>
            <w:pPr>
              <w:spacing w:after="0"/>
              <w:rPr>
                <w:sz w:val="20"/>
                <w:szCs w:val="20"/>
                <w:color w:val="auto"/>
              </w:rPr>
            </w:pPr>
            <w:r>
              <w:rPr>
                <w:rFonts w:ascii="Arial" w:cs="Arial" w:eastAsia="Arial" w:hAnsi="Arial"/>
                <w:sz w:val="18"/>
                <w:szCs w:val="18"/>
                <w:color w:val="0000EE"/>
              </w:rPr>
              <w:t>PROXY STATEMENT SUMMARY</w:t>
            </w:r>
          </w:p>
        </w:tc>
        <w:tc>
          <w:tcPr>
            <w:tcW w:w="340" w:type="dxa"/>
            <w:vAlign w:val="bottom"/>
            <w:tcBorders>
              <w:top w:val="single" w:sz="8" w:color="00C389"/>
            </w:tcBorders>
            <w:shd w:val="clear" w:color="auto" w:fill="CCEEFF"/>
          </w:tcPr>
          <w:p>
            <w:pPr>
              <w:spacing w:after="0"/>
              <w:rPr>
                <w:sz w:val="21"/>
                <w:szCs w:val="21"/>
                <w:color w:val="auto"/>
              </w:rPr>
            </w:pPr>
          </w:p>
        </w:tc>
        <w:tc>
          <w:tcPr>
            <w:tcW w:w="6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00C389"/>
            </w:tcBorders>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389"/>
          </w:tcPr>
          <w:p>
            <w:pPr>
              <w:spacing w:after="0" w:line="20" w:lineRule="exact"/>
              <w:rPr>
                <w:sz w:val="1"/>
                <w:szCs w:val="1"/>
                <w:color w:val="auto"/>
              </w:rPr>
            </w:pPr>
          </w:p>
        </w:tc>
        <w:tc>
          <w:tcPr>
            <w:tcW w:w="1700" w:type="dxa"/>
            <w:vAlign w:val="bottom"/>
            <w:shd w:val="clear" w:color="auto" w:fill="00C389"/>
          </w:tcPr>
          <w:p>
            <w:pPr>
              <w:spacing w:after="0" w:line="20" w:lineRule="exact"/>
              <w:rPr>
                <w:sz w:val="1"/>
                <w:szCs w:val="1"/>
                <w:color w:val="auto"/>
              </w:rPr>
            </w:pPr>
          </w:p>
        </w:tc>
        <w:tc>
          <w:tcPr>
            <w:tcW w:w="880" w:type="dxa"/>
            <w:vAlign w:val="bottom"/>
            <w:shd w:val="clear" w:color="auto" w:fill="00C389"/>
          </w:tcPr>
          <w:p>
            <w:pPr>
              <w:spacing w:after="0" w:line="20" w:lineRule="exact"/>
              <w:rPr>
                <w:sz w:val="1"/>
                <w:szCs w:val="1"/>
                <w:color w:val="auto"/>
              </w:rPr>
            </w:pPr>
          </w:p>
        </w:tc>
        <w:tc>
          <w:tcPr>
            <w:tcW w:w="24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520" w:type="dxa"/>
            <w:vAlign w:val="bottom"/>
            <w:shd w:val="clear" w:color="auto" w:fill="00C389"/>
          </w:tcPr>
          <w:p>
            <w:pPr>
              <w:spacing w:after="0" w:line="20" w:lineRule="exact"/>
              <w:rPr>
                <w:sz w:val="1"/>
                <w:szCs w:val="1"/>
                <w:color w:val="auto"/>
              </w:rPr>
            </w:pPr>
          </w:p>
        </w:tc>
        <w:tc>
          <w:tcPr>
            <w:tcW w:w="580" w:type="dxa"/>
            <w:vAlign w:val="bottom"/>
            <w:shd w:val="clear" w:color="auto" w:fill="00C389"/>
          </w:tcPr>
          <w:p>
            <w:pPr>
              <w:spacing w:after="0" w:line="20" w:lineRule="exact"/>
              <w:rPr>
                <w:sz w:val="1"/>
                <w:szCs w:val="1"/>
                <w:color w:val="auto"/>
              </w:rPr>
            </w:pPr>
          </w:p>
        </w:tc>
        <w:tc>
          <w:tcPr>
            <w:tcW w:w="352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66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6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PROPOSAL 1: ELECTION OF DIRECTORS</w:t>
            </w:r>
          </w:p>
        </w:tc>
        <w:tc>
          <w:tcPr>
            <w:tcW w:w="3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2"/>
              <w:spacing w:after="0" w:line="196" w:lineRule="exact"/>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vMerge w:val="restart"/>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389"/>
            </w:tcBorders>
          </w:tcPr>
          <w:p>
            <w:pPr>
              <w:spacing w:after="0"/>
              <w:rPr>
                <w:sz w:val="3"/>
                <w:szCs w:val="3"/>
                <w:color w:val="auto"/>
              </w:rPr>
            </w:pPr>
          </w:p>
        </w:tc>
        <w:tc>
          <w:tcPr>
            <w:tcW w:w="1700" w:type="dxa"/>
            <w:vAlign w:val="bottom"/>
            <w:tcBorders>
              <w:bottom w:val="single" w:sz="8" w:color="00C389"/>
            </w:tcBorders>
          </w:tcPr>
          <w:p>
            <w:pPr>
              <w:spacing w:after="0"/>
              <w:rPr>
                <w:sz w:val="3"/>
                <w:szCs w:val="3"/>
                <w:color w:val="auto"/>
              </w:rPr>
            </w:pPr>
          </w:p>
        </w:tc>
        <w:tc>
          <w:tcPr>
            <w:tcW w:w="880" w:type="dxa"/>
            <w:vAlign w:val="bottom"/>
            <w:tcBorders>
              <w:bottom w:val="single" w:sz="8" w:color="00C389"/>
            </w:tcBorders>
          </w:tcPr>
          <w:p>
            <w:pPr>
              <w:spacing w:after="0"/>
              <w:rPr>
                <w:sz w:val="3"/>
                <w:szCs w:val="3"/>
                <w:color w:val="auto"/>
              </w:rPr>
            </w:pPr>
          </w:p>
        </w:tc>
        <w:tc>
          <w:tcPr>
            <w:tcW w:w="240" w:type="dxa"/>
            <w:vAlign w:val="bottom"/>
            <w:tcBorders>
              <w:bottom w:val="single" w:sz="8" w:color="00C389"/>
            </w:tcBorders>
          </w:tcPr>
          <w:p>
            <w:pPr>
              <w:spacing w:after="0"/>
              <w:rPr>
                <w:sz w:val="3"/>
                <w:szCs w:val="3"/>
                <w:color w:val="auto"/>
              </w:rPr>
            </w:pPr>
          </w:p>
        </w:tc>
        <w:tc>
          <w:tcPr>
            <w:tcW w:w="20" w:type="dxa"/>
            <w:vAlign w:val="bottom"/>
            <w:tcBorders>
              <w:bottom w:val="single" w:sz="8" w:color="00C389"/>
            </w:tcBorders>
          </w:tcPr>
          <w:p>
            <w:pPr>
              <w:spacing w:after="0"/>
              <w:rPr>
                <w:sz w:val="3"/>
                <w:szCs w:val="3"/>
                <w:color w:val="auto"/>
              </w:rPr>
            </w:pPr>
          </w:p>
        </w:tc>
        <w:tc>
          <w:tcPr>
            <w:tcW w:w="520" w:type="dxa"/>
            <w:vAlign w:val="bottom"/>
            <w:tcBorders>
              <w:bottom w:val="single" w:sz="8" w:color="00C389"/>
            </w:tcBorders>
          </w:tcPr>
          <w:p>
            <w:pPr>
              <w:spacing w:after="0"/>
              <w:rPr>
                <w:sz w:val="3"/>
                <w:szCs w:val="3"/>
                <w:color w:val="auto"/>
              </w:rPr>
            </w:pPr>
          </w:p>
        </w:tc>
        <w:tc>
          <w:tcPr>
            <w:tcW w:w="580" w:type="dxa"/>
            <w:vAlign w:val="bottom"/>
            <w:tcBorders>
              <w:bottom w:val="single" w:sz="8" w:color="00C389"/>
            </w:tcBorders>
          </w:tcPr>
          <w:p>
            <w:pPr>
              <w:spacing w:after="0"/>
              <w:rPr>
                <w:sz w:val="3"/>
                <w:szCs w:val="3"/>
                <w:color w:val="auto"/>
              </w:rPr>
            </w:pPr>
          </w:p>
        </w:tc>
        <w:tc>
          <w:tcPr>
            <w:tcW w:w="3520" w:type="dxa"/>
            <w:vAlign w:val="bottom"/>
            <w:tcBorders>
              <w:bottom w:val="single" w:sz="8" w:color="00C389"/>
            </w:tcBorders>
          </w:tcPr>
          <w:p>
            <w:pPr>
              <w:spacing w:after="0"/>
              <w:rPr>
                <w:sz w:val="3"/>
                <w:szCs w:val="3"/>
                <w:color w:val="auto"/>
              </w:rPr>
            </w:pPr>
          </w:p>
        </w:tc>
        <w:tc>
          <w:tcPr>
            <w:tcW w:w="280" w:type="dxa"/>
            <w:vAlign w:val="bottom"/>
            <w:tcBorders>
              <w:bottom w:val="single" w:sz="8" w:color="00C389"/>
            </w:tcBorders>
          </w:tcPr>
          <w:p>
            <w:pPr>
              <w:spacing w:after="0"/>
              <w:rPr>
                <w:sz w:val="3"/>
                <w:szCs w:val="3"/>
                <w:color w:val="auto"/>
              </w:rPr>
            </w:pPr>
          </w:p>
        </w:tc>
        <w:tc>
          <w:tcPr>
            <w:tcW w:w="660" w:type="dxa"/>
            <w:vAlign w:val="bottom"/>
            <w:tcBorders>
              <w:bottom w:val="single" w:sz="8" w:color="00C389"/>
            </w:tcBorders>
          </w:tcPr>
          <w:p>
            <w:pPr>
              <w:spacing w:after="0"/>
              <w:rPr>
                <w:sz w:val="3"/>
                <w:szCs w:val="3"/>
                <w:color w:val="auto"/>
              </w:rPr>
            </w:pPr>
          </w:p>
        </w:tc>
        <w:tc>
          <w:tcPr>
            <w:tcW w:w="340" w:type="dxa"/>
            <w:vAlign w:val="bottom"/>
            <w:tcBorders>
              <w:bottom w:val="single" w:sz="8" w:color="00C389"/>
            </w:tcBorders>
            <w:vMerge w:val="continue"/>
          </w:tcPr>
          <w:p>
            <w:pPr>
              <w:spacing w:after="0"/>
              <w:rPr>
                <w:sz w:val="3"/>
                <w:szCs w:val="3"/>
                <w:color w:val="auto"/>
              </w:rPr>
            </w:pPr>
          </w:p>
        </w:tc>
        <w:tc>
          <w:tcPr>
            <w:tcW w:w="6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CORPORATE GOVERNANCE</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389"/>
          </w:tcPr>
          <w:p>
            <w:pPr>
              <w:spacing w:after="0" w:line="20" w:lineRule="exact"/>
              <w:rPr>
                <w:sz w:val="1"/>
                <w:szCs w:val="1"/>
                <w:color w:val="auto"/>
              </w:rPr>
            </w:pPr>
          </w:p>
        </w:tc>
        <w:tc>
          <w:tcPr>
            <w:tcW w:w="1700" w:type="dxa"/>
            <w:vAlign w:val="bottom"/>
            <w:shd w:val="clear" w:color="auto" w:fill="00C389"/>
          </w:tcPr>
          <w:p>
            <w:pPr>
              <w:spacing w:after="0" w:line="20" w:lineRule="exact"/>
              <w:rPr>
                <w:sz w:val="1"/>
                <w:szCs w:val="1"/>
                <w:color w:val="auto"/>
              </w:rPr>
            </w:pPr>
          </w:p>
        </w:tc>
        <w:tc>
          <w:tcPr>
            <w:tcW w:w="880" w:type="dxa"/>
            <w:vAlign w:val="bottom"/>
            <w:shd w:val="clear" w:color="auto" w:fill="00C389"/>
          </w:tcPr>
          <w:p>
            <w:pPr>
              <w:spacing w:after="0" w:line="20" w:lineRule="exact"/>
              <w:rPr>
                <w:sz w:val="1"/>
                <w:szCs w:val="1"/>
                <w:color w:val="auto"/>
              </w:rPr>
            </w:pPr>
          </w:p>
        </w:tc>
        <w:tc>
          <w:tcPr>
            <w:tcW w:w="24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520" w:type="dxa"/>
            <w:vAlign w:val="bottom"/>
            <w:shd w:val="clear" w:color="auto" w:fill="00C389"/>
          </w:tcPr>
          <w:p>
            <w:pPr>
              <w:spacing w:after="0" w:line="20" w:lineRule="exact"/>
              <w:rPr>
                <w:sz w:val="1"/>
                <w:szCs w:val="1"/>
                <w:color w:val="auto"/>
              </w:rPr>
            </w:pPr>
          </w:p>
        </w:tc>
        <w:tc>
          <w:tcPr>
            <w:tcW w:w="580" w:type="dxa"/>
            <w:vAlign w:val="bottom"/>
            <w:shd w:val="clear" w:color="auto" w:fill="00C389"/>
          </w:tcPr>
          <w:p>
            <w:pPr>
              <w:spacing w:after="0" w:line="20" w:lineRule="exact"/>
              <w:rPr>
                <w:sz w:val="1"/>
                <w:szCs w:val="1"/>
                <w:color w:val="auto"/>
              </w:rPr>
            </w:pPr>
          </w:p>
        </w:tc>
        <w:tc>
          <w:tcPr>
            <w:tcW w:w="352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66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6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PROPOSAL 2: ADVISORY VOTE TO APPROVE COMPENSATION OF NAMED EXECUTIVE OFFICERS</w:t>
            </w:r>
          </w:p>
        </w:tc>
        <w:tc>
          <w:tcPr>
            <w:tcW w:w="3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2"/>
              <w:spacing w:after="0" w:line="196" w:lineRule="exact"/>
              <w:rPr>
                <w:sz w:val="20"/>
                <w:szCs w:val="20"/>
                <w:color w:val="auto"/>
              </w:rPr>
            </w:pPr>
            <w:r>
              <w:rPr>
                <w:rFonts w:ascii="Arial" w:cs="Arial" w:eastAsia="Arial" w:hAnsi="Arial"/>
                <w:sz w:val="18"/>
                <w:szCs w:val="18"/>
                <w:color w:val="0000EE"/>
                <w:w w:val="89"/>
              </w:rPr>
              <w:t>21</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vMerge w:val="restart"/>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389"/>
            </w:tcBorders>
          </w:tcPr>
          <w:p>
            <w:pPr>
              <w:spacing w:after="0"/>
              <w:rPr>
                <w:sz w:val="3"/>
                <w:szCs w:val="3"/>
                <w:color w:val="auto"/>
              </w:rPr>
            </w:pPr>
          </w:p>
        </w:tc>
        <w:tc>
          <w:tcPr>
            <w:tcW w:w="1700" w:type="dxa"/>
            <w:vAlign w:val="bottom"/>
            <w:tcBorders>
              <w:bottom w:val="single" w:sz="8" w:color="00C389"/>
            </w:tcBorders>
          </w:tcPr>
          <w:p>
            <w:pPr>
              <w:spacing w:after="0"/>
              <w:rPr>
                <w:sz w:val="3"/>
                <w:szCs w:val="3"/>
                <w:color w:val="auto"/>
              </w:rPr>
            </w:pPr>
          </w:p>
        </w:tc>
        <w:tc>
          <w:tcPr>
            <w:tcW w:w="880" w:type="dxa"/>
            <w:vAlign w:val="bottom"/>
            <w:tcBorders>
              <w:bottom w:val="single" w:sz="8" w:color="00C389"/>
            </w:tcBorders>
          </w:tcPr>
          <w:p>
            <w:pPr>
              <w:spacing w:after="0"/>
              <w:rPr>
                <w:sz w:val="3"/>
                <w:szCs w:val="3"/>
                <w:color w:val="auto"/>
              </w:rPr>
            </w:pPr>
          </w:p>
        </w:tc>
        <w:tc>
          <w:tcPr>
            <w:tcW w:w="240" w:type="dxa"/>
            <w:vAlign w:val="bottom"/>
            <w:tcBorders>
              <w:bottom w:val="single" w:sz="8" w:color="00C389"/>
            </w:tcBorders>
          </w:tcPr>
          <w:p>
            <w:pPr>
              <w:spacing w:after="0"/>
              <w:rPr>
                <w:sz w:val="3"/>
                <w:szCs w:val="3"/>
                <w:color w:val="auto"/>
              </w:rPr>
            </w:pPr>
          </w:p>
        </w:tc>
        <w:tc>
          <w:tcPr>
            <w:tcW w:w="20" w:type="dxa"/>
            <w:vAlign w:val="bottom"/>
            <w:tcBorders>
              <w:bottom w:val="single" w:sz="8" w:color="00C389"/>
            </w:tcBorders>
          </w:tcPr>
          <w:p>
            <w:pPr>
              <w:spacing w:after="0"/>
              <w:rPr>
                <w:sz w:val="3"/>
                <w:szCs w:val="3"/>
                <w:color w:val="auto"/>
              </w:rPr>
            </w:pPr>
          </w:p>
        </w:tc>
        <w:tc>
          <w:tcPr>
            <w:tcW w:w="520" w:type="dxa"/>
            <w:vAlign w:val="bottom"/>
            <w:tcBorders>
              <w:bottom w:val="single" w:sz="8" w:color="00C389"/>
            </w:tcBorders>
          </w:tcPr>
          <w:p>
            <w:pPr>
              <w:spacing w:after="0"/>
              <w:rPr>
                <w:sz w:val="3"/>
                <w:szCs w:val="3"/>
                <w:color w:val="auto"/>
              </w:rPr>
            </w:pPr>
          </w:p>
        </w:tc>
        <w:tc>
          <w:tcPr>
            <w:tcW w:w="580" w:type="dxa"/>
            <w:vAlign w:val="bottom"/>
            <w:tcBorders>
              <w:bottom w:val="single" w:sz="8" w:color="00C389"/>
            </w:tcBorders>
          </w:tcPr>
          <w:p>
            <w:pPr>
              <w:spacing w:after="0"/>
              <w:rPr>
                <w:sz w:val="3"/>
                <w:szCs w:val="3"/>
                <w:color w:val="auto"/>
              </w:rPr>
            </w:pPr>
          </w:p>
        </w:tc>
        <w:tc>
          <w:tcPr>
            <w:tcW w:w="3520" w:type="dxa"/>
            <w:vAlign w:val="bottom"/>
            <w:tcBorders>
              <w:bottom w:val="single" w:sz="8" w:color="00C389"/>
            </w:tcBorders>
          </w:tcPr>
          <w:p>
            <w:pPr>
              <w:spacing w:after="0"/>
              <w:rPr>
                <w:sz w:val="3"/>
                <w:szCs w:val="3"/>
                <w:color w:val="auto"/>
              </w:rPr>
            </w:pPr>
          </w:p>
        </w:tc>
        <w:tc>
          <w:tcPr>
            <w:tcW w:w="280" w:type="dxa"/>
            <w:vAlign w:val="bottom"/>
            <w:tcBorders>
              <w:bottom w:val="single" w:sz="8" w:color="00C389"/>
            </w:tcBorders>
          </w:tcPr>
          <w:p>
            <w:pPr>
              <w:spacing w:after="0"/>
              <w:rPr>
                <w:sz w:val="3"/>
                <w:szCs w:val="3"/>
                <w:color w:val="auto"/>
              </w:rPr>
            </w:pPr>
          </w:p>
        </w:tc>
        <w:tc>
          <w:tcPr>
            <w:tcW w:w="660" w:type="dxa"/>
            <w:vAlign w:val="bottom"/>
            <w:tcBorders>
              <w:bottom w:val="single" w:sz="8" w:color="00C389"/>
            </w:tcBorders>
          </w:tcPr>
          <w:p>
            <w:pPr>
              <w:spacing w:after="0"/>
              <w:rPr>
                <w:sz w:val="3"/>
                <w:szCs w:val="3"/>
                <w:color w:val="auto"/>
              </w:rPr>
            </w:pPr>
          </w:p>
        </w:tc>
        <w:tc>
          <w:tcPr>
            <w:tcW w:w="340" w:type="dxa"/>
            <w:vAlign w:val="bottom"/>
            <w:tcBorders>
              <w:bottom w:val="single" w:sz="8" w:color="00C389"/>
            </w:tcBorders>
            <w:vMerge w:val="continue"/>
          </w:tcPr>
          <w:p>
            <w:pPr>
              <w:spacing w:after="0"/>
              <w:rPr>
                <w:sz w:val="3"/>
                <w:szCs w:val="3"/>
                <w:color w:val="auto"/>
              </w:rPr>
            </w:pPr>
          </w:p>
        </w:tc>
        <w:tc>
          <w:tcPr>
            <w:tcW w:w="6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EXECUTIVE COMPENSATION</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35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9"/>
        </w:trPr>
        <w:tc>
          <w:tcPr>
            <w:tcW w:w="180" w:type="dxa"/>
            <w:vAlign w:val="bottom"/>
            <w:tcBorders>
              <w:top w:val="single" w:sz="8" w:color="00C389"/>
              <w:bottom w:val="single" w:sz="8" w:color="00C389"/>
            </w:tcBorders>
            <w:vMerge w:val="restart"/>
          </w:tcPr>
          <w:p>
            <w:pPr>
              <w:spacing w:after="0"/>
              <w:rPr>
                <w:sz w:val="20"/>
                <w:szCs w:val="20"/>
                <w:color w:val="auto"/>
              </w:rPr>
            </w:pPr>
            <w:r>
              <w:rPr>
                <w:rFonts w:ascii="Arial" w:cs="Arial" w:eastAsia="Arial" w:hAnsi="Arial"/>
                <w:sz w:val="18"/>
                <w:szCs w:val="18"/>
                <w:color w:val="auto"/>
              </w:rPr>
              <w:t>​</w:t>
            </w:r>
          </w:p>
        </w:tc>
        <w:tc>
          <w:tcPr>
            <w:tcW w:w="3360" w:type="dxa"/>
            <w:vAlign w:val="bottom"/>
            <w:tcBorders>
              <w:top w:val="single" w:sz="8" w:color="00C389"/>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8"/>
              </w:rPr>
              <w:t>COMPENSATION COMMITTEE REPORT</w:t>
            </w:r>
          </w:p>
        </w:tc>
        <w:tc>
          <w:tcPr>
            <w:tcW w:w="580" w:type="dxa"/>
            <w:vAlign w:val="bottom"/>
            <w:tcBorders>
              <w:top w:val="single" w:sz="8" w:color="00C389"/>
              <w:bottom w:val="single" w:sz="8" w:color="00C389"/>
            </w:tcBorders>
            <w:vMerge w:val="restart"/>
          </w:tcPr>
          <w:p>
            <w:pPr>
              <w:spacing w:after="0"/>
              <w:rPr>
                <w:sz w:val="18"/>
                <w:szCs w:val="18"/>
                <w:color w:val="auto"/>
              </w:rPr>
            </w:pPr>
          </w:p>
        </w:tc>
        <w:tc>
          <w:tcPr>
            <w:tcW w:w="3520" w:type="dxa"/>
            <w:vAlign w:val="bottom"/>
            <w:tcBorders>
              <w:top w:val="single" w:sz="8" w:color="00C389"/>
              <w:bottom w:val="single" w:sz="8" w:color="00C389"/>
            </w:tcBorders>
            <w:vMerge w:val="restart"/>
          </w:tcPr>
          <w:p>
            <w:pPr>
              <w:spacing w:after="0"/>
              <w:rPr>
                <w:sz w:val="18"/>
                <w:szCs w:val="18"/>
                <w:color w:val="auto"/>
              </w:rPr>
            </w:pPr>
          </w:p>
        </w:tc>
        <w:tc>
          <w:tcPr>
            <w:tcW w:w="280" w:type="dxa"/>
            <w:vAlign w:val="bottom"/>
            <w:tcBorders>
              <w:top w:val="single" w:sz="8" w:color="00C389"/>
              <w:bottom w:val="single" w:sz="8" w:color="00C389"/>
            </w:tcBorders>
            <w:vMerge w:val="restart"/>
          </w:tcPr>
          <w:p>
            <w:pPr>
              <w:spacing w:after="0"/>
              <w:rPr>
                <w:sz w:val="18"/>
                <w:szCs w:val="18"/>
                <w:color w:val="auto"/>
              </w:rPr>
            </w:pPr>
          </w:p>
        </w:tc>
        <w:tc>
          <w:tcPr>
            <w:tcW w:w="660" w:type="dxa"/>
            <w:vAlign w:val="bottom"/>
            <w:tcBorders>
              <w:top w:val="single" w:sz="8" w:color="00C389"/>
              <w:bottom w:val="single" w:sz="8" w:color="00C389"/>
            </w:tcBorders>
            <w:vMerge w:val="restart"/>
          </w:tcPr>
          <w:p>
            <w:pPr>
              <w:spacing w:after="0"/>
              <w:rPr>
                <w:sz w:val="18"/>
                <w:szCs w:val="18"/>
                <w:color w:val="auto"/>
              </w:rPr>
            </w:pPr>
          </w:p>
        </w:tc>
        <w:tc>
          <w:tcPr>
            <w:tcW w:w="400" w:type="dxa"/>
            <w:vAlign w:val="bottom"/>
            <w:tcBorders>
              <w:top w:val="single" w:sz="8" w:color="00C389"/>
              <w:bottom w:val="single" w:sz="8" w:color="00C389"/>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389"/>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22</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389"/>
            </w:tcBorders>
            <w:vMerge w:val="continue"/>
          </w:tcPr>
          <w:p>
            <w:pPr>
              <w:spacing w:after="0"/>
              <w:rPr>
                <w:sz w:val="2"/>
                <w:szCs w:val="2"/>
                <w:color w:val="auto"/>
              </w:rPr>
            </w:pPr>
          </w:p>
        </w:tc>
        <w:tc>
          <w:tcPr>
            <w:tcW w:w="170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240" w:type="dxa"/>
            <w:vAlign w:val="bottom"/>
            <w:tcBorders>
              <w:bottom w:val="single" w:sz="8" w:color="00C389"/>
            </w:tcBorders>
          </w:tcPr>
          <w:p>
            <w:pPr>
              <w:spacing w:after="0"/>
              <w:rPr>
                <w:sz w:val="2"/>
                <w:szCs w:val="2"/>
                <w:color w:val="auto"/>
              </w:rPr>
            </w:pPr>
          </w:p>
        </w:tc>
        <w:tc>
          <w:tcPr>
            <w:tcW w:w="20" w:type="dxa"/>
            <w:vAlign w:val="bottom"/>
            <w:tcBorders>
              <w:bottom w:val="single" w:sz="8" w:color="00C389"/>
            </w:tcBorders>
          </w:tcPr>
          <w:p>
            <w:pPr>
              <w:spacing w:after="0"/>
              <w:rPr>
                <w:sz w:val="2"/>
                <w:szCs w:val="2"/>
                <w:color w:val="auto"/>
              </w:rPr>
            </w:pPr>
          </w:p>
        </w:tc>
        <w:tc>
          <w:tcPr>
            <w:tcW w:w="520" w:type="dxa"/>
            <w:vAlign w:val="bottom"/>
            <w:tcBorders>
              <w:bottom w:val="single" w:sz="8" w:color="00C389"/>
            </w:tcBorders>
          </w:tcPr>
          <w:p>
            <w:pPr>
              <w:spacing w:after="0"/>
              <w:rPr>
                <w:sz w:val="2"/>
                <w:szCs w:val="2"/>
                <w:color w:val="auto"/>
              </w:rPr>
            </w:pPr>
          </w:p>
        </w:tc>
        <w:tc>
          <w:tcPr>
            <w:tcW w:w="580" w:type="dxa"/>
            <w:vAlign w:val="bottom"/>
            <w:tcBorders>
              <w:bottom w:val="single" w:sz="8" w:color="00C389"/>
            </w:tcBorders>
            <w:vMerge w:val="continue"/>
          </w:tcPr>
          <w:p>
            <w:pPr>
              <w:spacing w:after="0"/>
              <w:rPr>
                <w:sz w:val="2"/>
                <w:szCs w:val="2"/>
                <w:color w:val="auto"/>
              </w:rPr>
            </w:pPr>
          </w:p>
        </w:tc>
        <w:tc>
          <w:tcPr>
            <w:tcW w:w="3520" w:type="dxa"/>
            <w:vAlign w:val="bottom"/>
            <w:tcBorders>
              <w:bottom w:val="single" w:sz="8" w:color="00C389"/>
            </w:tcBorders>
            <w:vMerge w:val="continue"/>
          </w:tcPr>
          <w:p>
            <w:pPr>
              <w:spacing w:after="0"/>
              <w:rPr>
                <w:sz w:val="2"/>
                <w:szCs w:val="2"/>
                <w:color w:val="auto"/>
              </w:rPr>
            </w:pPr>
          </w:p>
        </w:tc>
        <w:tc>
          <w:tcPr>
            <w:tcW w:w="280" w:type="dxa"/>
            <w:vAlign w:val="bottom"/>
            <w:tcBorders>
              <w:bottom w:val="single" w:sz="8" w:color="00C389"/>
            </w:tcBorders>
            <w:vMerge w:val="continue"/>
          </w:tcPr>
          <w:p>
            <w:pPr>
              <w:spacing w:after="0"/>
              <w:rPr>
                <w:sz w:val="2"/>
                <w:szCs w:val="2"/>
                <w:color w:val="auto"/>
              </w:rPr>
            </w:pPr>
          </w:p>
        </w:tc>
        <w:tc>
          <w:tcPr>
            <w:tcW w:w="660" w:type="dxa"/>
            <w:vAlign w:val="bottom"/>
            <w:tcBorders>
              <w:bottom w:val="single" w:sz="8" w:color="00C389"/>
            </w:tcBorders>
            <w:vMerge w:val="continue"/>
          </w:tcPr>
          <w:p>
            <w:pPr>
              <w:spacing w:after="0"/>
              <w:rPr>
                <w:sz w:val="2"/>
                <w:szCs w:val="2"/>
                <w:color w:val="auto"/>
              </w:rPr>
            </w:pPr>
          </w:p>
        </w:tc>
        <w:tc>
          <w:tcPr>
            <w:tcW w:w="400" w:type="dxa"/>
            <w:vAlign w:val="bottom"/>
            <w:tcBorders>
              <w:bottom w:val="single" w:sz="8" w:color="00C389"/>
            </w:tcBorders>
            <w:gridSpan w:val="2"/>
            <w:vMerge w:val="continue"/>
          </w:tcPr>
          <w:p>
            <w:pPr>
              <w:spacing w:after="0"/>
              <w:rPr>
                <w:sz w:val="2"/>
                <w:szCs w:val="2"/>
                <w:color w:val="auto"/>
              </w:rPr>
            </w:pPr>
          </w:p>
        </w:tc>
        <w:tc>
          <w:tcPr>
            <w:tcW w:w="200" w:type="dxa"/>
            <w:vAlign w:val="bottom"/>
            <w:tcBorders>
              <w:bottom w:val="single" w:sz="8" w:color="00C389"/>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w w:val="98"/>
              </w:rPr>
              <w:t>COMPENSATION DISCUSSION AND ANALYSIS</w:t>
            </w:r>
          </w:p>
        </w:tc>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00C389"/>
              <w:bottom w:val="single" w:sz="8" w:color="00C389"/>
            </w:tcBorders>
            <w:vMerge w:val="restart"/>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00C389"/>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CEO PAY RATIO DISCLOSURE</w:t>
            </w:r>
          </w:p>
        </w:tc>
        <w:tc>
          <w:tcPr>
            <w:tcW w:w="240" w:type="dxa"/>
            <w:vAlign w:val="bottom"/>
            <w:tcBorders>
              <w:top w:val="single" w:sz="8" w:color="00C389"/>
              <w:bottom w:val="single" w:sz="8" w:color="00C389"/>
            </w:tcBorders>
            <w:vMerge w:val="restart"/>
          </w:tcPr>
          <w:p>
            <w:pPr>
              <w:spacing w:after="0"/>
              <w:rPr>
                <w:sz w:val="18"/>
                <w:szCs w:val="18"/>
                <w:color w:val="auto"/>
              </w:rPr>
            </w:pPr>
          </w:p>
        </w:tc>
        <w:tc>
          <w:tcPr>
            <w:tcW w:w="20" w:type="dxa"/>
            <w:vAlign w:val="bottom"/>
            <w:tcBorders>
              <w:top w:val="single" w:sz="8" w:color="00C389"/>
              <w:bottom w:val="single" w:sz="8" w:color="00C389"/>
            </w:tcBorders>
            <w:vMerge w:val="restart"/>
          </w:tcPr>
          <w:p>
            <w:pPr>
              <w:spacing w:after="0"/>
              <w:rPr>
                <w:sz w:val="18"/>
                <w:szCs w:val="18"/>
                <w:color w:val="auto"/>
              </w:rPr>
            </w:pPr>
          </w:p>
        </w:tc>
        <w:tc>
          <w:tcPr>
            <w:tcW w:w="1100" w:type="dxa"/>
            <w:vAlign w:val="bottom"/>
            <w:tcBorders>
              <w:top w:val="single" w:sz="8" w:color="00C389"/>
              <w:bottom w:val="single" w:sz="8" w:color="00C389"/>
            </w:tcBorders>
            <w:gridSpan w:val="2"/>
            <w:vMerge w:val="restart"/>
          </w:tcPr>
          <w:p>
            <w:pPr>
              <w:spacing w:after="0"/>
              <w:rPr>
                <w:sz w:val="18"/>
                <w:szCs w:val="18"/>
                <w:color w:val="auto"/>
              </w:rPr>
            </w:pPr>
          </w:p>
        </w:tc>
        <w:tc>
          <w:tcPr>
            <w:tcW w:w="3520" w:type="dxa"/>
            <w:vAlign w:val="bottom"/>
            <w:tcBorders>
              <w:top w:val="single" w:sz="8" w:color="00C389"/>
              <w:bottom w:val="single" w:sz="8" w:color="00C389"/>
            </w:tcBorders>
            <w:vMerge w:val="restart"/>
          </w:tcPr>
          <w:p>
            <w:pPr>
              <w:spacing w:after="0"/>
              <w:rPr>
                <w:sz w:val="18"/>
                <w:szCs w:val="18"/>
                <w:color w:val="auto"/>
              </w:rPr>
            </w:pPr>
          </w:p>
        </w:tc>
        <w:tc>
          <w:tcPr>
            <w:tcW w:w="280" w:type="dxa"/>
            <w:vAlign w:val="bottom"/>
            <w:tcBorders>
              <w:top w:val="single" w:sz="8" w:color="00C389"/>
              <w:bottom w:val="single" w:sz="8" w:color="00C389"/>
            </w:tcBorders>
            <w:vMerge w:val="restart"/>
          </w:tcPr>
          <w:p>
            <w:pPr>
              <w:spacing w:after="0"/>
              <w:rPr>
                <w:sz w:val="18"/>
                <w:szCs w:val="18"/>
                <w:color w:val="auto"/>
              </w:rPr>
            </w:pPr>
          </w:p>
        </w:tc>
        <w:tc>
          <w:tcPr>
            <w:tcW w:w="660" w:type="dxa"/>
            <w:vAlign w:val="bottom"/>
            <w:tcBorders>
              <w:top w:val="single" w:sz="8" w:color="00C389"/>
              <w:bottom w:val="single" w:sz="8" w:color="00C389"/>
            </w:tcBorders>
            <w:vMerge w:val="restart"/>
          </w:tcPr>
          <w:p>
            <w:pPr>
              <w:spacing w:after="0"/>
              <w:rPr>
                <w:sz w:val="18"/>
                <w:szCs w:val="18"/>
                <w:color w:val="auto"/>
              </w:rPr>
            </w:pPr>
          </w:p>
        </w:tc>
        <w:tc>
          <w:tcPr>
            <w:tcW w:w="400" w:type="dxa"/>
            <w:vAlign w:val="bottom"/>
            <w:tcBorders>
              <w:top w:val="single" w:sz="8" w:color="00C389"/>
              <w:bottom w:val="single" w:sz="8" w:color="00C389"/>
            </w:tcBorders>
            <w:gridSpan w:val="2"/>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top w:val="single" w:sz="8" w:color="00C389"/>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39</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80" w:type="dxa"/>
            <w:vAlign w:val="bottom"/>
            <w:tcBorders>
              <w:bottom w:val="single" w:sz="8" w:color="00C389"/>
            </w:tcBorders>
            <w:vMerge w:val="continue"/>
          </w:tcPr>
          <w:p>
            <w:pPr>
              <w:spacing w:after="0"/>
              <w:rPr>
                <w:sz w:val="2"/>
                <w:szCs w:val="2"/>
                <w:color w:val="auto"/>
              </w:rPr>
            </w:pPr>
          </w:p>
        </w:tc>
        <w:tc>
          <w:tcPr>
            <w:tcW w:w="170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240" w:type="dxa"/>
            <w:vAlign w:val="bottom"/>
            <w:tcBorders>
              <w:bottom w:val="single" w:sz="8" w:color="00C389"/>
            </w:tcBorders>
            <w:vMerge w:val="continue"/>
          </w:tcPr>
          <w:p>
            <w:pPr>
              <w:spacing w:after="0"/>
              <w:rPr>
                <w:sz w:val="2"/>
                <w:szCs w:val="2"/>
                <w:color w:val="auto"/>
              </w:rPr>
            </w:pPr>
          </w:p>
        </w:tc>
        <w:tc>
          <w:tcPr>
            <w:tcW w:w="20" w:type="dxa"/>
            <w:vAlign w:val="bottom"/>
            <w:tcBorders>
              <w:bottom w:val="single" w:sz="8" w:color="00C389"/>
            </w:tcBorders>
            <w:vMerge w:val="continue"/>
          </w:tcPr>
          <w:p>
            <w:pPr>
              <w:spacing w:after="0"/>
              <w:rPr>
                <w:sz w:val="2"/>
                <w:szCs w:val="2"/>
                <w:color w:val="auto"/>
              </w:rPr>
            </w:pPr>
          </w:p>
        </w:tc>
        <w:tc>
          <w:tcPr>
            <w:tcW w:w="1100" w:type="dxa"/>
            <w:vAlign w:val="bottom"/>
            <w:tcBorders>
              <w:bottom w:val="single" w:sz="8" w:color="00C389"/>
            </w:tcBorders>
            <w:gridSpan w:val="2"/>
            <w:vMerge w:val="continue"/>
          </w:tcPr>
          <w:p>
            <w:pPr>
              <w:spacing w:after="0"/>
              <w:rPr>
                <w:sz w:val="2"/>
                <w:szCs w:val="2"/>
                <w:color w:val="auto"/>
              </w:rPr>
            </w:pPr>
          </w:p>
        </w:tc>
        <w:tc>
          <w:tcPr>
            <w:tcW w:w="3520" w:type="dxa"/>
            <w:vAlign w:val="bottom"/>
            <w:tcBorders>
              <w:bottom w:val="single" w:sz="8" w:color="00C389"/>
            </w:tcBorders>
            <w:vMerge w:val="continue"/>
          </w:tcPr>
          <w:p>
            <w:pPr>
              <w:spacing w:after="0"/>
              <w:rPr>
                <w:sz w:val="2"/>
                <w:szCs w:val="2"/>
                <w:color w:val="auto"/>
              </w:rPr>
            </w:pPr>
          </w:p>
        </w:tc>
        <w:tc>
          <w:tcPr>
            <w:tcW w:w="280" w:type="dxa"/>
            <w:vAlign w:val="bottom"/>
            <w:tcBorders>
              <w:bottom w:val="single" w:sz="8" w:color="00C389"/>
            </w:tcBorders>
            <w:vMerge w:val="continue"/>
          </w:tcPr>
          <w:p>
            <w:pPr>
              <w:spacing w:after="0"/>
              <w:rPr>
                <w:sz w:val="2"/>
                <w:szCs w:val="2"/>
                <w:color w:val="auto"/>
              </w:rPr>
            </w:pPr>
          </w:p>
        </w:tc>
        <w:tc>
          <w:tcPr>
            <w:tcW w:w="660" w:type="dxa"/>
            <w:vAlign w:val="bottom"/>
            <w:tcBorders>
              <w:bottom w:val="single" w:sz="8" w:color="00C389"/>
            </w:tcBorders>
            <w:vMerge w:val="continue"/>
          </w:tcPr>
          <w:p>
            <w:pPr>
              <w:spacing w:after="0"/>
              <w:rPr>
                <w:sz w:val="2"/>
                <w:szCs w:val="2"/>
                <w:color w:val="auto"/>
              </w:rPr>
            </w:pPr>
          </w:p>
        </w:tc>
        <w:tc>
          <w:tcPr>
            <w:tcW w:w="400" w:type="dxa"/>
            <w:vAlign w:val="bottom"/>
            <w:tcBorders>
              <w:bottom w:val="single" w:sz="8" w:color="00C389"/>
            </w:tcBorders>
            <w:gridSpan w:val="2"/>
            <w:vMerge w:val="continue"/>
          </w:tcPr>
          <w:p>
            <w:pPr>
              <w:spacing w:after="0"/>
              <w:rPr>
                <w:sz w:val="2"/>
                <w:szCs w:val="2"/>
                <w:color w:val="auto"/>
              </w:rPr>
            </w:pPr>
          </w:p>
        </w:tc>
        <w:tc>
          <w:tcPr>
            <w:tcW w:w="200" w:type="dxa"/>
            <w:vAlign w:val="bottom"/>
            <w:tcBorders>
              <w:bottom w:val="single" w:sz="8" w:color="00C389"/>
            </w:tcBorders>
            <w:gridSpan w:val="2"/>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0000EE"/>
            </w:tcBorders>
            <w:gridSpan w:val="4"/>
            <w:shd w:val="clear" w:color="auto" w:fill="CCEEFF"/>
          </w:tcPr>
          <w:p>
            <w:pPr>
              <w:spacing w:after="0" w:line="196" w:lineRule="exact"/>
              <w:rPr>
                <w:sz w:val="20"/>
                <w:szCs w:val="20"/>
                <w:color w:val="auto"/>
              </w:rPr>
            </w:pPr>
            <w:r>
              <w:rPr>
                <w:rFonts w:ascii="Arial" w:cs="Arial" w:eastAsia="Arial" w:hAnsi="Arial"/>
                <w:sz w:val="18"/>
                <w:szCs w:val="18"/>
                <w:color w:val="0000EE"/>
                <w:w w:val="98"/>
              </w:rPr>
              <w:t>COMPENSATION OF DIRECTORS</w:t>
            </w:r>
          </w:p>
        </w:tc>
        <w:tc>
          <w:tcPr>
            <w:tcW w:w="1100" w:type="dxa"/>
            <w:vAlign w:val="bottom"/>
            <w:tcBorders>
              <w:bottom w:val="single" w:sz="8" w:color="CCEEFF"/>
            </w:tcBorders>
            <w:gridSpan w:val="2"/>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40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580" w:type="dxa"/>
            <w:vAlign w:val="bottom"/>
            <w:tcBorders>
              <w:top w:val="single" w:sz="8" w:color="00C389"/>
            </w:tcBorders>
            <w:gridSpan w:val="10"/>
          </w:tcPr>
          <w:p>
            <w:pPr>
              <w:spacing w:after="0" w:line="196" w:lineRule="exact"/>
              <w:rPr>
                <w:sz w:val="20"/>
                <w:szCs w:val="20"/>
                <w:color w:val="auto"/>
              </w:rPr>
            </w:pPr>
            <w:r>
              <w:rPr>
                <w:rFonts w:ascii="Arial" w:cs="Arial" w:eastAsia="Arial" w:hAnsi="Arial"/>
                <w:sz w:val="18"/>
                <w:szCs w:val="18"/>
                <w:color w:val="0000EE"/>
              </w:rPr>
              <w:t>PROPOSAL 3: RATIFICATION OF APPOINTMENT OF INDEPENDENT REGISTERED PUBLIC</w:t>
            </w:r>
          </w:p>
        </w:tc>
        <w:tc>
          <w:tcPr>
            <w:tcW w:w="340" w:type="dxa"/>
            <w:vAlign w:val="bottom"/>
            <w:tcBorders>
              <w:top w:val="single" w:sz="8" w:color="00C389"/>
            </w:tcBorders>
          </w:tcPr>
          <w:p>
            <w:pPr>
              <w:spacing w:after="0"/>
              <w:rPr>
                <w:sz w:val="17"/>
                <w:szCs w:val="17"/>
                <w:color w:val="auto"/>
              </w:rPr>
            </w:pPr>
          </w:p>
        </w:tc>
        <w:tc>
          <w:tcPr>
            <w:tcW w:w="60" w:type="dxa"/>
            <w:vAlign w:val="bottom"/>
            <w:tcBorders>
              <w:top w:val="single" w:sz="8" w:color="00C389"/>
            </w:tcBorders>
          </w:tcPr>
          <w:p>
            <w:pPr>
              <w:spacing w:after="0"/>
              <w:rPr>
                <w:sz w:val="17"/>
                <w:szCs w:val="17"/>
                <w:color w:val="auto"/>
              </w:rPr>
            </w:pPr>
          </w:p>
        </w:tc>
        <w:tc>
          <w:tcPr>
            <w:tcW w:w="100" w:type="dxa"/>
            <w:vAlign w:val="bottom"/>
            <w:tcBorders>
              <w:top w:val="single" w:sz="8" w:color="00C389"/>
            </w:tcBorders>
          </w:tcPr>
          <w:p>
            <w:pPr>
              <w:spacing w:after="0"/>
              <w:rPr>
                <w:sz w:val="17"/>
                <w:szCs w:val="17"/>
                <w:color w:val="auto"/>
              </w:rPr>
            </w:pPr>
          </w:p>
        </w:tc>
        <w:tc>
          <w:tcPr>
            <w:tcW w:w="100" w:type="dxa"/>
            <w:vAlign w:val="bottom"/>
            <w:tcBorders>
              <w:top w:val="single" w:sz="8" w:color="00C38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ACCOUNTING FIRM</w:t>
            </w:r>
          </w:p>
        </w:tc>
        <w:tc>
          <w:tcPr>
            <w:tcW w:w="1120" w:type="dxa"/>
            <w:vAlign w:val="bottom"/>
            <w:tcBorders>
              <w:top w:val="single" w:sz="8" w:color="0000EE"/>
              <w:bottom w:val="single" w:sz="8" w:color="0000EE"/>
            </w:tcBorders>
            <w:gridSpan w:val="2"/>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rPr>
                <w:sz w:val="17"/>
                <w:szCs w:val="17"/>
                <w:color w:val="auto"/>
              </w:rPr>
            </w:pPr>
          </w:p>
        </w:tc>
        <w:tc>
          <w:tcPr>
            <w:tcW w:w="3520" w:type="dxa"/>
            <w:vAlign w:val="bottom"/>
            <w:tcBorders>
              <w:top w:val="single" w:sz="8" w:color="0000EE"/>
              <w:bottom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42</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80" w:type="dxa"/>
            <w:vAlign w:val="bottom"/>
            <w:tcBorders>
              <w:bottom w:val="single" w:sz="8" w:color="00C389"/>
            </w:tcBorders>
          </w:tcPr>
          <w:p>
            <w:pPr>
              <w:spacing w:after="0"/>
              <w:rPr>
                <w:sz w:val="4"/>
                <w:szCs w:val="4"/>
                <w:color w:val="auto"/>
              </w:rPr>
            </w:pPr>
          </w:p>
        </w:tc>
        <w:tc>
          <w:tcPr>
            <w:tcW w:w="1700" w:type="dxa"/>
            <w:vAlign w:val="bottom"/>
            <w:tcBorders>
              <w:bottom w:val="single" w:sz="8" w:color="00C389"/>
            </w:tcBorders>
          </w:tcPr>
          <w:p>
            <w:pPr>
              <w:spacing w:after="0"/>
              <w:rPr>
                <w:sz w:val="4"/>
                <w:szCs w:val="4"/>
                <w:color w:val="auto"/>
              </w:rPr>
            </w:pPr>
          </w:p>
        </w:tc>
        <w:tc>
          <w:tcPr>
            <w:tcW w:w="880" w:type="dxa"/>
            <w:vAlign w:val="bottom"/>
            <w:tcBorders>
              <w:bottom w:val="single" w:sz="8" w:color="00C389"/>
            </w:tcBorders>
          </w:tcPr>
          <w:p>
            <w:pPr>
              <w:spacing w:after="0"/>
              <w:rPr>
                <w:sz w:val="4"/>
                <w:szCs w:val="4"/>
                <w:color w:val="auto"/>
              </w:rPr>
            </w:pPr>
          </w:p>
        </w:tc>
        <w:tc>
          <w:tcPr>
            <w:tcW w:w="240" w:type="dxa"/>
            <w:vAlign w:val="bottom"/>
            <w:tcBorders>
              <w:bottom w:val="single" w:sz="8" w:color="00C389"/>
            </w:tcBorders>
          </w:tcPr>
          <w:p>
            <w:pPr>
              <w:spacing w:after="0"/>
              <w:rPr>
                <w:sz w:val="4"/>
                <w:szCs w:val="4"/>
                <w:color w:val="auto"/>
              </w:rPr>
            </w:pPr>
          </w:p>
        </w:tc>
        <w:tc>
          <w:tcPr>
            <w:tcW w:w="20" w:type="dxa"/>
            <w:vAlign w:val="bottom"/>
            <w:tcBorders>
              <w:bottom w:val="single" w:sz="8" w:color="00C389"/>
            </w:tcBorders>
          </w:tcPr>
          <w:p>
            <w:pPr>
              <w:spacing w:after="0"/>
              <w:rPr>
                <w:sz w:val="4"/>
                <w:szCs w:val="4"/>
                <w:color w:val="auto"/>
              </w:rPr>
            </w:pPr>
          </w:p>
        </w:tc>
        <w:tc>
          <w:tcPr>
            <w:tcW w:w="520" w:type="dxa"/>
            <w:vAlign w:val="bottom"/>
            <w:tcBorders>
              <w:bottom w:val="single" w:sz="8" w:color="00C389"/>
            </w:tcBorders>
          </w:tcPr>
          <w:p>
            <w:pPr>
              <w:spacing w:after="0"/>
              <w:rPr>
                <w:sz w:val="4"/>
                <w:szCs w:val="4"/>
                <w:color w:val="auto"/>
              </w:rPr>
            </w:pPr>
          </w:p>
        </w:tc>
        <w:tc>
          <w:tcPr>
            <w:tcW w:w="580" w:type="dxa"/>
            <w:vAlign w:val="bottom"/>
            <w:tcBorders>
              <w:bottom w:val="single" w:sz="8" w:color="00C389"/>
            </w:tcBorders>
          </w:tcPr>
          <w:p>
            <w:pPr>
              <w:spacing w:after="0"/>
              <w:rPr>
                <w:sz w:val="4"/>
                <w:szCs w:val="4"/>
                <w:color w:val="auto"/>
              </w:rPr>
            </w:pPr>
          </w:p>
        </w:tc>
        <w:tc>
          <w:tcPr>
            <w:tcW w:w="3520" w:type="dxa"/>
            <w:vAlign w:val="bottom"/>
            <w:tcBorders>
              <w:bottom w:val="single" w:sz="8" w:color="00C389"/>
            </w:tcBorders>
          </w:tcPr>
          <w:p>
            <w:pPr>
              <w:spacing w:after="0"/>
              <w:rPr>
                <w:sz w:val="4"/>
                <w:szCs w:val="4"/>
                <w:color w:val="auto"/>
              </w:rPr>
            </w:pPr>
          </w:p>
        </w:tc>
        <w:tc>
          <w:tcPr>
            <w:tcW w:w="280" w:type="dxa"/>
            <w:vAlign w:val="bottom"/>
            <w:tcBorders>
              <w:bottom w:val="single" w:sz="8" w:color="00C389"/>
            </w:tcBorders>
          </w:tcPr>
          <w:p>
            <w:pPr>
              <w:spacing w:after="0"/>
              <w:rPr>
                <w:sz w:val="4"/>
                <w:szCs w:val="4"/>
                <w:color w:val="auto"/>
              </w:rPr>
            </w:pPr>
          </w:p>
        </w:tc>
        <w:tc>
          <w:tcPr>
            <w:tcW w:w="660" w:type="dxa"/>
            <w:vAlign w:val="bottom"/>
            <w:tcBorders>
              <w:bottom w:val="single" w:sz="8" w:color="00C389"/>
            </w:tcBorders>
          </w:tcPr>
          <w:p>
            <w:pPr>
              <w:spacing w:after="0"/>
              <w:rPr>
                <w:sz w:val="4"/>
                <w:szCs w:val="4"/>
                <w:color w:val="auto"/>
              </w:rPr>
            </w:pPr>
          </w:p>
        </w:tc>
        <w:tc>
          <w:tcPr>
            <w:tcW w:w="340" w:type="dxa"/>
            <w:vAlign w:val="bottom"/>
            <w:tcBorders>
              <w:bottom w:val="single" w:sz="8" w:color="00C389"/>
            </w:tcBorders>
          </w:tcPr>
          <w:p>
            <w:pPr>
              <w:spacing w:after="0"/>
              <w:rPr>
                <w:sz w:val="4"/>
                <w:szCs w:val="4"/>
                <w:color w:val="auto"/>
              </w:rPr>
            </w:pPr>
          </w:p>
        </w:tc>
        <w:tc>
          <w:tcPr>
            <w:tcW w:w="60" w:type="dxa"/>
            <w:vAlign w:val="bottom"/>
            <w:tcBorders>
              <w:bottom w:val="single" w:sz="8" w:color="00C389"/>
            </w:tcBorders>
          </w:tcPr>
          <w:p>
            <w:pPr>
              <w:spacing w:after="0"/>
              <w:rPr>
                <w:sz w:val="4"/>
                <w:szCs w:val="4"/>
                <w:color w:val="auto"/>
              </w:rPr>
            </w:pPr>
          </w:p>
        </w:tc>
        <w:tc>
          <w:tcPr>
            <w:tcW w:w="100" w:type="dxa"/>
            <w:vAlign w:val="bottom"/>
            <w:tcBorders>
              <w:bottom w:val="single" w:sz="8" w:color="00C389"/>
            </w:tcBorders>
          </w:tcPr>
          <w:p>
            <w:pPr>
              <w:spacing w:after="0"/>
              <w:rPr>
                <w:sz w:val="4"/>
                <w:szCs w:val="4"/>
                <w:color w:val="auto"/>
              </w:rPr>
            </w:pPr>
          </w:p>
        </w:tc>
        <w:tc>
          <w:tcPr>
            <w:tcW w:w="100" w:type="dxa"/>
            <w:vAlign w:val="bottom"/>
            <w:tcBorders>
              <w:bottom w:val="single" w:sz="8" w:color="00C389"/>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INFORMATION REGARDING INDEPENDENT REGISTERED PUBLIC ACCOUNTING FIRM</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35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100" w:type="dxa"/>
            <w:vAlign w:val="bottom"/>
            <w:tcBorders>
              <w:bottom w:val="single" w:sz="8" w:color="CCEEFF"/>
            </w:tcBorders>
            <w:shd w:val="clear" w:color="auto" w:fill="0000EE"/>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8580" w:type="dxa"/>
            <w:vAlign w:val="bottom"/>
            <w:tcBorders>
              <w:top w:val="single" w:sz="8" w:color="00C389"/>
            </w:tcBorders>
            <w:gridSpan w:val="10"/>
          </w:tcPr>
          <w:p>
            <w:pPr>
              <w:spacing w:after="0" w:line="196" w:lineRule="exact"/>
              <w:rPr>
                <w:sz w:val="20"/>
                <w:szCs w:val="20"/>
                <w:color w:val="auto"/>
              </w:rPr>
            </w:pPr>
            <w:r>
              <w:rPr>
                <w:rFonts w:ascii="Arial" w:cs="Arial" w:eastAsia="Arial" w:hAnsi="Arial"/>
                <w:sz w:val="18"/>
                <w:szCs w:val="18"/>
                <w:color w:val="0000EE"/>
              </w:rPr>
              <w:t>PROPOSAL 4: AMENDMENT TO THE VIRTU FINANCIAL, INC. AMENDED AND RESTATED 2015</w:t>
            </w:r>
          </w:p>
        </w:tc>
        <w:tc>
          <w:tcPr>
            <w:tcW w:w="340" w:type="dxa"/>
            <w:vAlign w:val="bottom"/>
            <w:tcBorders>
              <w:top w:val="single" w:sz="8" w:color="00C389"/>
            </w:tcBorders>
          </w:tcPr>
          <w:p>
            <w:pPr>
              <w:spacing w:after="0"/>
              <w:rPr>
                <w:sz w:val="17"/>
                <w:szCs w:val="17"/>
                <w:color w:val="auto"/>
              </w:rPr>
            </w:pPr>
          </w:p>
        </w:tc>
        <w:tc>
          <w:tcPr>
            <w:tcW w:w="60" w:type="dxa"/>
            <w:vAlign w:val="bottom"/>
            <w:tcBorders>
              <w:top w:val="single" w:sz="8" w:color="00C389"/>
            </w:tcBorders>
          </w:tcPr>
          <w:p>
            <w:pPr>
              <w:spacing w:after="0"/>
              <w:rPr>
                <w:sz w:val="17"/>
                <w:szCs w:val="17"/>
                <w:color w:val="auto"/>
              </w:rPr>
            </w:pPr>
          </w:p>
        </w:tc>
        <w:tc>
          <w:tcPr>
            <w:tcW w:w="100" w:type="dxa"/>
            <w:vAlign w:val="bottom"/>
            <w:tcBorders>
              <w:top w:val="single" w:sz="8" w:color="00C389"/>
            </w:tcBorders>
          </w:tcPr>
          <w:p>
            <w:pPr>
              <w:spacing w:after="0"/>
              <w:rPr>
                <w:sz w:val="17"/>
                <w:szCs w:val="17"/>
                <w:color w:val="auto"/>
              </w:rPr>
            </w:pPr>
          </w:p>
        </w:tc>
        <w:tc>
          <w:tcPr>
            <w:tcW w:w="100" w:type="dxa"/>
            <w:vAlign w:val="bottom"/>
            <w:tcBorders>
              <w:top w:val="single" w:sz="8" w:color="00C38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auto"/>
              </w:rPr>
              <w:t>​</w:t>
            </w:r>
          </w:p>
        </w:tc>
        <w:tc>
          <w:tcPr>
            <w:tcW w:w="28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MANAGEMENT INCENTIVE PLAN</w:t>
            </w:r>
          </w:p>
        </w:tc>
        <w:tc>
          <w:tcPr>
            <w:tcW w:w="20" w:type="dxa"/>
            <w:vAlign w:val="bottom"/>
            <w:tcBorders>
              <w:top w:val="single" w:sz="8" w:color="0000EE"/>
              <w:bottom w:val="single" w:sz="8" w:color="0000EE"/>
            </w:tcBorders>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rPr>
                <w:sz w:val="17"/>
                <w:szCs w:val="17"/>
                <w:color w:val="auto"/>
              </w:rPr>
            </w:pPr>
          </w:p>
        </w:tc>
        <w:tc>
          <w:tcPr>
            <w:tcW w:w="3800" w:type="dxa"/>
            <w:vAlign w:val="bottom"/>
            <w:tcBorders>
              <w:top w:val="single" w:sz="8" w:color="0000EE"/>
              <w:bottom w:val="single" w:sz="8" w:color="0000EE"/>
            </w:tcBorders>
            <w:gridSpan w:val="2"/>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45</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80" w:type="dxa"/>
            <w:vAlign w:val="bottom"/>
            <w:tcBorders>
              <w:bottom w:val="single" w:sz="8" w:color="00C389"/>
            </w:tcBorders>
          </w:tcPr>
          <w:p>
            <w:pPr>
              <w:spacing w:after="0"/>
              <w:rPr>
                <w:sz w:val="4"/>
                <w:szCs w:val="4"/>
                <w:color w:val="auto"/>
              </w:rPr>
            </w:pPr>
          </w:p>
        </w:tc>
        <w:tc>
          <w:tcPr>
            <w:tcW w:w="1700" w:type="dxa"/>
            <w:vAlign w:val="bottom"/>
            <w:tcBorders>
              <w:bottom w:val="single" w:sz="8" w:color="00C389"/>
            </w:tcBorders>
          </w:tcPr>
          <w:p>
            <w:pPr>
              <w:spacing w:after="0"/>
              <w:rPr>
                <w:sz w:val="4"/>
                <w:szCs w:val="4"/>
                <w:color w:val="auto"/>
              </w:rPr>
            </w:pPr>
          </w:p>
        </w:tc>
        <w:tc>
          <w:tcPr>
            <w:tcW w:w="880" w:type="dxa"/>
            <w:vAlign w:val="bottom"/>
            <w:tcBorders>
              <w:bottom w:val="single" w:sz="8" w:color="00C389"/>
            </w:tcBorders>
          </w:tcPr>
          <w:p>
            <w:pPr>
              <w:spacing w:after="0"/>
              <w:rPr>
                <w:sz w:val="4"/>
                <w:szCs w:val="4"/>
                <w:color w:val="auto"/>
              </w:rPr>
            </w:pPr>
          </w:p>
        </w:tc>
        <w:tc>
          <w:tcPr>
            <w:tcW w:w="240" w:type="dxa"/>
            <w:vAlign w:val="bottom"/>
            <w:tcBorders>
              <w:bottom w:val="single" w:sz="8" w:color="00C389"/>
            </w:tcBorders>
          </w:tcPr>
          <w:p>
            <w:pPr>
              <w:spacing w:after="0"/>
              <w:rPr>
                <w:sz w:val="4"/>
                <w:szCs w:val="4"/>
                <w:color w:val="auto"/>
              </w:rPr>
            </w:pPr>
          </w:p>
        </w:tc>
        <w:tc>
          <w:tcPr>
            <w:tcW w:w="20" w:type="dxa"/>
            <w:vAlign w:val="bottom"/>
            <w:tcBorders>
              <w:bottom w:val="single" w:sz="8" w:color="00C389"/>
            </w:tcBorders>
          </w:tcPr>
          <w:p>
            <w:pPr>
              <w:spacing w:after="0"/>
              <w:rPr>
                <w:sz w:val="4"/>
                <w:szCs w:val="4"/>
                <w:color w:val="auto"/>
              </w:rPr>
            </w:pPr>
          </w:p>
        </w:tc>
        <w:tc>
          <w:tcPr>
            <w:tcW w:w="520" w:type="dxa"/>
            <w:vAlign w:val="bottom"/>
            <w:tcBorders>
              <w:bottom w:val="single" w:sz="8" w:color="00C389"/>
            </w:tcBorders>
          </w:tcPr>
          <w:p>
            <w:pPr>
              <w:spacing w:after="0"/>
              <w:rPr>
                <w:sz w:val="4"/>
                <w:szCs w:val="4"/>
                <w:color w:val="auto"/>
              </w:rPr>
            </w:pPr>
          </w:p>
        </w:tc>
        <w:tc>
          <w:tcPr>
            <w:tcW w:w="580" w:type="dxa"/>
            <w:vAlign w:val="bottom"/>
            <w:tcBorders>
              <w:bottom w:val="single" w:sz="8" w:color="00C389"/>
            </w:tcBorders>
          </w:tcPr>
          <w:p>
            <w:pPr>
              <w:spacing w:after="0"/>
              <w:rPr>
                <w:sz w:val="4"/>
                <w:szCs w:val="4"/>
                <w:color w:val="auto"/>
              </w:rPr>
            </w:pPr>
          </w:p>
        </w:tc>
        <w:tc>
          <w:tcPr>
            <w:tcW w:w="3520" w:type="dxa"/>
            <w:vAlign w:val="bottom"/>
            <w:tcBorders>
              <w:bottom w:val="single" w:sz="8" w:color="00C389"/>
            </w:tcBorders>
          </w:tcPr>
          <w:p>
            <w:pPr>
              <w:spacing w:after="0"/>
              <w:rPr>
                <w:sz w:val="4"/>
                <w:szCs w:val="4"/>
                <w:color w:val="auto"/>
              </w:rPr>
            </w:pPr>
          </w:p>
        </w:tc>
        <w:tc>
          <w:tcPr>
            <w:tcW w:w="280" w:type="dxa"/>
            <w:vAlign w:val="bottom"/>
            <w:tcBorders>
              <w:bottom w:val="single" w:sz="8" w:color="00C389"/>
            </w:tcBorders>
          </w:tcPr>
          <w:p>
            <w:pPr>
              <w:spacing w:after="0"/>
              <w:rPr>
                <w:sz w:val="4"/>
                <w:szCs w:val="4"/>
                <w:color w:val="auto"/>
              </w:rPr>
            </w:pPr>
          </w:p>
        </w:tc>
        <w:tc>
          <w:tcPr>
            <w:tcW w:w="660" w:type="dxa"/>
            <w:vAlign w:val="bottom"/>
            <w:tcBorders>
              <w:bottom w:val="single" w:sz="8" w:color="00C389"/>
            </w:tcBorders>
          </w:tcPr>
          <w:p>
            <w:pPr>
              <w:spacing w:after="0"/>
              <w:rPr>
                <w:sz w:val="4"/>
                <w:szCs w:val="4"/>
                <w:color w:val="auto"/>
              </w:rPr>
            </w:pPr>
          </w:p>
        </w:tc>
        <w:tc>
          <w:tcPr>
            <w:tcW w:w="340" w:type="dxa"/>
            <w:vAlign w:val="bottom"/>
            <w:tcBorders>
              <w:bottom w:val="single" w:sz="8" w:color="00C389"/>
            </w:tcBorders>
          </w:tcPr>
          <w:p>
            <w:pPr>
              <w:spacing w:after="0"/>
              <w:rPr>
                <w:sz w:val="4"/>
                <w:szCs w:val="4"/>
                <w:color w:val="auto"/>
              </w:rPr>
            </w:pPr>
          </w:p>
        </w:tc>
        <w:tc>
          <w:tcPr>
            <w:tcW w:w="60" w:type="dxa"/>
            <w:vAlign w:val="bottom"/>
            <w:tcBorders>
              <w:bottom w:val="single" w:sz="8" w:color="00C389"/>
            </w:tcBorders>
          </w:tcPr>
          <w:p>
            <w:pPr>
              <w:spacing w:after="0"/>
              <w:rPr>
                <w:sz w:val="4"/>
                <w:szCs w:val="4"/>
                <w:color w:val="auto"/>
              </w:rPr>
            </w:pPr>
          </w:p>
        </w:tc>
        <w:tc>
          <w:tcPr>
            <w:tcW w:w="100" w:type="dxa"/>
            <w:vAlign w:val="bottom"/>
            <w:tcBorders>
              <w:bottom w:val="single" w:sz="8" w:color="00C389"/>
            </w:tcBorders>
          </w:tcPr>
          <w:p>
            <w:pPr>
              <w:spacing w:after="0"/>
              <w:rPr>
                <w:sz w:val="4"/>
                <w:szCs w:val="4"/>
                <w:color w:val="auto"/>
              </w:rPr>
            </w:pPr>
          </w:p>
        </w:tc>
        <w:tc>
          <w:tcPr>
            <w:tcW w:w="100" w:type="dxa"/>
            <w:vAlign w:val="bottom"/>
            <w:tcBorders>
              <w:bottom w:val="single" w:sz="8" w:color="00C389"/>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AUDIT COMMITTEE REPORT</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389"/>
          </w:tcPr>
          <w:p>
            <w:pPr>
              <w:spacing w:after="0" w:line="20" w:lineRule="exact"/>
              <w:rPr>
                <w:sz w:val="1"/>
                <w:szCs w:val="1"/>
                <w:color w:val="auto"/>
              </w:rPr>
            </w:pPr>
          </w:p>
        </w:tc>
        <w:tc>
          <w:tcPr>
            <w:tcW w:w="1700" w:type="dxa"/>
            <w:vAlign w:val="bottom"/>
            <w:shd w:val="clear" w:color="auto" w:fill="00C389"/>
          </w:tcPr>
          <w:p>
            <w:pPr>
              <w:spacing w:after="0" w:line="20" w:lineRule="exact"/>
              <w:rPr>
                <w:sz w:val="1"/>
                <w:szCs w:val="1"/>
                <w:color w:val="auto"/>
              </w:rPr>
            </w:pPr>
          </w:p>
        </w:tc>
        <w:tc>
          <w:tcPr>
            <w:tcW w:w="880" w:type="dxa"/>
            <w:vAlign w:val="bottom"/>
            <w:shd w:val="clear" w:color="auto" w:fill="00C389"/>
          </w:tcPr>
          <w:p>
            <w:pPr>
              <w:spacing w:after="0" w:line="20" w:lineRule="exact"/>
              <w:rPr>
                <w:sz w:val="1"/>
                <w:szCs w:val="1"/>
                <w:color w:val="auto"/>
              </w:rPr>
            </w:pPr>
          </w:p>
        </w:tc>
        <w:tc>
          <w:tcPr>
            <w:tcW w:w="24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520" w:type="dxa"/>
            <w:vAlign w:val="bottom"/>
            <w:shd w:val="clear" w:color="auto" w:fill="00C389"/>
          </w:tcPr>
          <w:p>
            <w:pPr>
              <w:spacing w:after="0" w:line="20" w:lineRule="exact"/>
              <w:rPr>
                <w:sz w:val="1"/>
                <w:szCs w:val="1"/>
                <w:color w:val="auto"/>
              </w:rPr>
            </w:pPr>
          </w:p>
        </w:tc>
        <w:tc>
          <w:tcPr>
            <w:tcW w:w="580" w:type="dxa"/>
            <w:vAlign w:val="bottom"/>
            <w:shd w:val="clear" w:color="auto" w:fill="00C389"/>
          </w:tcPr>
          <w:p>
            <w:pPr>
              <w:spacing w:after="0" w:line="20" w:lineRule="exact"/>
              <w:rPr>
                <w:sz w:val="1"/>
                <w:szCs w:val="1"/>
                <w:color w:val="auto"/>
              </w:rPr>
            </w:pPr>
          </w:p>
        </w:tc>
        <w:tc>
          <w:tcPr>
            <w:tcW w:w="352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66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6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STOCK OWNERSHIP OF CERTAIN BENEFICIAL OWNERS AND MANAGEMENT</w:t>
            </w:r>
          </w:p>
        </w:tc>
        <w:tc>
          <w:tcPr>
            <w:tcW w:w="3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2"/>
              <w:spacing w:after="0" w:line="196" w:lineRule="exact"/>
              <w:rPr>
                <w:sz w:val="20"/>
                <w:szCs w:val="20"/>
                <w:color w:val="auto"/>
              </w:rPr>
            </w:pPr>
            <w:r>
              <w:rPr>
                <w:rFonts w:ascii="Arial" w:cs="Arial" w:eastAsia="Arial" w:hAnsi="Arial"/>
                <w:sz w:val="18"/>
                <w:szCs w:val="18"/>
                <w:color w:val="0000EE"/>
                <w:w w:val="89"/>
              </w:rPr>
              <w:t>55</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vMerge w:val="restart"/>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1"/>
        </w:trPr>
        <w:tc>
          <w:tcPr>
            <w:tcW w:w="180" w:type="dxa"/>
            <w:vAlign w:val="bottom"/>
            <w:tcBorders>
              <w:bottom w:val="single" w:sz="8" w:color="00C389"/>
            </w:tcBorders>
          </w:tcPr>
          <w:p>
            <w:pPr>
              <w:spacing w:after="0"/>
              <w:rPr>
                <w:sz w:val="3"/>
                <w:szCs w:val="3"/>
                <w:color w:val="auto"/>
              </w:rPr>
            </w:pPr>
          </w:p>
        </w:tc>
        <w:tc>
          <w:tcPr>
            <w:tcW w:w="1700" w:type="dxa"/>
            <w:vAlign w:val="bottom"/>
            <w:tcBorders>
              <w:bottom w:val="single" w:sz="8" w:color="00C389"/>
            </w:tcBorders>
          </w:tcPr>
          <w:p>
            <w:pPr>
              <w:spacing w:after="0"/>
              <w:rPr>
                <w:sz w:val="3"/>
                <w:szCs w:val="3"/>
                <w:color w:val="auto"/>
              </w:rPr>
            </w:pPr>
          </w:p>
        </w:tc>
        <w:tc>
          <w:tcPr>
            <w:tcW w:w="880" w:type="dxa"/>
            <w:vAlign w:val="bottom"/>
            <w:tcBorders>
              <w:bottom w:val="single" w:sz="8" w:color="00C389"/>
            </w:tcBorders>
          </w:tcPr>
          <w:p>
            <w:pPr>
              <w:spacing w:after="0"/>
              <w:rPr>
                <w:sz w:val="3"/>
                <w:szCs w:val="3"/>
                <w:color w:val="auto"/>
              </w:rPr>
            </w:pPr>
          </w:p>
        </w:tc>
        <w:tc>
          <w:tcPr>
            <w:tcW w:w="240" w:type="dxa"/>
            <w:vAlign w:val="bottom"/>
            <w:tcBorders>
              <w:bottom w:val="single" w:sz="8" w:color="00C389"/>
            </w:tcBorders>
          </w:tcPr>
          <w:p>
            <w:pPr>
              <w:spacing w:after="0"/>
              <w:rPr>
                <w:sz w:val="3"/>
                <w:szCs w:val="3"/>
                <w:color w:val="auto"/>
              </w:rPr>
            </w:pPr>
          </w:p>
        </w:tc>
        <w:tc>
          <w:tcPr>
            <w:tcW w:w="20" w:type="dxa"/>
            <w:vAlign w:val="bottom"/>
            <w:tcBorders>
              <w:bottom w:val="single" w:sz="8" w:color="00C389"/>
            </w:tcBorders>
          </w:tcPr>
          <w:p>
            <w:pPr>
              <w:spacing w:after="0"/>
              <w:rPr>
                <w:sz w:val="3"/>
                <w:szCs w:val="3"/>
                <w:color w:val="auto"/>
              </w:rPr>
            </w:pPr>
          </w:p>
        </w:tc>
        <w:tc>
          <w:tcPr>
            <w:tcW w:w="520" w:type="dxa"/>
            <w:vAlign w:val="bottom"/>
            <w:tcBorders>
              <w:bottom w:val="single" w:sz="8" w:color="00C389"/>
            </w:tcBorders>
          </w:tcPr>
          <w:p>
            <w:pPr>
              <w:spacing w:after="0"/>
              <w:rPr>
                <w:sz w:val="3"/>
                <w:szCs w:val="3"/>
                <w:color w:val="auto"/>
              </w:rPr>
            </w:pPr>
          </w:p>
        </w:tc>
        <w:tc>
          <w:tcPr>
            <w:tcW w:w="580" w:type="dxa"/>
            <w:vAlign w:val="bottom"/>
            <w:tcBorders>
              <w:bottom w:val="single" w:sz="8" w:color="00C389"/>
            </w:tcBorders>
          </w:tcPr>
          <w:p>
            <w:pPr>
              <w:spacing w:after="0"/>
              <w:rPr>
                <w:sz w:val="3"/>
                <w:szCs w:val="3"/>
                <w:color w:val="auto"/>
              </w:rPr>
            </w:pPr>
          </w:p>
        </w:tc>
        <w:tc>
          <w:tcPr>
            <w:tcW w:w="3520" w:type="dxa"/>
            <w:vAlign w:val="bottom"/>
            <w:tcBorders>
              <w:bottom w:val="single" w:sz="8" w:color="00C389"/>
            </w:tcBorders>
          </w:tcPr>
          <w:p>
            <w:pPr>
              <w:spacing w:after="0"/>
              <w:rPr>
                <w:sz w:val="3"/>
                <w:szCs w:val="3"/>
                <w:color w:val="auto"/>
              </w:rPr>
            </w:pPr>
          </w:p>
        </w:tc>
        <w:tc>
          <w:tcPr>
            <w:tcW w:w="280" w:type="dxa"/>
            <w:vAlign w:val="bottom"/>
            <w:tcBorders>
              <w:bottom w:val="single" w:sz="8" w:color="00C389"/>
            </w:tcBorders>
          </w:tcPr>
          <w:p>
            <w:pPr>
              <w:spacing w:after="0"/>
              <w:rPr>
                <w:sz w:val="3"/>
                <w:szCs w:val="3"/>
                <w:color w:val="auto"/>
              </w:rPr>
            </w:pPr>
          </w:p>
        </w:tc>
        <w:tc>
          <w:tcPr>
            <w:tcW w:w="660" w:type="dxa"/>
            <w:vAlign w:val="bottom"/>
            <w:tcBorders>
              <w:bottom w:val="single" w:sz="8" w:color="00C389"/>
            </w:tcBorders>
          </w:tcPr>
          <w:p>
            <w:pPr>
              <w:spacing w:after="0"/>
              <w:rPr>
                <w:sz w:val="3"/>
                <w:szCs w:val="3"/>
                <w:color w:val="auto"/>
              </w:rPr>
            </w:pPr>
          </w:p>
        </w:tc>
        <w:tc>
          <w:tcPr>
            <w:tcW w:w="340" w:type="dxa"/>
            <w:vAlign w:val="bottom"/>
            <w:tcBorders>
              <w:bottom w:val="single" w:sz="8" w:color="00C389"/>
            </w:tcBorders>
            <w:vMerge w:val="continue"/>
          </w:tcPr>
          <w:p>
            <w:pPr>
              <w:spacing w:after="0"/>
              <w:rPr>
                <w:sz w:val="3"/>
                <w:szCs w:val="3"/>
                <w:color w:val="auto"/>
              </w:rPr>
            </w:pPr>
          </w:p>
        </w:tc>
        <w:tc>
          <w:tcPr>
            <w:tcW w:w="6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CERTAIN RELATIONSHIPS AND RELATED PARTY TRANSACTIONS</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389"/>
          </w:tcPr>
          <w:p>
            <w:pPr>
              <w:spacing w:after="0" w:line="20" w:lineRule="exact"/>
              <w:rPr>
                <w:sz w:val="1"/>
                <w:szCs w:val="1"/>
                <w:color w:val="auto"/>
              </w:rPr>
            </w:pPr>
          </w:p>
        </w:tc>
        <w:tc>
          <w:tcPr>
            <w:tcW w:w="1700" w:type="dxa"/>
            <w:vAlign w:val="bottom"/>
            <w:shd w:val="clear" w:color="auto" w:fill="00C389"/>
          </w:tcPr>
          <w:p>
            <w:pPr>
              <w:spacing w:after="0" w:line="20" w:lineRule="exact"/>
              <w:rPr>
                <w:sz w:val="1"/>
                <w:szCs w:val="1"/>
                <w:color w:val="auto"/>
              </w:rPr>
            </w:pPr>
          </w:p>
        </w:tc>
        <w:tc>
          <w:tcPr>
            <w:tcW w:w="880" w:type="dxa"/>
            <w:vAlign w:val="bottom"/>
            <w:shd w:val="clear" w:color="auto" w:fill="00C389"/>
          </w:tcPr>
          <w:p>
            <w:pPr>
              <w:spacing w:after="0" w:line="20" w:lineRule="exact"/>
              <w:rPr>
                <w:sz w:val="1"/>
                <w:szCs w:val="1"/>
                <w:color w:val="auto"/>
              </w:rPr>
            </w:pPr>
          </w:p>
        </w:tc>
        <w:tc>
          <w:tcPr>
            <w:tcW w:w="24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520" w:type="dxa"/>
            <w:vAlign w:val="bottom"/>
            <w:shd w:val="clear" w:color="auto" w:fill="00C389"/>
          </w:tcPr>
          <w:p>
            <w:pPr>
              <w:spacing w:after="0" w:line="20" w:lineRule="exact"/>
              <w:rPr>
                <w:sz w:val="1"/>
                <w:szCs w:val="1"/>
                <w:color w:val="auto"/>
              </w:rPr>
            </w:pPr>
          </w:p>
        </w:tc>
        <w:tc>
          <w:tcPr>
            <w:tcW w:w="580" w:type="dxa"/>
            <w:vAlign w:val="bottom"/>
            <w:shd w:val="clear" w:color="auto" w:fill="00C389"/>
          </w:tcPr>
          <w:p>
            <w:pPr>
              <w:spacing w:after="0" w:line="20" w:lineRule="exact"/>
              <w:rPr>
                <w:sz w:val="1"/>
                <w:szCs w:val="1"/>
                <w:color w:val="auto"/>
              </w:rPr>
            </w:pPr>
          </w:p>
        </w:tc>
        <w:tc>
          <w:tcPr>
            <w:tcW w:w="352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66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6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BOARD DIVERSITY</w:t>
            </w:r>
          </w:p>
        </w:tc>
        <w:tc>
          <w:tcPr>
            <w:tcW w:w="3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2"/>
              <w:spacing w:after="0" w:line="196" w:lineRule="exact"/>
              <w:rPr>
                <w:sz w:val="20"/>
                <w:szCs w:val="20"/>
                <w:color w:val="auto"/>
              </w:rPr>
            </w:pPr>
            <w:r>
              <w:rPr>
                <w:rFonts w:ascii="Arial" w:cs="Arial" w:eastAsia="Arial" w:hAnsi="Arial"/>
                <w:sz w:val="18"/>
                <w:szCs w:val="18"/>
                <w:color w:val="0000EE"/>
                <w:w w:val="89"/>
              </w:rPr>
              <w:t>63</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vMerge w:val="restart"/>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389"/>
            </w:tcBorders>
          </w:tcPr>
          <w:p>
            <w:pPr>
              <w:spacing w:after="0"/>
              <w:rPr>
                <w:sz w:val="3"/>
                <w:szCs w:val="3"/>
                <w:color w:val="auto"/>
              </w:rPr>
            </w:pPr>
          </w:p>
        </w:tc>
        <w:tc>
          <w:tcPr>
            <w:tcW w:w="1700" w:type="dxa"/>
            <w:vAlign w:val="bottom"/>
            <w:tcBorders>
              <w:bottom w:val="single" w:sz="8" w:color="00C389"/>
            </w:tcBorders>
          </w:tcPr>
          <w:p>
            <w:pPr>
              <w:spacing w:after="0"/>
              <w:rPr>
                <w:sz w:val="3"/>
                <w:szCs w:val="3"/>
                <w:color w:val="auto"/>
              </w:rPr>
            </w:pPr>
          </w:p>
        </w:tc>
        <w:tc>
          <w:tcPr>
            <w:tcW w:w="880" w:type="dxa"/>
            <w:vAlign w:val="bottom"/>
            <w:tcBorders>
              <w:bottom w:val="single" w:sz="8" w:color="00C389"/>
            </w:tcBorders>
          </w:tcPr>
          <w:p>
            <w:pPr>
              <w:spacing w:after="0"/>
              <w:rPr>
                <w:sz w:val="3"/>
                <w:szCs w:val="3"/>
                <w:color w:val="auto"/>
              </w:rPr>
            </w:pPr>
          </w:p>
        </w:tc>
        <w:tc>
          <w:tcPr>
            <w:tcW w:w="240" w:type="dxa"/>
            <w:vAlign w:val="bottom"/>
            <w:tcBorders>
              <w:bottom w:val="single" w:sz="8" w:color="00C389"/>
            </w:tcBorders>
          </w:tcPr>
          <w:p>
            <w:pPr>
              <w:spacing w:after="0"/>
              <w:rPr>
                <w:sz w:val="3"/>
                <w:szCs w:val="3"/>
                <w:color w:val="auto"/>
              </w:rPr>
            </w:pPr>
          </w:p>
        </w:tc>
        <w:tc>
          <w:tcPr>
            <w:tcW w:w="20" w:type="dxa"/>
            <w:vAlign w:val="bottom"/>
            <w:tcBorders>
              <w:bottom w:val="single" w:sz="8" w:color="00C389"/>
            </w:tcBorders>
          </w:tcPr>
          <w:p>
            <w:pPr>
              <w:spacing w:after="0"/>
              <w:rPr>
                <w:sz w:val="3"/>
                <w:szCs w:val="3"/>
                <w:color w:val="auto"/>
              </w:rPr>
            </w:pPr>
          </w:p>
        </w:tc>
        <w:tc>
          <w:tcPr>
            <w:tcW w:w="520" w:type="dxa"/>
            <w:vAlign w:val="bottom"/>
            <w:tcBorders>
              <w:bottom w:val="single" w:sz="8" w:color="00C389"/>
            </w:tcBorders>
          </w:tcPr>
          <w:p>
            <w:pPr>
              <w:spacing w:after="0"/>
              <w:rPr>
                <w:sz w:val="3"/>
                <w:szCs w:val="3"/>
                <w:color w:val="auto"/>
              </w:rPr>
            </w:pPr>
          </w:p>
        </w:tc>
        <w:tc>
          <w:tcPr>
            <w:tcW w:w="580" w:type="dxa"/>
            <w:vAlign w:val="bottom"/>
            <w:tcBorders>
              <w:bottom w:val="single" w:sz="8" w:color="00C389"/>
            </w:tcBorders>
          </w:tcPr>
          <w:p>
            <w:pPr>
              <w:spacing w:after="0"/>
              <w:rPr>
                <w:sz w:val="3"/>
                <w:szCs w:val="3"/>
                <w:color w:val="auto"/>
              </w:rPr>
            </w:pPr>
          </w:p>
        </w:tc>
        <w:tc>
          <w:tcPr>
            <w:tcW w:w="3520" w:type="dxa"/>
            <w:vAlign w:val="bottom"/>
            <w:tcBorders>
              <w:bottom w:val="single" w:sz="8" w:color="00C389"/>
            </w:tcBorders>
          </w:tcPr>
          <w:p>
            <w:pPr>
              <w:spacing w:after="0"/>
              <w:rPr>
                <w:sz w:val="3"/>
                <w:szCs w:val="3"/>
                <w:color w:val="auto"/>
              </w:rPr>
            </w:pPr>
          </w:p>
        </w:tc>
        <w:tc>
          <w:tcPr>
            <w:tcW w:w="280" w:type="dxa"/>
            <w:vAlign w:val="bottom"/>
            <w:tcBorders>
              <w:bottom w:val="single" w:sz="8" w:color="00C389"/>
            </w:tcBorders>
          </w:tcPr>
          <w:p>
            <w:pPr>
              <w:spacing w:after="0"/>
              <w:rPr>
                <w:sz w:val="3"/>
                <w:szCs w:val="3"/>
                <w:color w:val="auto"/>
              </w:rPr>
            </w:pPr>
          </w:p>
        </w:tc>
        <w:tc>
          <w:tcPr>
            <w:tcW w:w="660" w:type="dxa"/>
            <w:vAlign w:val="bottom"/>
            <w:tcBorders>
              <w:bottom w:val="single" w:sz="8" w:color="00C389"/>
            </w:tcBorders>
          </w:tcPr>
          <w:p>
            <w:pPr>
              <w:spacing w:after="0"/>
              <w:rPr>
                <w:sz w:val="3"/>
                <w:szCs w:val="3"/>
                <w:color w:val="auto"/>
              </w:rPr>
            </w:pPr>
          </w:p>
        </w:tc>
        <w:tc>
          <w:tcPr>
            <w:tcW w:w="340" w:type="dxa"/>
            <w:vAlign w:val="bottom"/>
            <w:tcBorders>
              <w:bottom w:val="single" w:sz="8" w:color="00C389"/>
            </w:tcBorders>
            <w:vMerge w:val="continue"/>
          </w:tcPr>
          <w:p>
            <w:pPr>
              <w:spacing w:after="0"/>
              <w:rPr>
                <w:sz w:val="3"/>
                <w:szCs w:val="3"/>
                <w:color w:val="auto"/>
              </w:rPr>
            </w:pPr>
          </w:p>
        </w:tc>
        <w:tc>
          <w:tcPr>
            <w:tcW w:w="6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DELINQUENT SECTION 16(A) REPORTS</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389"/>
          </w:tcPr>
          <w:p>
            <w:pPr>
              <w:spacing w:after="0" w:line="20" w:lineRule="exact"/>
              <w:rPr>
                <w:sz w:val="1"/>
                <w:szCs w:val="1"/>
                <w:color w:val="auto"/>
              </w:rPr>
            </w:pPr>
          </w:p>
        </w:tc>
        <w:tc>
          <w:tcPr>
            <w:tcW w:w="1700" w:type="dxa"/>
            <w:vAlign w:val="bottom"/>
            <w:shd w:val="clear" w:color="auto" w:fill="00C389"/>
          </w:tcPr>
          <w:p>
            <w:pPr>
              <w:spacing w:after="0" w:line="20" w:lineRule="exact"/>
              <w:rPr>
                <w:sz w:val="1"/>
                <w:szCs w:val="1"/>
                <w:color w:val="auto"/>
              </w:rPr>
            </w:pPr>
          </w:p>
        </w:tc>
        <w:tc>
          <w:tcPr>
            <w:tcW w:w="880" w:type="dxa"/>
            <w:vAlign w:val="bottom"/>
            <w:shd w:val="clear" w:color="auto" w:fill="00C389"/>
          </w:tcPr>
          <w:p>
            <w:pPr>
              <w:spacing w:after="0" w:line="20" w:lineRule="exact"/>
              <w:rPr>
                <w:sz w:val="1"/>
                <w:szCs w:val="1"/>
                <w:color w:val="auto"/>
              </w:rPr>
            </w:pPr>
          </w:p>
        </w:tc>
        <w:tc>
          <w:tcPr>
            <w:tcW w:w="24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520" w:type="dxa"/>
            <w:vAlign w:val="bottom"/>
            <w:shd w:val="clear" w:color="auto" w:fill="00C389"/>
          </w:tcPr>
          <w:p>
            <w:pPr>
              <w:spacing w:after="0" w:line="20" w:lineRule="exact"/>
              <w:rPr>
                <w:sz w:val="1"/>
                <w:szCs w:val="1"/>
                <w:color w:val="auto"/>
              </w:rPr>
            </w:pPr>
          </w:p>
        </w:tc>
        <w:tc>
          <w:tcPr>
            <w:tcW w:w="580" w:type="dxa"/>
            <w:vAlign w:val="bottom"/>
            <w:shd w:val="clear" w:color="auto" w:fill="00C389"/>
          </w:tcPr>
          <w:p>
            <w:pPr>
              <w:spacing w:after="0" w:line="20" w:lineRule="exact"/>
              <w:rPr>
                <w:sz w:val="1"/>
                <w:szCs w:val="1"/>
                <w:color w:val="auto"/>
              </w:rPr>
            </w:pPr>
          </w:p>
        </w:tc>
        <w:tc>
          <w:tcPr>
            <w:tcW w:w="352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66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6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gridSpan w:val="10"/>
          </w:tcPr>
          <w:p>
            <w:pPr>
              <w:spacing w:after="0" w:line="196" w:lineRule="exact"/>
              <w:rPr>
                <w:sz w:val="20"/>
                <w:szCs w:val="20"/>
                <w:color w:val="auto"/>
              </w:rPr>
            </w:pPr>
            <w:r>
              <w:rPr>
                <w:rFonts w:ascii="Arial" w:cs="Arial" w:eastAsia="Arial" w:hAnsi="Arial"/>
                <w:sz w:val="18"/>
                <w:szCs w:val="18"/>
                <w:color w:val="0000EE"/>
              </w:rPr>
              <w:t>ADDITIONAL INFORMATION</w:t>
            </w:r>
          </w:p>
        </w:tc>
        <w:tc>
          <w:tcPr>
            <w:tcW w:w="3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ind w:right="12"/>
              <w:spacing w:after="0" w:line="196" w:lineRule="exact"/>
              <w:rPr>
                <w:sz w:val="20"/>
                <w:szCs w:val="20"/>
                <w:color w:val="auto"/>
              </w:rPr>
            </w:pPr>
            <w:r>
              <w:rPr>
                <w:rFonts w:ascii="Arial" w:cs="Arial" w:eastAsia="Arial" w:hAnsi="Arial"/>
                <w:sz w:val="18"/>
                <w:szCs w:val="18"/>
                <w:color w:val="0000EE"/>
                <w:w w:val="89"/>
              </w:rPr>
              <w:t>65</w:t>
            </w:r>
          </w:p>
        </w:tc>
        <w:tc>
          <w:tcPr>
            <w:tcW w:w="0" w:type="dxa"/>
            <w:vAlign w:val="bottom"/>
          </w:tcPr>
          <w:p>
            <w:pPr>
              <w:spacing w:after="0"/>
              <w:rPr>
                <w:sz w:val="1"/>
                <w:szCs w:val="1"/>
                <w:color w:val="auto"/>
              </w:rPr>
            </w:pPr>
          </w:p>
        </w:tc>
      </w:tr>
      <w:tr>
        <w:trPr>
          <w:trHeight w:val="27"/>
        </w:trPr>
        <w:tc>
          <w:tcPr>
            <w:tcW w:w="180" w:type="dxa"/>
            <w:vAlign w:val="bottom"/>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vMerge w:val="restart"/>
          </w:tcPr>
          <w:p>
            <w:pPr>
              <w:ind w:left="180"/>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vMerge w:val="restart"/>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line="20" w:lineRule="exact"/>
              <w:rPr>
                <w:sz w:val="1"/>
                <w:szCs w:val="1"/>
                <w:color w:val="auto"/>
              </w:rPr>
            </w:pPr>
          </w:p>
        </w:tc>
      </w:tr>
      <w:tr>
        <w:trPr>
          <w:trHeight w:val="40"/>
        </w:trPr>
        <w:tc>
          <w:tcPr>
            <w:tcW w:w="180" w:type="dxa"/>
            <w:vAlign w:val="bottom"/>
            <w:tcBorders>
              <w:bottom w:val="single" w:sz="8" w:color="00C389"/>
            </w:tcBorders>
          </w:tcPr>
          <w:p>
            <w:pPr>
              <w:spacing w:after="0"/>
              <w:rPr>
                <w:sz w:val="3"/>
                <w:szCs w:val="3"/>
                <w:color w:val="auto"/>
              </w:rPr>
            </w:pPr>
          </w:p>
        </w:tc>
        <w:tc>
          <w:tcPr>
            <w:tcW w:w="1700" w:type="dxa"/>
            <w:vAlign w:val="bottom"/>
            <w:tcBorders>
              <w:bottom w:val="single" w:sz="8" w:color="00C389"/>
            </w:tcBorders>
          </w:tcPr>
          <w:p>
            <w:pPr>
              <w:spacing w:after="0"/>
              <w:rPr>
                <w:sz w:val="3"/>
                <w:szCs w:val="3"/>
                <w:color w:val="auto"/>
              </w:rPr>
            </w:pPr>
          </w:p>
        </w:tc>
        <w:tc>
          <w:tcPr>
            <w:tcW w:w="880" w:type="dxa"/>
            <w:vAlign w:val="bottom"/>
            <w:tcBorders>
              <w:bottom w:val="single" w:sz="8" w:color="00C389"/>
            </w:tcBorders>
          </w:tcPr>
          <w:p>
            <w:pPr>
              <w:spacing w:after="0"/>
              <w:rPr>
                <w:sz w:val="3"/>
                <w:szCs w:val="3"/>
                <w:color w:val="auto"/>
              </w:rPr>
            </w:pPr>
          </w:p>
        </w:tc>
        <w:tc>
          <w:tcPr>
            <w:tcW w:w="240" w:type="dxa"/>
            <w:vAlign w:val="bottom"/>
            <w:tcBorders>
              <w:bottom w:val="single" w:sz="8" w:color="00C389"/>
            </w:tcBorders>
          </w:tcPr>
          <w:p>
            <w:pPr>
              <w:spacing w:after="0"/>
              <w:rPr>
                <w:sz w:val="3"/>
                <w:szCs w:val="3"/>
                <w:color w:val="auto"/>
              </w:rPr>
            </w:pPr>
          </w:p>
        </w:tc>
        <w:tc>
          <w:tcPr>
            <w:tcW w:w="20" w:type="dxa"/>
            <w:vAlign w:val="bottom"/>
            <w:tcBorders>
              <w:bottom w:val="single" w:sz="8" w:color="00C389"/>
            </w:tcBorders>
          </w:tcPr>
          <w:p>
            <w:pPr>
              <w:spacing w:after="0"/>
              <w:rPr>
                <w:sz w:val="3"/>
                <w:szCs w:val="3"/>
                <w:color w:val="auto"/>
              </w:rPr>
            </w:pPr>
          </w:p>
        </w:tc>
        <w:tc>
          <w:tcPr>
            <w:tcW w:w="520" w:type="dxa"/>
            <w:vAlign w:val="bottom"/>
            <w:tcBorders>
              <w:bottom w:val="single" w:sz="8" w:color="00C389"/>
            </w:tcBorders>
          </w:tcPr>
          <w:p>
            <w:pPr>
              <w:spacing w:after="0"/>
              <w:rPr>
                <w:sz w:val="3"/>
                <w:szCs w:val="3"/>
                <w:color w:val="auto"/>
              </w:rPr>
            </w:pPr>
          </w:p>
        </w:tc>
        <w:tc>
          <w:tcPr>
            <w:tcW w:w="580" w:type="dxa"/>
            <w:vAlign w:val="bottom"/>
            <w:tcBorders>
              <w:bottom w:val="single" w:sz="8" w:color="00C389"/>
            </w:tcBorders>
          </w:tcPr>
          <w:p>
            <w:pPr>
              <w:spacing w:after="0"/>
              <w:rPr>
                <w:sz w:val="3"/>
                <w:szCs w:val="3"/>
                <w:color w:val="auto"/>
              </w:rPr>
            </w:pPr>
          </w:p>
        </w:tc>
        <w:tc>
          <w:tcPr>
            <w:tcW w:w="3520" w:type="dxa"/>
            <w:vAlign w:val="bottom"/>
            <w:tcBorders>
              <w:bottom w:val="single" w:sz="8" w:color="00C389"/>
            </w:tcBorders>
          </w:tcPr>
          <w:p>
            <w:pPr>
              <w:spacing w:after="0"/>
              <w:rPr>
                <w:sz w:val="3"/>
                <w:szCs w:val="3"/>
                <w:color w:val="auto"/>
              </w:rPr>
            </w:pPr>
          </w:p>
        </w:tc>
        <w:tc>
          <w:tcPr>
            <w:tcW w:w="280" w:type="dxa"/>
            <w:vAlign w:val="bottom"/>
            <w:tcBorders>
              <w:bottom w:val="single" w:sz="8" w:color="00C389"/>
            </w:tcBorders>
          </w:tcPr>
          <w:p>
            <w:pPr>
              <w:spacing w:after="0"/>
              <w:rPr>
                <w:sz w:val="3"/>
                <w:szCs w:val="3"/>
                <w:color w:val="auto"/>
              </w:rPr>
            </w:pPr>
          </w:p>
        </w:tc>
        <w:tc>
          <w:tcPr>
            <w:tcW w:w="660" w:type="dxa"/>
            <w:vAlign w:val="bottom"/>
            <w:tcBorders>
              <w:bottom w:val="single" w:sz="8" w:color="00C389"/>
            </w:tcBorders>
          </w:tcPr>
          <w:p>
            <w:pPr>
              <w:spacing w:after="0"/>
              <w:rPr>
                <w:sz w:val="3"/>
                <w:szCs w:val="3"/>
                <w:color w:val="auto"/>
              </w:rPr>
            </w:pPr>
          </w:p>
        </w:tc>
        <w:tc>
          <w:tcPr>
            <w:tcW w:w="340" w:type="dxa"/>
            <w:vAlign w:val="bottom"/>
            <w:tcBorders>
              <w:bottom w:val="single" w:sz="8" w:color="00C389"/>
            </w:tcBorders>
            <w:vMerge w:val="continue"/>
          </w:tcPr>
          <w:p>
            <w:pPr>
              <w:spacing w:after="0"/>
              <w:rPr>
                <w:sz w:val="3"/>
                <w:szCs w:val="3"/>
                <w:color w:val="auto"/>
              </w:rPr>
            </w:pPr>
          </w:p>
        </w:tc>
        <w:tc>
          <w:tcPr>
            <w:tcW w:w="6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8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GENERAL INFORMATION</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CCEEFF"/>
            </w:tcBorders>
            <w:shd w:val="clear" w:color="auto" w:fill="CCEEFF"/>
          </w:tcPr>
          <w:p>
            <w:pPr>
              <w:spacing w:after="0" w:line="7" w:lineRule="exact"/>
              <w:rPr>
                <w:sz w:val="20"/>
                <w:szCs w:val="20"/>
                <w:color w:val="auto"/>
              </w:rPr>
            </w:pPr>
            <w:r>
              <w:rPr>
                <w:rFonts w:ascii="Arial" w:cs="Arial" w:eastAsia="Arial" w:hAnsi="Arial"/>
                <w:sz w:val="1"/>
                <w:szCs w:val="1"/>
                <w:color w:val="auto"/>
              </w:rPr>
              <w:t>​</w:t>
            </w:r>
          </w:p>
        </w:tc>
        <w:tc>
          <w:tcPr>
            <w:tcW w:w="17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4"/>
                <w:szCs w:val="4"/>
                <w:color w:val="auto"/>
              </w:rPr>
              <w:t>​ ​</w:t>
            </w: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100" w:type="dxa"/>
            <w:vAlign w:val="bottom"/>
            <w:tcBorders>
              <w:bottom w:val="single" w:sz="8" w:color="CCEEFF"/>
            </w:tcBorders>
            <w:shd w:val="clear" w:color="auto" w:fill="0000EE"/>
          </w:tcPr>
          <w:p>
            <w:pPr>
              <w:spacing w:after="0"/>
              <w:rPr>
                <w:sz w:val="4"/>
                <w:szCs w:val="4"/>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C389"/>
          </w:tcPr>
          <w:p>
            <w:pPr>
              <w:spacing w:after="0" w:line="20" w:lineRule="exact"/>
              <w:rPr>
                <w:sz w:val="1"/>
                <w:szCs w:val="1"/>
                <w:color w:val="auto"/>
              </w:rPr>
            </w:pPr>
          </w:p>
        </w:tc>
        <w:tc>
          <w:tcPr>
            <w:tcW w:w="1700" w:type="dxa"/>
            <w:vAlign w:val="bottom"/>
            <w:shd w:val="clear" w:color="auto" w:fill="00C389"/>
          </w:tcPr>
          <w:p>
            <w:pPr>
              <w:spacing w:after="0" w:line="20" w:lineRule="exact"/>
              <w:rPr>
                <w:sz w:val="1"/>
                <w:szCs w:val="1"/>
                <w:color w:val="auto"/>
              </w:rPr>
            </w:pPr>
          </w:p>
        </w:tc>
        <w:tc>
          <w:tcPr>
            <w:tcW w:w="880" w:type="dxa"/>
            <w:vAlign w:val="bottom"/>
            <w:shd w:val="clear" w:color="auto" w:fill="00C389"/>
          </w:tcPr>
          <w:p>
            <w:pPr>
              <w:spacing w:after="0" w:line="20" w:lineRule="exact"/>
              <w:rPr>
                <w:sz w:val="1"/>
                <w:szCs w:val="1"/>
                <w:color w:val="auto"/>
              </w:rPr>
            </w:pPr>
          </w:p>
        </w:tc>
        <w:tc>
          <w:tcPr>
            <w:tcW w:w="24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520" w:type="dxa"/>
            <w:vAlign w:val="bottom"/>
            <w:shd w:val="clear" w:color="auto" w:fill="00C389"/>
          </w:tcPr>
          <w:p>
            <w:pPr>
              <w:spacing w:after="0" w:line="20" w:lineRule="exact"/>
              <w:rPr>
                <w:sz w:val="1"/>
                <w:szCs w:val="1"/>
                <w:color w:val="auto"/>
              </w:rPr>
            </w:pPr>
          </w:p>
        </w:tc>
        <w:tc>
          <w:tcPr>
            <w:tcW w:w="580" w:type="dxa"/>
            <w:vAlign w:val="bottom"/>
            <w:shd w:val="clear" w:color="auto" w:fill="00C389"/>
          </w:tcPr>
          <w:p>
            <w:pPr>
              <w:spacing w:after="0" w:line="20" w:lineRule="exact"/>
              <w:rPr>
                <w:sz w:val="1"/>
                <w:szCs w:val="1"/>
                <w:color w:val="auto"/>
              </w:rPr>
            </w:pPr>
          </w:p>
        </w:tc>
        <w:tc>
          <w:tcPr>
            <w:tcW w:w="352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66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6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-3557270</wp:posOffset>
            </wp:positionV>
            <wp:extent cx="1713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386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-3376930</wp:posOffset>
            </wp:positionV>
            <wp:extent cx="224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218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-3196590</wp:posOffset>
            </wp:positionV>
            <wp:extent cx="1553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384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-3016885</wp:posOffset>
            </wp:positionV>
            <wp:extent cx="534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289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-2836545</wp:posOffset>
            </wp:positionV>
            <wp:extent cx="15913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13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-1619885</wp:posOffset>
            </wp:positionV>
            <wp:extent cx="467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614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-1122045</wp:posOffset>
            </wp:positionV>
            <wp:extent cx="1559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95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-942340</wp:posOffset>
            </wp:positionV>
            <wp:extent cx="4191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9163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-762635</wp:posOffset>
            </wp:positionV>
            <wp:extent cx="3565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5525"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-582295</wp:posOffset>
            </wp:positionV>
            <wp:extent cx="1036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-402590</wp:posOffset>
            </wp:positionV>
            <wp:extent cx="2159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635" cy="889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-222250</wp:posOffset>
            </wp:positionV>
            <wp:extent cx="1502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241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-42545</wp:posOffset>
            </wp:positionV>
            <wp:extent cx="13633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334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3446145</wp:posOffset>
            </wp:positionV>
            <wp:extent cx="75438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60"/>
        <w:spacing w:after="0"/>
        <w:tabs>
          <w:tab w:leader="none" w:pos="2080" w:val="left"/>
          <w:tab w:leader="none" w:pos="5220" w:val="left"/>
          <w:tab w:leader="none" w:pos="9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Proxy Statement Summary</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York, New York 10019</w:t>
      </w:r>
    </w:p>
    <w:p>
      <w:pPr>
        <w:spacing w:after="0" w:line="101" w:lineRule="exact"/>
        <w:rPr>
          <w:sz w:val="20"/>
          <w:szCs w:val="20"/>
          <w:color w:val="auto"/>
        </w:rPr>
      </w:pPr>
    </w:p>
    <w:p>
      <w:pPr>
        <w:ind w:left="760" w:right="200"/>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2021 fiscal year performance, please review the Company’s 2021 Annual Report on Form 10-K (the “</w:t>
      </w:r>
      <w:r>
        <w:rPr>
          <w:rFonts w:ascii="Arial" w:cs="Arial" w:eastAsia="Arial" w:hAnsi="Arial"/>
          <w:sz w:val="18"/>
          <w:szCs w:val="18"/>
          <w:b w:val="1"/>
          <w:bCs w:val="1"/>
          <w:i w:val="1"/>
          <w:iCs w:val="1"/>
          <w:color w:val="auto"/>
        </w:rPr>
        <w:t>2021 Annual Report</w:t>
      </w:r>
      <w:r>
        <w:rPr>
          <w:rFonts w:ascii="Arial" w:cs="Arial" w:eastAsia="Arial" w:hAnsi="Arial"/>
          <w:sz w:val="18"/>
          <w:szCs w:val="18"/>
          <w:i w:val="1"/>
          <w:iCs w:val="1"/>
          <w:color w:val="auto"/>
        </w:rPr>
        <w:t>”). This proxy statement also includes several website addresses and references to additional materials found on those websites. These websites and materials are not incorporated by reference herein.</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20"/>
                <w:szCs w:val="20"/>
                <w:color w:val="00C389"/>
              </w:rPr>
              <w:t>​</w:t>
            </w:r>
          </w:p>
        </w:tc>
        <w:tc>
          <w:tcPr>
            <w:tcW w:w="120" w:type="dxa"/>
            <w:vAlign w:val="bottom"/>
          </w:tcPr>
          <w:p>
            <w:pPr>
              <w:spacing w:after="0"/>
              <w:rPr>
                <w:sz w:val="20"/>
                <w:szCs w:val="20"/>
                <w:color w:val="auto"/>
              </w:rPr>
            </w:pPr>
            <w:r>
              <w:rPr>
                <w:rFonts w:ascii="Arial" w:cs="Arial" w:eastAsia="Arial" w:hAnsi="Arial"/>
                <w:sz w:val="20"/>
                <w:szCs w:val="20"/>
                <w:color w:val="00C389"/>
              </w:rPr>
              <w:t>​</w:t>
            </w:r>
          </w:p>
        </w:tc>
        <w:tc>
          <w:tcPr>
            <w:tcW w:w="180" w:type="dxa"/>
            <w:vAlign w:val="bottom"/>
          </w:tcPr>
          <w:p>
            <w:pPr>
              <w:ind w:left="60"/>
              <w:spacing w:after="0"/>
              <w:rPr>
                <w:sz w:val="20"/>
                <w:szCs w:val="20"/>
                <w:color w:val="auto"/>
              </w:rPr>
            </w:pPr>
            <w:r>
              <w:rPr>
                <w:rFonts w:ascii="Arial" w:cs="Arial" w:eastAsia="Arial" w:hAnsi="Arial"/>
                <w:sz w:val="20"/>
                <w:szCs w:val="20"/>
                <w:color w:val="00C389"/>
              </w:rPr>
              <w:t>​</w:t>
            </w:r>
          </w:p>
        </w:tc>
        <w:tc>
          <w:tcPr>
            <w:tcW w:w="2160" w:type="dxa"/>
            <w:vAlign w:val="bottom"/>
            <w:vMerge w:val="restart"/>
          </w:tcPr>
          <w:p>
            <w:pPr>
              <w:ind w:left="80"/>
              <w:spacing w:after="0"/>
              <w:rPr>
                <w:sz w:val="20"/>
                <w:szCs w:val="20"/>
                <w:color w:val="auto"/>
              </w:rPr>
            </w:pPr>
            <w:r>
              <w:rPr>
                <w:rFonts w:ascii="Arial" w:cs="Arial" w:eastAsia="Arial" w:hAnsi="Arial"/>
                <w:sz w:val="20"/>
                <w:szCs w:val="20"/>
                <w:color w:val="002554"/>
                <w:w w:val="98"/>
              </w:rPr>
              <w:t>Thursday, June 2, 2022</w:t>
            </w:r>
          </w:p>
        </w:tc>
        <w:tc>
          <w:tcPr>
            <w:tcW w:w="340" w:type="dxa"/>
            <w:vAlign w:val="bottom"/>
          </w:tcPr>
          <w:p>
            <w:pPr>
              <w:ind w:left="20"/>
              <w:spacing w:after="0"/>
              <w:rPr>
                <w:sz w:val="20"/>
                <w:szCs w:val="20"/>
                <w:color w:val="auto"/>
              </w:rPr>
            </w:pPr>
            <w:r>
              <w:rPr>
                <w:rFonts w:ascii="Arial" w:cs="Arial" w:eastAsia="Arial" w:hAnsi="Arial"/>
                <w:sz w:val="20"/>
                <w:szCs w:val="20"/>
                <w:color w:val="00C389"/>
              </w:rPr>
              <w:t>​ ​</w:t>
            </w:r>
          </w:p>
        </w:tc>
        <w:tc>
          <w:tcPr>
            <w:tcW w:w="1260" w:type="dxa"/>
            <w:vAlign w:val="bottom"/>
            <w:vMerge w:val="restart"/>
          </w:tcPr>
          <w:p>
            <w:pPr>
              <w:ind w:left="60"/>
              <w:spacing w:after="0"/>
              <w:rPr>
                <w:sz w:val="20"/>
                <w:szCs w:val="20"/>
                <w:color w:val="auto"/>
              </w:rPr>
            </w:pPr>
            <w:r>
              <w:rPr>
                <w:rFonts w:ascii="Arial" w:cs="Arial" w:eastAsia="Arial" w:hAnsi="Arial"/>
                <w:sz w:val="20"/>
                <w:szCs w:val="20"/>
                <w:b w:val="1"/>
                <w:bCs w:val="1"/>
                <w:color w:val="00C389"/>
              </w:rPr>
              <w:t>LOCATION</w:t>
            </w:r>
          </w:p>
        </w:tc>
        <w:tc>
          <w:tcPr>
            <w:tcW w:w="340" w:type="dxa"/>
            <w:vAlign w:val="bottom"/>
          </w:tcPr>
          <w:p>
            <w:pPr>
              <w:ind w:left="20"/>
              <w:spacing w:after="0"/>
              <w:rPr>
                <w:sz w:val="20"/>
                <w:szCs w:val="20"/>
                <w:color w:val="auto"/>
              </w:rPr>
            </w:pPr>
            <w:r>
              <w:rPr>
                <w:rFonts w:ascii="Arial" w:cs="Arial" w:eastAsia="Arial" w:hAnsi="Arial"/>
                <w:sz w:val="20"/>
                <w:szCs w:val="20"/>
                <w:color w:val="00C389"/>
              </w:rPr>
              <w:t>​ ​</w:t>
            </w:r>
          </w:p>
        </w:tc>
        <w:tc>
          <w:tcPr>
            <w:tcW w:w="4180" w:type="dxa"/>
            <w:vAlign w:val="bottom"/>
            <w:vMerge w:val="restart"/>
          </w:tcPr>
          <w:p>
            <w:pPr>
              <w:ind w:left="60"/>
              <w:spacing w:after="0"/>
              <w:rPr>
                <w:sz w:val="20"/>
                <w:szCs w:val="20"/>
                <w:color w:val="auto"/>
              </w:rPr>
            </w:pPr>
            <w:r>
              <w:rPr>
                <w:rFonts w:ascii="Arial" w:cs="Arial" w:eastAsia="Arial" w:hAnsi="Arial"/>
                <w:sz w:val="20"/>
                <w:szCs w:val="20"/>
                <w:color w:val="002554"/>
              </w:rPr>
              <w:t>Virtual Annual Meeting accessible at</w:t>
            </w:r>
          </w:p>
        </w:tc>
        <w:tc>
          <w:tcPr>
            <w:tcW w:w="60" w:type="dxa"/>
            <w:vAlign w:val="bottom"/>
          </w:tcPr>
          <w:p>
            <w:pPr>
              <w:spacing w:after="0"/>
              <w:rPr>
                <w:sz w:val="20"/>
                <w:szCs w:val="20"/>
                <w:color w:val="auto"/>
              </w:rPr>
            </w:pPr>
            <w:r>
              <w:rPr>
                <w:rFonts w:ascii="Arial" w:cs="Arial" w:eastAsia="Arial" w:hAnsi="Arial"/>
                <w:sz w:val="20"/>
                <w:szCs w:val="20"/>
                <w:color w:val="00C389"/>
              </w:rPr>
              <w:t>​</w:t>
            </w:r>
          </w:p>
        </w:tc>
        <w:tc>
          <w:tcPr>
            <w:tcW w:w="0" w:type="dxa"/>
            <w:vAlign w:val="bottom"/>
          </w:tcPr>
          <w:p>
            <w:pPr>
              <w:spacing w:after="0"/>
              <w:rPr>
                <w:sz w:val="1"/>
                <w:szCs w:val="1"/>
                <w:color w:val="auto"/>
              </w:rPr>
            </w:pPr>
          </w:p>
        </w:tc>
      </w:tr>
      <w:tr>
        <w:trPr>
          <w:trHeight w:val="57"/>
        </w:trPr>
        <w:tc>
          <w:tcPr>
            <w:tcW w:w="600" w:type="dxa"/>
            <w:vAlign w:val="bottom"/>
          </w:tcPr>
          <w:p>
            <w:pPr>
              <w:spacing w:after="0"/>
              <w:rPr>
                <w:sz w:val="20"/>
                <w:szCs w:val="20"/>
                <w:color w:val="auto"/>
              </w:rPr>
            </w:pPr>
            <w:r>
              <w:rPr>
                <w:rFonts w:ascii="Arial" w:cs="Arial" w:eastAsia="Arial" w:hAnsi="Arial"/>
                <w:sz w:val="5"/>
                <w:szCs w:val="5"/>
                <w:b w:val="1"/>
                <w:bCs w:val="1"/>
                <w:color w:val="00C389"/>
              </w:rPr>
              <w:t>DATE:</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00" w:type="dxa"/>
            <w:vAlign w:val="bottom"/>
          </w:tcPr>
          <w:p>
            <w:pPr>
              <w:spacing w:after="0" w:line="199" w:lineRule="exact"/>
              <w:rPr>
                <w:sz w:val="20"/>
                <w:szCs w:val="20"/>
                <w:color w:val="auto"/>
              </w:rPr>
            </w:pPr>
            <w:r>
              <w:rPr>
                <w:rFonts w:ascii="Arial" w:cs="Arial" w:eastAsia="Arial" w:hAnsi="Arial"/>
                <w:sz w:val="20"/>
                <w:szCs w:val="20"/>
                <w:b w:val="1"/>
                <w:bCs w:val="1"/>
                <w:color w:val="002554"/>
              </w:rPr>
              <w:t>​</w:t>
            </w:r>
          </w:p>
        </w:tc>
        <w:tc>
          <w:tcPr>
            <w:tcW w:w="120" w:type="dxa"/>
            <w:vAlign w:val="bottom"/>
          </w:tcPr>
          <w:p>
            <w:pPr>
              <w:spacing w:after="0" w:line="199" w:lineRule="exact"/>
              <w:rPr>
                <w:sz w:val="20"/>
                <w:szCs w:val="20"/>
                <w:color w:val="auto"/>
              </w:rPr>
            </w:pPr>
            <w:r>
              <w:rPr>
                <w:rFonts w:ascii="Arial" w:cs="Arial" w:eastAsia="Arial" w:hAnsi="Arial"/>
                <w:sz w:val="20"/>
                <w:szCs w:val="20"/>
                <w:b w:val="1"/>
                <w:bCs w:val="1"/>
                <w:color w:val="002554"/>
              </w:rPr>
              <w:t>​</w:t>
            </w:r>
          </w:p>
        </w:tc>
        <w:tc>
          <w:tcPr>
            <w:tcW w:w="180" w:type="dxa"/>
            <w:vAlign w:val="bottom"/>
          </w:tcPr>
          <w:p>
            <w:pPr>
              <w:ind w:left="60"/>
              <w:spacing w:after="0" w:line="199" w:lineRule="exact"/>
              <w:rPr>
                <w:sz w:val="20"/>
                <w:szCs w:val="20"/>
                <w:color w:val="auto"/>
              </w:rPr>
            </w:pPr>
            <w:r>
              <w:rPr>
                <w:rFonts w:ascii="Arial" w:cs="Arial" w:eastAsia="Arial" w:hAnsi="Arial"/>
                <w:sz w:val="20"/>
                <w:szCs w:val="20"/>
                <w:b w:val="1"/>
                <w:bCs w:val="1"/>
                <w:color w:val="002554"/>
              </w:rPr>
              <w:t>​</w:t>
            </w:r>
          </w:p>
        </w:tc>
        <w:tc>
          <w:tcPr>
            <w:tcW w:w="2160" w:type="dxa"/>
            <w:vAlign w:val="bottom"/>
            <w:vMerge w:val="restart"/>
          </w:tcPr>
          <w:p>
            <w:pPr>
              <w:ind w:left="80"/>
              <w:spacing w:after="0"/>
              <w:rPr>
                <w:sz w:val="20"/>
                <w:szCs w:val="20"/>
                <w:color w:val="auto"/>
              </w:rPr>
            </w:pPr>
            <w:r>
              <w:rPr>
                <w:rFonts w:ascii="Arial" w:cs="Arial" w:eastAsia="Arial" w:hAnsi="Arial"/>
                <w:sz w:val="20"/>
                <w:szCs w:val="20"/>
                <w:color w:val="002554"/>
                <w:w w:val="97"/>
              </w:rPr>
              <w:t>9:00 AM (Eastern Time)</w:t>
            </w:r>
          </w:p>
        </w:tc>
        <w:tc>
          <w:tcPr>
            <w:tcW w:w="340" w:type="dxa"/>
            <w:vAlign w:val="bottom"/>
          </w:tcPr>
          <w:p>
            <w:pPr>
              <w:ind w:left="20"/>
              <w:spacing w:after="0" w:line="199" w:lineRule="exact"/>
              <w:rPr>
                <w:sz w:val="20"/>
                <w:szCs w:val="20"/>
                <w:color w:val="auto"/>
              </w:rPr>
            </w:pPr>
            <w:r>
              <w:rPr>
                <w:rFonts w:ascii="Arial" w:cs="Arial" w:eastAsia="Arial" w:hAnsi="Arial"/>
                <w:sz w:val="20"/>
                <w:szCs w:val="20"/>
                <w:b w:val="1"/>
                <w:bCs w:val="1"/>
                <w:color w:val="002554"/>
              </w:rPr>
              <w:t>​</w:t>
            </w:r>
          </w:p>
        </w:tc>
        <w:tc>
          <w:tcPr>
            <w:tcW w:w="1260" w:type="dxa"/>
            <w:vAlign w:val="bottom"/>
          </w:tcPr>
          <w:p>
            <w:pPr>
              <w:ind w:left="60"/>
              <w:spacing w:after="0" w:line="199" w:lineRule="exact"/>
              <w:rPr>
                <w:sz w:val="20"/>
                <w:szCs w:val="20"/>
                <w:color w:val="auto"/>
              </w:rPr>
            </w:pPr>
            <w:r>
              <w:rPr>
                <w:rFonts w:ascii="Arial" w:cs="Arial" w:eastAsia="Arial" w:hAnsi="Arial"/>
                <w:sz w:val="20"/>
                <w:szCs w:val="20"/>
                <w:b w:val="1"/>
                <w:bCs w:val="1"/>
                <w:color w:val="00C389"/>
              </w:rPr>
              <w:t>OF ANNUAL</w:t>
            </w:r>
          </w:p>
        </w:tc>
        <w:tc>
          <w:tcPr>
            <w:tcW w:w="340" w:type="dxa"/>
            <w:vAlign w:val="bottom"/>
          </w:tcPr>
          <w:p>
            <w:pPr>
              <w:spacing w:after="0"/>
              <w:rPr>
                <w:sz w:val="17"/>
                <w:szCs w:val="17"/>
                <w:color w:val="auto"/>
              </w:rPr>
            </w:pPr>
          </w:p>
        </w:tc>
        <w:tc>
          <w:tcPr>
            <w:tcW w:w="4180" w:type="dxa"/>
            <w:vAlign w:val="bottom"/>
          </w:tcPr>
          <w:p>
            <w:pPr>
              <w:ind w:left="60"/>
              <w:spacing w:after="0" w:line="199" w:lineRule="exact"/>
              <w:rPr>
                <w:sz w:val="20"/>
                <w:szCs w:val="20"/>
                <w:color w:val="auto"/>
              </w:rPr>
            </w:pPr>
            <w:r>
              <w:rPr>
                <w:rFonts w:ascii="Arial" w:cs="Arial" w:eastAsia="Arial" w:hAnsi="Arial"/>
                <w:sz w:val="20"/>
                <w:szCs w:val="20"/>
                <w:color w:val="002554"/>
                <w:w w:val="98"/>
              </w:rPr>
              <w:t>www.virtualshareholdermeeting.com/VIRT2022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r>
              <w:rPr>
                <w:rFonts w:ascii="Arial" w:cs="Arial" w:eastAsia="Arial" w:hAnsi="Arial"/>
                <w:sz w:val="20"/>
                <w:szCs w:val="20"/>
                <w:b w:val="1"/>
                <w:bCs w:val="1"/>
                <w:color w:val="00C389"/>
              </w:rPr>
              <w:t>TIME: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restart"/>
          </w:tcPr>
          <w:p>
            <w:pPr>
              <w:ind w:left="60"/>
              <w:spacing w:after="0"/>
              <w:rPr>
                <w:sz w:val="20"/>
                <w:szCs w:val="20"/>
                <w:color w:val="auto"/>
              </w:rPr>
            </w:pPr>
            <w:r>
              <w:rPr>
                <w:rFonts w:ascii="Arial" w:cs="Arial" w:eastAsia="Arial" w:hAnsi="Arial"/>
                <w:sz w:val="20"/>
                <w:szCs w:val="20"/>
                <w:b w:val="1"/>
                <w:bCs w:val="1"/>
                <w:color w:val="00C389"/>
              </w:rPr>
              <w:t>MEETING:</w:t>
            </w:r>
          </w:p>
        </w:tc>
        <w:tc>
          <w:tcPr>
            <w:tcW w:w="3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1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Voting Matters</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002554"/>
              </w:rPr>
              <w:t>Board</w:t>
            </w:r>
          </w:p>
        </w:tc>
        <w:tc>
          <w:tcPr>
            <w:tcW w:w="0" w:type="dxa"/>
            <w:vAlign w:val="bottom"/>
          </w:tcPr>
          <w:p>
            <w:pPr>
              <w:spacing w:after="0"/>
              <w:rPr>
                <w:sz w:val="1"/>
                <w:szCs w:val="1"/>
                <w:color w:val="auto"/>
              </w:rPr>
            </w:pPr>
          </w:p>
        </w:tc>
      </w:tr>
      <w:tr>
        <w:trPr>
          <w:trHeight w:val="257"/>
        </w:trPr>
        <w:tc>
          <w:tcPr>
            <w:tcW w:w="7440" w:type="dxa"/>
            <w:vAlign w:val="bottom"/>
            <w:gridSpan w:val="2"/>
          </w:tcPr>
          <w:p>
            <w:pPr>
              <w:spacing w:after="0"/>
              <w:rPr>
                <w:sz w:val="20"/>
                <w:szCs w:val="20"/>
                <w:color w:val="auto"/>
              </w:rPr>
            </w:pPr>
            <w:r>
              <w:rPr>
                <w:rFonts w:ascii="Arial" w:cs="Arial" w:eastAsia="Arial" w:hAnsi="Arial"/>
                <w:sz w:val="18"/>
                <w:szCs w:val="18"/>
                <w:b w:val="1"/>
                <w:bCs w:val="1"/>
                <w:color w:val="002554"/>
              </w:rPr>
              <w:t>Items of Business</w:t>
            </w:r>
          </w:p>
        </w:tc>
        <w:tc>
          <w:tcPr>
            <w:tcW w:w="1800" w:type="dxa"/>
            <w:vAlign w:val="bottom"/>
            <w:gridSpan w:val="3"/>
          </w:tcPr>
          <w:p>
            <w:pPr>
              <w:jc w:val="right"/>
              <w:spacing w:after="0" w:line="256" w:lineRule="exact"/>
              <w:rPr>
                <w:sz w:val="20"/>
                <w:szCs w:val="20"/>
                <w:color w:val="auto"/>
              </w:rPr>
            </w:pPr>
            <w:r>
              <w:rPr>
                <w:rFonts w:ascii="Arial" w:cs="Arial" w:eastAsia="Arial" w:hAnsi="Arial"/>
                <w:sz w:val="29"/>
                <w:szCs w:val="29"/>
                <w:b w:val="1"/>
                <w:bCs w:val="1"/>
                <w:color w:val="002554"/>
                <w:vertAlign w:val="subscript"/>
              </w:rPr>
              <w:t>​ ​</w:t>
            </w:r>
            <w:r>
              <w:rPr>
                <w:rFonts w:ascii="Arial" w:cs="Arial" w:eastAsia="Arial" w:hAnsi="Arial"/>
                <w:sz w:val="16"/>
                <w:szCs w:val="16"/>
                <w:b w:val="1"/>
                <w:bCs w:val="1"/>
                <w:color w:val="002554"/>
              </w:rPr>
              <w:t xml:space="preserve"> Recommendation</w:t>
            </w:r>
            <w:r>
              <w:rPr>
                <w:rFonts w:ascii="Arial" w:cs="Arial" w:eastAsia="Arial" w:hAnsi="Arial"/>
                <w:sz w:val="29"/>
                <w:szCs w:val="29"/>
                <w:b w:val="1"/>
                <w:bCs w:val="1"/>
                <w:color w:val="002554"/>
                <w:vertAlign w:val="subscript"/>
              </w:rPr>
              <w:t>​</w:t>
            </w:r>
          </w:p>
        </w:tc>
        <w:tc>
          <w:tcPr>
            <w:tcW w:w="0" w:type="dxa"/>
            <w:vAlign w:val="bottom"/>
          </w:tcPr>
          <w:p>
            <w:pPr>
              <w:spacing w:after="0"/>
              <w:rPr>
                <w:sz w:val="1"/>
                <w:szCs w:val="1"/>
                <w:color w:val="auto"/>
              </w:rPr>
            </w:pPr>
          </w:p>
        </w:tc>
      </w:tr>
      <w:tr>
        <w:trPr>
          <w:trHeight w:val="291"/>
        </w:trPr>
        <w:tc>
          <w:tcPr>
            <w:tcW w:w="7740" w:type="dxa"/>
            <w:vAlign w:val="bottom"/>
            <w:tcBorders>
              <w:top w:val="single" w:sz="8" w:color="00C389"/>
            </w:tcBorders>
            <w:gridSpan w:val="3"/>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elect three directors to our board of directors, each to serve as a Class I director for a </w:t>
            </w:r>
            <w:r>
              <w:rPr>
                <w:rFonts w:ascii="Arial" w:cs="Arial" w:eastAsia="Arial" w:hAnsi="Arial"/>
                <w:sz w:val="33"/>
                <w:szCs w:val="33"/>
                <w:color w:val="auto"/>
                <w:vertAlign w:val="superscript"/>
              </w:rPr>
              <w:t>​ ​</w:t>
            </w:r>
          </w:p>
        </w:tc>
        <w:tc>
          <w:tcPr>
            <w:tcW w:w="1440" w:type="dxa"/>
            <w:vAlign w:val="bottom"/>
            <w:tcBorders>
              <w:top w:val="single" w:sz="8" w:color="00C389"/>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0" w:type="dxa"/>
            <w:vAlign w:val="bottom"/>
          </w:tcPr>
          <w:p>
            <w:pPr>
              <w:spacing w:after="0" w:line="257" w:lineRule="exact"/>
              <w:rPr>
                <w:sz w:val="20"/>
                <w:szCs w:val="20"/>
                <w:color w:val="auto"/>
              </w:rPr>
            </w:pPr>
            <w:r>
              <w:rPr>
                <w:rFonts w:ascii="Arial" w:cs="Arial" w:eastAsia="Arial" w:hAnsi="Arial"/>
                <w:sz w:val="28"/>
                <w:szCs w:val="28"/>
                <w:b w:val="1"/>
                <w:bCs w:val="1"/>
                <w:color w:val="00C389"/>
              </w:rPr>
              <w:t>1</w:t>
            </w:r>
            <w:r>
              <w:rPr>
                <w:rFonts w:ascii="Arial" w:cs="Arial" w:eastAsia="Arial" w:hAnsi="Arial"/>
                <w:sz w:val="15"/>
                <w:szCs w:val="15"/>
                <w:color w:val="000000"/>
              </w:rPr>
              <w:t>​</w:t>
            </w:r>
          </w:p>
        </w:tc>
        <w:tc>
          <w:tcPr>
            <w:tcW w:w="7100" w:type="dxa"/>
            <w:vAlign w:val="bottom"/>
          </w:tcPr>
          <w:p>
            <w:pPr>
              <w:ind w:left="80"/>
              <w:spacing w:after="0"/>
              <w:rPr>
                <w:sz w:val="20"/>
                <w:szCs w:val="20"/>
                <w:color w:val="auto"/>
              </w:rPr>
            </w:pPr>
            <w:r>
              <w:rPr>
                <w:rFonts w:ascii="Arial" w:cs="Arial" w:eastAsia="Arial" w:hAnsi="Arial"/>
                <w:sz w:val="18"/>
                <w:szCs w:val="18"/>
                <w:color w:val="auto"/>
                <w:w w:val="99"/>
              </w:rPr>
              <w:t>term of three years expiring at the annual meeting of stockholders to be held in 2025 and</w:t>
            </w:r>
          </w:p>
        </w:tc>
        <w:tc>
          <w:tcPr>
            <w:tcW w:w="300" w:type="dxa"/>
            <w:vAlign w:val="bottom"/>
          </w:tcPr>
          <w:p>
            <w:pPr>
              <w:spacing w:after="0"/>
              <w:rPr>
                <w:sz w:val="22"/>
                <w:szCs w:val="22"/>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554"/>
              </w:rPr>
              <w:t>FOR</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until such director’s successor has been duly elected and qualified.</w:t>
            </w:r>
          </w:p>
        </w:tc>
        <w:tc>
          <w:tcPr>
            <w:tcW w:w="300" w:type="dxa"/>
            <w:vAlign w:val="bottom"/>
          </w:tcPr>
          <w:p>
            <w:pPr>
              <w:spacing w:after="0"/>
              <w:rPr>
                <w:sz w:val="19"/>
                <w:szCs w:val="19"/>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each Nominee</w:t>
            </w:r>
          </w:p>
        </w:tc>
        <w:tc>
          <w:tcPr>
            <w:tcW w:w="0" w:type="dxa"/>
            <w:vAlign w:val="bottom"/>
          </w:tcPr>
          <w:p>
            <w:pPr>
              <w:spacing w:after="0"/>
              <w:rPr>
                <w:sz w:val="1"/>
                <w:szCs w:val="1"/>
                <w:color w:val="auto"/>
              </w:rPr>
            </w:pPr>
          </w:p>
        </w:tc>
      </w:tr>
      <w:tr>
        <w:trPr>
          <w:trHeight w:val="290"/>
        </w:trPr>
        <w:tc>
          <w:tcPr>
            <w:tcW w:w="7440" w:type="dxa"/>
            <w:vAlign w:val="bottom"/>
            <w:tcBorders>
              <w:top w:val="single" w:sz="8" w:color="00C389"/>
            </w:tcBorders>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on an advisory basis, the compensation of our named executive officers as</w:t>
            </w:r>
          </w:p>
        </w:tc>
        <w:tc>
          <w:tcPr>
            <w:tcW w:w="300" w:type="dxa"/>
            <w:vAlign w:val="bottom"/>
            <w:tcBorders>
              <w:top w:val="single" w:sz="8" w:color="00C389"/>
            </w:tcBorders>
          </w:tcPr>
          <w:p>
            <w:pPr>
              <w:ind w:left="20"/>
              <w:spacing w:after="0"/>
              <w:rPr>
                <w:sz w:val="20"/>
                <w:szCs w:val="20"/>
                <w:color w:val="auto"/>
              </w:rPr>
            </w:pPr>
            <w:r>
              <w:rPr>
                <w:rFonts w:ascii="Arial" w:cs="Arial" w:eastAsia="Arial" w:hAnsi="Arial"/>
                <w:sz w:val="18"/>
                <w:szCs w:val="18"/>
                <w:color w:val="auto"/>
              </w:rPr>
              <w:t>​ ​</w:t>
            </w:r>
          </w:p>
        </w:tc>
        <w:tc>
          <w:tcPr>
            <w:tcW w:w="1440" w:type="dxa"/>
            <w:vAlign w:val="bottom"/>
            <w:tcBorders>
              <w:top w:val="single" w:sz="8" w:color="00C389"/>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340" w:type="dxa"/>
            <w:vAlign w:val="bottom"/>
          </w:tcPr>
          <w:p>
            <w:pPr>
              <w:spacing w:after="0"/>
              <w:rPr>
                <w:sz w:val="20"/>
                <w:szCs w:val="20"/>
                <w:color w:val="auto"/>
              </w:rPr>
            </w:pPr>
            <w:r>
              <w:rPr>
                <w:rFonts w:ascii="Arial" w:cs="Arial" w:eastAsia="Arial" w:hAnsi="Arial"/>
                <w:sz w:val="36"/>
                <w:szCs w:val="36"/>
                <w:b w:val="1"/>
                <w:bCs w:val="1"/>
                <w:color w:val="00C389"/>
              </w:rPr>
              <w:t>2</w:t>
            </w:r>
            <w:r>
              <w:rPr>
                <w:rFonts w:ascii="Arial" w:cs="Arial" w:eastAsia="Arial" w:hAnsi="Arial"/>
                <w:sz w:val="17"/>
                <w:szCs w:val="17"/>
                <w:color w:val="000000"/>
              </w:rPr>
              <w:t>​</w:t>
            </w:r>
          </w:p>
        </w:tc>
        <w:tc>
          <w:tcPr>
            <w:tcW w:w="7100" w:type="dxa"/>
            <w:vAlign w:val="bottom"/>
          </w:tcPr>
          <w:p>
            <w:pPr>
              <w:ind w:left="80"/>
              <w:spacing w:after="0"/>
              <w:rPr>
                <w:sz w:val="20"/>
                <w:szCs w:val="20"/>
                <w:color w:val="auto"/>
              </w:rPr>
            </w:pPr>
            <w:r>
              <w:rPr>
                <w:rFonts w:ascii="Arial" w:cs="Arial" w:eastAsia="Arial" w:hAnsi="Arial"/>
                <w:sz w:val="18"/>
                <w:szCs w:val="18"/>
                <w:color w:val="auto"/>
              </w:rPr>
              <w:t>disclosed in the accompanying proxy statement.</w:t>
            </w:r>
          </w:p>
        </w:tc>
        <w:tc>
          <w:tcPr>
            <w:tcW w:w="300" w:type="dxa"/>
            <w:vAlign w:val="bottom"/>
          </w:tcPr>
          <w:p>
            <w:pPr>
              <w:spacing w:after="0"/>
              <w:rPr>
                <w:sz w:val="24"/>
                <w:szCs w:val="24"/>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554"/>
              </w:rPr>
              <w:t>FOR</w:t>
            </w:r>
          </w:p>
        </w:tc>
        <w:tc>
          <w:tcPr>
            <w:tcW w:w="0" w:type="dxa"/>
            <w:vAlign w:val="bottom"/>
          </w:tcPr>
          <w:p>
            <w:pPr>
              <w:spacing w:after="0"/>
              <w:rPr>
                <w:sz w:val="1"/>
                <w:szCs w:val="1"/>
                <w:color w:val="auto"/>
              </w:rPr>
            </w:pPr>
          </w:p>
        </w:tc>
      </w:tr>
      <w:tr>
        <w:trPr>
          <w:trHeight w:val="290"/>
        </w:trPr>
        <w:tc>
          <w:tcPr>
            <w:tcW w:w="7740" w:type="dxa"/>
            <w:vAlign w:val="bottom"/>
            <w:tcBorders>
              <w:top w:val="single" w:sz="8" w:color="00C389"/>
            </w:tcBorders>
            <w:gridSpan w:val="3"/>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ratify the appointment of PricewaterhouseCoopers LLP as our independent registered </w:t>
            </w:r>
            <w:r>
              <w:rPr>
                <w:rFonts w:ascii="Arial" w:cs="Arial" w:eastAsia="Arial" w:hAnsi="Arial"/>
                <w:sz w:val="33"/>
                <w:szCs w:val="33"/>
                <w:color w:val="auto"/>
                <w:vertAlign w:val="superscript"/>
              </w:rPr>
              <w:t>​ ​</w:t>
            </w:r>
          </w:p>
        </w:tc>
        <w:tc>
          <w:tcPr>
            <w:tcW w:w="1440" w:type="dxa"/>
            <w:vAlign w:val="bottom"/>
            <w:tcBorders>
              <w:top w:val="single" w:sz="8" w:color="00C389"/>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vMerge w:val="restart"/>
          </w:tcPr>
          <w:p>
            <w:pPr>
              <w:spacing w:after="0"/>
              <w:rPr>
                <w:sz w:val="20"/>
                <w:szCs w:val="20"/>
                <w:color w:val="auto"/>
              </w:rPr>
            </w:pPr>
            <w:r>
              <w:rPr>
                <w:rFonts w:ascii="Arial" w:cs="Arial" w:eastAsia="Arial" w:hAnsi="Arial"/>
                <w:sz w:val="36"/>
                <w:szCs w:val="36"/>
                <w:b w:val="1"/>
                <w:bCs w:val="1"/>
                <w:color w:val="00C389"/>
              </w:rPr>
              <w:t>3</w:t>
            </w:r>
            <w:r>
              <w:rPr>
                <w:rFonts w:ascii="Arial" w:cs="Arial" w:eastAsia="Arial" w:hAnsi="Arial"/>
                <w:sz w:val="17"/>
                <w:szCs w:val="17"/>
                <w:color w:val="000000"/>
              </w:rPr>
              <w:t>​</w:t>
            </w:r>
          </w:p>
        </w:tc>
        <w:tc>
          <w:tcPr>
            <w:tcW w:w="7100" w:type="dxa"/>
            <w:vAlign w:val="bottom"/>
            <w:vMerge w:val="restart"/>
          </w:tcPr>
          <w:p>
            <w:pPr>
              <w:ind w:left="80"/>
              <w:spacing w:after="0"/>
              <w:rPr>
                <w:sz w:val="20"/>
                <w:szCs w:val="20"/>
                <w:color w:val="auto"/>
              </w:rPr>
            </w:pPr>
            <w:r>
              <w:rPr>
                <w:rFonts w:ascii="Arial" w:cs="Arial" w:eastAsia="Arial" w:hAnsi="Arial"/>
                <w:sz w:val="18"/>
                <w:szCs w:val="18"/>
                <w:color w:val="auto"/>
              </w:rPr>
              <w:t>public accounting firm for the fiscal year ending December 31, 2022.</w:t>
            </w:r>
          </w:p>
        </w:tc>
        <w:tc>
          <w:tcPr>
            <w:tcW w:w="300" w:type="dxa"/>
            <w:vAlign w:val="bottom"/>
          </w:tcPr>
          <w:p>
            <w:pPr>
              <w:spacing w:after="0"/>
              <w:rPr>
                <w:sz w:val="22"/>
                <w:szCs w:val="22"/>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554"/>
              </w:rPr>
              <w:t>FOR</w:t>
            </w:r>
          </w:p>
        </w:tc>
        <w:tc>
          <w:tcPr>
            <w:tcW w:w="0" w:type="dxa"/>
            <w:vAlign w:val="bottom"/>
          </w:tcPr>
          <w:p>
            <w:pPr>
              <w:spacing w:after="0"/>
              <w:rPr>
                <w:sz w:val="1"/>
                <w:szCs w:val="1"/>
                <w:color w:val="auto"/>
              </w:rPr>
            </w:pPr>
          </w:p>
        </w:tc>
      </w:tr>
      <w:tr>
        <w:trPr>
          <w:trHeight w:val="189"/>
        </w:trPr>
        <w:tc>
          <w:tcPr>
            <w:tcW w:w="340" w:type="dxa"/>
            <w:vAlign w:val="bottom"/>
            <w:tcBorders>
              <w:bottom w:val="single" w:sz="8" w:color="00C389"/>
            </w:tcBorders>
            <w:vMerge w:val="continue"/>
          </w:tcPr>
          <w:p>
            <w:pPr>
              <w:spacing w:after="0"/>
              <w:rPr>
                <w:sz w:val="16"/>
                <w:szCs w:val="16"/>
                <w:color w:val="auto"/>
              </w:rPr>
            </w:pPr>
          </w:p>
        </w:tc>
        <w:tc>
          <w:tcPr>
            <w:tcW w:w="7100" w:type="dxa"/>
            <w:vAlign w:val="bottom"/>
            <w:tcBorders>
              <w:bottom w:val="single" w:sz="8" w:color="00C389"/>
            </w:tcBorders>
            <w:vMerge w:val="continue"/>
          </w:tcPr>
          <w:p>
            <w:pPr>
              <w:spacing w:after="0"/>
              <w:rPr>
                <w:sz w:val="16"/>
                <w:szCs w:val="16"/>
                <w:color w:val="auto"/>
              </w:rPr>
            </w:pPr>
          </w:p>
        </w:tc>
        <w:tc>
          <w:tcPr>
            <w:tcW w:w="300" w:type="dxa"/>
            <w:vAlign w:val="bottom"/>
            <w:tcBorders>
              <w:bottom w:val="single" w:sz="8" w:color="00C389"/>
            </w:tcBorders>
          </w:tcPr>
          <w:p>
            <w:pPr>
              <w:spacing w:after="0"/>
              <w:rPr>
                <w:sz w:val="16"/>
                <w:szCs w:val="16"/>
                <w:color w:val="auto"/>
              </w:rPr>
            </w:pPr>
          </w:p>
        </w:tc>
        <w:tc>
          <w:tcPr>
            <w:tcW w:w="1440" w:type="dxa"/>
            <w:vAlign w:val="bottom"/>
            <w:tcBorders>
              <w:bottom w:val="single" w:sz="8" w:color="00C389"/>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440" w:type="dxa"/>
            <w:vAlign w:val="bottom"/>
            <w:gridSpan w:val="2"/>
          </w:tcPr>
          <w:p>
            <w:pPr>
              <w:ind w:left="200"/>
              <w:spacing w:after="0" w:line="290"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To approve an amendment to the Virtu Financial, Inc. Amended and Restated 2015</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14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40" w:type="dxa"/>
            <w:vAlign w:val="bottom"/>
          </w:tcPr>
          <w:p>
            <w:pPr>
              <w:spacing w:after="0" w:line="269" w:lineRule="exact"/>
              <w:rPr>
                <w:sz w:val="20"/>
                <w:szCs w:val="20"/>
                <w:color w:val="auto"/>
              </w:rPr>
            </w:pPr>
            <w:r>
              <w:rPr>
                <w:rFonts w:ascii="Arial" w:cs="Arial" w:eastAsia="Arial" w:hAnsi="Arial"/>
                <w:sz w:val="31"/>
                <w:szCs w:val="31"/>
                <w:b w:val="1"/>
                <w:bCs w:val="1"/>
                <w:color w:val="00C389"/>
              </w:rPr>
              <w:t>4</w:t>
            </w:r>
            <w:r>
              <w:rPr>
                <w:rFonts w:ascii="Arial" w:cs="Arial" w:eastAsia="Arial" w:hAnsi="Arial"/>
                <w:sz w:val="15"/>
                <w:szCs w:val="15"/>
                <w:color w:val="000000"/>
              </w:rPr>
              <w:t>​</w:t>
            </w:r>
          </w:p>
        </w:tc>
        <w:tc>
          <w:tcPr>
            <w:tcW w:w="7100" w:type="dxa"/>
            <w:vAlign w:val="bottom"/>
          </w:tcPr>
          <w:p>
            <w:pPr>
              <w:ind w:left="80"/>
              <w:spacing w:after="0"/>
              <w:rPr>
                <w:sz w:val="20"/>
                <w:szCs w:val="20"/>
                <w:color w:val="auto"/>
              </w:rPr>
            </w:pPr>
            <w:r>
              <w:rPr>
                <w:rFonts w:ascii="Arial" w:cs="Arial" w:eastAsia="Arial" w:hAnsi="Arial"/>
                <w:sz w:val="18"/>
                <w:szCs w:val="18"/>
                <w:color w:val="auto"/>
              </w:rPr>
              <w:t>Management Incentive Plan to increase the number of shares authorized for issuance</w:t>
            </w:r>
          </w:p>
        </w:tc>
        <w:tc>
          <w:tcPr>
            <w:tcW w:w="300" w:type="dxa"/>
            <w:vAlign w:val="bottom"/>
          </w:tcPr>
          <w:p>
            <w:pPr>
              <w:spacing w:after="0"/>
              <w:rPr>
                <w:sz w:val="23"/>
                <w:szCs w:val="23"/>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r>
              <w:rPr>
                <w:rFonts w:ascii="Arial" w:cs="Arial" w:eastAsia="Arial" w:hAnsi="Arial"/>
                <w:sz w:val="21"/>
                <w:szCs w:val="21"/>
                <w:b w:val="1"/>
                <w:bCs w:val="1"/>
                <w:color w:val="002554"/>
              </w:rPr>
              <w:t>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-1704975</wp:posOffset>
            </wp:positionV>
            <wp:extent cx="18859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-1198880</wp:posOffset>
            </wp:positionV>
            <wp:extent cx="18859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-744855</wp:posOffset>
            </wp:positionV>
            <wp:extent cx="18859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-264795</wp:posOffset>
            </wp:positionV>
            <wp:extent cx="18859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40640</wp:posOffset>
            </wp:positionV>
            <wp:extent cx="5829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How to Vote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154940</wp:posOffset>
            </wp:positionV>
            <wp:extent cx="29972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9720" cy="24892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137795</wp:posOffset>
            </wp:positionV>
            <wp:extent cx="179705"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705" cy="26543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120650</wp:posOffset>
            </wp:positionV>
            <wp:extent cx="282575"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137795</wp:posOffset>
            </wp:positionV>
            <wp:extent cx="282575"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w:t>
            </w:r>
          </w:p>
        </w:tc>
        <w:tc>
          <w:tcPr>
            <w:tcW w:w="1880" w:type="dxa"/>
            <w:vAlign w:val="bottom"/>
          </w:tcPr>
          <w:p>
            <w:pPr>
              <w:spacing w:after="0"/>
              <w:rPr>
                <w:sz w:val="14"/>
                <w:szCs w:val="14"/>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2240" w:type="dxa"/>
            <w:vAlign w:val="bottom"/>
          </w:tcPr>
          <w:p>
            <w:pPr>
              <w:ind w:left="2200"/>
              <w:spacing w:after="0"/>
              <w:rPr>
                <w:sz w:val="20"/>
                <w:szCs w:val="20"/>
                <w:color w:val="auto"/>
              </w:rPr>
            </w:pPr>
            <w:r>
              <w:rPr>
                <w:rFonts w:ascii="Arial" w:cs="Arial" w:eastAsia="Arial" w:hAnsi="Arial"/>
                <w:sz w:val="14"/>
                <w:szCs w:val="14"/>
                <w:color w:val="auto"/>
              </w:rPr>
              <w:t>​</w:t>
            </w:r>
          </w:p>
        </w:tc>
      </w:tr>
      <w:tr>
        <w:trPr>
          <w:trHeight w:val="261"/>
        </w:trPr>
        <w:tc>
          <w:tcPr>
            <w:tcW w:w="340" w:type="dxa"/>
            <w:vAlign w:val="bottom"/>
          </w:tcPr>
          <w:p>
            <w:pPr>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jc w:val="center"/>
              <w:ind w:right="224"/>
              <w:spacing w:after="0"/>
              <w:rPr>
                <w:sz w:val="20"/>
                <w:szCs w:val="20"/>
                <w:color w:val="auto"/>
              </w:rPr>
            </w:pPr>
            <w:r>
              <w:rPr>
                <w:rFonts w:ascii="Arial" w:cs="Arial" w:eastAsia="Arial" w:hAnsi="Arial"/>
                <w:sz w:val="16"/>
                <w:szCs w:val="16"/>
                <w:b w:val="1"/>
                <w:bCs w:val="1"/>
                <w:color w:val="auto"/>
              </w:rPr>
              <w:t>INTERNET</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TELEPHONE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MAIL</w:t>
            </w:r>
          </w:p>
        </w:tc>
        <w:tc>
          <w:tcPr>
            <w:tcW w:w="2440" w:type="dxa"/>
            <w:vAlign w:val="bottom"/>
            <w:gridSpan w:val="2"/>
          </w:tcPr>
          <w:p>
            <w:pPr>
              <w:jc w:val="center"/>
              <w:ind w:left="28"/>
              <w:spacing w:after="0" w:line="261"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VIRTUAL ANNUAL MEETING </w:t>
            </w:r>
            <w:r>
              <w:rPr>
                <w:rFonts w:ascii="Arial" w:cs="Arial" w:eastAsia="Arial" w:hAnsi="Arial"/>
                <w:sz w:val="30"/>
                <w:szCs w:val="30"/>
                <w:b w:val="1"/>
                <w:bCs w:val="1"/>
                <w:color w:val="auto"/>
                <w:vertAlign w:val="superscript"/>
              </w:rPr>
              <w:t>​</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Visit www.proxyvote.com to vote</w:t>
            </w:r>
          </w:p>
        </w:tc>
        <w:tc>
          <w:tcPr>
            <w:tcW w:w="2500" w:type="dxa"/>
            <w:vAlign w:val="bottom"/>
            <w:gridSpan w:val="3"/>
          </w:tcPr>
          <w:p>
            <w:pPr>
              <w:jc w:val="cente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Call toll-free 1-800-690-6903 in the </w:t>
            </w:r>
            <w:r>
              <w:rPr>
                <w:rFonts w:ascii="Arial" w:cs="Arial" w:eastAsia="Arial" w:hAnsi="Arial"/>
                <w:sz w:val="25"/>
                <w:szCs w:val="25"/>
                <w:color w:val="auto"/>
                <w:vertAlign w:val="superscript"/>
              </w:rPr>
              <w:t>​​</w:t>
            </w:r>
          </w:p>
        </w:tc>
        <w:tc>
          <w:tcPr>
            <w:tcW w:w="2060" w:type="dxa"/>
            <w:vAlign w:val="bottom"/>
          </w:tcPr>
          <w:p>
            <w:pPr>
              <w:jc w:val="center"/>
              <w:spacing w:after="0"/>
              <w:rPr>
                <w:sz w:val="20"/>
                <w:szCs w:val="20"/>
                <w:color w:val="auto"/>
              </w:rPr>
            </w:pPr>
            <w:r>
              <w:rPr>
                <w:rFonts w:ascii="Arial" w:cs="Arial" w:eastAsia="Arial" w:hAnsi="Arial"/>
                <w:sz w:val="14"/>
                <w:szCs w:val="14"/>
                <w:color w:val="auto"/>
              </w:rPr>
              <w:t>Follow the instructions in your</w:t>
            </w:r>
          </w:p>
        </w:tc>
        <w:tc>
          <w:tcPr>
            <w:tcW w:w="2440" w:type="dxa"/>
            <w:vAlign w:val="bottom"/>
            <w:gridSpan w:val="2"/>
          </w:tcPr>
          <w:p>
            <w:pPr>
              <w:jc w:val="center"/>
              <w:ind w:left="28"/>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All stockholders as of the close of </w:t>
            </w:r>
            <w:r>
              <w:rPr>
                <w:rFonts w:ascii="Arial" w:cs="Arial" w:eastAsia="Arial" w:hAnsi="Arial"/>
                <w:sz w:val="25"/>
                <w:szCs w:val="25"/>
                <w:color w:val="auto"/>
                <w:vertAlign w:val="superscript"/>
              </w:rPr>
              <w:t>​</w:t>
            </w:r>
          </w:p>
        </w:tc>
      </w:tr>
      <w:tr>
        <w:trPr>
          <w:trHeight w:val="175"/>
        </w:trPr>
        <w:tc>
          <w:tcPr>
            <w:tcW w:w="340" w:type="dxa"/>
            <w:vAlign w:val="bottom"/>
          </w:tcPr>
          <w:p>
            <w:pPr>
              <w:spacing w:after="0"/>
              <w:rPr>
                <w:sz w:val="15"/>
                <w:szCs w:val="15"/>
                <w:color w:val="auto"/>
              </w:rPr>
            </w:pPr>
          </w:p>
        </w:tc>
        <w:tc>
          <w:tcPr>
            <w:tcW w:w="1880" w:type="dxa"/>
            <w:vAlign w:val="bottom"/>
          </w:tcPr>
          <w:p>
            <w:pPr>
              <w:jc w:val="center"/>
              <w:ind w:right="224"/>
              <w:spacing w:after="0"/>
              <w:rPr>
                <w:sz w:val="20"/>
                <w:szCs w:val="20"/>
                <w:color w:val="auto"/>
              </w:rPr>
            </w:pPr>
            <w:r>
              <w:rPr>
                <w:rFonts w:ascii="Arial" w:cs="Arial" w:eastAsia="Arial" w:hAnsi="Arial"/>
                <w:sz w:val="14"/>
                <w:szCs w:val="14"/>
                <w:color w:val="auto"/>
              </w:rPr>
              <w:t>via the Internet.</w:t>
            </w: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United States or from foreign</w:t>
            </w:r>
          </w:p>
        </w:tc>
        <w:tc>
          <w:tcPr>
            <w:tcW w:w="2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proxy materials.</w:t>
            </w:r>
          </w:p>
        </w:tc>
        <w:tc>
          <w:tcPr>
            <w:tcW w:w="200" w:type="dxa"/>
            <w:vAlign w:val="bottom"/>
          </w:tcPr>
          <w:p>
            <w:pPr>
              <w:spacing w:after="0"/>
              <w:rPr>
                <w:sz w:val="15"/>
                <w:szCs w:val="15"/>
                <w:color w:val="auto"/>
              </w:rPr>
            </w:pPr>
          </w:p>
        </w:tc>
        <w:tc>
          <w:tcPr>
            <w:tcW w:w="2240" w:type="dxa"/>
            <w:vAlign w:val="bottom"/>
          </w:tcPr>
          <w:p>
            <w:pPr>
              <w:jc w:val="center"/>
              <w:ind w:right="8"/>
              <w:spacing w:after="0"/>
              <w:rPr>
                <w:sz w:val="20"/>
                <w:szCs w:val="20"/>
                <w:color w:val="auto"/>
              </w:rPr>
            </w:pPr>
            <w:r>
              <w:rPr>
                <w:rFonts w:ascii="Arial" w:cs="Arial" w:eastAsia="Arial" w:hAnsi="Arial"/>
                <w:sz w:val="14"/>
                <w:szCs w:val="14"/>
                <w:color w:val="auto"/>
              </w:rPr>
              <w:t>business on the Record Date can</w:t>
            </w:r>
          </w:p>
        </w:tc>
      </w:tr>
      <w:tr>
        <w:trPr>
          <w:trHeight w:val="162"/>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countries from any touch-tone</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center"/>
              <w:ind w:right="8"/>
              <w:spacing w:after="0"/>
              <w:rPr>
                <w:sz w:val="20"/>
                <w:szCs w:val="20"/>
                <w:color w:val="auto"/>
              </w:rPr>
            </w:pPr>
            <w:r>
              <w:rPr>
                <w:rFonts w:ascii="Arial" w:cs="Arial" w:eastAsia="Arial" w:hAnsi="Arial"/>
                <w:sz w:val="14"/>
                <w:szCs w:val="14"/>
                <w:color w:val="auto"/>
              </w:rPr>
              <w:t>vote electronically at the virtual</w:t>
            </w:r>
          </w:p>
        </w:tc>
      </w:tr>
      <w:tr>
        <w:trPr>
          <w:trHeight w:val="175"/>
        </w:trPr>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telephone and follow the</w:t>
            </w:r>
          </w:p>
        </w:tc>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jc w:val="center"/>
              <w:ind w:right="8"/>
              <w:spacing w:after="0"/>
              <w:rPr>
                <w:sz w:val="20"/>
                <w:szCs w:val="20"/>
                <w:color w:val="auto"/>
              </w:rPr>
            </w:pPr>
            <w:r>
              <w:rPr>
                <w:rFonts w:ascii="Arial" w:cs="Arial" w:eastAsia="Arial" w:hAnsi="Arial"/>
                <w:sz w:val="14"/>
                <w:szCs w:val="14"/>
                <w:color w:val="auto"/>
              </w:rPr>
              <w:t>Annual Meeting.</w:t>
            </w:r>
          </w:p>
        </w:tc>
      </w:tr>
      <w:tr>
        <w:trPr>
          <w:trHeight w:val="190"/>
        </w:trPr>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rPr>
              <w:t>instructions.</w:t>
            </w: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690880</wp:posOffset>
            </wp:positionV>
            <wp:extent cx="75438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5829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460"/>
        <w:spacing w:after="0" w:line="287" w:lineRule="auto"/>
        <w:rPr>
          <w:sz w:val="20"/>
          <w:szCs w:val="20"/>
          <w:color w:val="auto"/>
        </w:rPr>
      </w:pPr>
      <w:r>
        <w:rPr>
          <w:rFonts w:ascii="Arial" w:cs="Arial" w:eastAsia="Arial" w:hAnsi="Arial"/>
          <w:sz w:val="18"/>
          <w:szCs w:val="18"/>
          <w:color w:val="auto"/>
        </w:rPr>
        <w:t>The following table sets forth certain information about our directors and executive officers as of the date of this proxy statement.</w:t>
      </w:r>
    </w:p>
    <w:p>
      <w:pPr>
        <w:spacing w:after="0" w:line="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b w:val="1"/>
                <w:bCs w:val="1"/>
                <w:color w:val="002554"/>
              </w:rPr>
              <w:t>​</w:t>
            </w:r>
          </w:p>
        </w:tc>
        <w:tc>
          <w:tcPr>
            <w:tcW w:w="192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Arial" w:cs="Arial" w:eastAsia="Arial" w:hAnsi="Arial"/>
                <w:sz w:val="14"/>
                <w:szCs w:val="14"/>
                <w:b w:val="1"/>
                <w:bCs w:val="1"/>
                <w:color w:val="002554"/>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554"/>
              </w:rPr>
              <w:t>Director or</w:t>
            </w:r>
          </w:p>
        </w:tc>
        <w:tc>
          <w:tcPr>
            <w:tcW w:w="500" w:type="dxa"/>
            <w:vAlign w:val="bottom"/>
          </w:tcPr>
          <w:p>
            <w:pPr>
              <w:ind w:left="160"/>
              <w:spacing w:after="0"/>
              <w:rPr>
                <w:sz w:val="20"/>
                <w:szCs w:val="20"/>
                <w:color w:val="auto"/>
              </w:rPr>
            </w:pPr>
            <w:r>
              <w:rPr>
                <w:rFonts w:ascii="Arial" w:cs="Arial" w:eastAsia="Arial" w:hAnsi="Arial"/>
                <w:sz w:val="14"/>
                <w:szCs w:val="14"/>
                <w:b w:val="1"/>
                <w:bCs w:val="1"/>
                <w:color w:val="002554"/>
              </w:rPr>
              <w:t>​  ​</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002554"/>
              </w:rPr>
              <w:t>​ ​</w:t>
            </w:r>
          </w:p>
        </w:tc>
        <w:tc>
          <w:tcPr>
            <w:tcW w:w="500" w:type="dxa"/>
            <w:vAlign w:val="bottom"/>
          </w:tcPr>
          <w:p>
            <w:pPr>
              <w:ind w:left="220"/>
              <w:spacing w:after="0"/>
              <w:rPr>
                <w:sz w:val="20"/>
                <w:szCs w:val="20"/>
                <w:color w:val="auto"/>
              </w:rPr>
            </w:pPr>
            <w:r>
              <w:rPr>
                <w:rFonts w:ascii="Arial" w:cs="Arial" w:eastAsia="Arial" w:hAnsi="Arial"/>
                <w:sz w:val="14"/>
                <w:szCs w:val="14"/>
                <w:b w:val="1"/>
                <w:bCs w:val="1"/>
                <w:color w:val="002554"/>
              </w:rPr>
              <w:t>​</w:t>
            </w:r>
          </w:p>
        </w:tc>
        <w:tc>
          <w:tcPr>
            <w:tcW w:w="460" w:type="dxa"/>
            <w:vAlign w:val="bottom"/>
            <w:gridSpan w:val="2"/>
          </w:tcPr>
          <w:p>
            <w:pPr>
              <w:ind w:left="220"/>
              <w:spacing w:after="0"/>
              <w:rPr>
                <w:sz w:val="20"/>
                <w:szCs w:val="20"/>
                <w:color w:val="auto"/>
              </w:rPr>
            </w:pPr>
            <w:r>
              <w:rPr>
                <w:rFonts w:ascii="Arial" w:cs="Arial" w:eastAsia="Arial" w:hAnsi="Arial"/>
                <w:sz w:val="14"/>
                <w:szCs w:val="14"/>
                <w:b w:val="1"/>
                <w:bCs w:val="1"/>
                <w:color w:val="002554"/>
              </w:rPr>
              <w:t>​ ​</w:t>
            </w: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002554"/>
              </w:rPr>
              <w:t>Committee Membership</w:t>
            </w:r>
          </w:p>
        </w:tc>
        <w:tc>
          <w:tcPr>
            <w:tcW w:w="3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76"/>
        </w:trPr>
        <w:tc>
          <w:tcPr>
            <w:tcW w:w="13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002554"/>
              </w:rPr>
              <w:t>Officer</w:t>
            </w: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bottom w:val="single" w:sz="8" w:color="00C389"/>
            </w:tcBorders>
          </w:tcPr>
          <w:p>
            <w:pPr>
              <w:spacing w:after="0"/>
              <w:rPr>
                <w:sz w:val="6"/>
                <w:szCs w:val="6"/>
                <w:color w:val="auto"/>
              </w:rPr>
            </w:pPr>
          </w:p>
        </w:tc>
        <w:tc>
          <w:tcPr>
            <w:tcW w:w="260" w:type="dxa"/>
            <w:vAlign w:val="bottom"/>
            <w:tcBorders>
              <w:bottom w:val="single" w:sz="8" w:color="00C389"/>
            </w:tcBorders>
          </w:tcPr>
          <w:p>
            <w:pPr>
              <w:spacing w:after="0"/>
              <w:rPr>
                <w:sz w:val="6"/>
                <w:szCs w:val="6"/>
                <w:color w:val="auto"/>
              </w:rPr>
            </w:pPr>
          </w:p>
        </w:tc>
        <w:tc>
          <w:tcPr>
            <w:tcW w:w="320" w:type="dxa"/>
            <w:vAlign w:val="bottom"/>
            <w:tcBorders>
              <w:bottom w:val="single" w:sz="8" w:color="00C389"/>
            </w:tcBorders>
          </w:tcPr>
          <w:p>
            <w:pPr>
              <w:spacing w:after="0"/>
              <w:rPr>
                <w:sz w:val="6"/>
                <w:szCs w:val="6"/>
                <w:color w:val="auto"/>
              </w:rPr>
            </w:pPr>
          </w:p>
        </w:tc>
        <w:tc>
          <w:tcPr>
            <w:tcW w:w="220" w:type="dxa"/>
            <w:vAlign w:val="bottom"/>
            <w:tcBorders>
              <w:bottom w:val="single" w:sz="8" w:color="00C389"/>
            </w:tcBorders>
          </w:tcPr>
          <w:p>
            <w:pPr>
              <w:spacing w:after="0"/>
              <w:rPr>
                <w:sz w:val="6"/>
                <w:szCs w:val="6"/>
                <w:color w:val="auto"/>
              </w:rPr>
            </w:pPr>
          </w:p>
        </w:tc>
        <w:tc>
          <w:tcPr>
            <w:tcW w:w="480" w:type="dxa"/>
            <w:vAlign w:val="bottom"/>
            <w:tcBorders>
              <w:bottom w:val="single" w:sz="8" w:color="00C389"/>
            </w:tcBorders>
          </w:tcPr>
          <w:p>
            <w:pPr>
              <w:spacing w:after="0"/>
              <w:rPr>
                <w:sz w:val="6"/>
                <w:szCs w:val="6"/>
                <w:color w:val="auto"/>
              </w:rPr>
            </w:pPr>
          </w:p>
        </w:tc>
        <w:tc>
          <w:tcPr>
            <w:tcW w:w="560" w:type="dxa"/>
            <w:vAlign w:val="bottom"/>
            <w:tcBorders>
              <w:bottom w:val="single" w:sz="8" w:color="00C389"/>
            </w:tcBorders>
          </w:tcPr>
          <w:p>
            <w:pPr>
              <w:spacing w:after="0"/>
              <w:rPr>
                <w:sz w:val="6"/>
                <w:szCs w:val="6"/>
                <w:color w:val="auto"/>
              </w:rPr>
            </w:pPr>
          </w:p>
        </w:tc>
        <w:tc>
          <w:tcPr>
            <w:tcW w:w="520" w:type="dxa"/>
            <w:vAlign w:val="bottom"/>
            <w:tcBorders>
              <w:bottom w:val="single" w:sz="8" w:color="00C389"/>
            </w:tcBorders>
          </w:tcPr>
          <w:p>
            <w:pPr>
              <w:spacing w:after="0"/>
              <w:rPr>
                <w:sz w:val="6"/>
                <w:szCs w:val="6"/>
                <w:color w:val="auto"/>
              </w:rPr>
            </w:pPr>
          </w:p>
        </w:tc>
        <w:tc>
          <w:tcPr>
            <w:tcW w:w="320" w:type="dxa"/>
            <w:vAlign w:val="bottom"/>
            <w:tcBorders>
              <w:bottom w:val="single" w:sz="8" w:color="00C389"/>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gridSpan w:val="2"/>
          </w:tcPr>
          <w:p>
            <w:pPr>
              <w:spacing w:after="0"/>
              <w:rPr>
                <w:sz w:val="20"/>
                <w:szCs w:val="20"/>
                <w:color w:val="auto"/>
              </w:rPr>
            </w:pPr>
            <w:r>
              <w:rPr>
                <w:rFonts w:ascii="Arial" w:cs="Arial" w:eastAsia="Arial" w:hAnsi="Arial"/>
                <w:sz w:val="14"/>
                <w:szCs w:val="14"/>
                <w:b w:val="1"/>
                <w:bCs w:val="1"/>
                <w:color w:val="002554"/>
              </w:rPr>
              <w:t>Name and Primary Occupation</w:t>
            </w:r>
          </w:p>
        </w:tc>
        <w:tc>
          <w:tcPr>
            <w:tcW w:w="580" w:type="dxa"/>
            <w:vAlign w:val="bottom"/>
          </w:tcPr>
          <w:p>
            <w:pPr>
              <w:ind w:left="420"/>
              <w:spacing w:after="0"/>
              <w:rPr>
                <w:sz w:val="20"/>
                <w:szCs w:val="20"/>
                <w:color w:val="auto"/>
              </w:rPr>
            </w:pPr>
            <w:r>
              <w:rPr>
                <w:rFonts w:ascii="Arial" w:cs="Arial" w:eastAsia="Arial" w:hAnsi="Arial"/>
                <w:sz w:val="14"/>
                <w:szCs w:val="14"/>
                <w:b w:val="1"/>
                <w:bCs w:val="1"/>
                <w:color w:val="002554"/>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2554"/>
              </w:rPr>
              <w:t>Since</w:t>
            </w:r>
          </w:p>
        </w:tc>
        <w:tc>
          <w:tcPr>
            <w:tcW w:w="4620" w:type="dxa"/>
            <w:vAlign w:val="bottom"/>
            <w:gridSpan w:val="13"/>
          </w:tcPr>
          <w:p>
            <w:pPr>
              <w:ind w:left="60"/>
              <w:spacing w:after="0" w:line="225" w:lineRule="exact"/>
              <w:rPr>
                <w:sz w:val="20"/>
                <w:szCs w:val="20"/>
                <w:color w:val="auto"/>
              </w:rPr>
            </w:pPr>
            <w:r>
              <w:rPr>
                <w:rFonts w:ascii="Arial" w:cs="Arial" w:eastAsia="Arial" w:hAnsi="Arial"/>
                <w:sz w:val="26"/>
                <w:szCs w:val="26"/>
                <w:b w:val="1"/>
                <w:bCs w:val="1"/>
                <w:color w:val="002554"/>
                <w:vertAlign w:val="subscript"/>
              </w:rPr>
              <w:t>​ ​</w:t>
            </w:r>
            <w:r>
              <w:rPr>
                <w:rFonts w:ascii="Arial" w:cs="Arial" w:eastAsia="Arial" w:hAnsi="Arial"/>
                <w:sz w:val="14"/>
                <w:szCs w:val="14"/>
                <w:b w:val="1"/>
                <w:bCs w:val="1"/>
                <w:color w:val="002554"/>
              </w:rPr>
              <w:t xml:space="preserve"> Age </w:t>
            </w:r>
            <w:r>
              <w:rPr>
                <w:rFonts w:ascii="Arial" w:cs="Arial" w:eastAsia="Arial" w:hAnsi="Arial"/>
                <w:sz w:val="26"/>
                <w:szCs w:val="26"/>
                <w:b w:val="1"/>
                <w:bCs w:val="1"/>
                <w:color w:val="002554"/>
                <w:vertAlign w:val="subscript"/>
              </w:rPr>
              <w:t>​ ​</w:t>
            </w:r>
            <w:r>
              <w:rPr>
                <w:rFonts w:ascii="Arial" w:cs="Arial" w:eastAsia="Arial" w:hAnsi="Arial"/>
                <w:sz w:val="14"/>
                <w:szCs w:val="14"/>
                <w:b w:val="1"/>
                <w:bCs w:val="1"/>
                <w:color w:val="002554"/>
              </w:rPr>
              <w:t xml:space="preserve"> Independent </w:t>
            </w:r>
            <w:r>
              <w:rPr>
                <w:rFonts w:ascii="Arial" w:cs="Arial" w:eastAsia="Arial" w:hAnsi="Arial"/>
                <w:sz w:val="26"/>
                <w:szCs w:val="26"/>
                <w:b w:val="1"/>
                <w:bCs w:val="1"/>
                <w:color w:val="002554"/>
                <w:vertAlign w:val="subscript"/>
              </w:rPr>
              <w:t>​ ​</w:t>
            </w:r>
            <w:r>
              <w:rPr>
                <w:rFonts w:ascii="Arial" w:cs="Arial" w:eastAsia="Arial" w:hAnsi="Arial"/>
                <w:sz w:val="14"/>
                <w:szCs w:val="14"/>
                <w:b w:val="1"/>
                <w:bCs w:val="1"/>
                <w:color w:val="002554"/>
              </w:rPr>
              <w:t xml:space="preserve"> Audit </w:t>
            </w:r>
            <w:r>
              <w:rPr>
                <w:rFonts w:ascii="Arial" w:cs="Arial" w:eastAsia="Arial" w:hAnsi="Arial"/>
                <w:sz w:val="26"/>
                <w:szCs w:val="26"/>
                <w:b w:val="1"/>
                <w:bCs w:val="1"/>
                <w:color w:val="002554"/>
                <w:vertAlign w:val="subscript"/>
              </w:rPr>
              <w:t>​ ​</w:t>
            </w:r>
            <w:r>
              <w:rPr>
                <w:rFonts w:ascii="Arial" w:cs="Arial" w:eastAsia="Arial" w:hAnsi="Arial"/>
                <w:sz w:val="14"/>
                <w:szCs w:val="14"/>
                <w:b w:val="1"/>
                <w:bCs w:val="1"/>
                <w:color w:val="002554"/>
              </w:rPr>
              <w:t xml:space="preserve"> Risk </w:t>
            </w:r>
            <w:r>
              <w:rPr>
                <w:rFonts w:ascii="Arial" w:cs="Arial" w:eastAsia="Arial" w:hAnsi="Arial"/>
                <w:sz w:val="26"/>
                <w:szCs w:val="26"/>
                <w:b w:val="1"/>
                <w:bCs w:val="1"/>
                <w:color w:val="002554"/>
                <w:vertAlign w:val="subscript"/>
              </w:rPr>
              <w:t>​ ​</w:t>
            </w:r>
            <w:r>
              <w:rPr>
                <w:rFonts w:ascii="Arial" w:cs="Arial" w:eastAsia="Arial" w:hAnsi="Arial"/>
                <w:sz w:val="14"/>
                <w:szCs w:val="14"/>
                <w:b w:val="1"/>
                <w:bCs w:val="1"/>
                <w:color w:val="002554"/>
              </w:rPr>
              <w:t xml:space="preserve"> Compensation </w:t>
            </w:r>
            <w:r>
              <w:rPr>
                <w:rFonts w:ascii="Arial" w:cs="Arial" w:eastAsia="Arial" w:hAnsi="Arial"/>
                <w:sz w:val="26"/>
                <w:szCs w:val="26"/>
                <w:b w:val="1"/>
                <w:bCs w:val="1"/>
                <w:color w:val="002554"/>
                <w:vertAlign w:val="subscript"/>
              </w:rPr>
              <w:t>​ ​</w:t>
            </w:r>
            <w:r>
              <w:rPr>
                <w:rFonts w:ascii="Arial" w:cs="Arial" w:eastAsia="Arial" w:hAnsi="Arial"/>
                <w:sz w:val="14"/>
                <w:szCs w:val="14"/>
                <w:b w:val="1"/>
                <w:bCs w:val="1"/>
                <w:color w:val="002554"/>
              </w:rPr>
              <w:t xml:space="preserve"> N&amp;CG</w:t>
            </w:r>
            <w:r>
              <w:rPr>
                <w:rFonts w:ascii="Arial" w:cs="Arial" w:eastAsia="Arial" w:hAnsi="Arial"/>
                <w:sz w:val="26"/>
                <w:szCs w:val="26"/>
                <w:b w:val="1"/>
                <w:bCs w:val="1"/>
                <w:color w:val="002554"/>
                <w:vertAlign w:val="subscript"/>
              </w:rPr>
              <w:t>​</w:t>
            </w:r>
          </w:p>
        </w:tc>
        <w:tc>
          <w:tcPr>
            <w:tcW w:w="0" w:type="dxa"/>
            <w:vAlign w:val="bottom"/>
          </w:tcPr>
          <w:p>
            <w:pPr>
              <w:spacing w:after="0"/>
              <w:rPr>
                <w:sz w:val="1"/>
                <w:szCs w:val="1"/>
                <w:color w:val="auto"/>
              </w:rPr>
            </w:pPr>
          </w:p>
        </w:tc>
      </w:tr>
      <w:tr>
        <w:trPr>
          <w:trHeight w:val="312"/>
        </w:trPr>
        <w:tc>
          <w:tcPr>
            <w:tcW w:w="1340" w:type="dxa"/>
            <w:vAlign w:val="bottom"/>
            <w:tcBorders>
              <w:top w:val="single" w:sz="8" w:color="00C389"/>
            </w:tcBorders>
          </w:tcPr>
          <w:p>
            <w:pPr>
              <w:spacing w:after="0"/>
              <w:rPr>
                <w:sz w:val="20"/>
                <w:szCs w:val="20"/>
                <w:color w:val="auto"/>
              </w:rPr>
            </w:pPr>
            <w:r>
              <w:rPr>
                <w:rFonts w:ascii="Arial" w:cs="Arial" w:eastAsia="Arial" w:hAnsi="Arial"/>
                <w:sz w:val="18"/>
                <w:szCs w:val="18"/>
                <w:b w:val="1"/>
                <w:bCs w:val="1"/>
                <w:color w:val="auto"/>
              </w:rPr>
              <w:t>Vincent Viola</w:t>
            </w:r>
          </w:p>
        </w:tc>
        <w:tc>
          <w:tcPr>
            <w:tcW w:w="1920" w:type="dxa"/>
            <w:vAlign w:val="bottom"/>
            <w:tcBorders>
              <w:top w:val="single" w:sz="8" w:color="00C389"/>
            </w:tcBorders>
          </w:tcPr>
          <w:p>
            <w:pPr>
              <w:spacing w:after="0"/>
              <w:rPr>
                <w:sz w:val="24"/>
                <w:szCs w:val="24"/>
                <w:color w:val="auto"/>
              </w:rPr>
            </w:pPr>
          </w:p>
        </w:tc>
        <w:tc>
          <w:tcPr>
            <w:tcW w:w="580" w:type="dxa"/>
            <w:vAlign w:val="bottom"/>
            <w:tcBorders>
              <w:top w:val="single" w:sz="8" w:color="00C389"/>
            </w:tcBorders>
          </w:tcPr>
          <w:p>
            <w:pPr>
              <w:ind w:left="420"/>
              <w:spacing w:after="0"/>
              <w:rPr>
                <w:sz w:val="20"/>
                <w:szCs w:val="20"/>
                <w:color w:val="auto"/>
              </w:rPr>
            </w:pPr>
            <w:r>
              <w:rPr>
                <w:rFonts w:ascii="Arial" w:cs="Arial" w:eastAsia="Arial" w:hAnsi="Arial"/>
                <w:sz w:val="18"/>
                <w:szCs w:val="18"/>
                <w:color w:val="auto"/>
              </w:rPr>
              <w:t>​ ​</w:t>
            </w:r>
          </w:p>
        </w:tc>
        <w:tc>
          <w:tcPr>
            <w:tcW w:w="780" w:type="dxa"/>
            <w:vAlign w:val="bottom"/>
            <w:tcBorders>
              <w:top w:val="single" w:sz="8" w:color="00C389"/>
            </w:tcBorders>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Borders>
              <w:top w:val="single" w:sz="8" w:color="00C389"/>
            </w:tcBorders>
          </w:tcPr>
          <w:p>
            <w:pPr>
              <w:ind w:left="60"/>
              <w:spacing w:after="0" w:line="312"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66</w:t>
            </w:r>
          </w:p>
        </w:tc>
        <w:tc>
          <w:tcPr>
            <w:tcW w:w="420" w:type="dxa"/>
            <w:vAlign w:val="bottom"/>
            <w:tcBorders>
              <w:top w:val="single" w:sz="8" w:color="00C389"/>
            </w:tcBorders>
          </w:tcPr>
          <w:p>
            <w:pPr>
              <w:ind w:left="6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00C389"/>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00C389"/>
            </w:tcBorders>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00C389"/>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00C389"/>
            </w:tcBorders>
          </w:tcPr>
          <w:p>
            <w:pPr>
              <w:ind w:left="8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00C389"/>
            </w:tcBorders>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top w:val="single" w:sz="8" w:color="00C389"/>
            </w:tcBorders>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00C389"/>
            </w:tcBorders>
          </w:tcPr>
          <w:p>
            <w:pPr>
              <w:ind w:left="240"/>
              <w:spacing w:after="0"/>
              <w:rPr>
                <w:sz w:val="20"/>
                <w:szCs w:val="20"/>
                <w:color w:val="auto"/>
              </w:rPr>
            </w:pPr>
            <w:r>
              <w:rPr>
                <w:rFonts w:ascii="Arial" w:cs="Arial" w:eastAsia="Arial" w:hAnsi="Arial"/>
                <w:sz w:val="18"/>
                <w:szCs w:val="18"/>
                <w:color w:val="auto"/>
              </w:rPr>
              <w:t>​ ​</w:t>
            </w:r>
          </w:p>
        </w:tc>
        <w:tc>
          <w:tcPr>
            <w:tcW w:w="320" w:type="dxa"/>
            <w:vAlign w:val="bottom"/>
            <w:tcBorders>
              <w:top w:val="single" w:sz="8" w:color="00C389"/>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Arial" w:cs="Arial" w:eastAsia="Arial" w:hAnsi="Arial"/>
                <w:sz w:val="18"/>
                <w:szCs w:val="18"/>
                <w:color w:val="auto"/>
              </w:rPr>
              <w:t>Founder and Chairman Emeritus</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340" w:type="dxa"/>
            <w:vAlign w:val="bottom"/>
            <w:tcBorders>
              <w:bottom w:val="single" w:sz="8" w:color="00C389"/>
            </w:tcBorders>
          </w:tcPr>
          <w:p>
            <w:pPr>
              <w:spacing w:after="0"/>
              <w:rPr>
                <w:sz w:val="13"/>
                <w:szCs w:val="13"/>
                <w:color w:val="auto"/>
              </w:rPr>
            </w:pPr>
          </w:p>
        </w:tc>
        <w:tc>
          <w:tcPr>
            <w:tcW w:w="1920" w:type="dxa"/>
            <w:vAlign w:val="bottom"/>
            <w:tcBorders>
              <w:bottom w:val="single" w:sz="8" w:color="00C389"/>
            </w:tcBorders>
          </w:tcPr>
          <w:p>
            <w:pPr>
              <w:spacing w:after="0"/>
              <w:rPr>
                <w:sz w:val="13"/>
                <w:szCs w:val="13"/>
                <w:color w:val="auto"/>
              </w:rPr>
            </w:pPr>
          </w:p>
        </w:tc>
        <w:tc>
          <w:tcPr>
            <w:tcW w:w="580" w:type="dxa"/>
            <w:vAlign w:val="bottom"/>
            <w:tcBorders>
              <w:bottom w:val="single" w:sz="8" w:color="00C389"/>
            </w:tcBorders>
          </w:tcPr>
          <w:p>
            <w:pPr>
              <w:spacing w:after="0"/>
              <w:rPr>
                <w:sz w:val="13"/>
                <w:szCs w:val="13"/>
                <w:color w:val="auto"/>
              </w:rPr>
            </w:pPr>
          </w:p>
        </w:tc>
        <w:tc>
          <w:tcPr>
            <w:tcW w:w="780" w:type="dxa"/>
            <w:vAlign w:val="bottom"/>
            <w:tcBorders>
              <w:bottom w:val="single" w:sz="8" w:color="00C389"/>
            </w:tcBorders>
          </w:tcPr>
          <w:p>
            <w:pPr>
              <w:spacing w:after="0"/>
              <w:rPr>
                <w:sz w:val="13"/>
                <w:szCs w:val="13"/>
                <w:color w:val="auto"/>
              </w:rPr>
            </w:pPr>
          </w:p>
        </w:tc>
        <w:tc>
          <w:tcPr>
            <w:tcW w:w="500" w:type="dxa"/>
            <w:vAlign w:val="bottom"/>
            <w:tcBorders>
              <w:bottom w:val="single" w:sz="8" w:color="00C389"/>
            </w:tcBorders>
          </w:tcPr>
          <w:p>
            <w:pPr>
              <w:spacing w:after="0"/>
              <w:rPr>
                <w:sz w:val="13"/>
                <w:szCs w:val="13"/>
                <w:color w:val="auto"/>
              </w:rPr>
            </w:pPr>
          </w:p>
        </w:tc>
        <w:tc>
          <w:tcPr>
            <w:tcW w:w="420" w:type="dxa"/>
            <w:vAlign w:val="bottom"/>
            <w:tcBorders>
              <w:bottom w:val="single" w:sz="8" w:color="00C389"/>
            </w:tcBorders>
          </w:tcPr>
          <w:p>
            <w:pPr>
              <w:spacing w:after="0"/>
              <w:rPr>
                <w:sz w:val="13"/>
                <w:szCs w:val="13"/>
                <w:color w:val="auto"/>
              </w:rPr>
            </w:pPr>
          </w:p>
        </w:tc>
        <w:tc>
          <w:tcPr>
            <w:tcW w:w="500" w:type="dxa"/>
            <w:vAlign w:val="bottom"/>
            <w:tcBorders>
              <w:bottom w:val="single" w:sz="8" w:color="00C389"/>
            </w:tcBorders>
          </w:tcPr>
          <w:p>
            <w:pPr>
              <w:spacing w:after="0"/>
              <w:rPr>
                <w:sz w:val="13"/>
                <w:szCs w:val="13"/>
                <w:color w:val="auto"/>
              </w:rPr>
            </w:pPr>
          </w:p>
        </w:tc>
        <w:tc>
          <w:tcPr>
            <w:tcW w:w="260" w:type="dxa"/>
            <w:vAlign w:val="bottom"/>
            <w:tcBorders>
              <w:bottom w:val="single" w:sz="8" w:color="00C389"/>
            </w:tcBorders>
          </w:tcPr>
          <w:p>
            <w:pPr>
              <w:spacing w:after="0"/>
              <w:rPr>
                <w:sz w:val="13"/>
                <w:szCs w:val="13"/>
                <w:color w:val="auto"/>
              </w:rPr>
            </w:pPr>
          </w:p>
        </w:tc>
        <w:tc>
          <w:tcPr>
            <w:tcW w:w="200" w:type="dxa"/>
            <w:vAlign w:val="bottom"/>
            <w:tcBorders>
              <w:bottom w:val="single" w:sz="8" w:color="00C389"/>
            </w:tcBorders>
          </w:tcPr>
          <w:p>
            <w:pPr>
              <w:spacing w:after="0"/>
              <w:rPr>
                <w:sz w:val="13"/>
                <w:szCs w:val="13"/>
                <w:color w:val="auto"/>
              </w:rPr>
            </w:pPr>
          </w:p>
        </w:tc>
        <w:tc>
          <w:tcPr>
            <w:tcW w:w="260" w:type="dxa"/>
            <w:vAlign w:val="bottom"/>
            <w:tcBorders>
              <w:bottom w:val="single" w:sz="8" w:color="00C389"/>
            </w:tcBorders>
          </w:tcPr>
          <w:p>
            <w:pPr>
              <w:spacing w:after="0"/>
              <w:rPr>
                <w:sz w:val="13"/>
                <w:szCs w:val="13"/>
                <w:color w:val="auto"/>
              </w:rPr>
            </w:pPr>
          </w:p>
        </w:tc>
        <w:tc>
          <w:tcPr>
            <w:tcW w:w="320" w:type="dxa"/>
            <w:vAlign w:val="bottom"/>
            <w:tcBorders>
              <w:bottom w:val="single" w:sz="8" w:color="00C389"/>
            </w:tcBorders>
          </w:tcPr>
          <w:p>
            <w:pPr>
              <w:spacing w:after="0"/>
              <w:rPr>
                <w:sz w:val="13"/>
                <w:szCs w:val="13"/>
                <w:color w:val="auto"/>
              </w:rPr>
            </w:pPr>
          </w:p>
        </w:tc>
        <w:tc>
          <w:tcPr>
            <w:tcW w:w="220" w:type="dxa"/>
            <w:vAlign w:val="bottom"/>
            <w:tcBorders>
              <w:bottom w:val="single" w:sz="8" w:color="00C389"/>
            </w:tcBorders>
          </w:tcPr>
          <w:p>
            <w:pPr>
              <w:spacing w:after="0"/>
              <w:rPr>
                <w:sz w:val="13"/>
                <w:szCs w:val="13"/>
                <w:color w:val="auto"/>
              </w:rPr>
            </w:pPr>
          </w:p>
        </w:tc>
        <w:tc>
          <w:tcPr>
            <w:tcW w:w="480" w:type="dxa"/>
            <w:vAlign w:val="bottom"/>
            <w:tcBorders>
              <w:bottom w:val="single" w:sz="8" w:color="00C389"/>
            </w:tcBorders>
          </w:tcPr>
          <w:p>
            <w:pPr>
              <w:spacing w:after="0"/>
              <w:rPr>
                <w:sz w:val="13"/>
                <w:szCs w:val="13"/>
                <w:color w:val="auto"/>
              </w:rPr>
            </w:pPr>
          </w:p>
        </w:tc>
        <w:tc>
          <w:tcPr>
            <w:tcW w:w="560" w:type="dxa"/>
            <w:vAlign w:val="bottom"/>
            <w:tcBorders>
              <w:bottom w:val="single" w:sz="8" w:color="00C389"/>
            </w:tcBorders>
          </w:tcPr>
          <w:p>
            <w:pPr>
              <w:spacing w:after="0"/>
              <w:rPr>
                <w:sz w:val="13"/>
                <w:szCs w:val="13"/>
                <w:color w:val="auto"/>
              </w:rPr>
            </w:pPr>
          </w:p>
        </w:tc>
        <w:tc>
          <w:tcPr>
            <w:tcW w:w="520" w:type="dxa"/>
            <w:vAlign w:val="bottom"/>
            <w:tcBorders>
              <w:bottom w:val="single" w:sz="8" w:color="00C389"/>
            </w:tcBorders>
          </w:tcPr>
          <w:p>
            <w:pPr>
              <w:spacing w:after="0"/>
              <w:rPr>
                <w:sz w:val="13"/>
                <w:szCs w:val="13"/>
                <w:color w:val="auto"/>
              </w:rPr>
            </w:pPr>
          </w:p>
        </w:tc>
        <w:tc>
          <w:tcPr>
            <w:tcW w:w="320" w:type="dxa"/>
            <w:vAlign w:val="bottom"/>
            <w:tcBorders>
              <w:bottom w:val="single" w:sz="8" w:color="00C389"/>
            </w:tcBorders>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340" w:type="dxa"/>
            <w:vAlign w:val="bottom"/>
          </w:tcPr>
          <w:p>
            <w:pPr>
              <w:spacing w:after="0"/>
              <w:rPr>
                <w:sz w:val="20"/>
                <w:szCs w:val="20"/>
                <w:color w:val="auto"/>
              </w:rPr>
            </w:pPr>
            <w:r>
              <w:rPr>
                <w:rFonts w:ascii="Arial" w:cs="Arial" w:eastAsia="Arial" w:hAnsi="Arial"/>
                <w:sz w:val="18"/>
                <w:szCs w:val="18"/>
                <w:b w:val="1"/>
                <w:bCs w:val="1"/>
                <w:color w:val="auto"/>
                <w:w w:val="98"/>
              </w:rPr>
              <w:t>Douglas A. Cifu</w:t>
            </w:r>
          </w:p>
        </w:tc>
        <w:tc>
          <w:tcPr>
            <w:tcW w:w="1920" w:type="dxa"/>
            <w:vAlign w:val="bottom"/>
          </w:tcPr>
          <w:p>
            <w:pPr>
              <w:spacing w:after="0"/>
              <w:rPr>
                <w:sz w:val="21"/>
                <w:szCs w:val="21"/>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2013</w:t>
            </w:r>
          </w:p>
        </w:tc>
        <w:tc>
          <w:tcPr>
            <w:tcW w:w="500" w:type="dxa"/>
            <w:vAlign w:val="bottom"/>
          </w:tcPr>
          <w:p>
            <w:pPr>
              <w:ind w:left="60"/>
              <w:spacing w:after="0"/>
              <w:rPr>
                <w:sz w:val="20"/>
                <w:szCs w:val="20"/>
                <w:color w:val="auto"/>
              </w:rPr>
            </w:pPr>
            <w:r>
              <w:rPr>
                <w:rFonts w:ascii="Arial" w:cs="Arial" w:eastAsia="Arial" w:hAnsi="Arial"/>
                <w:sz w:val="18"/>
                <w:szCs w:val="18"/>
                <w:color w:val="auto"/>
              </w:rPr>
              <w:t>​ ​ 56</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340" w:type="dxa"/>
            <w:vAlign w:val="bottom"/>
            <w:tcBorders>
              <w:bottom w:val="single" w:sz="8" w:color="00C389"/>
            </w:tcBorders>
          </w:tcPr>
          <w:p>
            <w:pPr>
              <w:spacing w:after="0"/>
              <w:rPr>
                <w:sz w:val="7"/>
                <w:szCs w:val="7"/>
                <w:color w:val="auto"/>
              </w:rPr>
            </w:pPr>
          </w:p>
        </w:tc>
        <w:tc>
          <w:tcPr>
            <w:tcW w:w="1920" w:type="dxa"/>
            <w:vAlign w:val="bottom"/>
            <w:tcBorders>
              <w:bottom w:val="single" w:sz="8" w:color="00C389"/>
            </w:tcBorders>
          </w:tcPr>
          <w:p>
            <w:pPr>
              <w:spacing w:after="0"/>
              <w:rPr>
                <w:sz w:val="7"/>
                <w:szCs w:val="7"/>
                <w:color w:val="auto"/>
              </w:rPr>
            </w:pPr>
          </w:p>
        </w:tc>
        <w:tc>
          <w:tcPr>
            <w:tcW w:w="580" w:type="dxa"/>
            <w:vAlign w:val="bottom"/>
            <w:tcBorders>
              <w:bottom w:val="single" w:sz="8" w:color="00C389"/>
            </w:tcBorders>
          </w:tcPr>
          <w:p>
            <w:pPr>
              <w:spacing w:after="0"/>
              <w:rPr>
                <w:sz w:val="7"/>
                <w:szCs w:val="7"/>
                <w:color w:val="auto"/>
              </w:rPr>
            </w:pPr>
          </w:p>
        </w:tc>
        <w:tc>
          <w:tcPr>
            <w:tcW w:w="780" w:type="dxa"/>
            <w:vAlign w:val="bottom"/>
            <w:tcBorders>
              <w:bottom w:val="single" w:sz="8" w:color="00C389"/>
            </w:tcBorders>
          </w:tcPr>
          <w:p>
            <w:pPr>
              <w:spacing w:after="0"/>
              <w:rPr>
                <w:sz w:val="7"/>
                <w:szCs w:val="7"/>
                <w:color w:val="auto"/>
              </w:rPr>
            </w:pPr>
          </w:p>
        </w:tc>
        <w:tc>
          <w:tcPr>
            <w:tcW w:w="500" w:type="dxa"/>
            <w:vAlign w:val="bottom"/>
            <w:tcBorders>
              <w:bottom w:val="single" w:sz="8" w:color="00C389"/>
            </w:tcBorders>
          </w:tcPr>
          <w:p>
            <w:pPr>
              <w:spacing w:after="0"/>
              <w:rPr>
                <w:sz w:val="7"/>
                <w:szCs w:val="7"/>
                <w:color w:val="auto"/>
              </w:rPr>
            </w:pPr>
          </w:p>
        </w:tc>
        <w:tc>
          <w:tcPr>
            <w:tcW w:w="420" w:type="dxa"/>
            <w:vAlign w:val="bottom"/>
            <w:tcBorders>
              <w:bottom w:val="single" w:sz="8" w:color="00C389"/>
            </w:tcBorders>
          </w:tcPr>
          <w:p>
            <w:pPr>
              <w:spacing w:after="0"/>
              <w:rPr>
                <w:sz w:val="7"/>
                <w:szCs w:val="7"/>
                <w:color w:val="auto"/>
              </w:rPr>
            </w:pPr>
          </w:p>
        </w:tc>
        <w:tc>
          <w:tcPr>
            <w:tcW w:w="500" w:type="dxa"/>
            <w:vAlign w:val="bottom"/>
            <w:tcBorders>
              <w:bottom w:val="single" w:sz="8" w:color="00C389"/>
            </w:tcBorders>
          </w:tcPr>
          <w:p>
            <w:pPr>
              <w:spacing w:after="0"/>
              <w:rPr>
                <w:sz w:val="7"/>
                <w:szCs w:val="7"/>
                <w:color w:val="auto"/>
              </w:rPr>
            </w:pPr>
          </w:p>
        </w:tc>
        <w:tc>
          <w:tcPr>
            <w:tcW w:w="260" w:type="dxa"/>
            <w:vAlign w:val="bottom"/>
            <w:tcBorders>
              <w:bottom w:val="single" w:sz="8" w:color="00C389"/>
            </w:tcBorders>
          </w:tcPr>
          <w:p>
            <w:pPr>
              <w:spacing w:after="0"/>
              <w:rPr>
                <w:sz w:val="7"/>
                <w:szCs w:val="7"/>
                <w:color w:val="auto"/>
              </w:rPr>
            </w:pPr>
          </w:p>
        </w:tc>
        <w:tc>
          <w:tcPr>
            <w:tcW w:w="200" w:type="dxa"/>
            <w:vAlign w:val="bottom"/>
            <w:tcBorders>
              <w:bottom w:val="single" w:sz="8" w:color="00C389"/>
            </w:tcBorders>
          </w:tcPr>
          <w:p>
            <w:pPr>
              <w:spacing w:after="0"/>
              <w:rPr>
                <w:sz w:val="7"/>
                <w:szCs w:val="7"/>
                <w:color w:val="auto"/>
              </w:rPr>
            </w:pPr>
          </w:p>
        </w:tc>
        <w:tc>
          <w:tcPr>
            <w:tcW w:w="260" w:type="dxa"/>
            <w:vAlign w:val="bottom"/>
            <w:tcBorders>
              <w:bottom w:val="single" w:sz="8" w:color="00C389"/>
            </w:tcBorders>
          </w:tcPr>
          <w:p>
            <w:pPr>
              <w:spacing w:after="0"/>
              <w:rPr>
                <w:sz w:val="7"/>
                <w:szCs w:val="7"/>
                <w:color w:val="auto"/>
              </w:rPr>
            </w:pPr>
          </w:p>
        </w:tc>
        <w:tc>
          <w:tcPr>
            <w:tcW w:w="320" w:type="dxa"/>
            <w:vAlign w:val="bottom"/>
            <w:tcBorders>
              <w:bottom w:val="single" w:sz="8" w:color="00C389"/>
            </w:tcBorders>
          </w:tcPr>
          <w:p>
            <w:pPr>
              <w:spacing w:after="0"/>
              <w:rPr>
                <w:sz w:val="7"/>
                <w:szCs w:val="7"/>
                <w:color w:val="auto"/>
              </w:rPr>
            </w:pPr>
          </w:p>
        </w:tc>
        <w:tc>
          <w:tcPr>
            <w:tcW w:w="220" w:type="dxa"/>
            <w:vAlign w:val="bottom"/>
            <w:tcBorders>
              <w:bottom w:val="single" w:sz="8" w:color="00C389"/>
            </w:tcBorders>
          </w:tcPr>
          <w:p>
            <w:pPr>
              <w:spacing w:after="0"/>
              <w:rPr>
                <w:sz w:val="7"/>
                <w:szCs w:val="7"/>
                <w:color w:val="auto"/>
              </w:rPr>
            </w:pPr>
          </w:p>
        </w:tc>
        <w:tc>
          <w:tcPr>
            <w:tcW w:w="480" w:type="dxa"/>
            <w:vAlign w:val="bottom"/>
            <w:tcBorders>
              <w:bottom w:val="single" w:sz="8" w:color="00C389"/>
            </w:tcBorders>
          </w:tcPr>
          <w:p>
            <w:pPr>
              <w:spacing w:after="0"/>
              <w:rPr>
                <w:sz w:val="7"/>
                <w:szCs w:val="7"/>
                <w:color w:val="auto"/>
              </w:rPr>
            </w:pPr>
          </w:p>
        </w:tc>
        <w:tc>
          <w:tcPr>
            <w:tcW w:w="560" w:type="dxa"/>
            <w:vAlign w:val="bottom"/>
            <w:tcBorders>
              <w:bottom w:val="single" w:sz="8" w:color="00C389"/>
            </w:tcBorders>
          </w:tcPr>
          <w:p>
            <w:pPr>
              <w:spacing w:after="0"/>
              <w:rPr>
                <w:sz w:val="7"/>
                <w:szCs w:val="7"/>
                <w:color w:val="auto"/>
              </w:rPr>
            </w:pPr>
          </w:p>
        </w:tc>
        <w:tc>
          <w:tcPr>
            <w:tcW w:w="520" w:type="dxa"/>
            <w:vAlign w:val="bottom"/>
            <w:tcBorders>
              <w:bottom w:val="single" w:sz="8" w:color="00C389"/>
            </w:tcBorders>
          </w:tcPr>
          <w:p>
            <w:pPr>
              <w:spacing w:after="0"/>
              <w:rPr>
                <w:sz w:val="7"/>
                <w:szCs w:val="7"/>
                <w:color w:val="auto"/>
              </w:rPr>
            </w:pPr>
          </w:p>
        </w:tc>
        <w:tc>
          <w:tcPr>
            <w:tcW w:w="320" w:type="dxa"/>
            <w:vAlign w:val="bottom"/>
            <w:tcBorders>
              <w:bottom w:val="single" w:sz="8" w:color="00C389"/>
            </w:tcBorders>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Arial" w:cs="Arial" w:eastAsia="Arial" w:hAnsi="Arial"/>
                <w:sz w:val="18"/>
                <w:szCs w:val="18"/>
                <w:b w:val="1"/>
                <w:bCs w:val="1"/>
                <w:color w:val="auto"/>
              </w:rPr>
              <w:t>Robert Greifeld</w:t>
            </w:r>
          </w:p>
        </w:tc>
        <w:tc>
          <w:tcPr>
            <w:tcW w:w="1920" w:type="dxa"/>
            <w:vAlign w:val="bottom"/>
          </w:tcPr>
          <w:p>
            <w:pPr>
              <w:spacing w:after="0"/>
              <w:rPr>
                <w:sz w:val="22"/>
                <w:szCs w:val="22"/>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64</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260" w:type="dxa"/>
            <w:vAlign w:val="bottom"/>
            <w:tcBorders>
              <w:bottom w:val="single" w:sz="8" w:color="00C389"/>
            </w:tcBorders>
            <w:gridSpan w:val="2"/>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William F. Cruger, Jr.</w:t>
            </w: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63</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260" w:type="dxa"/>
            <w:vAlign w:val="bottom"/>
            <w:tcBorders>
              <w:bottom w:val="single" w:sz="8" w:color="00C389"/>
            </w:tcBorders>
            <w:gridSpan w:val="2"/>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Virginia Gambale</w:t>
            </w: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62</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260" w:type="dxa"/>
            <w:vAlign w:val="bottom"/>
            <w:tcBorders>
              <w:bottom w:val="single" w:sz="8" w:color="00C389"/>
            </w:tcBorders>
            <w:gridSpan w:val="2"/>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Joseph J. Grano, Jr.</w:t>
            </w: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74</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260" w:type="dxa"/>
            <w:vAlign w:val="bottom"/>
            <w:tcBorders>
              <w:bottom w:val="single" w:sz="8" w:color="00C389"/>
            </w:tcBorders>
            <w:gridSpan w:val="2"/>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Joanne M. Minieri</w:t>
            </w: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61</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340" w:type="dxa"/>
            <w:vAlign w:val="bottom"/>
            <w:tcBorders>
              <w:bottom w:val="single" w:sz="8" w:color="00C389"/>
            </w:tcBorders>
          </w:tcPr>
          <w:p>
            <w:pPr>
              <w:spacing w:after="0"/>
              <w:rPr>
                <w:sz w:val="5"/>
                <w:szCs w:val="5"/>
                <w:color w:val="auto"/>
              </w:rPr>
            </w:pPr>
          </w:p>
        </w:tc>
        <w:tc>
          <w:tcPr>
            <w:tcW w:w="1920" w:type="dxa"/>
            <w:vAlign w:val="bottom"/>
            <w:tcBorders>
              <w:bottom w:val="single" w:sz="8" w:color="00C389"/>
            </w:tcBorders>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Arial" w:cs="Arial" w:eastAsia="Arial" w:hAnsi="Arial"/>
                <w:sz w:val="18"/>
                <w:szCs w:val="18"/>
                <w:b w:val="1"/>
                <w:bCs w:val="1"/>
                <w:color w:val="auto"/>
              </w:rPr>
              <w:t>John D. Nixon</w:t>
            </w:r>
          </w:p>
        </w:tc>
        <w:tc>
          <w:tcPr>
            <w:tcW w:w="1920" w:type="dxa"/>
            <w:vAlign w:val="bottom"/>
          </w:tcPr>
          <w:p>
            <w:pPr>
              <w:spacing w:after="0"/>
              <w:rPr>
                <w:sz w:val="22"/>
                <w:szCs w:val="22"/>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66</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3260" w:type="dxa"/>
            <w:vAlign w:val="bottom"/>
            <w:tcBorders>
              <w:bottom w:val="single" w:sz="8" w:color="00C389"/>
            </w:tcBorders>
            <w:gridSpan w:val="2"/>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Christopher C. Quick</w:t>
            </w: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64</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340" w:type="dxa"/>
            <w:vAlign w:val="bottom"/>
            <w:tcBorders>
              <w:bottom w:val="single" w:sz="8" w:color="00C389"/>
            </w:tcBorders>
          </w:tcPr>
          <w:p>
            <w:pPr>
              <w:spacing w:after="0"/>
              <w:rPr>
                <w:sz w:val="5"/>
                <w:szCs w:val="5"/>
                <w:color w:val="auto"/>
              </w:rPr>
            </w:pPr>
          </w:p>
        </w:tc>
        <w:tc>
          <w:tcPr>
            <w:tcW w:w="1920" w:type="dxa"/>
            <w:vAlign w:val="bottom"/>
            <w:tcBorders>
              <w:bottom w:val="single" w:sz="8" w:color="00C389"/>
            </w:tcBorders>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Arial" w:cs="Arial" w:eastAsia="Arial" w:hAnsi="Arial"/>
                <w:sz w:val="18"/>
                <w:szCs w:val="18"/>
                <w:b w:val="1"/>
                <w:bCs w:val="1"/>
                <w:color w:val="auto"/>
              </w:rPr>
              <w:t>David J. Urban</w:t>
            </w:r>
          </w:p>
        </w:tc>
        <w:tc>
          <w:tcPr>
            <w:tcW w:w="1920" w:type="dxa"/>
            <w:vAlign w:val="bottom"/>
          </w:tcPr>
          <w:p>
            <w:pPr>
              <w:spacing w:after="0"/>
              <w:rPr>
                <w:sz w:val="22"/>
                <w:szCs w:val="22"/>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58</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22"/>
                <w:szCs w:val="22"/>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340" w:type="dxa"/>
            <w:vAlign w:val="bottom"/>
            <w:tcBorders>
              <w:bottom w:val="single" w:sz="8" w:color="00C389"/>
            </w:tcBorders>
          </w:tcPr>
          <w:p>
            <w:pPr>
              <w:spacing w:after="0"/>
              <w:rPr>
                <w:sz w:val="5"/>
                <w:szCs w:val="5"/>
                <w:color w:val="auto"/>
              </w:rPr>
            </w:pPr>
          </w:p>
        </w:tc>
        <w:tc>
          <w:tcPr>
            <w:tcW w:w="1920" w:type="dxa"/>
            <w:vAlign w:val="bottom"/>
            <w:tcBorders>
              <w:bottom w:val="single" w:sz="8" w:color="00C389"/>
            </w:tcBorders>
          </w:tcPr>
          <w:p>
            <w:pPr>
              <w:spacing w:after="0"/>
              <w:rPr>
                <w:sz w:val="5"/>
                <w:szCs w:val="5"/>
                <w:color w:val="auto"/>
              </w:rPr>
            </w:pPr>
          </w:p>
        </w:tc>
        <w:tc>
          <w:tcPr>
            <w:tcW w:w="580" w:type="dxa"/>
            <w:vAlign w:val="bottom"/>
            <w:tcBorders>
              <w:bottom w:val="single" w:sz="8" w:color="00C389"/>
            </w:tcBorders>
          </w:tcPr>
          <w:p>
            <w:pPr>
              <w:spacing w:after="0"/>
              <w:rPr>
                <w:sz w:val="5"/>
                <w:szCs w:val="5"/>
                <w:color w:val="auto"/>
              </w:rPr>
            </w:pPr>
          </w:p>
        </w:tc>
        <w:tc>
          <w:tcPr>
            <w:tcW w:w="78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420" w:type="dxa"/>
            <w:vAlign w:val="bottom"/>
            <w:tcBorders>
              <w:bottom w:val="single" w:sz="8" w:color="00C389"/>
            </w:tcBorders>
          </w:tcPr>
          <w:p>
            <w:pPr>
              <w:spacing w:after="0"/>
              <w:rPr>
                <w:sz w:val="5"/>
                <w:szCs w:val="5"/>
                <w:color w:val="auto"/>
              </w:rPr>
            </w:pPr>
          </w:p>
        </w:tc>
        <w:tc>
          <w:tcPr>
            <w:tcW w:w="5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200" w:type="dxa"/>
            <w:vAlign w:val="bottom"/>
            <w:tcBorders>
              <w:bottom w:val="single" w:sz="8" w:color="00C389"/>
            </w:tcBorders>
          </w:tcPr>
          <w:p>
            <w:pPr>
              <w:spacing w:after="0"/>
              <w:rPr>
                <w:sz w:val="5"/>
                <w:szCs w:val="5"/>
                <w:color w:val="auto"/>
              </w:rPr>
            </w:pPr>
          </w:p>
        </w:tc>
        <w:tc>
          <w:tcPr>
            <w:tcW w:w="26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220" w:type="dxa"/>
            <w:vAlign w:val="bottom"/>
            <w:tcBorders>
              <w:bottom w:val="single" w:sz="8" w:color="00C389"/>
            </w:tcBorders>
          </w:tcPr>
          <w:p>
            <w:pPr>
              <w:spacing w:after="0"/>
              <w:rPr>
                <w:sz w:val="5"/>
                <w:szCs w:val="5"/>
                <w:color w:val="auto"/>
              </w:rPr>
            </w:pPr>
          </w:p>
        </w:tc>
        <w:tc>
          <w:tcPr>
            <w:tcW w:w="480" w:type="dxa"/>
            <w:vAlign w:val="bottom"/>
            <w:tcBorders>
              <w:bottom w:val="single" w:sz="8" w:color="00C389"/>
            </w:tcBorders>
          </w:tcPr>
          <w:p>
            <w:pPr>
              <w:spacing w:after="0"/>
              <w:rPr>
                <w:sz w:val="5"/>
                <w:szCs w:val="5"/>
                <w:color w:val="auto"/>
              </w:rPr>
            </w:pPr>
          </w:p>
        </w:tc>
        <w:tc>
          <w:tcPr>
            <w:tcW w:w="560" w:type="dxa"/>
            <w:vAlign w:val="bottom"/>
            <w:tcBorders>
              <w:bottom w:val="single" w:sz="8" w:color="00C389"/>
            </w:tcBorders>
          </w:tcPr>
          <w:p>
            <w:pPr>
              <w:spacing w:after="0"/>
              <w:rPr>
                <w:sz w:val="5"/>
                <w:szCs w:val="5"/>
                <w:color w:val="auto"/>
              </w:rPr>
            </w:pPr>
          </w:p>
        </w:tc>
        <w:tc>
          <w:tcPr>
            <w:tcW w:w="520" w:type="dxa"/>
            <w:vAlign w:val="bottom"/>
            <w:tcBorders>
              <w:bottom w:val="single" w:sz="8" w:color="00C389"/>
            </w:tcBorders>
          </w:tcPr>
          <w:p>
            <w:pPr>
              <w:spacing w:after="0"/>
              <w:rPr>
                <w:sz w:val="5"/>
                <w:szCs w:val="5"/>
                <w:color w:val="auto"/>
              </w:rPr>
            </w:pPr>
          </w:p>
        </w:tc>
        <w:tc>
          <w:tcPr>
            <w:tcW w:w="32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Arial" w:cs="Arial" w:eastAsia="Arial" w:hAnsi="Arial"/>
                <w:sz w:val="18"/>
                <w:szCs w:val="18"/>
                <w:b w:val="1"/>
                <w:bCs w:val="1"/>
                <w:color w:val="auto"/>
                <w:w w:val="97"/>
              </w:rPr>
              <w:t>Michael T. Viola</w:t>
            </w:r>
          </w:p>
        </w:tc>
        <w:tc>
          <w:tcPr>
            <w:tcW w:w="1920" w:type="dxa"/>
            <w:vAlign w:val="bottom"/>
          </w:tcPr>
          <w:p>
            <w:pPr>
              <w:spacing w:after="0"/>
              <w:rPr>
                <w:sz w:val="22"/>
                <w:szCs w:val="22"/>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500" w:type="dxa"/>
            <w:vAlign w:val="bottom"/>
          </w:tcPr>
          <w:p>
            <w:pPr>
              <w:ind w:left="60"/>
              <w:spacing w:after="0" w:line="25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bscript"/>
              </w:rPr>
              <w:t>35</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Director</w:t>
            </w:r>
          </w:p>
        </w:tc>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340" w:type="dxa"/>
            <w:vAlign w:val="bottom"/>
            <w:tcBorders>
              <w:bottom w:val="single" w:sz="8" w:color="00C389"/>
            </w:tcBorders>
          </w:tcPr>
          <w:p>
            <w:pPr>
              <w:spacing w:after="0"/>
              <w:rPr>
                <w:sz w:val="4"/>
                <w:szCs w:val="4"/>
                <w:color w:val="auto"/>
              </w:rPr>
            </w:pPr>
          </w:p>
        </w:tc>
        <w:tc>
          <w:tcPr>
            <w:tcW w:w="1920" w:type="dxa"/>
            <w:vAlign w:val="bottom"/>
            <w:tcBorders>
              <w:bottom w:val="single" w:sz="8" w:color="00C389"/>
            </w:tcBorders>
          </w:tcPr>
          <w:p>
            <w:pPr>
              <w:spacing w:after="0"/>
              <w:rPr>
                <w:sz w:val="4"/>
                <w:szCs w:val="4"/>
                <w:color w:val="auto"/>
              </w:rPr>
            </w:pPr>
          </w:p>
        </w:tc>
        <w:tc>
          <w:tcPr>
            <w:tcW w:w="580" w:type="dxa"/>
            <w:vAlign w:val="bottom"/>
            <w:tcBorders>
              <w:bottom w:val="single" w:sz="8" w:color="00C389"/>
            </w:tcBorders>
          </w:tcPr>
          <w:p>
            <w:pPr>
              <w:spacing w:after="0"/>
              <w:rPr>
                <w:sz w:val="4"/>
                <w:szCs w:val="4"/>
                <w:color w:val="auto"/>
              </w:rPr>
            </w:pPr>
          </w:p>
        </w:tc>
        <w:tc>
          <w:tcPr>
            <w:tcW w:w="780" w:type="dxa"/>
            <w:vAlign w:val="bottom"/>
            <w:tcBorders>
              <w:bottom w:val="single" w:sz="8" w:color="00C389"/>
            </w:tcBorders>
          </w:tcPr>
          <w:p>
            <w:pPr>
              <w:spacing w:after="0"/>
              <w:rPr>
                <w:sz w:val="4"/>
                <w:szCs w:val="4"/>
                <w:color w:val="auto"/>
              </w:rPr>
            </w:pPr>
          </w:p>
        </w:tc>
        <w:tc>
          <w:tcPr>
            <w:tcW w:w="500" w:type="dxa"/>
            <w:vAlign w:val="bottom"/>
            <w:tcBorders>
              <w:bottom w:val="single" w:sz="8" w:color="00C389"/>
            </w:tcBorders>
          </w:tcPr>
          <w:p>
            <w:pPr>
              <w:spacing w:after="0"/>
              <w:rPr>
                <w:sz w:val="4"/>
                <w:szCs w:val="4"/>
                <w:color w:val="auto"/>
              </w:rPr>
            </w:pPr>
          </w:p>
        </w:tc>
        <w:tc>
          <w:tcPr>
            <w:tcW w:w="420" w:type="dxa"/>
            <w:vAlign w:val="bottom"/>
            <w:tcBorders>
              <w:bottom w:val="single" w:sz="8" w:color="00C389"/>
            </w:tcBorders>
          </w:tcPr>
          <w:p>
            <w:pPr>
              <w:spacing w:after="0"/>
              <w:rPr>
                <w:sz w:val="4"/>
                <w:szCs w:val="4"/>
                <w:color w:val="auto"/>
              </w:rPr>
            </w:pPr>
          </w:p>
        </w:tc>
        <w:tc>
          <w:tcPr>
            <w:tcW w:w="500" w:type="dxa"/>
            <w:vAlign w:val="bottom"/>
            <w:tcBorders>
              <w:bottom w:val="single" w:sz="8" w:color="00C389"/>
            </w:tcBorders>
          </w:tcPr>
          <w:p>
            <w:pPr>
              <w:spacing w:after="0"/>
              <w:rPr>
                <w:sz w:val="4"/>
                <w:szCs w:val="4"/>
                <w:color w:val="auto"/>
              </w:rPr>
            </w:pPr>
          </w:p>
        </w:tc>
        <w:tc>
          <w:tcPr>
            <w:tcW w:w="260" w:type="dxa"/>
            <w:vAlign w:val="bottom"/>
            <w:tcBorders>
              <w:bottom w:val="single" w:sz="8" w:color="00C389"/>
            </w:tcBorders>
          </w:tcPr>
          <w:p>
            <w:pPr>
              <w:spacing w:after="0"/>
              <w:rPr>
                <w:sz w:val="4"/>
                <w:szCs w:val="4"/>
                <w:color w:val="auto"/>
              </w:rPr>
            </w:pPr>
          </w:p>
        </w:tc>
        <w:tc>
          <w:tcPr>
            <w:tcW w:w="200" w:type="dxa"/>
            <w:vAlign w:val="bottom"/>
            <w:tcBorders>
              <w:bottom w:val="single" w:sz="8" w:color="00C389"/>
            </w:tcBorders>
          </w:tcPr>
          <w:p>
            <w:pPr>
              <w:spacing w:after="0"/>
              <w:rPr>
                <w:sz w:val="4"/>
                <w:szCs w:val="4"/>
                <w:color w:val="auto"/>
              </w:rPr>
            </w:pPr>
          </w:p>
        </w:tc>
        <w:tc>
          <w:tcPr>
            <w:tcW w:w="260" w:type="dxa"/>
            <w:vAlign w:val="bottom"/>
            <w:tcBorders>
              <w:bottom w:val="single" w:sz="8" w:color="00C389"/>
            </w:tcBorders>
          </w:tcPr>
          <w:p>
            <w:pPr>
              <w:spacing w:after="0"/>
              <w:rPr>
                <w:sz w:val="4"/>
                <w:szCs w:val="4"/>
                <w:color w:val="auto"/>
              </w:rPr>
            </w:pPr>
          </w:p>
        </w:tc>
        <w:tc>
          <w:tcPr>
            <w:tcW w:w="320" w:type="dxa"/>
            <w:vAlign w:val="bottom"/>
            <w:tcBorders>
              <w:bottom w:val="single" w:sz="8" w:color="00C389"/>
            </w:tcBorders>
          </w:tcPr>
          <w:p>
            <w:pPr>
              <w:spacing w:after="0"/>
              <w:rPr>
                <w:sz w:val="4"/>
                <w:szCs w:val="4"/>
                <w:color w:val="auto"/>
              </w:rPr>
            </w:pPr>
          </w:p>
        </w:tc>
        <w:tc>
          <w:tcPr>
            <w:tcW w:w="220" w:type="dxa"/>
            <w:vAlign w:val="bottom"/>
            <w:tcBorders>
              <w:bottom w:val="single" w:sz="8" w:color="00C389"/>
            </w:tcBorders>
          </w:tcPr>
          <w:p>
            <w:pPr>
              <w:spacing w:after="0"/>
              <w:rPr>
                <w:sz w:val="4"/>
                <w:szCs w:val="4"/>
                <w:color w:val="auto"/>
              </w:rPr>
            </w:pPr>
          </w:p>
        </w:tc>
        <w:tc>
          <w:tcPr>
            <w:tcW w:w="480" w:type="dxa"/>
            <w:vAlign w:val="bottom"/>
            <w:tcBorders>
              <w:bottom w:val="single" w:sz="8" w:color="00C389"/>
            </w:tcBorders>
          </w:tcPr>
          <w:p>
            <w:pPr>
              <w:spacing w:after="0"/>
              <w:rPr>
                <w:sz w:val="4"/>
                <w:szCs w:val="4"/>
                <w:color w:val="auto"/>
              </w:rPr>
            </w:pPr>
          </w:p>
        </w:tc>
        <w:tc>
          <w:tcPr>
            <w:tcW w:w="560" w:type="dxa"/>
            <w:vAlign w:val="bottom"/>
            <w:tcBorders>
              <w:bottom w:val="single" w:sz="8" w:color="00C389"/>
            </w:tcBorders>
          </w:tcPr>
          <w:p>
            <w:pPr>
              <w:spacing w:after="0"/>
              <w:rPr>
                <w:sz w:val="4"/>
                <w:szCs w:val="4"/>
                <w:color w:val="auto"/>
              </w:rPr>
            </w:pPr>
          </w:p>
        </w:tc>
        <w:tc>
          <w:tcPr>
            <w:tcW w:w="520" w:type="dxa"/>
            <w:vAlign w:val="bottom"/>
            <w:tcBorders>
              <w:bottom w:val="single" w:sz="8" w:color="00C389"/>
            </w:tcBorders>
          </w:tcPr>
          <w:p>
            <w:pPr>
              <w:spacing w:after="0"/>
              <w:rPr>
                <w:sz w:val="4"/>
                <w:szCs w:val="4"/>
                <w:color w:val="auto"/>
              </w:rPr>
            </w:pPr>
          </w:p>
        </w:tc>
        <w:tc>
          <w:tcPr>
            <w:tcW w:w="320" w:type="dxa"/>
            <w:vAlign w:val="bottom"/>
            <w:tcBorders>
              <w:bottom w:val="single" w:sz="8" w:color="00C389"/>
            </w:tcBorders>
          </w:tcPr>
          <w:p>
            <w:pPr>
              <w:spacing w:after="0"/>
              <w:rPr>
                <w:sz w:val="4"/>
                <w:szCs w:val="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340" w:type="dxa"/>
            <w:vAlign w:val="bottom"/>
          </w:tcPr>
          <w:p>
            <w:pPr>
              <w:spacing w:after="0"/>
              <w:rPr>
                <w:sz w:val="20"/>
                <w:szCs w:val="20"/>
                <w:color w:val="auto"/>
              </w:rPr>
            </w:pPr>
            <w:r>
              <w:rPr>
                <w:rFonts w:ascii="Arial" w:cs="Arial" w:eastAsia="Arial" w:hAnsi="Arial"/>
                <w:sz w:val="18"/>
                <w:szCs w:val="18"/>
                <w:b w:val="1"/>
                <w:bCs w:val="1"/>
                <w:color w:val="auto"/>
              </w:rPr>
              <w:t>Stephen Cavoli</w:t>
            </w:r>
          </w:p>
        </w:tc>
        <w:tc>
          <w:tcPr>
            <w:tcW w:w="1920" w:type="dxa"/>
            <w:vAlign w:val="bottom"/>
          </w:tcPr>
          <w:p>
            <w:pPr>
              <w:spacing w:after="0"/>
              <w:rPr>
                <w:sz w:val="21"/>
                <w:szCs w:val="21"/>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auto"/>
              </w:rPr>
              <w:t>​ ​</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500" w:type="dxa"/>
            <w:vAlign w:val="bottom"/>
          </w:tcPr>
          <w:p>
            <w:pPr>
              <w:ind w:left="60"/>
              <w:spacing w:after="0"/>
              <w:rPr>
                <w:sz w:val="20"/>
                <w:szCs w:val="20"/>
                <w:color w:val="auto"/>
              </w:rPr>
            </w:pPr>
            <w:r>
              <w:rPr>
                <w:rFonts w:ascii="Arial" w:cs="Arial" w:eastAsia="Arial" w:hAnsi="Arial"/>
                <w:sz w:val="18"/>
                <w:szCs w:val="18"/>
                <w:color w:val="auto"/>
              </w:rPr>
              <w:t>​ ​ 53</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 ​</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60" w:type="dxa"/>
            <w:vAlign w:val="bottom"/>
            <w:gridSpan w:val="2"/>
          </w:tcPr>
          <w:p>
            <w:pPr>
              <w:spacing w:after="0"/>
              <w:rPr>
                <w:sz w:val="20"/>
                <w:szCs w:val="20"/>
                <w:color w:val="auto"/>
              </w:rPr>
            </w:pPr>
            <w:r>
              <w:rPr>
                <w:rFonts w:ascii="Arial" w:cs="Arial" w:eastAsia="Arial" w:hAnsi="Arial"/>
                <w:sz w:val="18"/>
                <w:szCs w:val="18"/>
                <w:color w:val="auto"/>
              </w:rPr>
              <w:t>Executive Vice President, Markets</w:t>
            </w: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3260" w:type="dxa"/>
            <w:vAlign w:val="bottom"/>
            <w:tcBorders>
              <w:bottom w:val="single" w:sz="8" w:color="00C389"/>
            </w:tcBorders>
            <w:gridSpan w:val="2"/>
          </w:tcPr>
          <w:p>
            <w:pPr>
              <w:spacing w:after="0"/>
              <w:rPr>
                <w:sz w:val="13"/>
                <w:szCs w:val="13"/>
                <w:color w:val="auto"/>
              </w:rPr>
            </w:pPr>
          </w:p>
        </w:tc>
        <w:tc>
          <w:tcPr>
            <w:tcW w:w="580" w:type="dxa"/>
            <w:vAlign w:val="bottom"/>
            <w:tcBorders>
              <w:bottom w:val="single" w:sz="8" w:color="00C389"/>
            </w:tcBorders>
          </w:tcPr>
          <w:p>
            <w:pPr>
              <w:spacing w:after="0"/>
              <w:rPr>
                <w:sz w:val="13"/>
                <w:szCs w:val="13"/>
                <w:color w:val="auto"/>
              </w:rPr>
            </w:pPr>
          </w:p>
        </w:tc>
        <w:tc>
          <w:tcPr>
            <w:tcW w:w="780" w:type="dxa"/>
            <w:vAlign w:val="bottom"/>
            <w:tcBorders>
              <w:bottom w:val="single" w:sz="8" w:color="00C389"/>
            </w:tcBorders>
          </w:tcPr>
          <w:p>
            <w:pPr>
              <w:spacing w:after="0"/>
              <w:rPr>
                <w:sz w:val="13"/>
                <w:szCs w:val="13"/>
                <w:color w:val="auto"/>
              </w:rPr>
            </w:pPr>
          </w:p>
        </w:tc>
        <w:tc>
          <w:tcPr>
            <w:tcW w:w="500" w:type="dxa"/>
            <w:vAlign w:val="bottom"/>
            <w:tcBorders>
              <w:bottom w:val="single" w:sz="8" w:color="00C389"/>
            </w:tcBorders>
          </w:tcPr>
          <w:p>
            <w:pPr>
              <w:spacing w:after="0"/>
              <w:rPr>
                <w:sz w:val="13"/>
                <w:szCs w:val="13"/>
                <w:color w:val="auto"/>
              </w:rPr>
            </w:pPr>
          </w:p>
        </w:tc>
        <w:tc>
          <w:tcPr>
            <w:tcW w:w="420" w:type="dxa"/>
            <w:vAlign w:val="bottom"/>
            <w:tcBorders>
              <w:bottom w:val="single" w:sz="8" w:color="00C389"/>
            </w:tcBorders>
          </w:tcPr>
          <w:p>
            <w:pPr>
              <w:spacing w:after="0"/>
              <w:rPr>
                <w:sz w:val="13"/>
                <w:szCs w:val="13"/>
                <w:color w:val="auto"/>
              </w:rPr>
            </w:pPr>
          </w:p>
        </w:tc>
        <w:tc>
          <w:tcPr>
            <w:tcW w:w="500" w:type="dxa"/>
            <w:vAlign w:val="bottom"/>
            <w:tcBorders>
              <w:bottom w:val="single" w:sz="8" w:color="00C389"/>
            </w:tcBorders>
          </w:tcPr>
          <w:p>
            <w:pPr>
              <w:spacing w:after="0"/>
              <w:rPr>
                <w:sz w:val="13"/>
                <w:szCs w:val="13"/>
                <w:color w:val="auto"/>
              </w:rPr>
            </w:pPr>
          </w:p>
        </w:tc>
        <w:tc>
          <w:tcPr>
            <w:tcW w:w="260" w:type="dxa"/>
            <w:vAlign w:val="bottom"/>
            <w:tcBorders>
              <w:bottom w:val="single" w:sz="8" w:color="00C389"/>
            </w:tcBorders>
          </w:tcPr>
          <w:p>
            <w:pPr>
              <w:spacing w:after="0"/>
              <w:rPr>
                <w:sz w:val="13"/>
                <w:szCs w:val="13"/>
                <w:color w:val="auto"/>
              </w:rPr>
            </w:pPr>
          </w:p>
        </w:tc>
        <w:tc>
          <w:tcPr>
            <w:tcW w:w="200" w:type="dxa"/>
            <w:vAlign w:val="bottom"/>
            <w:tcBorders>
              <w:bottom w:val="single" w:sz="8" w:color="00C389"/>
            </w:tcBorders>
          </w:tcPr>
          <w:p>
            <w:pPr>
              <w:spacing w:after="0"/>
              <w:rPr>
                <w:sz w:val="13"/>
                <w:szCs w:val="13"/>
                <w:color w:val="auto"/>
              </w:rPr>
            </w:pPr>
          </w:p>
        </w:tc>
        <w:tc>
          <w:tcPr>
            <w:tcW w:w="260" w:type="dxa"/>
            <w:vAlign w:val="bottom"/>
            <w:tcBorders>
              <w:bottom w:val="single" w:sz="8" w:color="00C389"/>
            </w:tcBorders>
          </w:tcPr>
          <w:p>
            <w:pPr>
              <w:spacing w:after="0"/>
              <w:rPr>
                <w:sz w:val="13"/>
                <w:szCs w:val="13"/>
                <w:color w:val="auto"/>
              </w:rPr>
            </w:pPr>
          </w:p>
        </w:tc>
        <w:tc>
          <w:tcPr>
            <w:tcW w:w="320" w:type="dxa"/>
            <w:vAlign w:val="bottom"/>
            <w:tcBorders>
              <w:bottom w:val="single" w:sz="8" w:color="00C389"/>
            </w:tcBorders>
          </w:tcPr>
          <w:p>
            <w:pPr>
              <w:spacing w:after="0"/>
              <w:rPr>
                <w:sz w:val="13"/>
                <w:szCs w:val="13"/>
                <w:color w:val="auto"/>
              </w:rPr>
            </w:pPr>
          </w:p>
        </w:tc>
        <w:tc>
          <w:tcPr>
            <w:tcW w:w="220" w:type="dxa"/>
            <w:vAlign w:val="bottom"/>
            <w:tcBorders>
              <w:bottom w:val="single" w:sz="8" w:color="00C389"/>
            </w:tcBorders>
          </w:tcPr>
          <w:p>
            <w:pPr>
              <w:spacing w:after="0"/>
              <w:rPr>
                <w:sz w:val="13"/>
                <w:szCs w:val="13"/>
                <w:color w:val="auto"/>
              </w:rPr>
            </w:pPr>
          </w:p>
        </w:tc>
        <w:tc>
          <w:tcPr>
            <w:tcW w:w="480" w:type="dxa"/>
            <w:vAlign w:val="bottom"/>
            <w:tcBorders>
              <w:bottom w:val="single" w:sz="8" w:color="00C389"/>
            </w:tcBorders>
          </w:tcPr>
          <w:p>
            <w:pPr>
              <w:spacing w:after="0"/>
              <w:rPr>
                <w:sz w:val="13"/>
                <w:szCs w:val="13"/>
                <w:color w:val="auto"/>
              </w:rPr>
            </w:pPr>
          </w:p>
        </w:tc>
        <w:tc>
          <w:tcPr>
            <w:tcW w:w="560" w:type="dxa"/>
            <w:vAlign w:val="bottom"/>
            <w:tcBorders>
              <w:bottom w:val="single" w:sz="8" w:color="00C389"/>
            </w:tcBorders>
          </w:tcPr>
          <w:p>
            <w:pPr>
              <w:spacing w:after="0"/>
              <w:rPr>
                <w:sz w:val="13"/>
                <w:szCs w:val="13"/>
                <w:color w:val="auto"/>
              </w:rPr>
            </w:pPr>
          </w:p>
        </w:tc>
        <w:tc>
          <w:tcPr>
            <w:tcW w:w="520" w:type="dxa"/>
            <w:vAlign w:val="bottom"/>
            <w:tcBorders>
              <w:bottom w:val="single" w:sz="8" w:color="00C389"/>
            </w:tcBorders>
          </w:tcPr>
          <w:p>
            <w:pPr>
              <w:spacing w:after="0"/>
              <w:rPr>
                <w:sz w:val="13"/>
                <w:szCs w:val="13"/>
                <w:color w:val="auto"/>
              </w:rPr>
            </w:pPr>
          </w:p>
        </w:tc>
        <w:tc>
          <w:tcPr>
            <w:tcW w:w="320" w:type="dxa"/>
            <w:vAlign w:val="bottom"/>
            <w:tcBorders>
              <w:bottom w:val="single" w:sz="8" w:color="00C389"/>
            </w:tcBorders>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2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Brett Fairclough</w:t>
            </w:r>
          </w:p>
        </w:tc>
        <w:tc>
          <w:tcPr>
            <w:tcW w:w="580" w:type="dxa"/>
            <w:vAlign w:val="bottom"/>
          </w:tcPr>
          <w:p>
            <w:pPr>
              <w:ind w:left="420"/>
              <w:spacing w:after="0" w:line="191"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1" w:lineRule="exact"/>
              <w:rPr>
                <w:sz w:val="20"/>
                <w:szCs w:val="20"/>
                <w:color w:val="auto"/>
              </w:rPr>
            </w:pPr>
            <w:r>
              <w:rPr>
                <w:rFonts w:ascii="Arial" w:cs="Arial" w:eastAsia="Arial" w:hAnsi="Arial"/>
                <w:sz w:val="18"/>
                <w:szCs w:val="18"/>
                <w:color w:val="auto"/>
                <w:w w:val="99"/>
              </w:rPr>
              <w:t>2019</w:t>
            </w:r>
          </w:p>
        </w:tc>
        <w:tc>
          <w:tcPr>
            <w:tcW w:w="500" w:type="dxa"/>
            <w:vAlign w:val="bottom"/>
          </w:tcPr>
          <w:p>
            <w:pPr>
              <w:ind w:left="60"/>
              <w:spacing w:after="0" w:line="191" w:lineRule="exact"/>
              <w:rPr>
                <w:sz w:val="20"/>
                <w:szCs w:val="20"/>
                <w:color w:val="auto"/>
              </w:rPr>
            </w:pPr>
            <w:r>
              <w:rPr>
                <w:rFonts w:ascii="Arial" w:cs="Arial" w:eastAsia="Arial" w:hAnsi="Arial"/>
                <w:sz w:val="18"/>
                <w:szCs w:val="18"/>
                <w:color w:val="auto"/>
              </w:rPr>
              <w:t>​ ​ 39</w:t>
            </w:r>
          </w:p>
        </w:tc>
        <w:tc>
          <w:tcPr>
            <w:tcW w:w="420" w:type="dxa"/>
            <w:vAlign w:val="bottom"/>
          </w:tcPr>
          <w:p>
            <w:pPr>
              <w:ind w:left="60"/>
              <w:spacing w:after="0" w:line="191"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1"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line="191" w:lineRule="exact"/>
              <w:rPr>
                <w:sz w:val="20"/>
                <w:szCs w:val="20"/>
                <w:color w:val="auto"/>
              </w:rPr>
            </w:pPr>
            <w:r>
              <w:rPr>
                <w:rFonts w:ascii="Arial" w:cs="Arial" w:eastAsia="Arial" w:hAnsi="Arial"/>
                <w:sz w:val="18"/>
                <w:szCs w:val="18"/>
                <w:color w:val="auto"/>
              </w:rPr>
              <w:t>​ ​</w:t>
            </w:r>
          </w:p>
        </w:tc>
        <w:tc>
          <w:tcPr>
            <w:tcW w:w="26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220" w:type="dxa"/>
            <w:vAlign w:val="bottom"/>
          </w:tcPr>
          <w:p>
            <w:pPr>
              <w:ind w:left="80"/>
              <w:spacing w:after="0" w:line="191" w:lineRule="exact"/>
              <w:rPr>
                <w:sz w:val="20"/>
                <w:szCs w:val="20"/>
                <w:color w:val="auto"/>
              </w:rPr>
            </w:pPr>
            <w:r>
              <w:rPr>
                <w:rFonts w:ascii="Arial" w:cs="Arial" w:eastAsia="Arial" w:hAnsi="Arial"/>
                <w:sz w:val="18"/>
                <w:szCs w:val="18"/>
                <w:color w:val="auto"/>
              </w:rPr>
              <w:t>​</w:t>
            </w:r>
          </w:p>
        </w:tc>
        <w:tc>
          <w:tcPr>
            <w:tcW w:w="480" w:type="dxa"/>
            <w:vAlign w:val="bottom"/>
          </w:tcPr>
          <w:p>
            <w:pPr>
              <w:ind w:left="80"/>
              <w:spacing w:after="0" w:line="191" w:lineRule="exact"/>
              <w:rPr>
                <w:sz w:val="20"/>
                <w:szCs w:val="20"/>
                <w:color w:val="auto"/>
              </w:rPr>
            </w:pPr>
            <w:r>
              <w:rPr>
                <w:rFonts w:ascii="Arial" w:cs="Arial" w:eastAsia="Arial" w:hAnsi="Arial"/>
                <w:sz w:val="18"/>
                <w:szCs w:val="18"/>
                <w:color w:val="auto"/>
              </w:rPr>
              <w:t>​ ​</w:t>
            </w:r>
          </w:p>
        </w:tc>
        <w:tc>
          <w:tcPr>
            <w:tcW w:w="560" w:type="dxa"/>
            <w:vAlign w:val="bottom"/>
          </w:tcPr>
          <w:p>
            <w:pPr>
              <w:ind w:left="260"/>
              <w:spacing w:after="0" w:line="191"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91" w:lineRule="exact"/>
              <w:rPr>
                <w:sz w:val="20"/>
                <w:szCs w:val="20"/>
                <w:color w:val="auto"/>
              </w:rPr>
            </w:pPr>
            <w:r>
              <w:rPr>
                <w:rFonts w:ascii="Arial" w:cs="Arial" w:eastAsia="Arial" w:hAnsi="Arial"/>
                <w:sz w:val="18"/>
                <w:szCs w:val="18"/>
                <w:color w:val="auto"/>
              </w:rPr>
              <w:t>​ ​</w:t>
            </w:r>
          </w:p>
        </w:tc>
        <w:tc>
          <w:tcPr>
            <w:tcW w:w="32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26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580" w:type="dxa"/>
            <w:vAlign w:val="bottom"/>
            <w:tcBorders>
              <w:bottom w:val="single" w:sz="8" w:color="00C389"/>
            </w:tcBorders>
          </w:tcPr>
          <w:p>
            <w:pPr>
              <w:spacing w:after="0"/>
              <w:rPr>
                <w:sz w:val="21"/>
                <w:szCs w:val="21"/>
                <w:color w:val="auto"/>
              </w:rPr>
            </w:pPr>
          </w:p>
        </w:tc>
        <w:tc>
          <w:tcPr>
            <w:tcW w:w="780" w:type="dxa"/>
            <w:vAlign w:val="bottom"/>
            <w:tcBorders>
              <w:bottom w:val="single" w:sz="8" w:color="00C389"/>
            </w:tcBorders>
          </w:tcPr>
          <w:p>
            <w:pPr>
              <w:spacing w:after="0"/>
              <w:rPr>
                <w:sz w:val="21"/>
                <w:szCs w:val="21"/>
                <w:color w:val="auto"/>
              </w:rPr>
            </w:pPr>
          </w:p>
        </w:tc>
        <w:tc>
          <w:tcPr>
            <w:tcW w:w="500" w:type="dxa"/>
            <w:vAlign w:val="bottom"/>
            <w:tcBorders>
              <w:bottom w:val="single" w:sz="8" w:color="00C389"/>
            </w:tcBorders>
          </w:tcPr>
          <w:p>
            <w:pPr>
              <w:spacing w:after="0"/>
              <w:rPr>
                <w:sz w:val="21"/>
                <w:szCs w:val="21"/>
                <w:color w:val="auto"/>
              </w:rPr>
            </w:pPr>
          </w:p>
        </w:tc>
        <w:tc>
          <w:tcPr>
            <w:tcW w:w="420" w:type="dxa"/>
            <w:vAlign w:val="bottom"/>
            <w:tcBorders>
              <w:bottom w:val="single" w:sz="8" w:color="00C389"/>
            </w:tcBorders>
          </w:tcPr>
          <w:p>
            <w:pPr>
              <w:spacing w:after="0"/>
              <w:rPr>
                <w:sz w:val="21"/>
                <w:szCs w:val="21"/>
                <w:color w:val="auto"/>
              </w:rPr>
            </w:pPr>
          </w:p>
        </w:tc>
        <w:tc>
          <w:tcPr>
            <w:tcW w:w="500" w:type="dxa"/>
            <w:vAlign w:val="bottom"/>
            <w:tcBorders>
              <w:bottom w:val="single" w:sz="8" w:color="00C389"/>
            </w:tcBorders>
          </w:tcPr>
          <w:p>
            <w:pPr>
              <w:spacing w:after="0"/>
              <w:rPr>
                <w:sz w:val="21"/>
                <w:szCs w:val="21"/>
                <w:color w:val="auto"/>
              </w:rPr>
            </w:pPr>
          </w:p>
        </w:tc>
        <w:tc>
          <w:tcPr>
            <w:tcW w:w="260" w:type="dxa"/>
            <w:vAlign w:val="bottom"/>
            <w:tcBorders>
              <w:bottom w:val="single" w:sz="8" w:color="00C389"/>
            </w:tcBorders>
          </w:tcPr>
          <w:p>
            <w:pPr>
              <w:spacing w:after="0"/>
              <w:rPr>
                <w:sz w:val="21"/>
                <w:szCs w:val="21"/>
                <w:color w:val="auto"/>
              </w:rPr>
            </w:pPr>
          </w:p>
        </w:tc>
        <w:tc>
          <w:tcPr>
            <w:tcW w:w="200" w:type="dxa"/>
            <w:vAlign w:val="bottom"/>
            <w:tcBorders>
              <w:bottom w:val="single" w:sz="8" w:color="00C389"/>
            </w:tcBorders>
          </w:tcPr>
          <w:p>
            <w:pPr>
              <w:spacing w:after="0"/>
              <w:rPr>
                <w:sz w:val="21"/>
                <w:szCs w:val="21"/>
                <w:color w:val="auto"/>
              </w:rPr>
            </w:pPr>
          </w:p>
        </w:tc>
        <w:tc>
          <w:tcPr>
            <w:tcW w:w="260" w:type="dxa"/>
            <w:vAlign w:val="bottom"/>
            <w:tcBorders>
              <w:bottom w:val="single" w:sz="8" w:color="00C389"/>
            </w:tcBorders>
          </w:tcPr>
          <w:p>
            <w:pPr>
              <w:spacing w:after="0"/>
              <w:rPr>
                <w:sz w:val="21"/>
                <w:szCs w:val="21"/>
                <w:color w:val="auto"/>
              </w:rPr>
            </w:pPr>
          </w:p>
        </w:tc>
        <w:tc>
          <w:tcPr>
            <w:tcW w:w="320" w:type="dxa"/>
            <w:vAlign w:val="bottom"/>
            <w:tcBorders>
              <w:bottom w:val="single" w:sz="8" w:color="00C389"/>
            </w:tcBorders>
          </w:tcPr>
          <w:p>
            <w:pPr>
              <w:spacing w:after="0"/>
              <w:rPr>
                <w:sz w:val="21"/>
                <w:szCs w:val="21"/>
                <w:color w:val="auto"/>
              </w:rPr>
            </w:pPr>
          </w:p>
        </w:tc>
        <w:tc>
          <w:tcPr>
            <w:tcW w:w="220" w:type="dxa"/>
            <w:vAlign w:val="bottom"/>
            <w:tcBorders>
              <w:bottom w:val="single" w:sz="8" w:color="00C389"/>
            </w:tcBorders>
          </w:tcPr>
          <w:p>
            <w:pPr>
              <w:spacing w:after="0"/>
              <w:rPr>
                <w:sz w:val="21"/>
                <w:szCs w:val="21"/>
                <w:color w:val="auto"/>
              </w:rPr>
            </w:pPr>
          </w:p>
        </w:tc>
        <w:tc>
          <w:tcPr>
            <w:tcW w:w="480" w:type="dxa"/>
            <w:vAlign w:val="bottom"/>
            <w:tcBorders>
              <w:bottom w:val="single" w:sz="8" w:color="00C389"/>
            </w:tcBorders>
          </w:tcPr>
          <w:p>
            <w:pPr>
              <w:spacing w:after="0"/>
              <w:rPr>
                <w:sz w:val="21"/>
                <w:szCs w:val="21"/>
                <w:color w:val="auto"/>
              </w:rPr>
            </w:pPr>
          </w:p>
        </w:tc>
        <w:tc>
          <w:tcPr>
            <w:tcW w:w="560" w:type="dxa"/>
            <w:vAlign w:val="bottom"/>
            <w:tcBorders>
              <w:bottom w:val="single" w:sz="8" w:color="00C389"/>
            </w:tcBorders>
          </w:tcPr>
          <w:p>
            <w:pPr>
              <w:spacing w:after="0"/>
              <w:rPr>
                <w:sz w:val="21"/>
                <w:szCs w:val="21"/>
                <w:color w:val="auto"/>
              </w:rPr>
            </w:pPr>
          </w:p>
        </w:tc>
        <w:tc>
          <w:tcPr>
            <w:tcW w:w="520" w:type="dxa"/>
            <w:vAlign w:val="bottom"/>
            <w:tcBorders>
              <w:bottom w:val="single" w:sz="8" w:color="00C389"/>
            </w:tcBorders>
          </w:tcPr>
          <w:p>
            <w:pPr>
              <w:spacing w:after="0"/>
              <w:rPr>
                <w:sz w:val="21"/>
                <w:szCs w:val="21"/>
                <w:color w:val="auto"/>
              </w:rPr>
            </w:pPr>
          </w:p>
        </w:tc>
        <w:tc>
          <w:tcPr>
            <w:tcW w:w="320" w:type="dxa"/>
            <w:vAlign w:val="bottom"/>
            <w:tcBorders>
              <w:bottom w:val="single" w:sz="8" w:color="00C389"/>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40" w:type="dxa"/>
            <w:vAlign w:val="bottom"/>
          </w:tcPr>
          <w:p>
            <w:pPr>
              <w:spacing w:after="0" w:line="197" w:lineRule="exact"/>
              <w:rPr>
                <w:sz w:val="20"/>
                <w:szCs w:val="20"/>
                <w:color w:val="auto"/>
              </w:rPr>
            </w:pPr>
            <w:r>
              <w:rPr>
                <w:rFonts w:ascii="Arial" w:cs="Arial" w:eastAsia="Arial" w:hAnsi="Arial"/>
                <w:sz w:val="18"/>
                <w:szCs w:val="18"/>
                <w:b w:val="1"/>
                <w:bCs w:val="1"/>
                <w:color w:val="auto"/>
              </w:rPr>
              <w:t>Sean P. Galvin</w:t>
            </w:r>
          </w:p>
        </w:tc>
        <w:tc>
          <w:tcPr>
            <w:tcW w:w="1920" w:type="dxa"/>
            <w:vAlign w:val="bottom"/>
          </w:tcPr>
          <w:p>
            <w:pPr>
              <w:spacing w:after="0"/>
              <w:rPr>
                <w:sz w:val="17"/>
                <w:szCs w:val="17"/>
                <w:color w:val="auto"/>
              </w:rPr>
            </w:pPr>
          </w:p>
        </w:tc>
        <w:tc>
          <w:tcPr>
            <w:tcW w:w="580" w:type="dxa"/>
            <w:vAlign w:val="bottom"/>
          </w:tcPr>
          <w:p>
            <w:pPr>
              <w:ind w:left="420"/>
              <w:spacing w:after="0" w:line="197"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2020</w:t>
            </w:r>
          </w:p>
        </w:tc>
        <w:tc>
          <w:tcPr>
            <w:tcW w:w="500" w:type="dxa"/>
            <w:vAlign w:val="bottom"/>
          </w:tcPr>
          <w:p>
            <w:pPr>
              <w:ind w:left="60"/>
              <w:spacing w:after="0" w:line="197" w:lineRule="exact"/>
              <w:rPr>
                <w:sz w:val="20"/>
                <w:szCs w:val="20"/>
                <w:color w:val="auto"/>
              </w:rPr>
            </w:pPr>
            <w:r>
              <w:rPr>
                <w:rFonts w:ascii="Arial" w:cs="Arial" w:eastAsia="Arial" w:hAnsi="Arial"/>
                <w:sz w:val="18"/>
                <w:szCs w:val="18"/>
                <w:color w:val="auto"/>
              </w:rPr>
              <w:t>​ ​ 57</w:t>
            </w:r>
          </w:p>
        </w:tc>
        <w:tc>
          <w:tcPr>
            <w:tcW w:w="420" w:type="dxa"/>
            <w:vAlign w:val="bottom"/>
          </w:tcPr>
          <w:p>
            <w:pPr>
              <w:ind w:left="60"/>
              <w:spacing w:after="0" w:line="197"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7"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line="197" w:lineRule="exact"/>
              <w:rPr>
                <w:sz w:val="20"/>
                <w:szCs w:val="20"/>
                <w:color w:val="auto"/>
              </w:rPr>
            </w:pPr>
            <w:r>
              <w:rPr>
                <w:rFonts w:ascii="Arial" w:cs="Arial" w:eastAsia="Arial" w:hAnsi="Arial"/>
                <w:sz w:val="18"/>
                <w:szCs w:val="18"/>
                <w:color w:val="auto"/>
              </w:rPr>
              <w:t>​ ​</w:t>
            </w:r>
          </w:p>
        </w:tc>
        <w:tc>
          <w:tcPr>
            <w:tcW w:w="26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220" w:type="dxa"/>
            <w:vAlign w:val="bottom"/>
          </w:tcPr>
          <w:p>
            <w:pPr>
              <w:ind w:left="80"/>
              <w:spacing w:after="0" w:line="197" w:lineRule="exact"/>
              <w:rPr>
                <w:sz w:val="20"/>
                <w:szCs w:val="20"/>
                <w:color w:val="auto"/>
              </w:rPr>
            </w:pPr>
            <w:r>
              <w:rPr>
                <w:rFonts w:ascii="Arial" w:cs="Arial" w:eastAsia="Arial" w:hAnsi="Arial"/>
                <w:sz w:val="18"/>
                <w:szCs w:val="18"/>
                <w:color w:val="auto"/>
              </w:rPr>
              <w:t>​</w:t>
            </w:r>
          </w:p>
        </w:tc>
        <w:tc>
          <w:tcPr>
            <w:tcW w:w="48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560" w:type="dxa"/>
            <w:vAlign w:val="bottom"/>
          </w:tcPr>
          <w:p>
            <w:pPr>
              <w:ind w:left="26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97" w:lineRule="exact"/>
              <w:rPr>
                <w:sz w:val="20"/>
                <w:szCs w:val="20"/>
                <w:color w:val="auto"/>
              </w:rPr>
            </w:pPr>
            <w:r>
              <w:rPr>
                <w:rFonts w:ascii="Arial" w:cs="Arial" w:eastAsia="Arial" w:hAnsi="Arial"/>
                <w:sz w:val="18"/>
                <w:szCs w:val="18"/>
                <w:color w:val="auto"/>
              </w:rPr>
              <w:t>​ ​</w:t>
            </w:r>
          </w:p>
        </w:tc>
        <w:tc>
          <w:tcPr>
            <w:tcW w:w="32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26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Chief Financial Officer</w:t>
            </w:r>
          </w:p>
        </w:tc>
        <w:tc>
          <w:tcPr>
            <w:tcW w:w="580" w:type="dxa"/>
            <w:vAlign w:val="bottom"/>
            <w:tcBorders>
              <w:bottom w:val="single" w:sz="8" w:color="00C389"/>
            </w:tcBorders>
          </w:tcPr>
          <w:p>
            <w:pPr>
              <w:spacing w:after="0"/>
              <w:rPr>
                <w:sz w:val="21"/>
                <w:szCs w:val="21"/>
                <w:color w:val="auto"/>
              </w:rPr>
            </w:pPr>
          </w:p>
        </w:tc>
        <w:tc>
          <w:tcPr>
            <w:tcW w:w="780" w:type="dxa"/>
            <w:vAlign w:val="bottom"/>
            <w:tcBorders>
              <w:bottom w:val="single" w:sz="8" w:color="00C389"/>
            </w:tcBorders>
          </w:tcPr>
          <w:p>
            <w:pPr>
              <w:spacing w:after="0"/>
              <w:rPr>
                <w:sz w:val="21"/>
                <w:szCs w:val="21"/>
                <w:color w:val="auto"/>
              </w:rPr>
            </w:pPr>
          </w:p>
        </w:tc>
        <w:tc>
          <w:tcPr>
            <w:tcW w:w="500" w:type="dxa"/>
            <w:vAlign w:val="bottom"/>
            <w:tcBorders>
              <w:bottom w:val="single" w:sz="8" w:color="00C389"/>
            </w:tcBorders>
          </w:tcPr>
          <w:p>
            <w:pPr>
              <w:spacing w:after="0"/>
              <w:rPr>
                <w:sz w:val="21"/>
                <w:szCs w:val="21"/>
                <w:color w:val="auto"/>
              </w:rPr>
            </w:pPr>
          </w:p>
        </w:tc>
        <w:tc>
          <w:tcPr>
            <w:tcW w:w="420" w:type="dxa"/>
            <w:vAlign w:val="bottom"/>
            <w:tcBorders>
              <w:bottom w:val="single" w:sz="8" w:color="00C389"/>
            </w:tcBorders>
          </w:tcPr>
          <w:p>
            <w:pPr>
              <w:spacing w:after="0"/>
              <w:rPr>
                <w:sz w:val="21"/>
                <w:szCs w:val="21"/>
                <w:color w:val="auto"/>
              </w:rPr>
            </w:pPr>
          </w:p>
        </w:tc>
        <w:tc>
          <w:tcPr>
            <w:tcW w:w="500" w:type="dxa"/>
            <w:vAlign w:val="bottom"/>
            <w:tcBorders>
              <w:bottom w:val="single" w:sz="8" w:color="00C389"/>
            </w:tcBorders>
          </w:tcPr>
          <w:p>
            <w:pPr>
              <w:spacing w:after="0"/>
              <w:rPr>
                <w:sz w:val="21"/>
                <w:szCs w:val="21"/>
                <w:color w:val="auto"/>
              </w:rPr>
            </w:pPr>
          </w:p>
        </w:tc>
        <w:tc>
          <w:tcPr>
            <w:tcW w:w="260" w:type="dxa"/>
            <w:vAlign w:val="bottom"/>
            <w:tcBorders>
              <w:bottom w:val="single" w:sz="8" w:color="00C389"/>
            </w:tcBorders>
          </w:tcPr>
          <w:p>
            <w:pPr>
              <w:spacing w:after="0"/>
              <w:rPr>
                <w:sz w:val="21"/>
                <w:szCs w:val="21"/>
                <w:color w:val="auto"/>
              </w:rPr>
            </w:pPr>
          </w:p>
        </w:tc>
        <w:tc>
          <w:tcPr>
            <w:tcW w:w="200" w:type="dxa"/>
            <w:vAlign w:val="bottom"/>
            <w:tcBorders>
              <w:bottom w:val="single" w:sz="8" w:color="00C389"/>
            </w:tcBorders>
          </w:tcPr>
          <w:p>
            <w:pPr>
              <w:spacing w:after="0"/>
              <w:rPr>
                <w:sz w:val="21"/>
                <w:szCs w:val="21"/>
                <w:color w:val="auto"/>
              </w:rPr>
            </w:pPr>
          </w:p>
        </w:tc>
        <w:tc>
          <w:tcPr>
            <w:tcW w:w="260" w:type="dxa"/>
            <w:vAlign w:val="bottom"/>
            <w:tcBorders>
              <w:bottom w:val="single" w:sz="8" w:color="00C389"/>
            </w:tcBorders>
          </w:tcPr>
          <w:p>
            <w:pPr>
              <w:spacing w:after="0"/>
              <w:rPr>
                <w:sz w:val="21"/>
                <w:szCs w:val="21"/>
                <w:color w:val="auto"/>
              </w:rPr>
            </w:pPr>
          </w:p>
        </w:tc>
        <w:tc>
          <w:tcPr>
            <w:tcW w:w="320" w:type="dxa"/>
            <w:vAlign w:val="bottom"/>
            <w:tcBorders>
              <w:bottom w:val="single" w:sz="8" w:color="00C389"/>
            </w:tcBorders>
          </w:tcPr>
          <w:p>
            <w:pPr>
              <w:spacing w:after="0"/>
              <w:rPr>
                <w:sz w:val="21"/>
                <w:szCs w:val="21"/>
                <w:color w:val="auto"/>
              </w:rPr>
            </w:pPr>
          </w:p>
        </w:tc>
        <w:tc>
          <w:tcPr>
            <w:tcW w:w="220" w:type="dxa"/>
            <w:vAlign w:val="bottom"/>
            <w:tcBorders>
              <w:bottom w:val="single" w:sz="8" w:color="00C389"/>
            </w:tcBorders>
          </w:tcPr>
          <w:p>
            <w:pPr>
              <w:spacing w:after="0"/>
              <w:rPr>
                <w:sz w:val="21"/>
                <w:szCs w:val="21"/>
                <w:color w:val="auto"/>
              </w:rPr>
            </w:pPr>
          </w:p>
        </w:tc>
        <w:tc>
          <w:tcPr>
            <w:tcW w:w="480" w:type="dxa"/>
            <w:vAlign w:val="bottom"/>
            <w:tcBorders>
              <w:bottom w:val="single" w:sz="8" w:color="00C389"/>
            </w:tcBorders>
          </w:tcPr>
          <w:p>
            <w:pPr>
              <w:spacing w:after="0"/>
              <w:rPr>
                <w:sz w:val="21"/>
                <w:szCs w:val="21"/>
                <w:color w:val="auto"/>
              </w:rPr>
            </w:pPr>
          </w:p>
        </w:tc>
        <w:tc>
          <w:tcPr>
            <w:tcW w:w="560" w:type="dxa"/>
            <w:vAlign w:val="bottom"/>
            <w:tcBorders>
              <w:bottom w:val="single" w:sz="8" w:color="00C389"/>
            </w:tcBorders>
          </w:tcPr>
          <w:p>
            <w:pPr>
              <w:spacing w:after="0"/>
              <w:rPr>
                <w:sz w:val="21"/>
                <w:szCs w:val="21"/>
                <w:color w:val="auto"/>
              </w:rPr>
            </w:pPr>
          </w:p>
        </w:tc>
        <w:tc>
          <w:tcPr>
            <w:tcW w:w="520" w:type="dxa"/>
            <w:vAlign w:val="bottom"/>
            <w:tcBorders>
              <w:bottom w:val="single" w:sz="8" w:color="00C389"/>
            </w:tcBorders>
          </w:tcPr>
          <w:p>
            <w:pPr>
              <w:spacing w:after="0"/>
              <w:rPr>
                <w:sz w:val="21"/>
                <w:szCs w:val="21"/>
                <w:color w:val="auto"/>
              </w:rPr>
            </w:pPr>
          </w:p>
        </w:tc>
        <w:tc>
          <w:tcPr>
            <w:tcW w:w="320" w:type="dxa"/>
            <w:vAlign w:val="bottom"/>
            <w:tcBorders>
              <w:bottom w:val="single" w:sz="8" w:color="00C389"/>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6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Joseph Molluso</w:t>
            </w:r>
          </w:p>
        </w:tc>
        <w:tc>
          <w:tcPr>
            <w:tcW w:w="580" w:type="dxa"/>
            <w:vAlign w:val="bottom"/>
          </w:tcPr>
          <w:p>
            <w:pPr>
              <w:ind w:left="420"/>
              <w:spacing w:after="0" w:line="197" w:lineRule="exact"/>
              <w:rPr>
                <w:sz w:val="20"/>
                <w:szCs w:val="20"/>
                <w:color w:val="auto"/>
              </w:rPr>
            </w:pPr>
            <w:r>
              <w:rPr>
                <w:rFonts w:ascii="Arial" w:cs="Arial" w:eastAsia="Arial" w:hAnsi="Arial"/>
                <w:sz w:val="18"/>
                <w:szCs w:val="18"/>
                <w:color w:val="auto"/>
              </w:rPr>
              <w:t>​ ​</w:t>
            </w:r>
          </w:p>
        </w:tc>
        <w:tc>
          <w:tcPr>
            <w:tcW w:w="780" w:type="dxa"/>
            <w:vAlign w:val="bottom"/>
          </w:tcPr>
          <w:p>
            <w:pPr>
              <w:jc w:val="center"/>
              <w:spacing w:after="0" w:line="197" w:lineRule="exact"/>
              <w:rPr>
                <w:sz w:val="20"/>
                <w:szCs w:val="20"/>
                <w:color w:val="auto"/>
              </w:rPr>
            </w:pPr>
            <w:r>
              <w:rPr>
                <w:rFonts w:ascii="Arial" w:cs="Arial" w:eastAsia="Arial" w:hAnsi="Arial"/>
                <w:sz w:val="18"/>
                <w:szCs w:val="18"/>
                <w:color w:val="auto"/>
                <w:w w:val="99"/>
              </w:rPr>
              <w:t>2020</w:t>
            </w:r>
          </w:p>
        </w:tc>
        <w:tc>
          <w:tcPr>
            <w:tcW w:w="500" w:type="dxa"/>
            <w:vAlign w:val="bottom"/>
          </w:tcPr>
          <w:p>
            <w:pPr>
              <w:ind w:left="60"/>
              <w:spacing w:after="0" w:line="197" w:lineRule="exact"/>
              <w:rPr>
                <w:sz w:val="20"/>
                <w:szCs w:val="20"/>
                <w:color w:val="auto"/>
              </w:rPr>
            </w:pPr>
            <w:r>
              <w:rPr>
                <w:rFonts w:ascii="Arial" w:cs="Arial" w:eastAsia="Arial" w:hAnsi="Arial"/>
                <w:sz w:val="18"/>
                <w:szCs w:val="18"/>
                <w:color w:val="auto"/>
              </w:rPr>
              <w:t>​ ​ 53</w:t>
            </w:r>
          </w:p>
        </w:tc>
        <w:tc>
          <w:tcPr>
            <w:tcW w:w="420" w:type="dxa"/>
            <w:vAlign w:val="bottom"/>
          </w:tcPr>
          <w:p>
            <w:pPr>
              <w:ind w:left="60"/>
              <w:spacing w:after="0" w:line="197" w:lineRule="exact"/>
              <w:rPr>
                <w:sz w:val="20"/>
                <w:szCs w:val="20"/>
                <w:color w:val="auto"/>
              </w:rPr>
            </w:pPr>
            <w:r>
              <w:rPr>
                <w:rFonts w:ascii="Arial" w:cs="Arial" w:eastAsia="Arial" w:hAnsi="Arial"/>
                <w:sz w:val="18"/>
                <w:szCs w:val="18"/>
                <w:color w:val="auto"/>
              </w:rPr>
              <w:t>​ ​</w:t>
            </w:r>
          </w:p>
        </w:tc>
        <w:tc>
          <w:tcPr>
            <w:tcW w:w="500" w:type="dxa"/>
            <w:vAlign w:val="bottom"/>
          </w:tcPr>
          <w:p>
            <w:pPr>
              <w:ind w:left="220"/>
              <w:spacing w:after="0" w:line="197"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line="197" w:lineRule="exact"/>
              <w:rPr>
                <w:sz w:val="20"/>
                <w:szCs w:val="20"/>
                <w:color w:val="auto"/>
              </w:rPr>
            </w:pPr>
            <w:r>
              <w:rPr>
                <w:rFonts w:ascii="Arial" w:cs="Arial" w:eastAsia="Arial" w:hAnsi="Arial"/>
                <w:sz w:val="18"/>
                <w:szCs w:val="18"/>
                <w:color w:val="auto"/>
              </w:rPr>
              <w:t>​ ​</w:t>
            </w:r>
          </w:p>
        </w:tc>
        <w:tc>
          <w:tcPr>
            <w:tcW w:w="26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220" w:type="dxa"/>
            <w:vAlign w:val="bottom"/>
          </w:tcPr>
          <w:p>
            <w:pPr>
              <w:ind w:left="80"/>
              <w:spacing w:after="0" w:line="197" w:lineRule="exact"/>
              <w:rPr>
                <w:sz w:val="20"/>
                <w:szCs w:val="20"/>
                <w:color w:val="auto"/>
              </w:rPr>
            </w:pPr>
            <w:r>
              <w:rPr>
                <w:rFonts w:ascii="Arial" w:cs="Arial" w:eastAsia="Arial" w:hAnsi="Arial"/>
                <w:sz w:val="18"/>
                <w:szCs w:val="18"/>
                <w:color w:val="auto"/>
              </w:rPr>
              <w:t>​</w:t>
            </w:r>
          </w:p>
        </w:tc>
        <w:tc>
          <w:tcPr>
            <w:tcW w:w="480" w:type="dxa"/>
            <w:vAlign w:val="bottom"/>
          </w:tcPr>
          <w:p>
            <w:pPr>
              <w:ind w:left="80"/>
              <w:spacing w:after="0" w:line="197" w:lineRule="exact"/>
              <w:rPr>
                <w:sz w:val="20"/>
                <w:szCs w:val="20"/>
                <w:color w:val="auto"/>
              </w:rPr>
            </w:pPr>
            <w:r>
              <w:rPr>
                <w:rFonts w:ascii="Arial" w:cs="Arial" w:eastAsia="Arial" w:hAnsi="Arial"/>
                <w:sz w:val="18"/>
                <w:szCs w:val="18"/>
                <w:color w:val="auto"/>
              </w:rPr>
              <w:t>​ ​</w:t>
            </w:r>
          </w:p>
        </w:tc>
        <w:tc>
          <w:tcPr>
            <w:tcW w:w="560" w:type="dxa"/>
            <w:vAlign w:val="bottom"/>
          </w:tcPr>
          <w:p>
            <w:pPr>
              <w:ind w:left="26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97" w:lineRule="exact"/>
              <w:rPr>
                <w:sz w:val="20"/>
                <w:szCs w:val="20"/>
                <w:color w:val="auto"/>
              </w:rPr>
            </w:pPr>
            <w:r>
              <w:rPr>
                <w:rFonts w:ascii="Arial" w:cs="Arial" w:eastAsia="Arial" w:hAnsi="Arial"/>
                <w:sz w:val="18"/>
                <w:szCs w:val="18"/>
                <w:color w:val="auto"/>
              </w:rPr>
              <w:t>​ ​</w:t>
            </w:r>
          </w:p>
        </w:tc>
        <w:tc>
          <w:tcPr>
            <w:tcW w:w="320" w:type="dxa"/>
            <w:vAlign w:val="bottom"/>
          </w:tcPr>
          <w:p>
            <w:pPr>
              <w:ind w:left="100"/>
              <w:spacing w:after="0" w:line="197"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Co-President and</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580" w:type="dxa"/>
            <w:vAlign w:val="bottom"/>
            <w:tcBorders>
              <w:bottom w:val="single" w:sz="8" w:color="00C389"/>
            </w:tcBorders>
          </w:tcPr>
          <w:p>
            <w:pPr>
              <w:spacing w:after="0"/>
              <w:rPr>
                <w:sz w:val="21"/>
                <w:szCs w:val="21"/>
                <w:color w:val="auto"/>
              </w:rPr>
            </w:pPr>
          </w:p>
        </w:tc>
        <w:tc>
          <w:tcPr>
            <w:tcW w:w="780" w:type="dxa"/>
            <w:vAlign w:val="bottom"/>
            <w:tcBorders>
              <w:bottom w:val="single" w:sz="8" w:color="00C389"/>
            </w:tcBorders>
          </w:tcPr>
          <w:p>
            <w:pPr>
              <w:spacing w:after="0"/>
              <w:rPr>
                <w:sz w:val="21"/>
                <w:szCs w:val="21"/>
                <w:color w:val="auto"/>
              </w:rPr>
            </w:pPr>
          </w:p>
        </w:tc>
        <w:tc>
          <w:tcPr>
            <w:tcW w:w="500" w:type="dxa"/>
            <w:vAlign w:val="bottom"/>
            <w:tcBorders>
              <w:bottom w:val="single" w:sz="8" w:color="00C389"/>
            </w:tcBorders>
          </w:tcPr>
          <w:p>
            <w:pPr>
              <w:spacing w:after="0"/>
              <w:rPr>
                <w:sz w:val="21"/>
                <w:szCs w:val="21"/>
                <w:color w:val="auto"/>
              </w:rPr>
            </w:pPr>
          </w:p>
        </w:tc>
        <w:tc>
          <w:tcPr>
            <w:tcW w:w="420" w:type="dxa"/>
            <w:vAlign w:val="bottom"/>
            <w:tcBorders>
              <w:bottom w:val="single" w:sz="8" w:color="00C389"/>
            </w:tcBorders>
          </w:tcPr>
          <w:p>
            <w:pPr>
              <w:spacing w:after="0"/>
              <w:rPr>
                <w:sz w:val="21"/>
                <w:szCs w:val="21"/>
                <w:color w:val="auto"/>
              </w:rPr>
            </w:pPr>
          </w:p>
        </w:tc>
        <w:tc>
          <w:tcPr>
            <w:tcW w:w="500" w:type="dxa"/>
            <w:vAlign w:val="bottom"/>
            <w:tcBorders>
              <w:bottom w:val="single" w:sz="8" w:color="00C389"/>
            </w:tcBorders>
          </w:tcPr>
          <w:p>
            <w:pPr>
              <w:spacing w:after="0"/>
              <w:rPr>
                <w:sz w:val="21"/>
                <w:szCs w:val="21"/>
                <w:color w:val="auto"/>
              </w:rPr>
            </w:pPr>
          </w:p>
        </w:tc>
        <w:tc>
          <w:tcPr>
            <w:tcW w:w="260" w:type="dxa"/>
            <w:vAlign w:val="bottom"/>
            <w:tcBorders>
              <w:bottom w:val="single" w:sz="8" w:color="00C389"/>
            </w:tcBorders>
          </w:tcPr>
          <w:p>
            <w:pPr>
              <w:spacing w:after="0"/>
              <w:rPr>
                <w:sz w:val="21"/>
                <w:szCs w:val="21"/>
                <w:color w:val="auto"/>
              </w:rPr>
            </w:pPr>
          </w:p>
        </w:tc>
        <w:tc>
          <w:tcPr>
            <w:tcW w:w="200" w:type="dxa"/>
            <w:vAlign w:val="bottom"/>
            <w:tcBorders>
              <w:bottom w:val="single" w:sz="8" w:color="00C389"/>
            </w:tcBorders>
          </w:tcPr>
          <w:p>
            <w:pPr>
              <w:spacing w:after="0"/>
              <w:rPr>
                <w:sz w:val="21"/>
                <w:szCs w:val="21"/>
                <w:color w:val="auto"/>
              </w:rPr>
            </w:pPr>
          </w:p>
        </w:tc>
        <w:tc>
          <w:tcPr>
            <w:tcW w:w="260" w:type="dxa"/>
            <w:vAlign w:val="bottom"/>
            <w:tcBorders>
              <w:bottom w:val="single" w:sz="8" w:color="00C389"/>
            </w:tcBorders>
          </w:tcPr>
          <w:p>
            <w:pPr>
              <w:spacing w:after="0"/>
              <w:rPr>
                <w:sz w:val="21"/>
                <w:szCs w:val="21"/>
                <w:color w:val="auto"/>
              </w:rPr>
            </w:pPr>
          </w:p>
        </w:tc>
        <w:tc>
          <w:tcPr>
            <w:tcW w:w="320" w:type="dxa"/>
            <w:vAlign w:val="bottom"/>
            <w:tcBorders>
              <w:bottom w:val="single" w:sz="8" w:color="00C389"/>
            </w:tcBorders>
          </w:tcPr>
          <w:p>
            <w:pPr>
              <w:spacing w:after="0"/>
              <w:rPr>
                <w:sz w:val="21"/>
                <w:szCs w:val="21"/>
                <w:color w:val="auto"/>
              </w:rPr>
            </w:pPr>
          </w:p>
        </w:tc>
        <w:tc>
          <w:tcPr>
            <w:tcW w:w="220" w:type="dxa"/>
            <w:vAlign w:val="bottom"/>
            <w:tcBorders>
              <w:bottom w:val="single" w:sz="8" w:color="00C389"/>
            </w:tcBorders>
          </w:tcPr>
          <w:p>
            <w:pPr>
              <w:spacing w:after="0"/>
              <w:rPr>
                <w:sz w:val="21"/>
                <w:szCs w:val="21"/>
                <w:color w:val="auto"/>
              </w:rPr>
            </w:pPr>
          </w:p>
        </w:tc>
        <w:tc>
          <w:tcPr>
            <w:tcW w:w="480" w:type="dxa"/>
            <w:vAlign w:val="bottom"/>
            <w:tcBorders>
              <w:bottom w:val="single" w:sz="8" w:color="00C389"/>
            </w:tcBorders>
          </w:tcPr>
          <w:p>
            <w:pPr>
              <w:spacing w:after="0"/>
              <w:rPr>
                <w:sz w:val="21"/>
                <w:szCs w:val="21"/>
                <w:color w:val="auto"/>
              </w:rPr>
            </w:pPr>
          </w:p>
        </w:tc>
        <w:tc>
          <w:tcPr>
            <w:tcW w:w="560" w:type="dxa"/>
            <w:vAlign w:val="bottom"/>
            <w:tcBorders>
              <w:bottom w:val="single" w:sz="8" w:color="00C389"/>
            </w:tcBorders>
          </w:tcPr>
          <w:p>
            <w:pPr>
              <w:spacing w:after="0"/>
              <w:rPr>
                <w:sz w:val="21"/>
                <w:szCs w:val="21"/>
                <w:color w:val="auto"/>
              </w:rPr>
            </w:pPr>
          </w:p>
        </w:tc>
        <w:tc>
          <w:tcPr>
            <w:tcW w:w="520" w:type="dxa"/>
            <w:vAlign w:val="bottom"/>
            <w:tcBorders>
              <w:bottom w:val="single" w:sz="8" w:color="00C389"/>
            </w:tcBorders>
          </w:tcPr>
          <w:p>
            <w:pPr>
              <w:spacing w:after="0"/>
              <w:rPr>
                <w:sz w:val="21"/>
                <w:szCs w:val="21"/>
                <w:color w:val="auto"/>
              </w:rPr>
            </w:pPr>
          </w:p>
        </w:tc>
        <w:tc>
          <w:tcPr>
            <w:tcW w:w="320" w:type="dxa"/>
            <w:vAlign w:val="bottom"/>
            <w:tcBorders>
              <w:bottom w:val="single" w:sz="8" w:color="00C389"/>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1340" w:type="dxa"/>
            <w:vAlign w:val="bottom"/>
          </w:tcPr>
          <w:p>
            <w:pPr>
              <w:ind w:left="240"/>
              <w:spacing w:after="0"/>
              <w:rPr>
                <w:sz w:val="20"/>
                <w:szCs w:val="20"/>
                <w:color w:val="auto"/>
              </w:rPr>
            </w:pPr>
            <w:r>
              <w:rPr>
                <w:rFonts w:ascii="Arial" w:cs="Arial" w:eastAsia="Arial" w:hAnsi="Arial"/>
                <w:sz w:val="18"/>
                <w:szCs w:val="18"/>
                <w:color w:val="auto"/>
              </w:rPr>
              <w:t>Member</w:t>
            </w:r>
          </w:p>
        </w:tc>
        <w:tc>
          <w:tcPr>
            <w:tcW w:w="3280" w:type="dxa"/>
            <w:vAlign w:val="bottom"/>
            <w:gridSpan w:val="3"/>
          </w:tcPr>
          <w:p>
            <w:pPr>
              <w:spacing w:after="0"/>
              <w:rPr>
                <w:sz w:val="20"/>
                <w:szCs w:val="20"/>
                <w:color w:val="auto"/>
              </w:rPr>
            </w:pPr>
            <w:r>
              <w:rPr>
                <w:rFonts w:ascii="Arial" w:cs="Arial" w:eastAsia="Arial" w:hAnsi="Arial"/>
                <w:sz w:val="18"/>
                <w:szCs w:val="18"/>
                <w:color w:val="auto"/>
              </w:rPr>
              <w:t>  Audit Committee Financial Expert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-207645</wp:posOffset>
            </wp:positionV>
            <wp:extent cx="12001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-5282565</wp:posOffset>
            </wp:positionV>
            <wp:extent cx="16319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-5282565</wp:posOffset>
            </wp:positionV>
            <wp:extent cx="1200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-5282565</wp:posOffset>
            </wp:positionV>
            <wp:extent cx="12001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-4913630</wp:posOffset>
            </wp:positionV>
            <wp:extent cx="16319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-4913630</wp:posOffset>
            </wp:positionV>
            <wp:extent cx="1200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-4913630</wp:posOffset>
            </wp:positionV>
            <wp:extent cx="12001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-4545330</wp:posOffset>
            </wp:positionV>
            <wp:extent cx="16319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-4545330</wp:posOffset>
            </wp:positionV>
            <wp:extent cx="1200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-4176395</wp:posOffset>
            </wp:positionV>
            <wp:extent cx="16319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-4176395</wp:posOffset>
            </wp:positionV>
            <wp:extent cx="12001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-4176395</wp:posOffset>
            </wp:positionV>
            <wp:extent cx="12001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-3808095</wp:posOffset>
            </wp:positionV>
            <wp:extent cx="16319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-3808095</wp:posOffset>
            </wp:positionV>
            <wp:extent cx="12001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-3808095</wp:posOffset>
            </wp:positionV>
            <wp:extent cx="12001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-3439160</wp:posOffset>
            </wp:positionV>
            <wp:extent cx="16319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-3439160</wp:posOffset>
            </wp:positionV>
            <wp:extent cx="12001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-3439160</wp:posOffset>
            </wp:positionV>
            <wp:extent cx="12001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-3070860</wp:posOffset>
            </wp:positionV>
            <wp:extent cx="16319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-3070860</wp:posOffset>
            </wp:positionV>
            <wp:extent cx="12001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-3070860</wp:posOffset>
            </wp:positionV>
            <wp:extent cx="1200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-2701925</wp:posOffset>
            </wp:positionV>
            <wp:extent cx="16319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-2701925</wp:posOffset>
            </wp:positionV>
            <wp:extent cx="12001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-2701925</wp:posOffset>
            </wp:positionV>
            <wp:extent cx="1200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-2333625</wp:posOffset>
            </wp:positionV>
            <wp:extent cx="12001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-2333625</wp:posOffset>
            </wp:positionV>
            <wp:extent cx="1200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-207645</wp:posOffset>
            </wp:positionV>
            <wp:extent cx="12001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PROXY STATEMENT SUMMARY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1560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358775</wp:posOffset>
            </wp:positionV>
            <wp:extent cx="284607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20574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304"/>
        </w:trPr>
        <w:tc>
          <w:tcPr>
            <w:tcW w:w="240" w:type="dxa"/>
            <w:vAlign w:val="bottom"/>
            <w:tcBorders>
              <w:bottom w:val="single" w:sz="8" w:color="00C389"/>
            </w:tcBorders>
            <w:shd w:val="clear" w:color="auto" w:fill="00C389"/>
          </w:tcPr>
          <w:p>
            <w:pPr>
              <w:spacing w:after="0"/>
              <w:rPr>
                <w:sz w:val="20"/>
                <w:szCs w:val="20"/>
                <w:color w:val="auto"/>
              </w:rPr>
            </w:pPr>
            <w:r>
              <w:rPr>
                <w:rFonts w:ascii="Arial" w:cs="Arial" w:eastAsia="Arial" w:hAnsi="Arial"/>
                <w:sz w:val="14"/>
                <w:szCs w:val="14"/>
                <w:b w:val="1"/>
                <w:bCs w:val="1"/>
                <w:color w:val="FEFEFE"/>
              </w:rPr>
              <w:t>​</w:t>
            </w:r>
          </w:p>
        </w:tc>
        <w:tc>
          <w:tcPr>
            <w:tcW w:w="4240" w:type="dxa"/>
            <w:vAlign w:val="bottom"/>
            <w:tcBorders>
              <w:bottom w:val="single" w:sz="8" w:color="00C389"/>
            </w:tcBorders>
            <w:shd w:val="clear" w:color="auto" w:fill="00C389"/>
          </w:tcPr>
          <w:p>
            <w:pPr>
              <w:ind w:left="1540"/>
              <w:spacing w:after="0"/>
              <w:rPr>
                <w:sz w:val="20"/>
                <w:szCs w:val="20"/>
                <w:color w:val="auto"/>
              </w:rPr>
            </w:pPr>
            <w:r>
              <w:rPr>
                <w:rFonts w:ascii="Arial" w:cs="Arial" w:eastAsia="Arial" w:hAnsi="Arial"/>
                <w:sz w:val="14"/>
                <w:szCs w:val="14"/>
                <w:b w:val="1"/>
                <w:bCs w:val="1"/>
                <w:color w:val="FEFEFE"/>
              </w:rPr>
              <w:t>WHAT WE DO</w:t>
            </w:r>
          </w:p>
        </w:tc>
        <w:tc>
          <w:tcPr>
            <w:tcW w:w="160" w:type="dxa"/>
            <w:vAlign w:val="bottom"/>
          </w:tcPr>
          <w:p>
            <w:pPr>
              <w:jc w:val="center"/>
              <w:spacing w:after="0"/>
              <w:rPr>
                <w:sz w:val="20"/>
                <w:szCs w:val="20"/>
                <w:color w:val="auto"/>
              </w:rPr>
            </w:pPr>
            <w:r>
              <w:rPr>
                <w:rFonts w:ascii="Arial" w:cs="Arial" w:eastAsia="Arial" w:hAnsi="Arial"/>
                <w:sz w:val="14"/>
                <w:szCs w:val="14"/>
                <w:b w:val="1"/>
                <w:bCs w:val="1"/>
                <w:color w:val="FEFEFE"/>
              </w:rPr>
              <w:t>​</w:t>
            </w:r>
          </w:p>
        </w:tc>
        <w:tc>
          <w:tcPr>
            <w:tcW w:w="12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4"/>
                <w:szCs w:val="14"/>
                <w:color w:val="auto"/>
              </w:rPr>
            </w:pPr>
          </w:p>
        </w:tc>
      </w:tr>
      <w:tr>
        <w:trPr>
          <w:trHeight w:val="130"/>
        </w:trPr>
        <w:tc>
          <w:tcPr>
            <w:tcW w:w="240" w:type="dxa"/>
            <w:vAlign w:val="bottom"/>
          </w:tcPr>
          <w:p>
            <w:pPr>
              <w:spacing w:after="0"/>
              <w:rPr>
                <w:sz w:val="11"/>
                <w:szCs w:val="11"/>
                <w:color w:val="auto"/>
              </w:rPr>
            </w:pPr>
          </w:p>
        </w:tc>
        <w:tc>
          <w:tcPr>
            <w:tcW w:w="4240" w:type="dxa"/>
            <w:vAlign w:val="bottom"/>
          </w:tcPr>
          <w:p>
            <w:pPr>
              <w:ind w:left="200"/>
              <w:spacing w:after="0" w:line="130" w:lineRule="exact"/>
              <w:rPr>
                <w:sz w:val="20"/>
                <w:szCs w:val="20"/>
                <w:color w:val="auto"/>
              </w:rPr>
            </w:pPr>
            <w:r>
              <w:rPr>
                <w:rFonts w:ascii="Arial" w:cs="Arial" w:eastAsia="Arial" w:hAnsi="Arial"/>
                <w:sz w:val="15"/>
                <w:szCs w:val="15"/>
                <w:i w:val="1"/>
                <w:iCs w:val="1"/>
                <w:color w:val="auto"/>
              </w:rPr>
              <w:t xml:space="preserve">Pay for performance: </w:t>
            </w:r>
            <w:r>
              <w:rPr>
                <w:rFonts w:ascii="Arial" w:cs="Arial" w:eastAsia="Arial" w:hAnsi="Arial"/>
                <w:sz w:val="15"/>
                <w:szCs w:val="15"/>
                <w:color w:val="auto"/>
              </w:rPr>
              <w:t>A portion of the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for named executive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9"/>
              </w:rPr>
              <w:t>officers is designed to encourage the executives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remain focused on both our short-term and long-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term operational success and to reward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389"/>
            </w:tcBorders>
          </w:tcPr>
          <w:p>
            <w:pPr>
              <w:spacing w:after="0"/>
              <w:rPr>
                <w:sz w:val="21"/>
                <w:szCs w:val="21"/>
                <w:color w:val="auto"/>
              </w:rPr>
            </w:pPr>
          </w:p>
        </w:tc>
        <w:tc>
          <w:tcPr>
            <w:tcW w:w="42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auto"/>
              </w:rPr>
              <w:t>outstanding individual performance.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Align Incentives with Stockholders: </w:t>
            </w:r>
            <w:r>
              <w:rPr>
                <w:rFonts w:ascii="Arial" w:cs="Arial" w:eastAsia="Arial" w:hAnsi="Arial"/>
                <w:sz w:val="10"/>
                <w:szCs w:val="10"/>
                <w:color w:val="auto"/>
              </w:rPr>
              <w:t>Our executive</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program is designed to focus our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named executive officers on our key strategic,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financial and operational goals that will translate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389"/>
            </w:tcBorders>
          </w:tcPr>
          <w:p>
            <w:pPr>
              <w:spacing w:after="0"/>
              <w:rPr>
                <w:sz w:val="21"/>
                <w:szCs w:val="21"/>
                <w:color w:val="auto"/>
              </w:rPr>
            </w:pPr>
          </w:p>
        </w:tc>
        <w:tc>
          <w:tcPr>
            <w:tcW w:w="42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auto"/>
              </w:rPr>
              <w:t>into long-term value creation for our stockholders.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Limited perquisites: </w:t>
            </w:r>
            <w:r>
              <w:rPr>
                <w:rFonts w:ascii="Arial" w:cs="Arial" w:eastAsia="Arial" w:hAnsi="Arial"/>
                <w:sz w:val="10"/>
                <w:szCs w:val="10"/>
                <w:color w:val="auto"/>
              </w:rPr>
              <w:t>We provide limited,</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reasonable perquisites that we believe 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consistent with our overall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2"/>
        </w:trPr>
        <w:tc>
          <w:tcPr>
            <w:tcW w:w="240" w:type="dxa"/>
            <w:vAlign w:val="bottom"/>
            <w:tcBorders>
              <w:bottom w:val="single" w:sz="8" w:color="00C389"/>
            </w:tcBorders>
          </w:tcPr>
          <w:p>
            <w:pPr>
              <w:spacing w:after="0"/>
              <w:rPr>
                <w:sz w:val="21"/>
                <w:szCs w:val="21"/>
                <w:color w:val="auto"/>
              </w:rPr>
            </w:pPr>
          </w:p>
        </w:tc>
        <w:tc>
          <w:tcPr>
            <w:tcW w:w="42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auto"/>
              </w:rPr>
              <w:t>philosophy.</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2"/>
        </w:trPr>
        <w:tc>
          <w:tcPr>
            <w:tcW w:w="24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4240" w:type="dxa"/>
            <w:vAlign w:val="bottom"/>
          </w:tcPr>
          <w:p>
            <w:pPr>
              <w:ind w:left="200"/>
              <w:spacing w:after="0" w:line="162" w:lineRule="exact"/>
              <w:rPr>
                <w:sz w:val="20"/>
                <w:szCs w:val="20"/>
                <w:color w:val="auto"/>
              </w:rPr>
            </w:pPr>
            <w:r>
              <w:rPr>
                <w:rFonts w:ascii="Arial" w:cs="Arial" w:eastAsia="Arial" w:hAnsi="Arial"/>
                <w:sz w:val="18"/>
                <w:szCs w:val="18"/>
                <w:color w:val="auto"/>
              </w:rPr>
              <w:t>​</w:t>
            </w:r>
          </w:p>
        </w:tc>
        <w:tc>
          <w:tcPr>
            <w:tcW w:w="160" w:type="dxa"/>
            <w:vAlign w:val="bottom"/>
          </w:tcPr>
          <w:p>
            <w:pPr>
              <w:jc w:val="center"/>
              <w:spacing w:after="0" w:line="162" w:lineRule="exact"/>
              <w:rPr>
                <w:sz w:val="20"/>
                <w:szCs w:val="20"/>
                <w:color w:val="auto"/>
              </w:rPr>
            </w:pPr>
            <w:r>
              <w:rPr>
                <w:rFonts w:ascii="Arial" w:cs="Arial" w:eastAsia="Arial" w:hAnsi="Arial"/>
                <w:sz w:val="18"/>
                <w:szCs w:val="18"/>
                <w:color w:val="auto"/>
              </w:rPr>
              <w:t>​ ​</w:t>
            </w:r>
          </w:p>
        </w:tc>
        <w:tc>
          <w:tcPr>
            <w:tcW w:w="120" w:type="dxa"/>
            <w:vAlign w:val="bottom"/>
          </w:tcPr>
          <w:p>
            <w:pPr>
              <w:ind w:left="60"/>
              <w:spacing w:after="0" w:line="162" w:lineRule="exact"/>
              <w:rPr>
                <w:sz w:val="20"/>
                <w:szCs w:val="20"/>
                <w:color w:val="auto"/>
              </w:rPr>
            </w:pPr>
            <w:r>
              <w:rPr>
                <w:rFonts w:ascii="Arial" w:cs="Arial" w:eastAsia="Arial" w:hAnsi="Arial"/>
                <w:sz w:val="18"/>
                <w:szCs w:val="18"/>
                <w:color w:val="auto"/>
              </w:rPr>
              <w:t>​</w:t>
            </w:r>
          </w:p>
        </w:tc>
      </w:tr>
      <w:tr>
        <w:trPr>
          <w:trHeight w:val="89"/>
        </w:trPr>
        <w:tc>
          <w:tcPr>
            <w:tcW w:w="240" w:type="dxa"/>
            <w:vAlign w:val="bottom"/>
          </w:tcPr>
          <w:p>
            <w:pPr>
              <w:spacing w:after="0"/>
              <w:rPr>
                <w:sz w:val="7"/>
                <w:szCs w:val="7"/>
                <w:color w:val="auto"/>
              </w:rPr>
            </w:pPr>
          </w:p>
        </w:tc>
        <w:tc>
          <w:tcPr>
            <w:tcW w:w="4240" w:type="dxa"/>
            <w:vAlign w:val="bottom"/>
          </w:tcPr>
          <w:p>
            <w:pPr>
              <w:ind w:left="200"/>
              <w:spacing w:after="0" w:line="90" w:lineRule="exact"/>
              <w:rPr>
                <w:sz w:val="20"/>
                <w:szCs w:val="20"/>
                <w:color w:val="auto"/>
              </w:rPr>
            </w:pPr>
            <w:r>
              <w:rPr>
                <w:rFonts w:ascii="Arial" w:cs="Arial" w:eastAsia="Arial" w:hAnsi="Arial"/>
                <w:sz w:val="10"/>
                <w:szCs w:val="10"/>
                <w:i w:val="1"/>
                <w:iCs w:val="1"/>
                <w:color w:val="auto"/>
              </w:rPr>
              <w:t xml:space="preserve">Independent Governance: </w:t>
            </w:r>
            <w:r>
              <w:rPr>
                <w:rFonts w:ascii="Arial" w:cs="Arial" w:eastAsia="Arial" w:hAnsi="Arial"/>
                <w:sz w:val="10"/>
                <w:szCs w:val="10"/>
                <w:color w:val="auto"/>
              </w:rPr>
              <w:t>Our board of directors is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chaired by an independent director and although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we are not required to have fully independent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Compensation and Nominating and 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Governance Committees, our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240" w:type="dxa"/>
            <w:vAlign w:val="bottom"/>
            <w:tcBorders>
              <w:bottom w:val="single" w:sz="8" w:color="00C389"/>
            </w:tcBorders>
          </w:tcPr>
          <w:p>
            <w:pPr>
              <w:spacing w:after="0"/>
              <w:rPr>
                <w:sz w:val="21"/>
                <w:szCs w:val="21"/>
                <w:color w:val="auto"/>
              </w:rPr>
            </w:pPr>
          </w:p>
        </w:tc>
        <w:tc>
          <w:tcPr>
            <w:tcW w:w="42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auto"/>
              </w:rPr>
              <w:t>Committee is fully independent.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-3042920</wp:posOffset>
            </wp:positionV>
            <wp:extent cx="16256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-3051175</wp:posOffset>
            </wp:positionV>
            <wp:extent cx="16319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-2176780</wp:posOffset>
            </wp:positionV>
            <wp:extent cx="16256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-1439545</wp:posOffset>
            </wp:positionV>
            <wp:extent cx="16256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-839470</wp:posOffset>
            </wp:positionV>
            <wp:extent cx="16256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1491615</wp:posOffset>
            </wp:positionV>
            <wp:extent cx="75438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FEFEFE"/>
        </w:rPr>
        <w:t>WHAT WE DON’T DO</w:t>
      </w:r>
    </w:p>
    <w:p>
      <w:pPr>
        <w:spacing w:after="0" w:line="214" w:lineRule="auto"/>
        <w:rPr>
          <w:sz w:val="20"/>
          <w:szCs w:val="20"/>
          <w:color w:val="auto"/>
        </w:rPr>
      </w:pPr>
      <w:r>
        <w:rPr>
          <w:rFonts w:ascii="Arial" w:cs="Arial" w:eastAsia="Arial" w:hAnsi="Arial"/>
          <w:sz w:val="18"/>
          <w:szCs w:val="18"/>
          <w:color w:val="auto"/>
        </w:rPr>
        <w:t>​</w:t>
      </w:r>
    </w:p>
    <w:p>
      <w:pPr>
        <w:spacing w:after="0" w:line="255" w:lineRule="auto"/>
        <w:rPr>
          <w:sz w:val="20"/>
          <w:szCs w:val="20"/>
          <w:color w:val="auto"/>
        </w:rPr>
      </w:pPr>
      <w:r>
        <w:rPr>
          <w:rFonts w:ascii="Arial" w:cs="Arial" w:eastAsia="Arial" w:hAnsi="Arial"/>
          <w:sz w:val="18"/>
          <w:szCs w:val="18"/>
          <w:i w:val="1"/>
          <w:iCs w:val="1"/>
          <w:color w:val="auto"/>
        </w:rPr>
        <w:t xml:space="preserve">No IRC Section 280G or 409A tax gross-ups: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tax gross-ups under our change in control provisions or deferred compensation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-127635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88" w:lineRule="exact"/>
        <w:rPr>
          <w:sz w:val="20"/>
          <w:szCs w:val="20"/>
          <w:color w:val="auto"/>
        </w:rPr>
      </w:pPr>
    </w:p>
    <w:p>
      <w:pPr>
        <w:sectPr>
          <w:pgSz w:w="11900" w:h="16838" w:orient="portrait"/>
          <w:cols w:equalWidth="0" w:num="3">
            <w:col w:w="5520" w:space="380"/>
            <w:col w:w="3900" w:space="140"/>
            <w:col w:w="6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Proposal 1: Election of Directors</w:t>
      </w:r>
    </w:p>
    <w:p>
      <w:pPr>
        <w:spacing w:after="0" w:line="146" w:lineRule="exact"/>
        <w:rPr>
          <w:sz w:val="20"/>
          <w:szCs w:val="20"/>
          <w:color w:val="auto"/>
        </w:rPr>
      </w:pPr>
    </w:p>
    <w:p>
      <w:pPr>
        <w:ind w:left="760" w:right="200"/>
        <w:spacing w:after="0" w:line="274" w:lineRule="auto"/>
        <w:rPr>
          <w:sz w:val="20"/>
          <w:szCs w:val="20"/>
          <w:color w:val="auto"/>
        </w:rPr>
      </w:pPr>
      <w:r>
        <w:rPr>
          <w:rFonts w:ascii="Arial" w:cs="Arial" w:eastAsia="Arial" w:hAnsi="Arial"/>
          <w:sz w:val="17"/>
          <w:szCs w:val="17"/>
          <w:color w:val="auto"/>
        </w:rPr>
        <w:t>At the Annual Meeting, stockholders will vote to elect the three nominees named in this proxy statement as Class I directors. Each of the Class I directors elected at the Annual Meeting will hold office until the 2025 annual meeting of stockholders and until his or her successor has been duly elected and qualified. Our board of directors has nominated William F. Cruger, Jr., Christopher C. Quick, and Vincent Viola to serve as Class I directors for terms expiring at the 2025 annual meeting of stockholders and until each of their successors has been duly elected and qualified. The persons named as proxies will vote to elect Messrs. Cruger, Quick, and Vincent Viola unless a stockholder indicates that his or her shares should be withheld with respect to one or more of such nominees.</w:t>
      </w:r>
    </w:p>
    <w:p>
      <w:pPr>
        <w:spacing w:after="0" w:line="58" w:lineRule="exact"/>
        <w:rPr>
          <w:sz w:val="20"/>
          <w:szCs w:val="20"/>
          <w:color w:val="auto"/>
        </w:rPr>
      </w:pPr>
    </w:p>
    <w:p>
      <w:pPr>
        <w:ind w:left="760" w:right="100"/>
        <w:spacing w:after="0" w:line="262" w:lineRule="auto"/>
        <w:rPr>
          <w:sz w:val="20"/>
          <w:szCs w:val="20"/>
          <w:color w:val="auto"/>
        </w:rPr>
      </w:pPr>
      <w:r>
        <w:rPr>
          <w:rFonts w:ascii="Arial" w:cs="Arial" w:eastAsia="Arial" w:hAnsi="Arial"/>
          <w:sz w:val="18"/>
          <w:szCs w:val="18"/>
          <w:color w:val="auto"/>
        </w:rPr>
        <w:t>In the event that any nominee for Class 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00"/>
        <w:spacing w:after="0" w:line="287"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271780</wp:posOffset>
            </wp:positionV>
            <wp:extent cx="5829300" cy="480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554"/>
                <w:w w:val="99"/>
              </w:rPr>
              <w:t>Our board of directors recommends that you vote FOR each of</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002554"/>
              </w:rPr>
              <w:t>​</w:t>
            </w:r>
          </w:p>
        </w:tc>
        <w:tc>
          <w:tcPr>
            <w:tcW w:w="7180" w:type="dxa"/>
            <w:vAlign w:val="bottom"/>
          </w:tcPr>
          <w:p>
            <w:pPr>
              <w:jc w:val="center"/>
              <w:spacing w:after="0"/>
              <w:rPr>
                <w:sz w:val="20"/>
                <w:szCs w:val="20"/>
                <w:color w:val="auto"/>
              </w:rPr>
            </w:pPr>
            <w:r>
              <w:rPr>
                <w:rFonts w:ascii="Arial" w:cs="Arial" w:eastAsia="Arial" w:hAnsi="Arial"/>
                <w:sz w:val="18"/>
                <w:szCs w:val="18"/>
                <w:b w:val="1"/>
                <w:bCs w:val="1"/>
                <w:color w:val="002554"/>
                <w:w w:val="99"/>
              </w:rPr>
              <w:t>the nominees for our board of directors in this proposal 1.</w:t>
            </w:r>
          </w:p>
        </w:tc>
        <w:tc>
          <w:tcPr>
            <w:tcW w:w="1000" w:type="dxa"/>
            <w:vAlign w:val="bottom"/>
            <w:vMerge w:val="restart"/>
          </w:tcPr>
          <w:p>
            <w:pPr>
              <w:ind w:left="940"/>
              <w:spacing w:after="0"/>
              <w:rPr>
                <w:sz w:val="20"/>
                <w:szCs w:val="20"/>
                <w:color w:val="auto"/>
              </w:rPr>
            </w:pPr>
            <w:r>
              <w:rPr>
                <w:rFonts w:ascii="Arial" w:cs="Arial" w:eastAsia="Arial" w:hAnsi="Arial"/>
                <w:sz w:val="18"/>
                <w:szCs w:val="18"/>
                <w:b w:val="1"/>
                <w:bCs w:val="1"/>
                <w:color w:val="002554"/>
              </w:rPr>
              <w:t>​</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7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directors.</w:t>
      </w: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Class I Directors</w:t>
      </w:r>
    </w:p>
    <w:p>
      <w:pPr>
        <w:spacing w:after="0" w:line="115" w:lineRule="exact"/>
        <w:rPr>
          <w:sz w:val="20"/>
          <w:szCs w:val="20"/>
          <w:color w:val="auto"/>
        </w:rPr>
      </w:pPr>
    </w:p>
    <w:p>
      <w:pPr>
        <w:ind w:left="760" w:right="100"/>
        <w:spacing w:after="0" w:line="268" w:lineRule="auto"/>
        <w:rPr>
          <w:sz w:val="20"/>
          <w:szCs w:val="20"/>
          <w:color w:val="auto"/>
        </w:rPr>
      </w:pPr>
      <w:r>
        <w:rPr>
          <w:rFonts w:ascii="Arial" w:cs="Arial" w:eastAsia="Arial" w:hAnsi="Arial"/>
          <w:sz w:val="18"/>
          <w:szCs w:val="18"/>
          <w:color w:val="auto"/>
        </w:rPr>
        <w:t>The term of the following three Class I directors will expire at the Annual Meeting. Messrs. Cruger, Quick, and Vincent Viola are the only nominees for election at the Annual Meeting, for a term that will expire at the 2025 annual meeting of stockholders and until each of their successors has been duly elected and qualified.</w:t>
      </w:r>
    </w:p>
    <w:p>
      <w:pPr>
        <w:spacing w:after="0" w:line="289"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60" w:type="dxa"/>
            <w:vAlign w:val="bottom"/>
          </w:tcPr>
          <w:p>
            <w:pPr>
              <w:spacing w:after="0"/>
              <w:rPr>
                <w:sz w:val="20"/>
                <w:szCs w:val="20"/>
                <w:color w:val="auto"/>
              </w:rPr>
            </w:pPr>
            <w:r>
              <w:rPr>
                <w:rFonts w:ascii="Arial" w:cs="Arial" w:eastAsia="Arial" w:hAnsi="Arial"/>
                <w:sz w:val="36"/>
                <w:szCs w:val="36"/>
                <w:color w:val="00C389"/>
              </w:rPr>
              <w:t>William F.</w:t>
            </w: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2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840" w:type="dxa"/>
            <w:vAlign w:val="bottom"/>
          </w:tcPr>
          <w:p>
            <w:pPr>
              <w:ind w:left="20"/>
              <w:spacing w:after="0" w:line="149" w:lineRule="exact"/>
              <w:rPr>
                <w:sz w:val="20"/>
                <w:szCs w:val="20"/>
                <w:color w:val="auto"/>
              </w:rPr>
            </w:pPr>
            <w:r>
              <w:rPr>
                <w:rFonts w:ascii="Arial" w:cs="Arial" w:eastAsia="Arial" w:hAnsi="Arial"/>
                <w:sz w:val="17"/>
                <w:szCs w:val="17"/>
                <w:color w:val="002554"/>
              </w:rPr>
              <w:t xml:space="preserve">• </w:t>
            </w:r>
            <w:r>
              <w:rPr>
                <w:rFonts w:ascii="Arial" w:cs="Arial" w:eastAsia="Arial" w:hAnsi="Arial"/>
                <w:sz w:val="17"/>
                <w:szCs w:val="17"/>
                <w:color w:val="000000"/>
              </w:rPr>
              <w:t>Audit</w:t>
            </w:r>
          </w:p>
        </w:tc>
        <w:tc>
          <w:tcPr>
            <w:tcW w:w="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6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Cruger, Jr.</w:t>
            </w:r>
          </w:p>
        </w:tc>
        <w:tc>
          <w:tcPr>
            <w:tcW w:w="620" w:type="dxa"/>
            <w:vAlign w:val="bottom"/>
            <w:tcBorders>
              <w:bottom w:val="single" w:sz="8" w:color="00C389"/>
            </w:tcBorders>
          </w:tcPr>
          <w:p>
            <w:pPr>
              <w:spacing w:after="0"/>
              <w:rPr>
                <w:sz w:val="24"/>
                <w:szCs w:val="24"/>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63</w:t>
            </w:r>
          </w:p>
        </w:tc>
        <w:tc>
          <w:tcPr>
            <w:tcW w:w="300" w:type="dxa"/>
            <w:vAlign w:val="bottom"/>
            <w:tcBorders>
              <w:bottom w:val="single" w:sz="8" w:color="00C389"/>
            </w:tcBorders>
          </w:tcPr>
          <w:p>
            <w:pPr>
              <w:spacing w:after="0"/>
              <w:rPr>
                <w:sz w:val="24"/>
                <w:szCs w:val="24"/>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Arial" w:cs="Arial" w:eastAsia="Arial" w:hAnsi="Arial"/>
                <w:sz w:val="18"/>
                <w:szCs w:val="18"/>
                <w:color w:val="00C389"/>
              </w:rPr>
              <w:t>BACKGROUND</w:t>
            </w:r>
          </w:p>
        </w:tc>
        <w:tc>
          <w:tcPr>
            <w:tcW w:w="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Mr. Cruger became a member of our board of directors in April 2015 and was previously a member of the board of directors of Virtu Financial LLC (“</w:t>
      </w:r>
      <w:r>
        <w:rPr>
          <w:rFonts w:ascii="Arial" w:cs="Arial" w:eastAsia="Arial" w:hAnsi="Arial"/>
          <w:sz w:val="18"/>
          <w:szCs w:val="18"/>
          <w:b w:val="1"/>
          <w:bCs w:val="1"/>
          <w:color w:val="auto"/>
        </w:rPr>
        <w:t>Virtu Financial</w:t>
      </w:r>
      <w:r>
        <w:rPr>
          <w:rFonts w:ascii="Arial" w:cs="Arial" w:eastAsia="Arial" w:hAnsi="Arial"/>
          <w:sz w:val="18"/>
          <w:szCs w:val="18"/>
          <w:color w:val="auto"/>
        </w:rPr>
        <w:t>”), which is a subsidiary of the Company and was the entity through which we conducted our business prior to our initial public offering. From 1982 to 2013, he held a number of senior positions at J.P. Morgan and Co., a global investment bank. Mr. Cruger was Managing Director in the Financial Institutions group from 1996 to 2011, and then served as Vice Chairman of Investment Banking at J.P. Morgan and Co., where he was responsible for key client relationships on a global basis.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Mr. Cruger currently serves on the board of MarketAxess Holdings Inc. (NASDAQ:MKTX) and M&amp;T Bank Corporation (NYSE:MTB) (“</w:t>
      </w:r>
      <w:r>
        <w:rPr>
          <w:rFonts w:ascii="Arial" w:cs="Arial" w:eastAsia="Arial" w:hAnsi="Arial"/>
          <w:sz w:val="18"/>
          <w:szCs w:val="18"/>
          <w:b w:val="1"/>
          <w:bCs w:val="1"/>
          <w:color w:val="auto"/>
        </w:rPr>
        <w:t>M&amp;T Bank</w:t>
      </w:r>
      <w:r>
        <w:rPr>
          <w:rFonts w:ascii="Arial" w:cs="Arial" w:eastAsia="Arial" w:hAnsi="Arial"/>
          <w:sz w:val="18"/>
          <w:szCs w:val="18"/>
          <w:color w:val="auto"/>
        </w:rPr>
        <w:t>”), and has previously served on the boards of Archipelago Holdings, Inc., CreditTrade, Inc., Capital IQ, Inc, and People’s United Financial, Inc. (NASDAQ:PBCT) (prior to its acquisition by M&amp;T Bank). He has an M.B.A. from Columbia University and a B.A. from Clark University.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860"/>
        <w:spacing w:after="0" w:line="318" w:lineRule="auto"/>
        <w:rPr>
          <w:sz w:val="20"/>
          <w:szCs w:val="20"/>
          <w:color w:val="auto"/>
        </w:rPr>
      </w:pPr>
      <w:r>
        <w:rPr>
          <w:rFonts w:ascii="Arial" w:cs="Arial" w:eastAsia="Arial" w:hAnsi="Arial"/>
          <w:sz w:val="17"/>
          <w:szCs w:val="17"/>
          <w:color w:val="auto"/>
        </w:rPr>
        <w:t>Mr. Cruger’s diverse experience in investment banking at a global financial services firm and his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-33655</wp:posOffset>
            </wp:positionV>
            <wp:extent cx="58293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2760345</wp:posOffset>
            </wp:positionV>
            <wp:extent cx="75438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tbl>
      <w:tblPr>
        <w:tblLayout w:type="fixed"/>
        <w:tblInd w:w="760" w:type="dxa"/>
        <w:tblCellMar>
          <w:top w:w="0" w:type="dxa"/>
          <w:left w:w="0" w:type="dxa"/>
          <w:bottom w:w="0" w:type="dxa"/>
          <w:right w:w="0" w:type="dxa"/>
        </w:tblCellMar>
      </w:tblPr>
      <w:tr>
        <w:trPr>
          <w:trHeight w:val="311"/>
        </w:trPr>
        <w:tc>
          <w:tcPr>
            <w:tcW w:w="2400" w:type="dxa"/>
            <w:vAlign w:val="bottom"/>
          </w:tcPr>
          <w:p>
            <w:pPr>
              <w:spacing w:after="0" w:line="311" w:lineRule="exact"/>
              <w:rPr>
                <w:sz w:val="20"/>
                <w:szCs w:val="20"/>
                <w:color w:val="auto"/>
              </w:rPr>
            </w:pPr>
            <w:r>
              <w:rPr>
                <w:rFonts w:ascii="Arial" w:cs="Arial" w:eastAsia="Arial" w:hAnsi="Arial"/>
                <w:sz w:val="36"/>
                <w:szCs w:val="36"/>
                <w:color w:val="00C389"/>
              </w:rPr>
              <w:t>Christopher C.</w:t>
            </w:r>
          </w:p>
        </w:tc>
        <w:tc>
          <w:tcPr>
            <w:tcW w:w="2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Compensation</w:t>
            </w:r>
          </w:p>
        </w:tc>
        <w:tc>
          <w:tcPr>
            <w:tcW w:w="380" w:type="dxa"/>
            <w:vAlign w:val="bottom"/>
          </w:tcPr>
          <w:p>
            <w:pPr>
              <w:spacing w:after="0"/>
              <w:rPr>
                <w:sz w:val="24"/>
                <w:szCs w:val="24"/>
                <w:color w:val="auto"/>
              </w:rPr>
            </w:pPr>
          </w:p>
        </w:tc>
        <w:tc>
          <w:tcPr>
            <w:tcW w:w="2040" w:type="dxa"/>
            <w:vAlign w:val="bottom"/>
          </w:tcPr>
          <w:p>
            <w:pPr>
              <w:ind w:left="40"/>
              <w:spacing w:after="0"/>
              <w:rPr>
                <w:sz w:val="20"/>
                <w:szCs w:val="20"/>
                <w:color w:val="auto"/>
              </w:rPr>
            </w:pPr>
            <w:r>
              <w:rPr>
                <w:rFonts w:ascii="Arial" w:cs="Arial" w:eastAsia="Arial" w:hAnsi="Arial"/>
                <w:sz w:val="18"/>
                <w:szCs w:val="18"/>
                <w:b w:val="1"/>
                <w:bCs w:val="1"/>
                <w:color w:val="00C389"/>
              </w:rPr>
              <w:t>Director Since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spacing w:after="0" w:line="364" w:lineRule="exact"/>
              <w:rPr>
                <w:sz w:val="20"/>
                <w:szCs w:val="20"/>
                <w:color w:val="auto"/>
              </w:rPr>
            </w:pPr>
            <w:r>
              <w:rPr>
                <w:rFonts w:ascii="Arial" w:cs="Arial" w:eastAsia="Arial" w:hAnsi="Arial"/>
                <w:sz w:val="36"/>
                <w:szCs w:val="36"/>
                <w:color w:val="00C389"/>
              </w:rPr>
              <w:t>Quick</w:t>
            </w: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400" w:type="dxa"/>
            <w:vAlign w:val="bottom"/>
            <w:vMerge w:val="continue"/>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1920" w:type="dxa"/>
            <w:vAlign w:val="bottom"/>
          </w:tcPr>
          <w:p>
            <w:pPr>
              <w:ind w:left="20"/>
              <w:spacing w:after="0" w:line="118" w:lineRule="exact"/>
              <w:rPr>
                <w:sz w:val="20"/>
                <w:szCs w:val="20"/>
                <w:color w:val="auto"/>
              </w:rPr>
            </w:pPr>
            <w:r>
              <w:rPr>
                <w:rFonts w:ascii="Arial" w:cs="Arial" w:eastAsia="Arial" w:hAnsi="Arial"/>
                <w:sz w:val="13"/>
                <w:szCs w:val="13"/>
                <w:color w:val="auto"/>
              </w:rPr>
              <w:t>Age: 64</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line="118" w:lineRule="exact"/>
              <w:rPr>
                <w:sz w:val="20"/>
                <w:szCs w:val="20"/>
                <w:color w:val="auto"/>
              </w:rPr>
            </w:pPr>
            <w:r>
              <w:rPr>
                <w:rFonts w:ascii="Arial" w:cs="Arial" w:eastAsia="Arial" w:hAnsi="Arial"/>
                <w:sz w:val="13"/>
                <w:szCs w:val="13"/>
                <w:color w:val="002554"/>
              </w:rPr>
              <w:t xml:space="preserve">• </w:t>
            </w:r>
            <w:r>
              <w:rPr>
                <w:rFonts w:ascii="Arial" w:cs="Arial" w:eastAsia="Arial" w:hAnsi="Arial"/>
                <w:sz w:val="13"/>
                <w:szCs w:val="13"/>
                <w:color w:val="000000"/>
              </w:rPr>
              <w:t>N&amp;CG</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2040" w:type="dxa"/>
            <w:vAlign w:val="bottom"/>
          </w:tcPr>
          <w:p>
            <w:pPr>
              <w:ind w:left="40"/>
              <w:spacing w:after="0" w:line="118" w:lineRule="exact"/>
              <w:rPr>
                <w:sz w:val="20"/>
                <w:szCs w:val="20"/>
                <w:color w:val="auto"/>
              </w:rPr>
            </w:pPr>
            <w:r>
              <w:rPr>
                <w:rFonts w:ascii="Arial" w:cs="Arial" w:eastAsia="Arial" w:hAnsi="Arial"/>
                <w:sz w:val="13"/>
                <w:szCs w:val="13"/>
                <w:color w:val="auto"/>
              </w:rPr>
              <w:t>2016</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2400" w:type="dxa"/>
            <w:vAlign w:val="bottom"/>
            <w:tcBorders>
              <w:bottom w:val="single" w:sz="8" w:color="00C389"/>
            </w:tcBorders>
          </w:tcPr>
          <w:p>
            <w:pPr>
              <w:spacing w:after="0"/>
              <w:rPr>
                <w:sz w:val="5"/>
                <w:szCs w:val="5"/>
                <w:color w:val="auto"/>
              </w:rPr>
            </w:pPr>
          </w:p>
        </w:tc>
        <w:tc>
          <w:tcPr>
            <w:tcW w:w="280" w:type="dxa"/>
            <w:vAlign w:val="bottom"/>
            <w:tcBorders>
              <w:bottom w:val="single" w:sz="8" w:color="00C389"/>
            </w:tcBorders>
          </w:tcPr>
          <w:p>
            <w:pPr>
              <w:spacing w:after="0"/>
              <w:rPr>
                <w:sz w:val="5"/>
                <w:szCs w:val="5"/>
                <w:color w:val="auto"/>
              </w:rPr>
            </w:pPr>
          </w:p>
        </w:tc>
        <w:tc>
          <w:tcPr>
            <w:tcW w:w="1920" w:type="dxa"/>
            <w:vAlign w:val="bottom"/>
            <w:tcBorders>
              <w:bottom w:val="single" w:sz="8" w:color="00C389"/>
            </w:tcBorders>
          </w:tcPr>
          <w:p>
            <w:pPr>
              <w:spacing w:after="0"/>
              <w:rPr>
                <w:sz w:val="5"/>
                <w:szCs w:val="5"/>
                <w:color w:val="auto"/>
              </w:rPr>
            </w:pPr>
          </w:p>
        </w:tc>
        <w:tc>
          <w:tcPr>
            <w:tcW w:w="300" w:type="dxa"/>
            <w:vAlign w:val="bottom"/>
            <w:tcBorders>
              <w:bottom w:val="single" w:sz="8" w:color="00C389"/>
            </w:tcBorders>
          </w:tcPr>
          <w:p>
            <w:pPr>
              <w:spacing w:after="0"/>
              <w:rPr>
                <w:sz w:val="5"/>
                <w:szCs w:val="5"/>
                <w:color w:val="auto"/>
              </w:rPr>
            </w:pPr>
          </w:p>
        </w:tc>
        <w:tc>
          <w:tcPr>
            <w:tcW w:w="1840" w:type="dxa"/>
            <w:vAlign w:val="bottom"/>
            <w:tcBorders>
              <w:bottom w:val="single" w:sz="8" w:color="00C389"/>
            </w:tcBorders>
          </w:tcPr>
          <w:p>
            <w:pPr>
              <w:spacing w:after="0"/>
              <w:rPr>
                <w:sz w:val="5"/>
                <w:szCs w:val="5"/>
                <w:color w:val="auto"/>
              </w:rPr>
            </w:pPr>
          </w:p>
        </w:tc>
        <w:tc>
          <w:tcPr>
            <w:tcW w:w="380" w:type="dxa"/>
            <w:vAlign w:val="bottom"/>
            <w:tcBorders>
              <w:bottom w:val="single" w:sz="8" w:color="00C389"/>
            </w:tcBorders>
          </w:tcPr>
          <w:p>
            <w:pPr>
              <w:spacing w:after="0"/>
              <w:rPr>
                <w:sz w:val="5"/>
                <w:szCs w:val="5"/>
                <w:color w:val="auto"/>
              </w:rPr>
            </w:pPr>
          </w:p>
        </w:tc>
        <w:tc>
          <w:tcPr>
            <w:tcW w:w="2040" w:type="dxa"/>
            <w:vAlign w:val="bottom"/>
            <w:tcBorders>
              <w:bottom w:val="single" w:sz="8" w:color="00C389"/>
            </w:tcBorders>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4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r>
              <w:rPr>
                <w:rFonts w:ascii="Arial" w:cs="Arial" w:eastAsia="Arial" w:hAnsi="Arial"/>
                <w:sz w:val="18"/>
                <w:szCs w:val="18"/>
                <w:color w:val="00C389"/>
              </w:rPr>
              <w:t>BACKGROUND</w:t>
            </w: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Mr. Quick became a member of our board of directors in April 2016. Mr. Quick has more than 30 years of experience in the securities and financial services industries. He is the former CEO of Banc of America Specialist, Inc., a wholly owned subsidiary of Bank of America Corporation and member firm of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He served in this capacity until 2006. He is also a past Vice Chairman of Global Wealth and Investment Management with Bank of America. From 1982 to 2004, he served as Chairman and Chief Executive Officer of Q&amp;R Specialist, JJC Specialist and Fleet Specialists where he remained following the firm’s acquisition by Bank of America Corporation. He is a member of the board of directors of Mutual of America and a Trustee of Fairfield University. He is also a former member of the NYSE Board of Directors, the board of directors of KCG Holdings, Inc. (“</w:t>
      </w:r>
      <w:r>
        <w:rPr>
          <w:rFonts w:ascii="Arial" w:cs="Arial" w:eastAsia="Arial" w:hAnsi="Arial"/>
          <w:sz w:val="18"/>
          <w:szCs w:val="18"/>
          <w:b w:val="1"/>
          <w:bCs w:val="1"/>
          <w:color w:val="auto"/>
        </w:rPr>
        <w:t>KCG</w:t>
      </w:r>
      <w:r>
        <w:rPr>
          <w:rFonts w:ascii="Arial" w:cs="Arial" w:eastAsia="Arial" w:hAnsi="Arial"/>
          <w:sz w:val="18"/>
          <w:szCs w:val="18"/>
          <w:color w:val="auto"/>
        </w:rPr>
        <w:t>”), the board of directors of The Alfred E. Smith Memorial Foundation Inc., and the Board of Trustees for the Boys Club of New York. Mr. Quick received a B.S. in Finance from Fairfield University in 1979.</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jc w:val="both"/>
        <w:ind w:left="760" w:right="720"/>
        <w:spacing w:after="0" w:line="268" w:lineRule="auto"/>
        <w:rPr>
          <w:sz w:val="20"/>
          <w:szCs w:val="20"/>
          <w:color w:val="auto"/>
        </w:rPr>
      </w:pPr>
      <w:r>
        <w:rPr>
          <w:rFonts w:ascii="Arial" w:cs="Arial" w:eastAsia="Arial" w:hAnsi="Arial"/>
          <w:sz w:val="18"/>
          <w:szCs w:val="18"/>
          <w:color w:val="auto"/>
        </w:rPr>
        <w:t>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29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7" w:lineRule="exact"/>
        <w:rPr>
          <w:sz w:val="20"/>
          <w:szCs w:val="20"/>
          <w:color w:val="auto"/>
        </w:rPr>
      </w:pPr>
    </w:p>
    <w:tbl>
      <w:tblPr>
        <w:tblLayout w:type="fixed"/>
        <w:tblInd w:w="760" w:type="dxa"/>
        <w:tblCellMar>
          <w:top w:w="0" w:type="dxa"/>
          <w:left w:w="0" w:type="dxa"/>
          <w:bottom w:w="0" w:type="dxa"/>
          <w:right w:w="0" w:type="dxa"/>
        </w:tblCellMar>
      </w:tblPr>
      <w:tr>
        <w:trPr>
          <w:trHeight w:val="478"/>
        </w:trPr>
        <w:tc>
          <w:tcPr>
            <w:tcW w:w="1880" w:type="dxa"/>
            <w:vAlign w:val="bottom"/>
          </w:tcPr>
          <w:p>
            <w:pPr>
              <w:spacing w:after="0"/>
              <w:rPr>
                <w:sz w:val="20"/>
                <w:szCs w:val="20"/>
                <w:color w:val="auto"/>
              </w:rPr>
            </w:pPr>
            <w:r>
              <w:rPr>
                <w:rFonts w:ascii="Arial" w:cs="Arial" w:eastAsia="Arial" w:hAnsi="Arial"/>
                <w:sz w:val="36"/>
                <w:szCs w:val="36"/>
                <w:color w:val="00C389"/>
              </w:rPr>
              <w:t>Vincent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00C389"/>
              </w:rPr>
              <w:t>​ ​</w:t>
            </w: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Director</w:t>
            </w:r>
          </w:p>
        </w:tc>
        <w:tc>
          <w:tcPr>
            <w:tcW w:w="840" w:type="dxa"/>
            <w:vAlign w:val="bottom"/>
            <w:vMerge w:val="restart"/>
          </w:tcPr>
          <w:p>
            <w:pPr>
              <w:ind w:left="660"/>
              <w:spacing w:after="0"/>
              <w:rPr>
                <w:sz w:val="20"/>
                <w:szCs w:val="20"/>
                <w:color w:val="auto"/>
              </w:rPr>
            </w:pPr>
            <w:r>
              <w:rPr>
                <w:rFonts w:ascii="Arial" w:cs="Arial" w:eastAsia="Arial" w:hAnsi="Arial"/>
                <w:sz w:val="18"/>
                <w:szCs w:val="18"/>
                <w:color w:val="00C389"/>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389"/>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389"/>
              </w:rPr>
              <w:t>​</w:t>
            </w:r>
          </w:p>
        </w:tc>
        <w:tc>
          <w:tcPr>
            <w:tcW w:w="0" w:type="dxa"/>
            <w:vAlign w:val="bottom"/>
          </w:tcPr>
          <w:p>
            <w:pPr>
              <w:spacing w:after="0"/>
              <w:rPr>
                <w:sz w:val="1"/>
                <w:szCs w:val="1"/>
                <w:color w:val="auto"/>
              </w:rPr>
            </w:pPr>
          </w:p>
        </w:tc>
      </w:tr>
      <w:tr>
        <w:trPr>
          <w:trHeight w:val="33"/>
        </w:trPr>
        <w:tc>
          <w:tcPr>
            <w:tcW w:w="1880" w:type="dxa"/>
            <w:vAlign w:val="bottom"/>
          </w:tcPr>
          <w:p>
            <w:pPr>
              <w:spacing w:after="0" w:line="33" w:lineRule="exact"/>
              <w:rPr>
                <w:sz w:val="20"/>
                <w:szCs w:val="20"/>
                <w:color w:val="auto"/>
              </w:rPr>
            </w:pPr>
            <w:r>
              <w:rPr>
                <w:rFonts w:ascii="Arial" w:cs="Arial" w:eastAsia="Arial" w:hAnsi="Arial"/>
                <w:sz w:val="3"/>
                <w:szCs w:val="3"/>
                <w:color w:val="00C389"/>
              </w:rPr>
              <w:t>​</w:t>
            </w:r>
          </w:p>
        </w:tc>
        <w:tc>
          <w:tcPr>
            <w:tcW w:w="80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88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Viola</w:t>
            </w:r>
          </w:p>
        </w:tc>
        <w:tc>
          <w:tcPr>
            <w:tcW w:w="800" w:type="dxa"/>
            <w:vAlign w:val="bottom"/>
            <w:tcBorders>
              <w:bottom w:val="single" w:sz="8" w:color="00C389"/>
            </w:tcBorders>
          </w:tcPr>
          <w:p>
            <w:pPr>
              <w:spacing w:after="0"/>
              <w:rPr>
                <w:sz w:val="24"/>
                <w:szCs w:val="24"/>
                <w:color w:val="auto"/>
              </w:rPr>
            </w:pPr>
          </w:p>
        </w:tc>
        <w:tc>
          <w:tcPr>
            <w:tcW w:w="138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66</w:t>
            </w:r>
          </w:p>
        </w:tc>
        <w:tc>
          <w:tcPr>
            <w:tcW w:w="840" w:type="dxa"/>
            <w:vAlign w:val="bottom"/>
            <w:tcBorders>
              <w:bottom w:val="single" w:sz="8" w:color="00C389"/>
            </w:tcBorders>
          </w:tcPr>
          <w:p>
            <w:pPr>
              <w:spacing w:after="0"/>
              <w:rPr>
                <w:sz w:val="24"/>
                <w:szCs w:val="24"/>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389"/>
              </w:rPr>
              <w:t>BACKGROUND</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is our founder and has served as a member and Chairman Emeritus of our board of directors since</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July 2017. From November 2013 until July 2017, Mr. Viola served as our Executive Chairman and Chairman of our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board of directors. He previously served as Chief Executive Officer and Chairman of the board of directors of Virtu</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its predecessors since April 2008. Mr. Viola is one of the nation’s foremost leaders in electronic trading. He was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founder of Virtu Financial Operating LLC (“</w:t>
      </w:r>
      <w:r>
        <w:rPr>
          <w:rFonts w:ascii="Arial" w:cs="Arial" w:eastAsia="Arial" w:hAnsi="Arial"/>
          <w:sz w:val="18"/>
          <w:szCs w:val="18"/>
          <w:b w:val="1"/>
          <w:bCs w:val="1"/>
          <w:color w:val="auto"/>
        </w:rPr>
        <w:t>Virtu East</w:t>
      </w:r>
      <w:r>
        <w:rPr>
          <w:rFonts w:ascii="Arial" w:cs="Arial" w:eastAsia="Arial" w:hAnsi="Arial"/>
          <w:sz w:val="18"/>
          <w:szCs w:val="18"/>
          <w:color w:val="auto"/>
        </w:rPr>
        <w:t>”) in 2008, a founder of Madison Tyler Holdings, LLC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Madison Tyler Holdings</w:t>
      </w:r>
      <w:r>
        <w:rPr>
          <w:rFonts w:ascii="Arial" w:cs="Arial" w:eastAsia="Arial" w:hAnsi="Arial"/>
          <w:sz w:val="18"/>
          <w:szCs w:val="18"/>
          <w:color w:val="auto"/>
        </w:rPr>
        <w:t>”) in 2002 and is the former Chairman of the New York Mercantile Exchange (“</w:t>
      </w:r>
      <w:r>
        <w:rPr>
          <w:rFonts w:ascii="Arial" w:cs="Arial" w:eastAsia="Arial" w:hAnsi="Arial"/>
          <w:sz w:val="18"/>
          <w:szCs w:val="18"/>
          <w:b w:val="1"/>
          <w:bCs w:val="1"/>
          <w:color w:val="auto"/>
        </w:rPr>
        <w:t>NYMEX</w:t>
      </w:r>
      <w:r>
        <w:rPr>
          <w:rFonts w:ascii="Arial" w:cs="Arial" w:eastAsia="Arial" w:hAnsi="Arial"/>
          <w:sz w:val="18"/>
          <w:szCs w:val="18"/>
          <w:color w:val="auto"/>
        </w:rPr>
        <w: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Viola started his career in the financial services industry on the floor of the NYMEX and became Vice Chairman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from 1993 to 1996 and Chairman from 2001 to 2004. Mr. Viola has launched a number of successful businesses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his career, including Virtu and Independent Bank Group Inc., a regional banking group in Texas that is now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listed on NASDAQ (IBTX). Shortly after September 11, 2001, Mr. Viola was instrumental in founding the Combating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Terrorism Center at West Point. Mr. Viola is currently the principal owner and serves as the Chairman and Governor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Florida Panthers Hockey Club and its parent company, Sunrise Sports &amp; Entertainment LLC. Mr. Viola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graduated from the U.S. Military Academy at West Point in 1977. He later graduated from the U.S. Army Airborne,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Infantry and Ranger Schools and served in the 101st Airborne Division. In 1983, he graduated from New York Law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School.</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420"/>
        <w:spacing w:after="0" w:line="262" w:lineRule="auto"/>
        <w:rPr>
          <w:sz w:val="20"/>
          <w:szCs w:val="20"/>
          <w:color w:val="auto"/>
        </w:rPr>
      </w:pPr>
      <w:r>
        <w:rPr>
          <w:rFonts w:ascii="Arial" w:cs="Arial" w:eastAsia="Arial" w:hAnsi="Arial"/>
          <w:sz w:val="18"/>
          <w:szCs w:val="18"/>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-3810</wp:posOffset>
            </wp:positionV>
            <wp:extent cx="58293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PROPOSAL 1: ELECTION OF DIRECTORS</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Class 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 directors will expire at the 2023 Annual Meeting.</w:t>
      </w:r>
    </w:p>
    <w:p>
      <w:pPr>
        <w:spacing w:after="0" w:line="343"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20" w:type="dxa"/>
            <w:vAlign w:val="bottom"/>
          </w:tcPr>
          <w:p>
            <w:pPr>
              <w:spacing w:after="0"/>
              <w:rPr>
                <w:sz w:val="20"/>
                <w:szCs w:val="20"/>
                <w:color w:val="auto"/>
              </w:rPr>
            </w:pPr>
            <w:r>
              <w:rPr>
                <w:rFonts w:ascii="Arial" w:cs="Arial" w:eastAsia="Arial" w:hAnsi="Arial"/>
                <w:sz w:val="36"/>
                <w:szCs w:val="36"/>
                <w:color w:val="00C389"/>
              </w:rPr>
              <w:t>Douglas A.</w:t>
            </w:r>
          </w:p>
        </w:tc>
        <w:tc>
          <w:tcPr>
            <w:tcW w:w="2560" w:type="dxa"/>
            <w:vAlign w:val="bottom"/>
          </w:tcPr>
          <w:p>
            <w:pPr>
              <w:ind w:left="580"/>
              <w:spacing w:after="0"/>
              <w:rPr>
                <w:sz w:val="20"/>
                <w:szCs w:val="20"/>
                <w:color w:val="auto"/>
              </w:rPr>
            </w:pPr>
            <w:r>
              <w:rPr>
                <w:rFonts w:ascii="Arial" w:cs="Arial" w:eastAsia="Arial" w:hAnsi="Arial"/>
                <w:sz w:val="18"/>
                <w:szCs w:val="18"/>
                <w:b w:val="1"/>
                <w:bCs w:val="1"/>
                <w:color w:val="00C389"/>
                <w:w w:val="99"/>
              </w:rPr>
              <w:t>Chief Executive Officer</w:t>
            </w:r>
          </w:p>
        </w:tc>
        <w:tc>
          <w:tcPr>
            <w:tcW w:w="22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389"/>
              </w:rPr>
              <w:t>​</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7"/>
                <w:szCs w:val="17"/>
                <w:b w:val="1"/>
                <w:bCs w:val="1"/>
                <w:color w:val="00C389"/>
              </w:rPr>
              <w:t>​</w:t>
            </w:r>
          </w:p>
        </w:tc>
        <w:tc>
          <w:tcPr>
            <w:tcW w:w="2560" w:type="dxa"/>
            <w:vAlign w:val="bottom"/>
          </w:tcPr>
          <w:p>
            <w:pPr>
              <w:ind w:left="360"/>
              <w:spacing w:after="0" w:line="149" w:lineRule="exact"/>
              <w:rPr>
                <w:sz w:val="20"/>
                <w:szCs w:val="20"/>
                <w:color w:val="auto"/>
              </w:rPr>
            </w:pPr>
            <w:r>
              <w:rPr>
                <w:rFonts w:ascii="Arial" w:cs="Arial" w:eastAsia="Arial" w:hAnsi="Arial"/>
                <w:sz w:val="17"/>
                <w:szCs w:val="17"/>
                <w:b w:val="1"/>
                <w:bCs w:val="1"/>
                <w:color w:val="00C389"/>
                <w:vertAlign w:val="subscript"/>
              </w:rPr>
              <w:t>​ ​</w:t>
            </w:r>
            <w:r>
              <w:rPr>
                <w:rFonts w:ascii="Arial" w:cs="Arial" w:eastAsia="Arial" w:hAnsi="Arial"/>
                <w:sz w:val="11"/>
                <w:szCs w:val="11"/>
                <w:b w:val="1"/>
                <w:bCs w:val="1"/>
                <w:color w:val="00C389"/>
              </w:rPr>
              <w:t xml:space="preserve"> and Director</w:t>
            </w:r>
          </w:p>
        </w:tc>
        <w:tc>
          <w:tcPr>
            <w:tcW w:w="2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12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Cifu</w:t>
            </w:r>
          </w:p>
        </w:tc>
        <w:tc>
          <w:tcPr>
            <w:tcW w:w="2560" w:type="dxa"/>
            <w:vAlign w:val="bottom"/>
            <w:tcBorders>
              <w:bottom w:val="single" w:sz="8" w:color="00C389"/>
            </w:tcBorders>
          </w:tcPr>
          <w:p>
            <w:pPr>
              <w:ind w:left="580"/>
              <w:spacing w:after="0"/>
              <w:rPr>
                <w:sz w:val="20"/>
                <w:szCs w:val="20"/>
                <w:color w:val="auto"/>
              </w:rPr>
            </w:pPr>
            <w:r>
              <w:rPr>
                <w:rFonts w:ascii="Arial" w:cs="Arial" w:eastAsia="Arial" w:hAnsi="Arial"/>
                <w:sz w:val="18"/>
                <w:szCs w:val="18"/>
                <w:color w:val="auto"/>
              </w:rPr>
              <w:t>Age: 56</w:t>
            </w:r>
          </w:p>
        </w:tc>
        <w:tc>
          <w:tcPr>
            <w:tcW w:w="220" w:type="dxa"/>
            <w:vAlign w:val="bottom"/>
            <w:tcBorders>
              <w:bottom w:val="single" w:sz="8" w:color="00C389"/>
            </w:tcBorders>
          </w:tcPr>
          <w:p>
            <w:pPr>
              <w:spacing w:after="0"/>
              <w:rPr>
                <w:sz w:val="24"/>
                <w:szCs w:val="24"/>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None</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120" w:type="dxa"/>
            <w:vAlign w:val="bottom"/>
          </w:tcPr>
          <w:p>
            <w:pPr>
              <w:spacing w:after="0"/>
              <w:rPr>
                <w:sz w:val="20"/>
                <w:szCs w:val="20"/>
                <w:color w:val="auto"/>
              </w:rPr>
            </w:pPr>
            <w:r>
              <w:rPr>
                <w:rFonts w:ascii="Arial" w:cs="Arial" w:eastAsia="Arial" w:hAnsi="Arial"/>
                <w:sz w:val="18"/>
                <w:szCs w:val="18"/>
                <w:color w:val="00C389"/>
              </w:rPr>
              <w:t>BACKGROUND</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70" w:lineRule="auto"/>
        <w:rPr>
          <w:sz w:val="20"/>
          <w:szCs w:val="20"/>
          <w:color w:val="auto"/>
        </w:rPr>
      </w:pPr>
      <w:r>
        <w:rPr>
          <w:rFonts w:ascii="Arial" w:cs="Arial" w:eastAsia="Arial" w:hAnsi="Arial"/>
          <w:sz w:val="17"/>
          <w:szCs w:val="17"/>
          <w:color w:val="auto"/>
        </w:rPr>
        <w:t>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and served as a member of the Management Committee and Deputy Chairman of the firm’s corporate department. Mr. Cifu also previously served on the board of directors of Independent Bank Group, Inc. (NASDAQ:IBTX), a regional bank holding company. Mr. Cifu currently serves as a member of the board of directors of the U.S. Chamber of Commerce, as well as the Board of Visitors of Columbia College at Columbia University. Mr. Cifu also serves as Vice Chairman, Partner and Alternate Governor for the Florida Panthers Hockey Club and its parent company, Sunrise Sports &amp; Entertainment LLC. Mr. Cifu completed his J.D. at Columbia Law School in 1990 and received his B.A. from Columbia University in 1987, from which he graduated magna cum laude.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440"/>
        <w:spacing w:after="0" w:line="262" w:lineRule="auto"/>
        <w:rPr>
          <w:sz w:val="20"/>
          <w:szCs w:val="20"/>
          <w:color w:val="auto"/>
        </w:rPr>
      </w:pPr>
      <w:r>
        <w:rPr>
          <w:rFonts w:ascii="Arial" w:cs="Arial" w:eastAsia="Arial" w:hAnsi="Arial"/>
          <w:sz w:val="18"/>
          <w:szCs w:val="18"/>
          <w:color w:val="auto"/>
        </w:rPr>
        <w:t>Mr. Cifu’s extensive experience in global financial markets and market structure, his leadership acumen and his background as a corporate attorney add significant value to our Company and our board of directors. As a co-founder, Mr. Cifu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-3810</wp:posOffset>
            </wp:positionV>
            <wp:extent cx="58293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1"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389"/>
              </w:rPr>
              <w:t>Joseph J.</w:t>
            </w:r>
          </w:p>
        </w:tc>
        <w:tc>
          <w:tcPr>
            <w:tcW w:w="640" w:type="dxa"/>
            <w:vAlign w:val="bottom"/>
            <w:vMerge w:val="restart"/>
          </w:tcPr>
          <w:p>
            <w:pPr>
              <w:ind w:left="44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4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840" w:type="dxa"/>
            <w:vAlign w:val="bottom"/>
          </w:tcPr>
          <w:p>
            <w:pPr>
              <w:ind w:left="20"/>
              <w:spacing w:after="0" w:line="149" w:lineRule="exact"/>
              <w:rPr>
                <w:sz w:val="20"/>
                <w:szCs w:val="20"/>
                <w:color w:val="auto"/>
              </w:rPr>
            </w:pPr>
            <w:r>
              <w:rPr>
                <w:rFonts w:ascii="Arial" w:cs="Arial" w:eastAsia="Arial" w:hAnsi="Arial"/>
                <w:sz w:val="17"/>
                <w:szCs w:val="17"/>
                <w:color w:val="002554"/>
              </w:rPr>
              <w:t xml:space="preserve">• </w:t>
            </w:r>
            <w:r>
              <w:rPr>
                <w:rFonts w:ascii="Arial" w:cs="Arial" w:eastAsia="Arial" w:hAnsi="Arial"/>
                <w:sz w:val="17"/>
                <w:szCs w:val="17"/>
                <w:color w:val="000000"/>
              </w:rPr>
              <w:t>Audit</w:t>
            </w:r>
          </w:p>
        </w:tc>
        <w:tc>
          <w:tcPr>
            <w:tcW w:w="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4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Grano, Jr.</w:t>
            </w:r>
          </w:p>
        </w:tc>
        <w:tc>
          <w:tcPr>
            <w:tcW w:w="640" w:type="dxa"/>
            <w:vAlign w:val="bottom"/>
            <w:tcBorders>
              <w:bottom w:val="single" w:sz="8" w:color="00C389"/>
            </w:tcBorders>
          </w:tcPr>
          <w:p>
            <w:pPr>
              <w:spacing w:after="0"/>
              <w:rPr>
                <w:sz w:val="24"/>
                <w:szCs w:val="24"/>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74</w:t>
            </w:r>
          </w:p>
        </w:tc>
        <w:tc>
          <w:tcPr>
            <w:tcW w:w="300" w:type="dxa"/>
            <w:vAlign w:val="bottom"/>
            <w:tcBorders>
              <w:bottom w:val="single" w:sz="8" w:color="00C389"/>
            </w:tcBorders>
          </w:tcPr>
          <w:p>
            <w:pPr>
              <w:spacing w:after="0"/>
              <w:rPr>
                <w:sz w:val="24"/>
                <w:szCs w:val="24"/>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Compensation</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Arial" w:cs="Arial" w:eastAsia="Arial" w:hAnsi="Arial"/>
                <w:sz w:val="18"/>
                <w:szCs w:val="18"/>
                <w:color w:val="00C389"/>
              </w:rPr>
              <w:t>BACKGROUND</w:t>
            </w:r>
          </w:p>
        </w:tc>
        <w:tc>
          <w:tcPr>
            <w:tcW w:w="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80"/>
        <w:spacing w:after="0" w:line="255" w:lineRule="auto"/>
        <w:rPr>
          <w:sz w:val="20"/>
          <w:szCs w:val="20"/>
          <w:color w:val="auto"/>
        </w:rPr>
      </w:pPr>
      <w:r>
        <w:rPr>
          <w:rFonts w:ascii="Arial" w:cs="Arial" w:eastAsia="Arial" w:hAnsi="Arial"/>
          <w:sz w:val="18"/>
          <w:szCs w:val="18"/>
          <w:color w:val="auto"/>
        </w:rPr>
        <w:t>Mr. Grano, Jr. became a member of our board of directors in October 2017. Mr. Grano has more than 30 years of experience in the securities and financial services industries. Since 2005, Mr. Grano has served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including Director of National Sales. Mr. Grano previously served as Chairman of the Board of Governors of the National Association of Securities Dealers (NASD) (predecessor to the Financial Industry Regulatory Authority (FINRA)) and was formerly a member of the NASD’s Executive Committee.</w:t>
      </w:r>
    </w:p>
    <w:p>
      <w:pPr>
        <w:spacing w:after="0" w:line="73"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auto"/>
        </w:rPr>
        <w:t>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w:t>
      </w:r>
    </w:p>
    <w:p>
      <w:pPr>
        <w:spacing w:after="0" w:line="74" w:lineRule="exact"/>
        <w:rPr>
          <w:sz w:val="20"/>
          <w:szCs w:val="20"/>
          <w:color w:val="auto"/>
        </w:rPr>
      </w:pPr>
    </w:p>
    <w:p>
      <w:pPr>
        <w:ind w:left="760" w:right="220"/>
        <w:spacing w:after="0" w:line="291" w:lineRule="auto"/>
        <w:rPr>
          <w:sz w:val="20"/>
          <w:szCs w:val="20"/>
          <w:color w:val="auto"/>
        </w:rPr>
      </w:pPr>
      <w:r>
        <w:rPr>
          <w:rFonts w:ascii="Arial" w:cs="Arial" w:eastAsia="Arial" w:hAnsi="Arial"/>
          <w:sz w:val="17"/>
          <w:szCs w:val="17"/>
          <w:color w:val="auto"/>
        </w:rPr>
        <w:t>Mr. Grano holds honorary Doctor of Laws degrees from Pepperdine University and Babson College as well as an honorary Doctor of Humane Letters degree from Queens College. In addition to being one of the financial services industry’s leading executives, Mr. Grano is involved in a wide range of educational and philanthropic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374650</wp:posOffset>
            </wp:positionV>
            <wp:extent cx="75438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line="268" w:lineRule="auto"/>
        <w:rPr>
          <w:sz w:val="20"/>
          <w:szCs w:val="20"/>
          <w:color w:val="auto"/>
        </w:rPr>
      </w:pPr>
      <w:r>
        <w:rPr>
          <w:rFonts w:ascii="Arial" w:cs="Arial" w:eastAsia="Arial" w:hAnsi="Arial"/>
          <w:sz w:val="18"/>
          <w:szCs w:val="18"/>
          <w:color w:val="auto"/>
        </w:rPr>
        <w:t>Mr​. Grano also served in the U.S. Special Forces (Green Berets). He also won a Tony Award as a producer of the ​ record-setting musical Jersey Boys. Mr. Grano is the author of the book “You Can’t Predict A Hero” which was on Businessweek’s best seller list in 2009.</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500"/>
        <w:spacing w:after="0" w:line="287" w:lineRule="auto"/>
        <w:rPr>
          <w:sz w:val="20"/>
          <w:szCs w:val="20"/>
          <w:color w:val="auto"/>
        </w:rPr>
      </w:pPr>
      <w:r>
        <w:rPr>
          <w:rFonts w:ascii="Arial" w:cs="Arial" w:eastAsia="Arial" w:hAnsi="Arial"/>
          <w:sz w:val="18"/>
          <w:szCs w:val="18"/>
          <w:color w:val="auto"/>
        </w:rPr>
        <w:t>Mr. Grano’s previous senior leadership roles in the financial securities industry and public company experience provide a valuable insight regarding strategic decisions and add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389"/>
              </w:rPr>
              <w:t>Robert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Compensation</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00C389"/>
            </w:tcBorders>
          </w:tcPr>
          <w:p>
            <w:pPr>
              <w:spacing w:after="0" w:line="256" w:lineRule="exact"/>
              <w:rPr>
                <w:sz w:val="20"/>
                <w:szCs w:val="20"/>
                <w:color w:val="auto"/>
              </w:rPr>
            </w:pPr>
            <w:r>
              <w:rPr>
                <w:rFonts w:ascii="Arial" w:cs="Arial" w:eastAsia="Arial" w:hAnsi="Arial"/>
                <w:sz w:val="29"/>
                <w:szCs w:val="29"/>
                <w:color w:val="00C389"/>
              </w:rPr>
              <w:t>Greifeld</w:t>
            </w:r>
          </w:p>
        </w:tc>
        <w:tc>
          <w:tcPr>
            <w:tcW w:w="800" w:type="dxa"/>
            <w:vAlign w:val="bottom"/>
            <w:tcBorders>
              <w:bottom w:val="single" w:sz="8" w:color="00C389"/>
            </w:tcBorders>
          </w:tcPr>
          <w:p>
            <w:pPr>
              <w:spacing w:after="0"/>
              <w:rPr>
                <w:sz w:val="22"/>
                <w:szCs w:val="22"/>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64</w:t>
            </w:r>
          </w:p>
        </w:tc>
        <w:tc>
          <w:tcPr>
            <w:tcW w:w="300" w:type="dxa"/>
            <w:vAlign w:val="bottom"/>
            <w:tcBorders>
              <w:bottom w:val="single" w:sz="8" w:color="00C389"/>
            </w:tcBorders>
          </w:tcPr>
          <w:p>
            <w:pPr>
              <w:spacing w:after="0"/>
              <w:rPr>
                <w:sz w:val="22"/>
                <w:szCs w:val="22"/>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N&amp;CG</w:t>
            </w:r>
          </w:p>
        </w:tc>
        <w:tc>
          <w:tcPr>
            <w:tcW w:w="380" w:type="dxa"/>
            <w:vAlign w:val="bottom"/>
            <w:tcBorders>
              <w:bottom w:val="single" w:sz="8" w:color="00C389"/>
            </w:tcBorders>
          </w:tcPr>
          <w:p>
            <w:pPr>
              <w:spacing w:after="0"/>
              <w:rPr>
                <w:sz w:val="22"/>
                <w:szCs w:val="22"/>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00C389"/>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389"/>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Mr. Greifeld became a member and the Chairman of our board of directors in July 2017. Mr. Greifeld is a co-founder of Ordinal Ventures, LLC (f/k/a North Island Ventures, LLC), currently the CEO and Chairman of Cornerstone Investment Capital Holdings Co., Managing Partner and Co-Founder at Cornerstone Investment Capital, a financial technology investment firm, a position he has held since September 2018, and a Board Member at Capital Rock, Financeware LLC, and Hudson Executive Investment Capital. He previously served as Chairman of the board of directors of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from January 2017 until May 2017 and as Chief Executive Officer of NASDAQ from 2003 to 2017. During his tenure, Mr. Greifeld led Nasdaq through a series of complex, innovative acquisitions that extended the company’s footprint from a single U.S. equity exchange to a global exchange and technology solutions provider and grew market capitalization over 20 times. Prior to joining NASDAQ, Mr. Greifeld was an Executive Vice President with SunGard Data Systems and, prior to joining SunGard, was President at Automated Securities Clearance. Mr. Greifeld founded and chairs the USA Track &amp; Field Foundation, which supports emerging athletes and inner-city youth athletics. Mr. Greifeld is a member of the NYU Stern Board of Overseers and a CNBC Contributor. Mr. Greifeld holds a Master’s in Business from New York University, Stern School of Business, and a B.A. in English from Iona College.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Greifeld’s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26035</wp:posOffset>
            </wp:positionV>
            <wp:extent cx="5829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23"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389"/>
              </w:rPr>
              <w:t>Joanne M.</w:t>
            </w:r>
          </w:p>
        </w:tc>
        <w:tc>
          <w:tcPr>
            <w:tcW w:w="600" w:type="dxa"/>
            <w:vAlign w:val="bottom"/>
            <w:vMerge w:val="restart"/>
          </w:tcPr>
          <w:p>
            <w:pPr>
              <w:ind w:left="4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7"/>
                <w:szCs w:val="17"/>
                <w:color w:val="002554"/>
              </w:rPr>
              <w:t>•</w:t>
            </w:r>
          </w:p>
        </w:tc>
        <w:tc>
          <w:tcPr>
            <w:tcW w:w="1680" w:type="dxa"/>
            <w:vAlign w:val="bottom"/>
          </w:tcPr>
          <w:p>
            <w:pPr>
              <w:ind w:left="40"/>
              <w:spacing w:after="0" w:line="149" w:lineRule="exact"/>
              <w:rPr>
                <w:sz w:val="20"/>
                <w:szCs w:val="20"/>
                <w:color w:val="auto"/>
              </w:rPr>
            </w:pPr>
            <w:r>
              <w:rPr>
                <w:rFonts w:ascii="Arial" w:cs="Arial" w:eastAsia="Arial" w:hAnsi="Arial"/>
                <w:sz w:val="17"/>
                <w:szCs w:val="17"/>
                <w:color w:val="auto"/>
              </w:rPr>
              <w:t>Audit</w:t>
            </w:r>
          </w:p>
        </w:tc>
        <w:tc>
          <w:tcPr>
            <w:tcW w:w="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8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Minieri</w:t>
            </w:r>
          </w:p>
        </w:tc>
        <w:tc>
          <w:tcPr>
            <w:tcW w:w="600" w:type="dxa"/>
            <w:vAlign w:val="bottom"/>
            <w:tcBorders>
              <w:bottom w:val="single" w:sz="8" w:color="00C389"/>
            </w:tcBorders>
          </w:tcPr>
          <w:p>
            <w:pPr>
              <w:spacing w:after="0"/>
              <w:rPr>
                <w:sz w:val="24"/>
                <w:szCs w:val="24"/>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61</w:t>
            </w:r>
          </w:p>
        </w:tc>
        <w:tc>
          <w:tcPr>
            <w:tcW w:w="300" w:type="dxa"/>
            <w:vAlign w:val="bottom"/>
            <w:tcBorders>
              <w:bottom w:val="single" w:sz="8" w:color="00C389"/>
            </w:tcBorders>
          </w:tcPr>
          <w:p>
            <w:pPr>
              <w:spacing w:after="0"/>
              <w:rPr>
                <w:sz w:val="24"/>
                <w:szCs w:val="24"/>
                <w:color w:val="auto"/>
              </w:rPr>
            </w:pPr>
          </w:p>
        </w:tc>
        <w:tc>
          <w:tcPr>
            <w:tcW w:w="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w:t>
            </w:r>
          </w:p>
        </w:tc>
        <w:tc>
          <w:tcPr>
            <w:tcW w:w="168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N&amp;CG</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389"/>
              </w:rPr>
              <w:t>BACKGROUND</w:t>
            </w:r>
          </w:p>
        </w:tc>
        <w:tc>
          <w:tcPr>
            <w:tcW w:w="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Ms. Minieri became a member of our board of directors in April 2021. She has more than 35 years’ experience in senior leadership positions in real estate and financial services, including serving as Deputy County Executive and Commissioner for Suffolk County Economic Development and Planning, President and Chief Operating Officer of Forest City Ratner Companies, as well as leadership roles in professional accounting, tax and consulting services. Since October 2016, she has served in various roles at RXR Realty (“</w:t>
      </w:r>
      <w:r>
        <w:rPr>
          <w:rFonts w:ascii="Arial" w:cs="Arial" w:eastAsia="Arial" w:hAnsi="Arial"/>
          <w:sz w:val="18"/>
          <w:szCs w:val="18"/>
          <w:b w:val="1"/>
          <w:bCs w:val="1"/>
          <w:color w:val="auto"/>
        </w:rPr>
        <w:t>RXR</w:t>
      </w:r>
      <w:r>
        <w:rPr>
          <w:rFonts w:ascii="Arial" w:cs="Arial" w:eastAsia="Arial" w:hAnsi="Arial"/>
          <w:sz w:val="18"/>
          <w:szCs w:val="18"/>
          <w:color w:val="auto"/>
        </w:rPr>
        <w:t>”), a private real estate group specializing in investment management, development, design, construction, leasing, financing and property management. She currently serves as Senior Executive Vice President and Chief Operating Officer of RXR Development Services and RXR Constructions Services. Ms. Minieri has served on the board of local government development organizations and currently serves on numerous public and private boards including Trinity Place Holdings, Inc. She is a Certified Public Accountant and holds a BSBA from Hofstra University.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Ms. Minieri’s previous experience in senior leadership positions in financial services and public company experience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Class III Directors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III directors will expire at the 2024 Annual Meeting.</w:t>
      </w: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478"/>
        </w:trPr>
        <w:tc>
          <w:tcPr>
            <w:tcW w:w="1980" w:type="dxa"/>
            <w:vAlign w:val="bottom"/>
          </w:tcPr>
          <w:p>
            <w:pPr>
              <w:spacing w:after="0"/>
              <w:rPr>
                <w:sz w:val="20"/>
                <w:szCs w:val="20"/>
                <w:color w:val="auto"/>
              </w:rPr>
            </w:pPr>
            <w:r>
              <w:rPr>
                <w:rFonts w:ascii="Arial" w:cs="Arial" w:eastAsia="Arial" w:hAnsi="Arial"/>
                <w:sz w:val="36"/>
                <w:szCs w:val="36"/>
                <w:color w:val="00C389"/>
              </w:rPr>
              <w:t>Virginia</w:t>
            </w:r>
          </w:p>
        </w:tc>
        <w:tc>
          <w:tcPr>
            <w:tcW w:w="700" w:type="dxa"/>
            <w:vAlign w:val="bottom"/>
            <w:vMerge w:val="restart"/>
          </w:tcPr>
          <w:p>
            <w:pPr>
              <w:ind w:left="500"/>
              <w:spacing w:after="0"/>
              <w:rPr>
                <w:sz w:val="20"/>
                <w:szCs w:val="20"/>
                <w:color w:val="auto"/>
              </w:rPr>
            </w:pPr>
            <w:r>
              <w:rPr>
                <w:rFonts w:ascii="Arial" w:cs="Arial" w:eastAsia="Arial" w:hAnsi="Arial"/>
                <w:sz w:val="18"/>
                <w:szCs w:val="18"/>
                <w:color w:val="00C389"/>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00C389"/>
              </w:rPr>
              <w:t>​ ​</w:t>
            </w:r>
          </w:p>
        </w:tc>
        <w:tc>
          <w:tcPr>
            <w:tcW w:w="184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C389"/>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00C389"/>
              </w:rPr>
              <w:t>​</w:t>
            </w:r>
          </w:p>
        </w:tc>
        <w:tc>
          <w:tcPr>
            <w:tcW w:w="0" w:type="dxa"/>
            <w:vAlign w:val="bottom"/>
          </w:tcPr>
          <w:p>
            <w:pPr>
              <w:spacing w:after="0"/>
              <w:rPr>
                <w:sz w:val="1"/>
                <w:szCs w:val="1"/>
                <w:color w:val="auto"/>
              </w:rPr>
            </w:pPr>
          </w:p>
        </w:tc>
      </w:tr>
      <w:tr>
        <w:trPr>
          <w:trHeight w:val="33"/>
        </w:trPr>
        <w:tc>
          <w:tcPr>
            <w:tcW w:w="1980" w:type="dxa"/>
            <w:vAlign w:val="bottom"/>
          </w:tcPr>
          <w:p>
            <w:pPr>
              <w:spacing w:after="0" w:line="33" w:lineRule="exact"/>
              <w:rPr>
                <w:sz w:val="20"/>
                <w:szCs w:val="20"/>
                <w:color w:val="auto"/>
              </w:rPr>
            </w:pPr>
            <w:r>
              <w:rPr>
                <w:rFonts w:ascii="Arial" w:cs="Arial" w:eastAsia="Arial" w:hAnsi="Arial"/>
                <w:sz w:val="3"/>
                <w:szCs w:val="3"/>
                <w:color w:val="00C389"/>
              </w:rPr>
              <w:t>​</w:t>
            </w:r>
          </w:p>
        </w:tc>
        <w:tc>
          <w:tcPr>
            <w:tcW w:w="70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98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Gambale</w:t>
            </w:r>
          </w:p>
        </w:tc>
        <w:tc>
          <w:tcPr>
            <w:tcW w:w="700" w:type="dxa"/>
            <w:vAlign w:val="bottom"/>
            <w:tcBorders>
              <w:bottom w:val="single" w:sz="8" w:color="00C389"/>
            </w:tcBorders>
          </w:tcPr>
          <w:p>
            <w:pPr>
              <w:spacing w:after="0"/>
              <w:rPr>
                <w:sz w:val="24"/>
                <w:szCs w:val="24"/>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62</w:t>
            </w:r>
          </w:p>
        </w:tc>
        <w:tc>
          <w:tcPr>
            <w:tcW w:w="300" w:type="dxa"/>
            <w:vAlign w:val="bottom"/>
            <w:tcBorders>
              <w:bottom w:val="single" w:sz="8" w:color="00C389"/>
            </w:tcBorders>
          </w:tcPr>
          <w:p>
            <w:pPr>
              <w:spacing w:after="0"/>
              <w:rPr>
                <w:sz w:val="24"/>
                <w:szCs w:val="24"/>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9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r>
              <w:rPr>
                <w:rFonts w:ascii="Arial" w:cs="Arial" w:eastAsia="Arial" w:hAnsi="Arial"/>
                <w:sz w:val="18"/>
                <w:szCs w:val="18"/>
                <w:color w:val="00C389"/>
              </w:rPr>
              <w:t>BACKGROUND</w:t>
            </w:r>
          </w:p>
        </w:tc>
        <w:tc>
          <w:tcPr>
            <w:tcW w:w="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80"/>
        <w:spacing w:after="0" w:line="270" w:lineRule="auto"/>
        <w:rPr>
          <w:sz w:val="20"/>
          <w:szCs w:val="20"/>
          <w:color w:val="auto"/>
        </w:rPr>
      </w:pPr>
      <w:r>
        <w:rPr>
          <w:rFonts w:ascii="Arial" w:cs="Arial" w:eastAsia="Arial" w:hAnsi="Arial"/>
          <w:sz w:val="17"/>
          <w:szCs w:val="17"/>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Deutsche Bank Capital and ABS Ventures from 1999 to 2003. Prior to that,</w:t>
      </w:r>
    </w:p>
    <w:p>
      <w:pPr>
        <w:spacing w:after="0" w:line="2" w:lineRule="exact"/>
        <w:rPr>
          <w:sz w:val="20"/>
          <w:szCs w:val="20"/>
          <w:color w:val="auto"/>
        </w:rPr>
      </w:pPr>
    </w:p>
    <w:p>
      <w:pPr>
        <w:ind w:left="760" w:right="460"/>
        <w:spacing w:after="0" w:line="271" w:lineRule="auto"/>
        <w:rPr>
          <w:sz w:val="20"/>
          <w:szCs w:val="20"/>
          <w:color w:val="auto"/>
        </w:rPr>
      </w:pPr>
      <w:r>
        <w:rPr>
          <w:rFonts w:ascii="Arial" w:cs="Arial" w:eastAsia="Arial" w:hAnsi="Arial"/>
          <w:sz w:val="17"/>
          <w:szCs w:val="17"/>
          <w:color w:val="auto"/>
        </w:rPr>
        <w:t>Ms. Gambale held the position of Chief Information Officer at Bankers Trust Alex Brown and Merrill Lynch. Ms. Gambale currently serves on the board of First Derivatives plc (LSE:FDP.L), Regis Corp. (NYSE:RGS), Nutanix, Inc. (NASDAQ:NTNX), Jamf Holding Corp. (NASDAQ:JAMF) and serves on the NACD Risk Oversight Advisory Council. She has also served on numerous international public and private boards including JetBlue Airways Corp., Piper Jaffray Companies, Synchronoss Technologies, Motive, Inc., Workbrain and IQ Financial, among others. Ms. Gambale holds a B.S. from New York Institute of Technology-Old Westbury.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180"/>
        <w:spacing w:after="0" w:line="287" w:lineRule="auto"/>
        <w:rPr>
          <w:sz w:val="20"/>
          <w:szCs w:val="20"/>
          <w:color w:val="auto"/>
        </w:rPr>
      </w:pPr>
      <w:r>
        <w:rPr>
          <w:rFonts w:ascii="Arial" w:cs="Arial" w:eastAsia="Arial" w:hAnsi="Arial"/>
          <w:sz w:val="18"/>
          <w:szCs w:val="18"/>
          <w:color w:val="auto"/>
        </w:rPr>
        <w:t>Ms. Gambale’s previous experience in senior leadership positions in finance and technology and previous services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389"/>
              </w:rPr>
              <w:t>John D.</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88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840" w:type="dxa"/>
            <w:vAlign w:val="bottom"/>
          </w:tcPr>
          <w:p>
            <w:pPr>
              <w:ind w:left="20"/>
              <w:spacing w:after="0" w:line="181" w:lineRule="exact"/>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Audit</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00C389"/>
            </w:tcBorders>
          </w:tcPr>
          <w:p>
            <w:pPr>
              <w:spacing w:after="0" w:line="256" w:lineRule="exact"/>
              <w:rPr>
                <w:sz w:val="20"/>
                <w:szCs w:val="20"/>
                <w:color w:val="auto"/>
              </w:rPr>
            </w:pPr>
            <w:r>
              <w:rPr>
                <w:rFonts w:ascii="Arial" w:cs="Arial" w:eastAsia="Arial" w:hAnsi="Arial"/>
                <w:sz w:val="29"/>
                <w:szCs w:val="29"/>
                <w:color w:val="00C389"/>
              </w:rPr>
              <w:t>Nixon</w:t>
            </w:r>
          </w:p>
        </w:tc>
        <w:tc>
          <w:tcPr>
            <w:tcW w:w="800" w:type="dxa"/>
            <w:vAlign w:val="bottom"/>
            <w:tcBorders>
              <w:bottom w:val="single" w:sz="8" w:color="00C389"/>
            </w:tcBorders>
          </w:tcPr>
          <w:p>
            <w:pPr>
              <w:spacing w:after="0"/>
              <w:rPr>
                <w:sz w:val="22"/>
                <w:szCs w:val="22"/>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66</w:t>
            </w:r>
          </w:p>
        </w:tc>
        <w:tc>
          <w:tcPr>
            <w:tcW w:w="300" w:type="dxa"/>
            <w:vAlign w:val="bottom"/>
            <w:tcBorders>
              <w:bottom w:val="single" w:sz="8" w:color="00C389"/>
            </w:tcBorders>
          </w:tcPr>
          <w:p>
            <w:pPr>
              <w:spacing w:after="0"/>
              <w:rPr>
                <w:sz w:val="22"/>
                <w:szCs w:val="22"/>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N&amp;CG</w:t>
            </w:r>
          </w:p>
        </w:tc>
        <w:tc>
          <w:tcPr>
            <w:tcW w:w="380" w:type="dxa"/>
            <w:vAlign w:val="bottom"/>
            <w:tcBorders>
              <w:bottom w:val="single" w:sz="8" w:color="00C389"/>
            </w:tcBorders>
          </w:tcPr>
          <w:p>
            <w:pPr>
              <w:spacing w:after="0"/>
              <w:rPr>
                <w:sz w:val="22"/>
                <w:szCs w:val="22"/>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00C389"/>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389"/>
              </w:rPr>
              <w:t>BACKGROUND</w:t>
            </w: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60"/>
        <w:spacing w:after="0" w:line="254" w:lineRule="auto"/>
        <w:rPr>
          <w:sz w:val="20"/>
          <w:szCs w:val="20"/>
          <w:color w:val="auto"/>
        </w:rPr>
      </w:pPr>
      <w:r>
        <w:rPr>
          <w:rFonts w:ascii="Arial" w:cs="Arial" w:eastAsia="Arial" w:hAnsi="Arial"/>
          <w:sz w:val="18"/>
          <w:szCs w:val="18"/>
          <w:color w:val="auto"/>
        </w:rPr>
        <w:t>Mr. Nixon became a member of our board of directors in May 2015. Mr. Nixon has more than 30 years of international experience in the interdealer broker industry with ICAP plc (“</w:t>
      </w:r>
      <w:r>
        <w:rPr>
          <w:rFonts w:ascii="Arial" w:cs="Arial" w:eastAsia="Arial" w:hAnsi="Arial"/>
          <w:sz w:val="18"/>
          <w:szCs w:val="18"/>
          <w:b w:val="1"/>
          <w:bCs w:val="1"/>
          <w:color w:val="auto"/>
        </w:rPr>
        <w:t>ICAP</w:t>
      </w:r>
      <w:r>
        <w:rPr>
          <w:rFonts w:ascii="Arial" w:cs="Arial" w:eastAsia="Arial" w:hAnsi="Arial"/>
          <w:sz w:val="18"/>
          <w:szCs w:val="18"/>
          <w:color w:val="auto"/>
        </w:rPr>
        <w:t>”)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 Mr. Nixon serves as our representative on the board of Eris Exchange Holdings, LLC, as a senior financial services advisor to Temasek USA and as a member of the board of directors of Eastdil Secured on behalf of Temasek. Mr. Nixon holds a degree in Commerce from Queen’s University, Ontario.</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140"/>
        <w:spacing w:after="0" w:line="287" w:lineRule="auto"/>
        <w:rPr>
          <w:sz w:val="20"/>
          <w:szCs w:val="20"/>
          <w:color w:val="auto"/>
        </w:rPr>
      </w:pPr>
      <w:r>
        <w:rPr>
          <w:rFonts w:ascii="Arial" w:cs="Arial" w:eastAsia="Arial" w:hAnsi="Arial"/>
          <w:sz w:val="18"/>
          <w:szCs w:val="18"/>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1231900</wp:posOffset>
            </wp:positionV>
            <wp:extent cx="754380"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60"/>
        <w:spacing w:after="0"/>
        <w:tabs>
          <w:tab w:leader="none" w:pos="2080" w:val="left"/>
          <w:tab w:leader="none" w:pos="5220" w:val="left"/>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00" w:type="dxa"/>
            <w:vAlign w:val="bottom"/>
          </w:tcPr>
          <w:p>
            <w:pPr>
              <w:spacing w:after="0"/>
              <w:rPr>
                <w:sz w:val="20"/>
                <w:szCs w:val="20"/>
                <w:color w:val="auto"/>
              </w:rPr>
            </w:pPr>
            <w:r>
              <w:rPr>
                <w:rFonts w:ascii="Arial" w:cs="Arial" w:eastAsia="Arial" w:hAnsi="Arial"/>
                <w:sz w:val="36"/>
                <w:szCs w:val="36"/>
                <w:color w:val="00C389"/>
              </w:rPr>
              <w:t>David J.</w:t>
            </w:r>
          </w:p>
        </w:tc>
        <w:tc>
          <w:tcPr>
            <w:tcW w:w="780" w:type="dxa"/>
            <w:vAlign w:val="bottom"/>
            <w:vMerge w:val="restart"/>
          </w:tcPr>
          <w:p>
            <w:pPr>
              <w:ind w:left="580"/>
              <w:spacing w:after="0"/>
              <w:rPr>
                <w:sz w:val="20"/>
                <w:szCs w:val="20"/>
                <w:color w:val="auto"/>
              </w:rPr>
            </w:pPr>
            <w:r>
              <w:rPr>
                <w:rFonts w:ascii="Arial" w:cs="Arial" w:eastAsia="Arial" w:hAnsi="Arial"/>
                <w:sz w:val="18"/>
                <w:szCs w:val="18"/>
                <w:color w:val="auto"/>
              </w:rPr>
              <w:t>​ ​</w:t>
            </w: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Independent Director</w:t>
            </w: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19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78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Pr>
          <w:p>
            <w:pPr>
              <w:ind w:left="20"/>
              <w:spacing w:after="0" w:line="181" w:lineRule="exact"/>
              <w:rPr>
                <w:sz w:val="20"/>
                <w:szCs w:val="20"/>
                <w:color w:val="auto"/>
              </w:rPr>
            </w:pPr>
            <w:r>
              <w:rPr>
                <w:rFonts w:ascii="Arial" w:cs="Arial" w:eastAsia="Arial" w:hAnsi="Arial"/>
                <w:sz w:val="18"/>
                <w:szCs w:val="18"/>
                <w:color w:val="002554"/>
              </w:rPr>
              <w:t>•</w:t>
            </w:r>
          </w:p>
        </w:tc>
        <w:tc>
          <w:tcPr>
            <w:tcW w:w="1680" w:type="dxa"/>
            <w:vAlign w:val="bottom"/>
          </w:tcPr>
          <w:p>
            <w:pPr>
              <w:ind w:left="40"/>
              <w:spacing w:after="0" w:line="181" w:lineRule="exact"/>
              <w:rPr>
                <w:sz w:val="20"/>
                <w:szCs w:val="20"/>
                <w:color w:val="auto"/>
              </w:rPr>
            </w:pPr>
            <w:r>
              <w:rPr>
                <w:rFonts w:ascii="Arial" w:cs="Arial" w:eastAsia="Arial" w:hAnsi="Arial"/>
                <w:sz w:val="18"/>
                <w:szCs w:val="18"/>
                <w:color w:val="auto"/>
              </w:rPr>
              <w:t>Compensation</w:t>
            </w:r>
          </w:p>
        </w:tc>
        <w:tc>
          <w:tcPr>
            <w:tcW w:w="3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00" w:type="dxa"/>
            <w:vAlign w:val="bottom"/>
            <w:tcBorders>
              <w:bottom w:val="single" w:sz="8" w:color="00C389"/>
            </w:tcBorders>
          </w:tcPr>
          <w:p>
            <w:pPr>
              <w:spacing w:after="0" w:line="256" w:lineRule="exact"/>
              <w:rPr>
                <w:sz w:val="20"/>
                <w:szCs w:val="20"/>
                <w:color w:val="auto"/>
              </w:rPr>
            </w:pPr>
            <w:r>
              <w:rPr>
                <w:rFonts w:ascii="Arial" w:cs="Arial" w:eastAsia="Arial" w:hAnsi="Arial"/>
                <w:sz w:val="29"/>
                <w:szCs w:val="29"/>
                <w:color w:val="00C389"/>
              </w:rPr>
              <w:t>Urban</w:t>
            </w:r>
          </w:p>
        </w:tc>
        <w:tc>
          <w:tcPr>
            <w:tcW w:w="780" w:type="dxa"/>
            <w:vAlign w:val="bottom"/>
            <w:tcBorders>
              <w:bottom w:val="single" w:sz="8" w:color="00C389"/>
            </w:tcBorders>
          </w:tcPr>
          <w:p>
            <w:pPr>
              <w:spacing w:after="0"/>
              <w:rPr>
                <w:sz w:val="22"/>
                <w:szCs w:val="22"/>
                <w:color w:val="auto"/>
              </w:rPr>
            </w:pPr>
          </w:p>
        </w:tc>
        <w:tc>
          <w:tcPr>
            <w:tcW w:w="19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58</w:t>
            </w:r>
          </w:p>
        </w:tc>
        <w:tc>
          <w:tcPr>
            <w:tcW w:w="300" w:type="dxa"/>
            <w:vAlign w:val="bottom"/>
            <w:tcBorders>
              <w:bottom w:val="single" w:sz="8" w:color="00C389"/>
            </w:tcBorders>
          </w:tcPr>
          <w:p>
            <w:pPr>
              <w:spacing w:after="0"/>
              <w:rPr>
                <w:sz w:val="22"/>
                <w:szCs w:val="22"/>
                <w:color w:val="auto"/>
              </w:rPr>
            </w:pPr>
          </w:p>
        </w:tc>
        <w:tc>
          <w:tcPr>
            <w:tcW w:w="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w:t>
            </w:r>
          </w:p>
        </w:tc>
        <w:tc>
          <w:tcPr>
            <w:tcW w:w="168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Risk</w:t>
            </w:r>
          </w:p>
        </w:tc>
        <w:tc>
          <w:tcPr>
            <w:tcW w:w="380" w:type="dxa"/>
            <w:vAlign w:val="bottom"/>
            <w:tcBorders>
              <w:bottom w:val="single" w:sz="8" w:color="00C389"/>
            </w:tcBorders>
          </w:tcPr>
          <w:p>
            <w:pPr>
              <w:spacing w:after="0"/>
              <w:rPr>
                <w:sz w:val="22"/>
                <w:szCs w:val="22"/>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00C389"/>
            </w:tcBorders>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90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00C389"/>
              </w:rPr>
              <w:t>BACKGROUND</w:t>
            </w:r>
          </w:p>
        </w:tc>
        <w:tc>
          <w:tcPr>
            <w:tcW w:w="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Mr. Urban has more than 20 years’ experience in senior leadership positions in business and governmental roles, currently serving as Managing Director to BGR Group, a bi-partisan lobbying, strategic communications and business solutions firm, and Senior Advisor to Gothams, a firm designed to augment emergency management response capabilities, since April 2022 and January 2022, respectively. Previously, from July 2020 to January 2022, he served as Executive Vice President, North American Corporate Affairs at ByteDance, the parent company of TikTok, a leading social network, and from January 2002 to July 2020, as President of the American Continental Group, a leading bi-partisan government affairs and strategic consulting firm which provided consulting services to diverse organizations including those across the financial services and technology sectors. Mr. Urban previously served as the Chief of Staff for a U.S. Senator, a lawyer in private practice and as an officer in the U.S. Army’s 101st Airborne Division where he was awarded the Bronze Star. Mr. Urban is a member of the National Association of Corporate Directors and serves as a board member at Stratolaunch and SubCom. Mr. Urban holds a B.S. from the United States Military Academy at West Point, a J.D. from the Beasley School of Law, Temple University an M.P.A. from the Fels Institute of Government, University of Pennsylvania a Certificate in Leading Sustainable Corporations from the Saide Business School, University of Oxford and a Certificate in Geopolitical Analysis from Stratfor/Florida Atlantic University.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260"/>
        <w:spacing w:after="0" w:line="287" w:lineRule="auto"/>
        <w:rPr>
          <w:sz w:val="20"/>
          <w:szCs w:val="20"/>
          <w:color w:val="auto"/>
        </w:rPr>
      </w:pPr>
      <w:r>
        <w:rPr>
          <w:rFonts w:ascii="Arial" w:cs="Arial" w:eastAsia="Arial" w:hAnsi="Arial"/>
          <w:sz w:val="18"/>
          <w:szCs w:val="18"/>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3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60" w:type="dxa"/>
            <w:vAlign w:val="bottom"/>
          </w:tcPr>
          <w:p>
            <w:pPr>
              <w:spacing w:after="0"/>
              <w:rPr>
                <w:sz w:val="20"/>
                <w:szCs w:val="20"/>
                <w:color w:val="auto"/>
              </w:rPr>
            </w:pPr>
            <w:r>
              <w:rPr>
                <w:rFonts w:ascii="Arial" w:cs="Arial" w:eastAsia="Arial" w:hAnsi="Arial"/>
                <w:sz w:val="36"/>
                <w:szCs w:val="36"/>
                <w:color w:val="00C389"/>
              </w:rPr>
              <w:t>Michael T.</w:t>
            </w:r>
          </w:p>
        </w:tc>
        <w:tc>
          <w:tcPr>
            <w:tcW w:w="620" w:type="dxa"/>
            <w:vAlign w:val="bottom"/>
            <w:vMerge w:val="restart"/>
          </w:tcPr>
          <w:p>
            <w:pPr>
              <w:ind w:left="420"/>
              <w:spacing w:after="0"/>
              <w:rPr>
                <w:sz w:val="20"/>
                <w:szCs w:val="20"/>
                <w:color w:val="auto"/>
              </w:rPr>
            </w:pPr>
            <w:r>
              <w:rPr>
                <w:rFonts w:ascii="Arial" w:cs="Arial" w:eastAsia="Arial" w:hAnsi="Arial"/>
                <w:sz w:val="18"/>
                <w:szCs w:val="18"/>
                <w:color w:val="auto"/>
              </w:rPr>
              <w:t>​ ​</w:t>
            </w:r>
          </w:p>
        </w:tc>
        <w:tc>
          <w:tcPr>
            <w:tcW w:w="138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Director</w:t>
            </w:r>
          </w:p>
        </w:tc>
        <w:tc>
          <w:tcPr>
            <w:tcW w:w="84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00C389"/>
              </w:rPr>
              <w:t>Board Committees</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Director Since</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40" w:type="dxa"/>
            <w:vAlign w:val="bottom"/>
          </w:tcPr>
          <w:p>
            <w:pPr>
              <w:ind w:left="20"/>
              <w:spacing w:after="0" w:line="149" w:lineRule="exact"/>
              <w:rPr>
                <w:sz w:val="20"/>
                <w:szCs w:val="20"/>
                <w:color w:val="auto"/>
              </w:rPr>
            </w:pPr>
            <w:r>
              <w:rPr>
                <w:rFonts w:ascii="Arial" w:cs="Arial" w:eastAsia="Arial" w:hAnsi="Arial"/>
                <w:sz w:val="17"/>
                <w:szCs w:val="17"/>
                <w:color w:val="002554"/>
              </w:rPr>
              <w:t xml:space="preserve">• </w:t>
            </w:r>
            <w:r>
              <w:rPr>
                <w:rFonts w:ascii="Arial" w:cs="Arial" w:eastAsia="Arial" w:hAnsi="Arial"/>
                <w:sz w:val="17"/>
                <w:szCs w:val="17"/>
                <w:color w:val="000000"/>
              </w:rPr>
              <w:t>N&amp;CG</w:t>
            </w:r>
          </w:p>
        </w:tc>
        <w:tc>
          <w:tcPr>
            <w:tcW w:w="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6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Viola</w:t>
            </w:r>
          </w:p>
        </w:tc>
        <w:tc>
          <w:tcPr>
            <w:tcW w:w="620" w:type="dxa"/>
            <w:vAlign w:val="bottom"/>
            <w:tcBorders>
              <w:bottom w:val="single" w:sz="8" w:color="00C389"/>
            </w:tcBorders>
          </w:tcPr>
          <w:p>
            <w:pPr>
              <w:spacing w:after="0"/>
              <w:rPr>
                <w:sz w:val="24"/>
                <w:szCs w:val="24"/>
                <w:color w:val="auto"/>
              </w:rPr>
            </w:pPr>
          </w:p>
        </w:tc>
        <w:tc>
          <w:tcPr>
            <w:tcW w:w="138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35</w:t>
            </w:r>
          </w:p>
        </w:tc>
        <w:tc>
          <w:tcPr>
            <w:tcW w:w="840" w:type="dxa"/>
            <w:vAlign w:val="bottom"/>
            <w:tcBorders>
              <w:bottom w:val="single" w:sz="8" w:color="00C389"/>
            </w:tcBorders>
          </w:tcPr>
          <w:p>
            <w:pPr>
              <w:spacing w:after="0"/>
              <w:rPr>
                <w:sz w:val="24"/>
                <w:szCs w:val="24"/>
                <w:color w:val="auto"/>
              </w:rPr>
            </w:pPr>
          </w:p>
        </w:tc>
        <w:tc>
          <w:tcPr>
            <w:tcW w:w="184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380" w:type="dxa"/>
            <w:vAlign w:val="bottom"/>
            <w:tcBorders>
              <w:bottom w:val="single" w:sz="8" w:color="00C389"/>
            </w:tcBorders>
          </w:tcPr>
          <w:p>
            <w:pPr>
              <w:spacing w:after="0"/>
              <w:rPr>
                <w:sz w:val="24"/>
                <w:szCs w:val="24"/>
                <w:color w:val="auto"/>
              </w:rPr>
            </w:pPr>
          </w:p>
        </w:tc>
        <w:tc>
          <w:tcPr>
            <w:tcW w:w="166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Arial" w:cs="Arial" w:eastAsia="Arial" w:hAnsi="Arial"/>
                <w:sz w:val="18"/>
                <w:szCs w:val="18"/>
                <w:color w:val="00C389"/>
              </w:rPr>
              <w:t>BACKGROUND</w:t>
            </w: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Mr. Viola became a member of our board of directors in April 2016. Mr. Viola previously served the Company in a variety of roles since 2011, most recently as a senior trader focused on foreign exchange products and global commodities. Since 2016, Mr. Viola has served as the President of the Viola family’s private investment office, located in New York City. In addition, Mr. Viola is a member of the board of directors of Independent Bank Group, Inc. (NASDAQ:IBTX), which he joined in February 2013, as well as iAero Group, Crowheart Energy LLC, Madava Financial LLC, the Viola Foundation, and the USA Track &amp; Field Foundation. Mr. Viola holds a B.S. in Finance from Pepperdine University.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320"/>
        <w:spacing w:after="0" w:line="287" w:lineRule="auto"/>
        <w:rPr>
          <w:sz w:val="20"/>
          <w:szCs w:val="20"/>
          <w:color w:val="auto"/>
        </w:rPr>
      </w:pPr>
      <w:r>
        <w:rPr>
          <w:rFonts w:ascii="Arial" w:cs="Arial" w:eastAsia="Arial" w:hAnsi="Arial"/>
          <w:sz w:val="18"/>
          <w:szCs w:val="18"/>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-19050</wp:posOffset>
            </wp:positionV>
            <wp:extent cx="58293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PROPOSAL 1: ELECTION OF DIRECTORS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executive officers.</w:t>
      </w:r>
    </w:p>
    <w:p>
      <w:pPr>
        <w:spacing w:after="0" w:line="343"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20" w:type="dxa"/>
            <w:vAlign w:val="bottom"/>
          </w:tcPr>
          <w:p>
            <w:pPr>
              <w:spacing w:after="0"/>
              <w:rPr>
                <w:sz w:val="20"/>
                <w:szCs w:val="20"/>
                <w:color w:val="auto"/>
              </w:rPr>
            </w:pPr>
            <w:r>
              <w:rPr>
                <w:rFonts w:ascii="Arial" w:cs="Arial" w:eastAsia="Arial" w:hAnsi="Arial"/>
                <w:sz w:val="36"/>
                <w:szCs w:val="36"/>
                <w:color w:val="00C389"/>
              </w:rPr>
              <w:t>Stephen</w:t>
            </w:r>
          </w:p>
        </w:tc>
        <w:tc>
          <w:tcPr>
            <w:tcW w:w="760" w:type="dxa"/>
            <w:vAlign w:val="bottom"/>
            <w:vMerge w:val="restart"/>
          </w:tcPr>
          <w:p>
            <w:pPr>
              <w:ind w:left="560"/>
              <w:spacing w:after="0"/>
              <w:rPr>
                <w:sz w:val="20"/>
                <w:szCs w:val="20"/>
                <w:color w:val="auto"/>
              </w:rPr>
            </w:pPr>
            <w:r>
              <w:rPr>
                <w:rFonts w:ascii="Arial" w:cs="Arial" w:eastAsia="Arial" w:hAnsi="Arial"/>
                <w:sz w:val="18"/>
                <w:szCs w:val="18"/>
                <w:b w:val="1"/>
                <w:bCs w:val="1"/>
                <w:color w:val="00C389"/>
              </w:rPr>
              <w:t>​ ​</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00C389"/>
              </w:rPr>
              <w:t>Executive Vice</w:t>
            </w:r>
          </w:p>
        </w:tc>
        <w:tc>
          <w:tcPr>
            <w:tcW w:w="1460" w:type="dxa"/>
            <w:vAlign w:val="bottom"/>
            <w:vMerge w:val="restart"/>
          </w:tcPr>
          <w:p>
            <w:pPr>
              <w:ind w:left="220"/>
              <w:spacing w:after="0"/>
              <w:rPr>
                <w:sz w:val="20"/>
                <w:szCs w:val="20"/>
                <w:color w:val="auto"/>
              </w:rPr>
            </w:pPr>
            <w:r>
              <w:rPr>
                <w:rFonts w:ascii="Arial" w:cs="Arial" w:eastAsia="Arial" w:hAnsi="Arial"/>
                <w:sz w:val="18"/>
                <w:szCs w:val="18"/>
                <w:b w:val="1"/>
                <w:bCs w:val="1"/>
                <w:color w:val="00C389"/>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389"/>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389"/>
              </w:rPr>
              <w:t>​</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Arial" w:cs="Arial" w:eastAsia="Arial" w:hAnsi="Arial"/>
                <w:sz w:val="17"/>
                <w:szCs w:val="17"/>
                <w:b w:val="1"/>
                <w:bCs w:val="1"/>
                <w:color w:val="00C389"/>
              </w:rPr>
              <w:t>​</w:t>
            </w:r>
          </w:p>
        </w:tc>
        <w:tc>
          <w:tcPr>
            <w:tcW w:w="760" w:type="dxa"/>
            <w:vAlign w:val="bottom"/>
            <w:vMerge w:val="continue"/>
          </w:tcPr>
          <w:p>
            <w:pPr>
              <w:spacing w:after="0"/>
              <w:rPr>
                <w:sz w:val="12"/>
                <w:szCs w:val="12"/>
                <w:color w:val="auto"/>
              </w:rPr>
            </w:pPr>
          </w:p>
        </w:tc>
        <w:tc>
          <w:tcPr>
            <w:tcW w:w="1820" w:type="dxa"/>
            <w:vAlign w:val="bottom"/>
          </w:tcPr>
          <w:p>
            <w:pPr>
              <w:ind w:left="20"/>
              <w:spacing w:after="0" w:line="149" w:lineRule="exact"/>
              <w:rPr>
                <w:sz w:val="20"/>
                <w:szCs w:val="20"/>
                <w:color w:val="auto"/>
              </w:rPr>
            </w:pPr>
            <w:r>
              <w:rPr>
                <w:rFonts w:ascii="Arial" w:cs="Arial" w:eastAsia="Arial" w:hAnsi="Arial"/>
                <w:sz w:val="17"/>
                <w:szCs w:val="17"/>
                <w:b w:val="1"/>
                <w:bCs w:val="1"/>
                <w:color w:val="00C389"/>
              </w:rPr>
              <w:t>President, Markets</w:t>
            </w:r>
          </w:p>
        </w:tc>
        <w:tc>
          <w:tcPr>
            <w:tcW w:w="14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92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Cavoli</w:t>
            </w:r>
          </w:p>
        </w:tc>
        <w:tc>
          <w:tcPr>
            <w:tcW w:w="760" w:type="dxa"/>
            <w:vAlign w:val="bottom"/>
            <w:tcBorders>
              <w:bottom w:val="single" w:sz="8" w:color="00C389"/>
            </w:tcBorders>
          </w:tcPr>
          <w:p>
            <w:pPr>
              <w:spacing w:after="0"/>
              <w:rPr>
                <w:sz w:val="24"/>
                <w:szCs w:val="24"/>
                <w:color w:val="auto"/>
              </w:rPr>
            </w:pPr>
          </w:p>
        </w:tc>
        <w:tc>
          <w:tcPr>
            <w:tcW w:w="18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53</w:t>
            </w:r>
          </w:p>
        </w:tc>
        <w:tc>
          <w:tcPr>
            <w:tcW w:w="1460" w:type="dxa"/>
            <w:vAlign w:val="bottom"/>
            <w:tcBorders>
              <w:bottom w:val="single" w:sz="8" w:color="00C389"/>
            </w:tcBorders>
          </w:tcPr>
          <w:p>
            <w:pPr>
              <w:spacing w:after="0"/>
              <w:rPr>
                <w:sz w:val="24"/>
                <w:szCs w:val="24"/>
                <w:color w:val="auto"/>
              </w:rPr>
            </w:pPr>
          </w:p>
        </w:tc>
        <w:tc>
          <w:tcPr>
            <w:tcW w:w="1160" w:type="dxa"/>
            <w:vAlign w:val="bottom"/>
            <w:tcBorders>
              <w:bottom w:val="single" w:sz="8" w:color="00C389"/>
            </w:tcBorders>
          </w:tcPr>
          <w:p>
            <w:pPr>
              <w:spacing w:after="0"/>
              <w:rPr>
                <w:sz w:val="24"/>
                <w:szCs w:val="24"/>
                <w:color w:val="auto"/>
              </w:rPr>
            </w:pPr>
          </w:p>
        </w:tc>
        <w:tc>
          <w:tcPr>
            <w:tcW w:w="160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92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920" w:type="dxa"/>
            <w:vAlign w:val="bottom"/>
          </w:tcPr>
          <w:p>
            <w:pPr>
              <w:spacing w:after="0"/>
              <w:rPr>
                <w:sz w:val="20"/>
                <w:szCs w:val="20"/>
                <w:color w:val="auto"/>
              </w:rPr>
            </w:pPr>
            <w:r>
              <w:rPr>
                <w:rFonts w:ascii="Arial" w:cs="Arial" w:eastAsia="Arial" w:hAnsi="Arial"/>
                <w:sz w:val="18"/>
                <w:szCs w:val="18"/>
                <w:color w:val="00C389"/>
              </w:rPr>
              <w:t>BACKGROUND</w:t>
            </w:r>
          </w:p>
        </w:tc>
        <w:tc>
          <w:tcPr>
            <w:tcW w:w="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240"/>
        <w:spacing w:after="0" w:line="257" w:lineRule="auto"/>
        <w:rPr>
          <w:sz w:val="20"/>
          <w:szCs w:val="20"/>
          <w:color w:val="auto"/>
        </w:rPr>
      </w:pPr>
      <w:r>
        <w:rPr>
          <w:rFonts w:ascii="Arial" w:cs="Arial" w:eastAsia="Arial" w:hAnsi="Arial"/>
          <w:sz w:val="18"/>
          <w:szCs w:val="18"/>
          <w:color w:val="auto"/>
        </w:rPr>
        <w:t>Mr. Cavoli has been our Executive Vice President, Markets since December 2017, and previously served as our Senior Vice President, Strategy and Market Development since September 2015. Prior to joining Virtu, Mr. Cavoli was a Managing Director at Morgan Stanley in the electronic trading group, where he served in various roles from April 2004 to September 2015. Mr. Cavoli previously held positions at Instinet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389"/>
              </w:rPr>
              <w:t>Brett</w:t>
            </w:r>
          </w:p>
        </w:tc>
        <w:tc>
          <w:tcPr>
            <w:tcW w:w="600" w:type="dxa"/>
            <w:vAlign w:val="bottom"/>
            <w:vMerge w:val="restart"/>
          </w:tcPr>
          <w:p>
            <w:pPr>
              <w:ind w:left="400"/>
              <w:spacing w:after="0"/>
              <w:rPr>
                <w:sz w:val="20"/>
                <w:szCs w:val="20"/>
                <w:color w:val="auto"/>
              </w:rPr>
            </w:pPr>
            <w:r>
              <w:rPr>
                <w:rFonts w:ascii="Arial" w:cs="Arial" w:eastAsia="Arial" w:hAnsi="Arial"/>
                <w:sz w:val="18"/>
                <w:szCs w:val="18"/>
                <w:b w:val="1"/>
                <w:bCs w:val="1"/>
                <w:color w:val="00C389"/>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389"/>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389"/>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389"/>
              </w:rPr>
              <w:t>​</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7"/>
                <w:szCs w:val="17"/>
                <w:b w:val="1"/>
                <w:bCs w:val="1"/>
                <w:color w:val="00C389"/>
              </w:rPr>
              <w:t>​</w:t>
            </w:r>
          </w:p>
        </w:tc>
        <w:tc>
          <w:tcPr>
            <w:tcW w:w="60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389"/>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8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Fairclough</w:t>
            </w:r>
          </w:p>
        </w:tc>
        <w:tc>
          <w:tcPr>
            <w:tcW w:w="600" w:type="dxa"/>
            <w:vAlign w:val="bottom"/>
            <w:tcBorders>
              <w:bottom w:val="single" w:sz="8" w:color="00C389"/>
            </w:tcBorders>
          </w:tcPr>
          <w:p>
            <w:pPr>
              <w:spacing w:after="0"/>
              <w:rPr>
                <w:sz w:val="24"/>
                <w:szCs w:val="24"/>
                <w:color w:val="auto"/>
              </w:rPr>
            </w:pPr>
          </w:p>
        </w:tc>
        <w:tc>
          <w:tcPr>
            <w:tcW w:w="20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39</w:t>
            </w:r>
          </w:p>
        </w:tc>
        <w:tc>
          <w:tcPr>
            <w:tcW w:w="1260" w:type="dxa"/>
            <w:vAlign w:val="bottom"/>
            <w:tcBorders>
              <w:bottom w:val="single" w:sz="8" w:color="00C389"/>
            </w:tcBorders>
          </w:tcPr>
          <w:p>
            <w:pPr>
              <w:spacing w:after="0"/>
              <w:rPr>
                <w:sz w:val="24"/>
                <w:szCs w:val="24"/>
                <w:color w:val="auto"/>
              </w:rPr>
            </w:pPr>
          </w:p>
        </w:tc>
        <w:tc>
          <w:tcPr>
            <w:tcW w:w="1160" w:type="dxa"/>
            <w:vAlign w:val="bottom"/>
            <w:tcBorders>
              <w:bottom w:val="single" w:sz="8" w:color="00C389"/>
            </w:tcBorders>
          </w:tcPr>
          <w:p>
            <w:pPr>
              <w:spacing w:after="0"/>
              <w:rPr>
                <w:sz w:val="24"/>
                <w:szCs w:val="24"/>
                <w:color w:val="auto"/>
              </w:rPr>
            </w:pPr>
          </w:p>
        </w:tc>
        <w:tc>
          <w:tcPr>
            <w:tcW w:w="160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00C389"/>
              </w:rPr>
              <w:t>BACKGROUND</w:t>
            </w: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80"/>
        <w:spacing w:after="0" w:line="255" w:lineRule="auto"/>
        <w:rPr>
          <w:sz w:val="20"/>
          <w:szCs w:val="20"/>
          <w:color w:val="auto"/>
        </w:rPr>
      </w:pPr>
      <w:r>
        <w:rPr>
          <w:rFonts w:ascii="Arial" w:cs="Arial" w:eastAsia="Arial" w:hAnsi="Arial"/>
          <w:sz w:val="18"/>
          <w:szCs w:val="18"/>
          <w:color w:val="auto"/>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Chief Executive Officer of Virtu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880" w:type="dxa"/>
            <w:vAlign w:val="bottom"/>
          </w:tcPr>
          <w:p>
            <w:pPr>
              <w:spacing w:after="0"/>
              <w:rPr>
                <w:sz w:val="20"/>
                <w:szCs w:val="20"/>
                <w:color w:val="auto"/>
              </w:rPr>
            </w:pPr>
            <w:r>
              <w:rPr>
                <w:rFonts w:ascii="Arial" w:cs="Arial" w:eastAsia="Arial" w:hAnsi="Arial"/>
                <w:sz w:val="36"/>
                <w:szCs w:val="36"/>
                <w:color w:val="00C389"/>
              </w:rPr>
              <w:t>Joseph</w:t>
            </w:r>
          </w:p>
        </w:tc>
        <w:tc>
          <w:tcPr>
            <w:tcW w:w="800" w:type="dxa"/>
            <w:vAlign w:val="bottom"/>
            <w:vMerge w:val="restart"/>
          </w:tcPr>
          <w:p>
            <w:pPr>
              <w:ind w:left="600"/>
              <w:spacing w:after="0"/>
              <w:rPr>
                <w:sz w:val="20"/>
                <w:szCs w:val="20"/>
                <w:color w:val="auto"/>
              </w:rPr>
            </w:pPr>
            <w:r>
              <w:rPr>
                <w:rFonts w:ascii="Arial" w:cs="Arial" w:eastAsia="Arial" w:hAnsi="Arial"/>
                <w:sz w:val="18"/>
                <w:szCs w:val="18"/>
                <w:b w:val="1"/>
                <w:bCs w:val="1"/>
                <w:color w:val="00C389"/>
              </w:rPr>
              <w:t>​ ​</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00C389"/>
              </w:rPr>
              <w:t>Co-President and Co-</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00C389"/>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389"/>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389"/>
              </w:rPr>
              <w:t>​</w:t>
            </w: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7"/>
                <w:szCs w:val="17"/>
                <w:b w:val="1"/>
                <w:bCs w:val="1"/>
                <w:color w:val="00C389"/>
              </w:rPr>
              <w:t>​</w:t>
            </w:r>
          </w:p>
        </w:tc>
        <w:tc>
          <w:tcPr>
            <w:tcW w:w="800" w:type="dxa"/>
            <w:vAlign w:val="bottom"/>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7"/>
                <w:szCs w:val="17"/>
                <w:b w:val="1"/>
                <w:bCs w:val="1"/>
                <w:color w:val="00C389"/>
              </w:rPr>
              <w:t>Chief Operating Officer</w:t>
            </w:r>
          </w:p>
        </w:tc>
        <w:tc>
          <w:tcPr>
            <w:tcW w:w="12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88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Molluso</w:t>
            </w:r>
          </w:p>
        </w:tc>
        <w:tc>
          <w:tcPr>
            <w:tcW w:w="800" w:type="dxa"/>
            <w:vAlign w:val="bottom"/>
            <w:tcBorders>
              <w:bottom w:val="single" w:sz="8" w:color="00C389"/>
            </w:tcBorders>
          </w:tcPr>
          <w:p>
            <w:pPr>
              <w:spacing w:after="0"/>
              <w:rPr>
                <w:sz w:val="24"/>
                <w:szCs w:val="24"/>
                <w:color w:val="auto"/>
              </w:rPr>
            </w:pPr>
          </w:p>
        </w:tc>
        <w:tc>
          <w:tcPr>
            <w:tcW w:w="202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53</w:t>
            </w:r>
          </w:p>
        </w:tc>
        <w:tc>
          <w:tcPr>
            <w:tcW w:w="1260" w:type="dxa"/>
            <w:vAlign w:val="bottom"/>
            <w:tcBorders>
              <w:bottom w:val="single" w:sz="8" w:color="00C389"/>
            </w:tcBorders>
          </w:tcPr>
          <w:p>
            <w:pPr>
              <w:spacing w:after="0"/>
              <w:rPr>
                <w:sz w:val="24"/>
                <w:szCs w:val="24"/>
                <w:color w:val="auto"/>
              </w:rPr>
            </w:pPr>
          </w:p>
        </w:tc>
        <w:tc>
          <w:tcPr>
            <w:tcW w:w="1160" w:type="dxa"/>
            <w:vAlign w:val="bottom"/>
            <w:tcBorders>
              <w:bottom w:val="single" w:sz="8" w:color="00C389"/>
            </w:tcBorders>
          </w:tcPr>
          <w:p>
            <w:pPr>
              <w:spacing w:after="0"/>
              <w:rPr>
                <w:sz w:val="24"/>
                <w:szCs w:val="24"/>
                <w:color w:val="auto"/>
              </w:rPr>
            </w:pPr>
          </w:p>
        </w:tc>
        <w:tc>
          <w:tcPr>
            <w:tcW w:w="160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389"/>
              </w:rPr>
              <w:t>BACKGROUND</w:t>
            </w:r>
          </w:p>
        </w:tc>
        <w:tc>
          <w:tcPr>
            <w:tcW w:w="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Mr. Molluso was appointed our Co-President and Co-Chief Operating Officer in May 2020. Mr. Molluso joined Virtu in November 2013 as Chief Financial Officer. After a brief departure in September 2019 to serve as Chief Financial Officer of Capitolis, Mr. Molluso rejoined Virtu in 2020. Prior to joining Virtu, Mr. Molluso was a Managing Director in Investment Banking at J.P. Morgan from March 2006 to November 2013, where he provided strategic advice to financial institutions with a focus on market structure related companies.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1003300</wp:posOffset>
            </wp:positionV>
            <wp:extent cx="75438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880" w:type="dxa"/>
            <w:vAlign w:val="bottom"/>
            <w:vMerge w:val="restart"/>
          </w:tcPr>
          <w:p>
            <w:pPr>
              <w:spacing w:after="0"/>
              <w:rPr>
                <w:sz w:val="20"/>
                <w:szCs w:val="20"/>
                <w:color w:val="auto"/>
              </w:rPr>
            </w:pPr>
            <w:r>
              <w:rPr>
                <w:rFonts w:ascii="Arial" w:cs="Arial" w:eastAsia="Arial" w:hAnsi="Arial"/>
                <w:sz w:val="36"/>
                <w:szCs w:val="36"/>
                <w:color w:val="00C389"/>
              </w:rPr>
              <w:t>Sean P.</w:t>
            </w:r>
          </w:p>
        </w:tc>
        <w:tc>
          <w:tcPr>
            <w:tcW w:w="8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389"/>
              </w:rPr>
              <w:t>Executive Vice</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vMerge w:val="continue"/>
          </w:tcPr>
          <w:p>
            <w:pPr>
              <w:spacing w:after="0"/>
              <w:rPr>
                <w:sz w:val="20"/>
                <w:szCs w:val="20"/>
                <w:color w:val="auto"/>
              </w:rPr>
            </w:pPr>
          </w:p>
        </w:tc>
        <w:tc>
          <w:tcPr>
            <w:tcW w:w="800" w:type="dxa"/>
            <w:vAlign w:val="bottom"/>
            <w:vMerge w:val="restart"/>
          </w:tcPr>
          <w:p>
            <w:pPr>
              <w:ind w:left="600"/>
              <w:spacing w:after="0"/>
              <w:rPr>
                <w:sz w:val="20"/>
                <w:szCs w:val="20"/>
                <w:color w:val="auto"/>
              </w:rPr>
            </w:pPr>
            <w:r>
              <w:rPr>
                <w:rFonts w:ascii="Arial" w:cs="Arial" w:eastAsia="Arial" w:hAnsi="Arial"/>
                <w:sz w:val="18"/>
                <w:szCs w:val="18"/>
                <w:b w:val="1"/>
                <w:bCs w:val="1"/>
                <w:color w:val="00C389"/>
              </w:rPr>
              <w:t>​ ​</w:t>
            </w:r>
          </w:p>
        </w:tc>
        <w:tc>
          <w:tcPr>
            <w:tcW w:w="1860" w:type="dxa"/>
            <w:vAlign w:val="bottom"/>
          </w:tcPr>
          <w:p>
            <w:pPr>
              <w:ind w:left="20"/>
              <w:spacing w:after="0"/>
              <w:rPr>
                <w:sz w:val="20"/>
                <w:szCs w:val="20"/>
                <w:color w:val="auto"/>
              </w:rPr>
            </w:pPr>
            <w:r>
              <w:rPr>
                <w:rFonts w:ascii="Arial" w:cs="Arial" w:eastAsia="Arial" w:hAnsi="Arial"/>
                <w:sz w:val="18"/>
                <w:szCs w:val="18"/>
                <w:b w:val="1"/>
                <w:bCs w:val="1"/>
                <w:color w:val="00C389"/>
              </w:rPr>
              <w:t>President and Chief</w:t>
            </w:r>
          </w:p>
        </w:tc>
        <w:tc>
          <w:tcPr>
            <w:tcW w:w="1420" w:type="dxa"/>
            <w:vAlign w:val="bottom"/>
            <w:vMerge w:val="restart"/>
          </w:tcPr>
          <w:p>
            <w:pPr>
              <w:ind w:left="180"/>
              <w:spacing w:after="0"/>
              <w:rPr>
                <w:sz w:val="20"/>
                <w:szCs w:val="20"/>
                <w:color w:val="auto"/>
              </w:rPr>
            </w:pPr>
            <w:r>
              <w:rPr>
                <w:rFonts w:ascii="Arial" w:cs="Arial" w:eastAsia="Arial" w:hAnsi="Arial"/>
                <w:sz w:val="18"/>
                <w:szCs w:val="18"/>
                <w:b w:val="1"/>
                <w:bCs w:val="1"/>
                <w:color w:val="00C389"/>
              </w:rPr>
              <w:t>​ ​ ​</w:t>
            </w:r>
          </w:p>
        </w:tc>
        <w:tc>
          <w:tcPr>
            <w:tcW w:w="1160" w:type="dxa"/>
            <w:vAlign w:val="bottom"/>
            <w:vMerge w:val="restart"/>
          </w:tcPr>
          <w:p>
            <w:pPr>
              <w:ind w:left="980"/>
              <w:spacing w:after="0"/>
              <w:rPr>
                <w:sz w:val="20"/>
                <w:szCs w:val="20"/>
                <w:color w:val="auto"/>
              </w:rPr>
            </w:pPr>
            <w:r>
              <w:rPr>
                <w:rFonts w:ascii="Arial" w:cs="Arial" w:eastAsia="Arial" w:hAnsi="Arial"/>
                <w:sz w:val="18"/>
                <w:szCs w:val="18"/>
                <w:b w:val="1"/>
                <w:bCs w:val="1"/>
                <w:color w:val="00C389"/>
              </w:rPr>
              <w:t>​ ​</w:t>
            </w:r>
          </w:p>
        </w:tc>
        <w:tc>
          <w:tcPr>
            <w:tcW w:w="1600" w:type="dxa"/>
            <w:vAlign w:val="bottom"/>
            <w:vMerge w:val="restart"/>
          </w:tcPr>
          <w:p>
            <w:pPr>
              <w:ind w:left="40"/>
              <w:spacing w:after="0"/>
              <w:rPr>
                <w:sz w:val="20"/>
                <w:szCs w:val="20"/>
                <w:color w:val="auto"/>
              </w:rPr>
            </w:pPr>
            <w:r>
              <w:rPr>
                <w:rFonts w:ascii="Arial" w:cs="Arial" w:eastAsia="Arial" w:hAnsi="Arial"/>
                <w:sz w:val="18"/>
                <w:szCs w:val="18"/>
                <w:b w:val="1"/>
                <w:bCs w:val="1"/>
                <w:color w:val="00C389"/>
              </w:rPr>
              <w:t>Officer Since</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C389"/>
              </w:rPr>
              <w:t>​</w:t>
            </w:r>
          </w:p>
        </w:tc>
        <w:tc>
          <w:tcPr>
            <w:tcW w:w="0" w:type="dxa"/>
            <w:vAlign w:val="bottom"/>
          </w:tcPr>
          <w:p>
            <w:pPr>
              <w:spacing w:after="0"/>
              <w:rPr>
                <w:sz w:val="1"/>
                <w:szCs w:val="1"/>
                <w:color w:val="auto"/>
              </w:rPr>
            </w:pPr>
          </w:p>
        </w:tc>
      </w:tr>
      <w:tr>
        <w:trPr>
          <w:trHeight w:val="163"/>
        </w:trPr>
        <w:tc>
          <w:tcPr>
            <w:tcW w:w="1880" w:type="dxa"/>
            <w:vAlign w:val="bottom"/>
          </w:tcPr>
          <w:p>
            <w:pPr>
              <w:spacing w:after="0" w:line="163" w:lineRule="exact"/>
              <w:rPr>
                <w:sz w:val="20"/>
                <w:szCs w:val="20"/>
                <w:color w:val="auto"/>
              </w:rPr>
            </w:pPr>
            <w:r>
              <w:rPr>
                <w:rFonts w:ascii="Arial" w:cs="Arial" w:eastAsia="Arial" w:hAnsi="Arial"/>
                <w:sz w:val="18"/>
                <w:szCs w:val="18"/>
                <w:b w:val="1"/>
                <w:bCs w:val="1"/>
                <w:color w:val="00C389"/>
              </w:rPr>
              <w:t>​</w:t>
            </w:r>
          </w:p>
        </w:tc>
        <w:tc>
          <w:tcPr>
            <w:tcW w:w="800" w:type="dxa"/>
            <w:vAlign w:val="bottom"/>
            <w:vMerge w:val="continue"/>
          </w:tcPr>
          <w:p>
            <w:pPr>
              <w:spacing w:after="0"/>
              <w:rPr>
                <w:sz w:val="14"/>
                <w:szCs w:val="14"/>
                <w:color w:val="auto"/>
              </w:rPr>
            </w:pPr>
          </w:p>
        </w:tc>
        <w:tc>
          <w:tcPr>
            <w:tcW w:w="1860" w:type="dxa"/>
            <w:vAlign w:val="bottom"/>
          </w:tcPr>
          <w:p>
            <w:pPr>
              <w:ind w:left="20"/>
              <w:spacing w:after="0" w:line="163" w:lineRule="exact"/>
              <w:rPr>
                <w:sz w:val="20"/>
                <w:szCs w:val="20"/>
                <w:color w:val="auto"/>
              </w:rPr>
            </w:pPr>
            <w:r>
              <w:rPr>
                <w:rFonts w:ascii="Arial" w:cs="Arial" w:eastAsia="Arial" w:hAnsi="Arial"/>
                <w:sz w:val="18"/>
                <w:szCs w:val="18"/>
                <w:b w:val="1"/>
                <w:bCs w:val="1"/>
                <w:color w:val="00C389"/>
              </w:rPr>
              <w:t>Financial Officer</w:t>
            </w:r>
          </w:p>
        </w:tc>
        <w:tc>
          <w:tcPr>
            <w:tcW w:w="14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880" w:type="dxa"/>
            <w:vAlign w:val="bottom"/>
            <w:tcBorders>
              <w:bottom w:val="single" w:sz="8" w:color="00C389"/>
            </w:tcBorders>
          </w:tcPr>
          <w:p>
            <w:pPr>
              <w:spacing w:after="0" w:line="283" w:lineRule="exact"/>
              <w:rPr>
                <w:sz w:val="20"/>
                <w:szCs w:val="20"/>
                <w:color w:val="auto"/>
              </w:rPr>
            </w:pPr>
            <w:r>
              <w:rPr>
                <w:rFonts w:ascii="Arial" w:cs="Arial" w:eastAsia="Arial" w:hAnsi="Arial"/>
                <w:sz w:val="32"/>
                <w:szCs w:val="32"/>
                <w:color w:val="00C389"/>
              </w:rPr>
              <w:t>Galvin</w:t>
            </w:r>
          </w:p>
        </w:tc>
        <w:tc>
          <w:tcPr>
            <w:tcW w:w="800" w:type="dxa"/>
            <w:vAlign w:val="bottom"/>
            <w:tcBorders>
              <w:bottom w:val="single" w:sz="8" w:color="00C389"/>
            </w:tcBorders>
          </w:tcPr>
          <w:p>
            <w:pPr>
              <w:spacing w:after="0"/>
              <w:rPr>
                <w:sz w:val="24"/>
                <w:szCs w:val="24"/>
                <w:color w:val="auto"/>
              </w:rPr>
            </w:pPr>
          </w:p>
        </w:tc>
        <w:tc>
          <w:tcPr>
            <w:tcW w:w="18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Age: 57</w:t>
            </w:r>
          </w:p>
        </w:tc>
        <w:tc>
          <w:tcPr>
            <w:tcW w:w="1420" w:type="dxa"/>
            <w:vAlign w:val="bottom"/>
            <w:tcBorders>
              <w:bottom w:val="single" w:sz="8" w:color="00C389"/>
            </w:tcBorders>
          </w:tcPr>
          <w:p>
            <w:pPr>
              <w:spacing w:after="0"/>
              <w:rPr>
                <w:sz w:val="24"/>
                <w:szCs w:val="24"/>
                <w:color w:val="auto"/>
              </w:rPr>
            </w:pPr>
          </w:p>
        </w:tc>
        <w:tc>
          <w:tcPr>
            <w:tcW w:w="1160" w:type="dxa"/>
            <w:vAlign w:val="bottom"/>
            <w:tcBorders>
              <w:bottom w:val="single" w:sz="8" w:color="00C389"/>
            </w:tcBorders>
          </w:tcPr>
          <w:p>
            <w:pPr>
              <w:spacing w:after="0"/>
              <w:rPr>
                <w:sz w:val="24"/>
                <w:szCs w:val="24"/>
                <w:color w:val="auto"/>
              </w:rPr>
            </w:pPr>
          </w:p>
        </w:tc>
        <w:tc>
          <w:tcPr>
            <w:tcW w:w="160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00C389"/>
            </w:tcBorders>
          </w:tcPr>
          <w:p>
            <w:pPr>
              <w:spacing w:after="0"/>
              <w:rPr>
                <w:sz w:val="24"/>
                <w:szCs w:val="2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88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8"/>
                <w:szCs w:val="18"/>
                <w:color w:val="00C389"/>
              </w:rPr>
              <w:t>BACKGROUND</w:t>
            </w:r>
          </w:p>
        </w:tc>
        <w:tc>
          <w:tcPr>
            <w:tcW w:w="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Mr. Galvin was appointed our Executive Vice President and Chief Financial Officer in August 2020. Mr. Galvin has more than 30 years of experience in the accounting and financial services fields. Previously, he served as the Chief Accounting Officer of BGC Partners, Inc. from September 2018 to August 2020. He also served in various roles at KCG which was later acquired by the Company in July 2017, from 2000 until May 2018. Prior to joining KCG in 2000, Mr. Galvin was a Vice President at Donaldson, Lufkin &amp; Jenrette and a Senior Tax Manager at PricewaterhouseCoopers LLP. Mr. Galvin earned a M.S. in Taxation from Fordham University as well as a B.S. in Accounting and Information Systems with a minor in Economics from Queens College, CUNY. Mr. Galvin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29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Corporate Governance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Our board of directors consists of 11 directors. In accordance with our amended and restated certificate of incorporation and bylaws, the number of directors on our board of directors will be determined from time to time by the board of directors but shall neither be fewer than three persons nor more than 20 persons.</w:t>
      </w:r>
    </w:p>
    <w:p>
      <w:pPr>
        <w:spacing w:after="0" w:line="63"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w:t>
      </w:r>
      <w:r>
        <w:rPr>
          <w:rFonts w:ascii="Arial" w:cs="Arial" w:eastAsia="Arial" w:hAnsi="Arial"/>
          <w:sz w:val="18"/>
          <w:szCs w:val="18"/>
          <w:b w:val="1"/>
          <w:bCs w:val="1"/>
          <w:color w:val="auto"/>
        </w:rPr>
        <w:t>Founder Member</w:t>
      </w:r>
      <w:r>
        <w:rPr>
          <w:rFonts w:ascii="Arial" w:cs="Arial" w:eastAsia="Arial" w:hAnsi="Arial"/>
          <w:sz w:val="18"/>
          <w:szCs w:val="18"/>
          <w:color w:val="auto"/>
        </w:rPr>
        <w:t>”), an affiliate of Mr. Vincent Viola, our founder and Chairman Emeritus, or any of its affiliates or permitted transferees, no longer beneficially own shares representing 25% of our issued and outstanding common stock (the “</w:t>
      </w:r>
      <w:r>
        <w:rPr>
          <w:rFonts w:ascii="Arial" w:cs="Arial" w:eastAsia="Arial" w:hAnsi="Arial"/>
          <w:sz w:val="18"/>
          <w:szCs w:val="18"/>
          <w:b w:val="1"/>
          <w:bCs w:val="1"/>
          <w:color w:val="auto"/>
        </w:rPr>
        <w:t>Triggering Event</w:t>
      </w:r>
      <w:r>
        <w:rPr>
          <w:rFonts w:ascii="Arial" w:cs="Arial" w:eastAsia="Arial" w:hAnsi="Arial"/>
          <w:sz w:val="18"/>
          <w:szCs w:val="18"/>
          <w:color w:val="auto"/>
        </w:rPr>
        <w:t>”), vacancies on the board of directors may also be filled by the affirmative vote of a majority of our outstanding shares of common stock.</w:t>
      </w:r>
    </w:p>
    <w:p>
      <w:pPr>
        <w:spacing w:after="0" w:line="75" w:lineRule="exact"/>
        <w:rPr>
          <w:sz w:val="20"/>
          <w:szCs w:val="20"/>
          <w:color w:val="auto"/>
        </w:rPr>
      </w:pPr>
    </w:p>
    <w:p>
      <w:pPr>
        <w:ind w:left="760" w:right="100"/>
        <w:spacing w:after="0" w:line="259" w:lineRule="auto"/>
        <w:rPr>
          <w:sz w:val="20"/>
          <w:szCs w:val="20"/>
          <w:color w:val="auto"/>
        </w:rPr>
      </w:pPr>
      <w:r>
        <w:rPr>
          <w:rFonts w:ascii="Arial" w:cs="Arial" w:eastAsia="Arial" w:hAnsi="Arial"/>
          <w:sz w:val="18"/>
          <w:szCs w:val="18"/>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71" w:lineRule="exact"/>
        <w:rPr>
          <w:sz w:val="20"/>
          <w:szCs w:val="20"/>
          <w:color w:val="auto"/>
        </w:rPr>
      </w:pPr>
    </w:p>
    <w:p>
      <w:pPr>
        <w:ind w:left="760" w:right="160"/>
        <w:spacing w:after="0" w:line="268" w:lineRule="auto"/>
        <w:rPr>
          <w:sz w:val="20"/>
          <w:szCs w:val="20"/>
          <w:color w:val="auto"/>
        </w:rPr>
      </w:pPr>
      <w:r>
        <w:rPr>
          <w:rFonts w:ascii="Arial" w:cs="Arial" w:eastAsia="Arial" w:hAnsi="Arial"/>
          <w:sz w:val="18"/>
          <w:szCs w:val="18"/>
          <w:color w:val="auto"/>
        </w:rPr>
        <w:t>Our amended and restated certificate of incorporation provides that the board of directors is divided into three classes of directors, with staggered three-year terms, with the classes to be as nearly equal in number as possible. As a result, approximately one third of the board of directors will be elected each year.</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20"/>
        <w:spacing w:after="0" w:line="255" w:lineRule="auto"/>
        <w:rPr>
          <w:sz w:val="20"/>
          <w:szCs w:val="20"/>
          <w:color w:val="auto"/>
        </w:rPr>
      </w:pPr>
      <w:r>
        <w:rPr>
          <w:rFonts w:ascii="Arial" w:cs="Arial" w:eastAsia="Arial" w:hAnsi="Arial"/>
          <w:sz w:val="18"/>
          <w:szCs w:val="18"/>
          <w:color w:val="auto"/>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jc w:val="both"/>
        <w:ind w:left="760" w:right="540"/>
        <w:spacing w:after="0" w:line="268" w:lineRule="auto"/>
        <w:rPr>
          <w:sz w:val="20"/>
          <w:szCs w:val="20"/>
          <w:color w:val="auto"/>
        </w:rPr>
      </w:pPr>
      <w:r>
        <w:rPr>
          <w:rFonts w:ascii="Arial" w:cs="Arial" w:eastAsia="Arial" w:hAnsi="Arial"/>
          <w:sz w:val="18"/>
          <w:szCs w:val="18"/>
          <w:color w:val="auto"/>
        </w:rPr>
        <w:t>Our board of directors has determined that Mmes. Gambale and Minieri, and Messrs. Cruger, Grano, Greifeld, Nixon, Quick and Urban are each “independent directors”, as such term is defined by the applicable rules and regulations of NASDAQ.</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Other than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746125</wp:posOffset>
            </wp:positionV>
            <wp:extent cx="75438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jc w:val="both"/>
        <w:ind w:left="760" w:right="120"/>
        <w:spacing w:after="0" w:line="262" w:lineRule="auto"/>
        <w:rPr>
          <w:sz w:val="20"/>
          <w:szCs w:val="20"/>
          <w:color w:val="auto"/>
        </w:rPr>
      </w:pPr>
      <w:r>
        <w:rPr>
          <w:rFonts w:ascii="Arial" w:cs="Arial" w:eastAsia="Arial" w:hAnsi="Arial"/>
          <w:sz w:val="18"/>
          <w:szCs w:val="18"/>
          <w:color w:val="auto"/>
        </w:rPr>
        <w:t>We currently separate the roles of chairman of the board of directors and chief executive officer. Mr. Greifeld serves as Chairman of our board of directors. This structure enables the board of directors to effectively exercise its role in oversight of Virtu while allowing our Chief Executive Officer to focus on the management of the day-to-day conduct of our business. The board of directors may review and change its leadership structure in the future.</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040"/>
        <w:spacing w:after="0" w:line="287" w:lineRule="auto"/>
        <w:rPr>
          <w:sz w:val="20"/>
          <w:szCs w:val="20"/>
          <w:color w:val="auto"/>
        </w:rPr>
      </w:pPr>
      <w:r>
        <w:rPr>
          <w:rFonts w:ascii="Arial" w:cs="Arial" w:eastAsia="Arial" w:hAnsi="Arial"/>
          <w:sz w:val="18"/>
          <w:szCs w:val="18"/>
          <w:color w:val="auto"/>
        </w:rPr>
        <w:t>It is the duty of our board of directors to serve as a prudent fiduciary for stockholders and to oversee the management of our Company.</w:t>
      </w:r>
    </w:p>
    <w:p>
      <w:pPr>
        <w:spacing w:after="0" w:line="4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Our Audit Committee, under powers delegated to it by our board of directors, is responsible for discussing with management the major financial, legal, compliance and other significant risks of the Company.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77"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Our Risk Committee, under powers delegated to it by our board of directors, is responsible for overseeing areas of risk that are not the primary responsibility of another committee of our board of directors or retained for oversight of the full board of directors, including (i) cybersecurity, information security and information technology risk, (ii) trading, capital and liquidity risk, and (iii) enterprise risk.</w:t>
      </w:r>
    </w:p>
    <w:p>
      <w:pPr>
        <w:spacing w:after="0" w:line="68"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Our Compensation Committee is responsible for overseeing the management of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71" w:lineRule="exact"/>
        <w:rPr>
          <w:sz w:val="20"/>
          <w:szCs w:val="20"/>
          <w:color w:val="auto"/>
        </w:rPr>
      </w:pPr>
    </w:p>
    <w:p>
      <w:pPr>
        <w:ind w:left="760" w:right="500"/>
        <w:spacing w:after="0" w:line="287" w:lineRule="auto"/>
        <w:rPr>
          <w:sz w:val="20"/>
          <w:szCs w:val="20"/>
          <w:color w:val="auto"/>
        </w:rPr>
      </w:pPr>
      <w:r>
        <w:rPr>
          <w:rFonts w:ascii="Arial" w:cs="Arial" w:eastAsia="Arial" w:hAnsi="Arial"/>
          <w:sz w:val="18"/>
          <w:szCs w:val="18"/>
          <w:color w:val="auto"/>
        </w:rPr>
        <w:t>The Nominating and Corporate Governance Committee is responsible for overseeing the management of risks relating to our corporate governance structure and director selection process.</w:t>
      </w:r>
    </w:p>
    <w:p>
      <w:pPr>
        <w:spacing w:after="0" w:line="4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Our board of directors as a whole also engages in the oversight of risk in various ways. It sets goals and standards for our employees, officers and directors. During the course of each year, our board of directors reviews the structure and operation of various of our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77"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GOVERNANCE</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2021:</w:t>
      </w:r>
    </w:p>
    <w:p>
      <w:pPr>
        <w:spacing w:after="0" w:line="117" w:lineRule="exact"/>
        <w:rPr>
          <w:sz w:val="20"/>
          <w:szCs w:val="20"/>
          <w:color w:val="auto"/>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board of directors held four meetings and acted by written consent seven times;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Audit Committee held seven meetings and did not act by written consent;</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Risk Committee held four meetings and did not act by written consent;</w:t>
      </w:r>
    </w:p>
    <w:p>
      <w:pPr>
        <w:spacing w:after="0" w:line="117" w:lineRule="exact"/>
        <w:rPr>
          <w:rFonts w:ascii="Arial" w:cs="Arial" w:eastAsia="Arial" w:hAnsi="Arial"/>
          <w:sz w:val="18"/>
          <w:szCs w:val="18"/>
          <w:color w:val="002554"/>
        </w:rPr>
      </w:pPr>
    </w:p>
    <w:p>
      <w:pPr>
        <w:ind w:left="1200" w:right="180" w:hanging="222"/>
        <w:spacing w:after="0" w:line="287" w:lineRule="auto"/>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Nominating and Corporate Governance Committee held four meetings and did not act by written consent; and</w:t>
      </w:r>
    </w:p>
    <w:p>
      <w:pPr>
        <w:spacing w:after="0" w:line="44" w:lineRule="exact"/>
        <w:rPr>
          <w:rFonts w:ascii="Arial" w:cs="Arial" w:eastAsia="Arial" w:hAnsi="Arial"/>
          <w:sz w:val="18"/>
          <w:szCs w:val="18"/>
          <w:color w:val="002554"/>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Compensation Committee held two meetings and acted by written consent two times.</w:t>
      </w:r>
    </w:p>
    <w:p>
      <w:pPr>
        <w:spacing w:after="0" w:line="117" w:lineRule="exact"/>
        <w:rPr>
          <w:sz w:val="20"/>
          <w:szCs w:val="20"/>
          <w:color w:val="auto"/>
        </w:rPr>
      </w:pPr>
    </w:p>
    <w:p>
      <w:pPr>
        <w:ind w:left="760" w:right="320"/>
        <w:spacing w:after="0" w:line="262" w:lineRule="auto"/>
        <w:rPr>
          <w:sz w:val="20"/>
          <w:szCs w:val="20"/>
          <w:color w:val="auto"/>
        </w:rPr>
      </w:pPr>
      <w:r>
        <w:rPr>
          <w:rFonts w:ascii="Arial" w:cs="Arial" w:eastAsia="Arial" w:hAnsi="Arial"/>
          <w:sz w:val="18"/>
          <w:szCs w:val="18"/>
          <w:color w:val="auto"/>
        </w:rPr>
        <w:t>In the year ended December 31, 2021, no member of our board of directors attended fewer than 75% of the aggregate of: (i) the total number of meetings of the board of directors (held during the period for which he or she has been a director), and (ii) the number of meetings held by all committees of the board of directors (during the periods that he or she served on such committees).</w:t>
      </w:r>
    </w:p>
    <w:p>
      <w:pPr>
        <w:spacing w:after="0" w:line="68"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Six of our directors attended our 2021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80"/>
        <w:spacing w:after="0" w:line="257" w:lineRule="auto"/>
        <w:rPr>
          <w:sz w:val="20"/>
          <w:szCs w:val="20"/>
          <w:color w:val="auto"/>
        </w:rPr>
      </w:pPr>
      <w:r>
        <w:rPr>
          <w:rFonts w:ascii="Arial" w:cs="Arial" w:eastAsia="Arial" w:hAnsi="Arial"/>
          <w:sz w:val="18"/>
          <w:szCs w:val="18"/>
          <w:color w:val="auto"/>
        </w:rPr>
        <w:t xml:space="preserve">Our board of directors has four standing committees: the Audit Committee, the Risk Committee, the Compensation Committee, and the Nominating and Corporate Governance Committee. Under the rules of NASDAQ, the membership of the Audit Committee is required to consist entirely of independent directors. As a controlled company (see “Controlled Company Status” on page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of this proxy statement), we are not required to have fully independent Compensation and Nominating and Corporate Governance Committees, although our Compensation Committee is fully independent. The following is a brief description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2741930</wp:posOffset>
            </wp:positionV>
            <wp:extent cx="75438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389"/>
        </w:rPr>
        <w:t>AUDIT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389"/>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2021: 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Audit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60"/>
        <w:spacing w:after="0" w:line="251" w:lineRule="auto"/>
        <w:rPr>
          <w:sz w:val="20"/>
          <w:szCs w:val="20"/>
          <w:color w:val="auto"/>
        </w:rPr>
      </w:pPr>
      <w:r>
        <w:rPr>
          <w:rFonts w:ascii="Arial" w:cs="Arial" w:eastAsia="Arial" w:hAnsi="Arial"/>
          <w:sz w:val="18"/>
          <w:szCs w:val="18"/>
          <w:color w:val="auto"/>
        </w:rPr>
        <w:t>We have a separately designated standing Audit Committee established in accordance with section 3(a)(58)(A) of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 governance/default.aspx.</w:t>
      </w:r>
    </w:p>
    <w:p>
      <w:pPr>
        <w:spacing w:after="0" w:line="84" w:lineRule="exact"/>
        <w:rPr>
          <w:sz w:val="20"/>
          <w:szCs w:val="20"/>
          <w:color w:val="auto"/>
        </w:rPr>
      </w:pPr>
    </w:p>
    <w:p>
      <w:pPr>
        <w:ind w:left="220" w:right="140"/>
        <w:spacing w:after="0" w:line="270" w:lineRule="auto"/>
        <w:rPr>
          <w:sz w:val="20"/>
          <w:szCs w:val="20"/>
          <w:color w:val="auto"/>
        </w:rPr>
      </w:pPr>
      <w:r>
        <w:rPr>
          <w:rFonts w:ascii="Arial" w:cs="Arial" w:eastAsia="Arial" w:hAnsi="Arial"/>
          <w:sz w:val="17"/>
          <w:szCs w:val="17"/>
          <w:color w:val="auto"/>
        </w:rPr>
        <w:t>Ms. Minieri, and Messrs. Cruger, Grano and Nixon are the members of our Audit Committee. The board of directors has determined that Mr. Cruger qualifies as an “audit committee financial expert” as such term is defined in Item 407(d)(5)(ii) of Regulation S-K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that</w:t>
      </w:r>
    </w:p>
    <w:p>
      <w:pPr>
        <w:spacing w:after="0" w:line="2" w:lineRule="exact"/>
        <w:rPr>
          <w:sz w:val="20"/>
          <w:szCs w:val="20"/>
          <w:color w:val="auto"/>
        </w:rPr>
      </w:pPr>
    </w:p>
    <w:p>
      <w:pPr>
        <w:ind w:left="220" w:right="180"/>
        <w:spacing w:after="0" w:line="253" w:lineRule="auto"/>
        <w:rPr>
          <w:sz w:val="20"/>
          <w:szCs w:val="20"/>
          <w:color w:val="auto"/>
        </w:rPr>
      </w:pPr>
      <w:r>
        <w:rPr>
          <w:rFonts w:ascii="Arial" w:cs="Arial" w:eastAsia="Arial" w:hAnsi="Arial"/>
          <w:sz w:val="18"/>
          <w:szCs w:val="18"/>
          <w:color w:val="auto"/>
        </w:rPr>
        <w:t>Mr. Cruger thereby meets the applicable financial sophistication requirement of the Nasdaq listed company rules. The board of directors has also determined that each of Ms. Minieri, and Messrs. Cruger, Grano and Nixon is “independent” for purposes of Rule 10A 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75" w:lineRule="exact"/>
        <w:rPr>
          <w:sz w:val="20"/>
          <w:szCs w:val="20"/>
          <w:color w:val="auto"/>
        </w:rPr>
      </w:pPr>
    </w:p>
    <w:p>
      <w:pPr>
        <w:ind w:left="220" w:right="380"/>
        <w:spacing w:after="0" w:line="287" w:lineRule="auto"/>
        <w:rPr>
          <w:sz w:val="20"/>
          <w:szCs w:val="20"/>
          <w:color w:val="auto"/>
        </w:rPr>
      </w:pPr>
      <w:r>
        <w:rPr>
          <w:rFonts w:ascii="Arial" w:cs="Arial" w:eastAsia="Arial" w:hAnsi="Arial"/>
          <w:sz w:val="18"/>
          <w:szCs w:val="18"/>
          <w:color w:val="auto"/>
        </w:rPr>
        <w:t>There were four regular meetings and three special meetings of the Audit Committee held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83185</wp:posOffset>
            </wp:positionV>
            <wp:extent cx="5829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04" w:lineRule="auto"/>
        <w:rPr>
          <w:sz w:val="20"/>
          <w:szCs w:val="20"/>
          <w:color w:val="auto"/>
        </w:rPr>
      </w:pPr>
      <w:r>
        <w:rPr>
          <w:rFonts w:ascii="Arial" w:cs="Arial" w:eastAsia="Arial" w:hAnsi="Arial"/>
          <w:sz w:val="22"/>
          <w:szCs w:val="22"/>
          <w:color w:val="00C389"/>
        </w:rPr>
        <w:t>RISK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00C389"/>
        </w:rPr>
        <w:t>COMMITTEE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spacing w:after="0" w:line="328" w:lineRule="auto"/>
        <w:rPr>
          <w:sz w:val="20"/>
          <w:szCs w:val="20"/>
          <w:color w:val="auto"/>
        </w:rPr>
      </w:pPr>
      <w:r>
        <w:rPr>
          <w:rFonts w:ascii="Arial" w:cs="Arial" w:eastAsia="Arial" w:hAnsi="Arial"/>
          <w:sz w:val="17"/>
          <w:szCs w:val="17"/>
          <w:b w:val="1"/>
          <w:bCs w:val="1"/>
          <w:color w:val="auto"/>
        </w:rPr>
        <w:t>Number of Meetings Held in 2021: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6033770</wp:posOffset>
            </wp:positionV>
            <wp:extent cx="75438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Risk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72" w:lineRule="exact"/>
        <w:rPr>
          <w:sz w:val="20"/>
          <w:szCs w:val="20"/>
          <w:color w:val="auto"/>
        </w:rPr>
      </w:pPr>
    </w:p>
    <w:p>
      <w:pPr>
        <w:ind w:left="220" w:right="400"/>
        <w:spacing w:after="0" w:line="260" w:lineRule="auto"/>
        <w:rPr>
          <w:sz w:val="20"/>
          <w:szCs w:val="20"/>
          <w:color w:val="auto"/>
        </w:rPr>
      </w:pPr>
      <w:r>
        <w:rPr>
          <w:rFonts w:ascii="Arial" w:cs="Arial" w:eastAsia="Arial" w:hAnsi="Arial"/>
          <w:sz w:val="18"/>
          <w:szCs w:val="18"/>
          <w:color w:val="auto"/>
        </w:rPr>
        <w:t>Our Risk Committee was established in 2017 and assists our board of directors in its oversight of the Company’s risk management activities, with particular focus on</w:t>
      </w:r>
    </w:p>
    <w:p>
      <w:pPr>
        <w:spacing w:after="0" w:line="2" w:lineRule="exact"/>
        <w:rPr>
          <w:sz w:val="20"/>
          <w:szCs w:val="20"/>
          <w:color w:val="auto"/>
        </w:rPr>
      </w:pPr>
    </w:p>
    <w:p>
      <w:pPr>
        <w:ind w:left="220" w:right="140" w:firstLine="2"/>
        <w:spacing w:after="0" w:line="253" w:lineRule="auto"/>
        <w:tabs>
          <w:tab w:leader="none" w:pos="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information security and information technology risk, (ii) trading, capital and liquidity risk, and (iii) enterprise risk. Our Risk Committee also oversees and receives reports from the Company’s Chief Risk Officer on the Company’s risk assessment and risk management activities and may conduct or oversee stress testing or scenario testing. Our board of directors has adopted a written charter for the Risk Committee, which is available on our corporate website at ir.virtu.com/corporate governance/default.aspx.</w:t>
      </w:r>
    </w:p>
    <w:p>
      <w:pPr>
        <w:spacing w:after="0" w:line="75" w:lineRule="exact"/>
        <w:rPr>
          <w:sz w:val="20"/>
          <w:szCs w:val="20"/>
          <w:color w:val="auto"/>
        </w:rPr>
      </w:pPr>
    </w:p>
    <w:p>
      <w:pPr>
        <w:ind w:left="220" w:right="140"/>
        <w:spacing w:after="0" w:line="259" w:lineRule="auto"/>
        <w:rPr>
          <w:sz w:val="20"/>
          <w:szCs w:val="20"/>
          <w:color w:val="auto"/>
        </w:rPr>
      </w:pPr>
      <w:r>
        <w:rPr>
          <w:rFonts w:ascii="Arial" w:cs="Arial" w:eastAsia="Arial" w:hAnsi="Arial"/>
          <w:sz w:val="18"/>
          <w:szCs w:val="18"/>
          <w:color w:val="auto"/>
        </w:rPr>
        <w:t>Ms. Gambale, and Messrs. Cruger, Urban and Michael Viola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 Mr. Michael Viola is not independent.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four regular meetings of the Risk Committee held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137795</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2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68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38" w:lineRule="auto"/>
        <w:rPr>
          <w:sz w:val="20"/>
          <w:szCs w:val="20"/>
          <w:color w:val="auto"/>
        </w:rPr>
      </w:pPr>
      <w:r>
        <w:rPr>
          <w:rFonts w:ascii="Arial" w:cs="Arial" w:eastAsia="Arial" w:hAnsi="Arial"/>
          <w:sz w:val="21"/>
          <w:szCs w:val="21"/>
          <w:color w:val="00C389"/>
        </w:rPr>
        <w:t>COMPENSATION COMMITTEE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Robert Greifeld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180" w:lineRule="exact"/>
        <w:rPr>
          <w:sz w:val="20"/>
          <w:szCs w:val="20"/>
          <w:color w:val="auto"/>
        </w:rPr>
      </w:pPr>
    </w:p>
    <w:p>
      <w:pPr>
        <w:ind w:left="760" w:right="20"/>
        <w:spacing w:after="0" w:line="328" w:lineRule="auto"/>
        <w:rPr>
          <w:sz w:val="20"/>
          <w:szCs w:val="20"/>
          <w:color w:val="auto"/>
        </w:rPr>
      </w:pPr>
      <w:r>
        <w:rPr>
          <w:rFonts w:ascii="Arial" w:cs="Arial" w:eastAsia="Arial" w:hAnsi="Arial"/>
          <w:sz w:val="17"/>
          <w:szCs w:val="17"/>
          <w:b w:val="1"/>
          <w:bCs w:val="1"/>
          <w:color w:val="auto"/>
        </w:rPr>
        <w:t>Number of Meetings Held in 2021: 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2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Compensation Committee’s responsibilities include:</w:t>
      </w:r>
      <w:r>
        <w:rPr>
          <w:sz w:val="20"/>
          <w:szCs w:val="20"/>
          <w:color w:val="auto"/>
        </w:rPr>
        <w:tab/>
      </w:r>
      <w:r>
        <w:rPr>
          <w:rFonts w:ascii="Arial" w:cs="Arial" w:eastAsia="Arial" w:hAnsi="Arial"/>
          <w:sz w:val="36"/>
          <w:szCs w:val="36"/>
          <w:color w:val="auto"/>
          <w:vertAlign w:val="superscript"/>
        </w:rPr>
        <w:t>​</w:t>
      </w:r>
    </w:p>
    <w:p>
      <w:pPr>
        <w:spacing w:after="0" w:line="50" w:lineRule="exact"/>
        <w:rPr>
          <w:sz w:val="20"/>
          <w:szCs w:val="20"/>
          <w:color w:val="auto"/>
        </w:rPr>
      </w:pPr>
    </w:p>
    <w:p>
      <w:pPr>
        <w:ind w:left="220" w:right="60"/>
        <w:spacing w:after="0" w:line="25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2021 director and executive compensation arrangements based on the Compensation Committee’s recommendations, the recommendations of the Compensation Committee’s compensation consultant (described below) and the collective judgment of the directors. Our board of directors has adopted a written charter for the Compensation Committee, which is available on our corporate website at ir.virtu.com/corporategovernance/default.aspx.</w:t>
      </w:r>
    </w:p>
    <w:p>
      <w:pPr>
        <w:spacing w:after="0" w:line="83" w:lineRule="exact"/>
        <w:rPr>
          <w:sz w:val="20"/>
          <w:szCs w:val="20"/>
          <w:color w:val="auto"/>
        </w:rPr>
      </w:pPr>
    </w:p>
    <w:p>
      <w:pPr>
        <w:ind w:left="220" w:right="100"/>
        <w:spacing w:after="0" w:line="272" w:lineRule="auto"/>
        <w:rPr>
          <w:sz w:val="20"/>
          <w:szCs w:val="20"/>
          <w:color w:val="auto"/>
        </w:rPr>
      </w:pPr>
      <w:r>
        <w:rPr>
          <w:rFonts w:ascii="Arial" w:cs="Arial" w:eastAsia="Arial" w:hAnsi="Arial"/>
          <w:sz w:val="17"/>
          <w:szCs w:val="17"/>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p>
    <w:p>
      <w:pPr>
        <w:spacing w:after="0" w:line="64" w:lineRule="exact"/>
        <w:rPr>
          <w:sz w:val="20"/>
          <w:szCs w:val="20"/>
          <w:color w:val="auto"/>
        </w:rPr>
      </w:pPr>
    </w:p>
    <w:p>
      <w:pPr>
        <w:jc w:val="both"/>
        <w:ind w:left="220" w:right="220"/>
        <w:spacing w:after="0" w:line="273" w:lineRule="auto"/>
        <w:rPr>
          <w:sz w:val="20"/>
          <w:szCs w:val="20"/>
          <w:color w:val="auto"/>
        </w:rPr>
      </w:pPr>
      <w:r>
        <w:rPr>
          <w:rFonts w:ascii="Arial" w:cs="Arial" w:eastAsia="Arial" w:hAnsi="Arial"/>
          <w:sz w:val="18"/>
          <w:szCs w:val="18"/>
          <w:color w:val="auto"/>
        </w:rPr>
        <w:t>Our Compensation Committee also administers the issuance of awards under the Virtu Financial, Inc. Amended and Restated 2015 Management Incentive Plan (as amended from time to time, the “</w:t>
      </w:r>
      <w:r>
        <w:rPr>
          <w:rFonts w:ascii="Arial" w:cs="Arial" w:eastAsia="Arial" w:hAnsi="Arial"/>
          <w:sz w:val="18"/>
          <w:szCs w:val="18"/>
          <w:b w:val="1"/>
          <w:bCs w:val="1"/>
          <w:color w:val="auto"/>
        </w:rPr>
        <w:t>2015 Plan</w:t>
      </w:r>
      <w:r>
        <w:rPr>
          <w:rFonts w:ascii="Arial" w:cs="Arial" w:eastAsia="Arial" w:hAnsi="Arial"/>
          <w:sz w:val="18"/>
          <w:szCs w:val="18"/>
          <w:color w:val="auto"/>
        </w:rPr>
        <w:t>”).</w:t>
      </w:r>
    </w:p>
    <w:p>
      <w:pPr>
        <w:spacing w:after="0" w:line="50" w:lineRule="exact"/>
        <w:rPr>
          <w:sz w:val="20"/>
          <w:szCs w:val="20"/>
          <w:color w:val="auto"/>
        </w:rPr>
      </w:pPr>
    </w:p>
    <w:p>
      <w:pPr>
        <w:ind w:left="220" w:right="260"/>
        <w:spacing w:after="0" w:line="256" w:lineRule="auto"/>
        <w:rPr>
          <w:sz w:val="20"/>
          <w:szCs w:val="20"/>
          <w:color w:val="auto"/>
        </w:rPr>
      </w:pPr>
      <w:r>
        <w:rPr>
          <w:rFonts w:ascii="Arial" w:cs="Arial" w:eastAsia="Arial" w:hAnsi="Arial"/>
          <w:sz w:val="18"/>
          <w:szCs w:val="18"/>
          <w:color w:val="auto"/>
        </w:rPr>
        <w:t xml:space="preserve">Messrs. Greifeld, Grano, Quick and Urban are the members of our Compensation Committee. Because we are a “controlled company” under the rules of NASDAQ (see “Controlled Company Status” on page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w:t>
      </w:r>
    </w:p>
    <w:p>
      <w:pPr>
        <w:spacing w:after="0" w:line="7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There were two regular meetings of the Compensation Committee held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128905</wp:posOffset>
            </wp:positionV>
            <wp:extent cx="5829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00"/>
            <w:col w:w="73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ind w:left="760"/>
        <w:spacing w:after="0" w:line="226" w:lineRule="auto"/>
        <w:rPr>
          <w:sz w:val="20"/>
          <w:szCs w:val="20"/>
          <w:color w:val="auto"/>
        </w:rPr>
      </w:pPr>
      <w:r>
        <w:rPr>
          <w:rFonts w:ascii="Arial" w:cs="Arial" w:eastAsia="Arial" w:hAnsi="Arial"/>
          <w:sz w:val="21"/>
          <w:szCs w:val="21"/>
          <w:color w:val="00C389"/>
        </w:rPr>
        <w:t>NOMINATING AND CORPORATE GOVERNANCE COMMITTEE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Robert Greifeld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Joanne M. Minieri</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80" w:lineRule="exact"/>
        <w:rPr>
          <w:sz w:val="20"/>
          <w:szCs w:val="20"/>
          <w:color w:val="auto"/>
        </w:rPr>
      </w:pPr>
    </w:p>
    <w:p>
      <w:pPr>
        <w:ind w:left="760" w:right="160"/>
        <w:spacing w:after="0" w:line="328" w:lineRule="auto"/>
        <w:rPr>
          <w:sz w:val="20"/>
          <w:szCs w:val="20"/>
          <w:color w:val="auto"/>
        </w:rPr>
      </w:pPr>
      <w:r>
        <w:rPr>
          <w:rFonts w:ascii="Arial" w:cs="Arial" w:eastAsia="Arial" w:hAnsi="Arial"/>
          <w:sz w:val="17"/>
          <w:szCs w:val="17"/>
          <w:b w:val="1"/>
          <w:bCs w:val="1"/>
          <w:color w:val="auto"/>
        </w:rPr>
        <w:t>Number of Meetings Held in 2021: 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The Nominating and Corporate Governance Committee’s responsibilities include: </w:t>
      </w:r>
      <w:r>
        <w:rPr>
          <w:rFonts w:ascii="Arial" w:cs="Arial" w:eastAsia="Arial" w:hAnsi="Arial"/>
          <w:sz w:val="35"/>
          <w:szCs w:val="35"/>
          <w:color w:val="auto"/>
          <w:vertAlign w:val="superscript"/>
        </w:rPr>
        <w:t>​</w:t>
      </w:r>
    </w:p>
    <w:p>
      <w:pPr>
        <w:spacing w:after="0" w:line="61" w:lineRule="exact"/>
        <w:rPr>
          <w:sz w:val="20"/>
          <w:szCs w:val="20"/>
          <w:color w:val="auto"/>
        </w:rPr>
      </w:pPr>
    </w:p>
    <w:p>
      <w:pPr>
        <w:ind w:left="220" w:right="140"/>
        <w:spacing w:after="0" w:line="252" w:lineRule="auto"/>
        <w:rPr>
          <w:sz w:val="20"/>
          <w:szCs w:val="20"/>
          <w:color w:val="auto"/>
        </w:rPr>
      </w:pPr>
      <w:r>
        <w:rPr>
          <w:rFonts w:ascii="Arial" w:cs="Arial" w:eastAsia="Arial" w:hAnsi="Arial"/>
          <w:sz w:val="18"/>
          <w:szCs w:val="18"/>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ir.virtu.com/​ corporate governance/default.aspx.</w:t>
      </w:r>
    </w:p>
    <w:p>
      <w:pPr>
        <w:spacing w:after="0" w:line="77" w:lineRule="exact"/>
        <w:rPr>
          <w:sz w:val="20"/>
          <w:szCs w:val="20"/>
          <w:color w:val="auto"/>
        </w:rPr>
      </w:pPr>
    </w:p>
    <w:p>
      <w:pPr>
        <w:ind w:left="220" w:right="100"/>
        <w:spacing w:after="0" w:line="255" w:lineRule="auto"/>
        <w:rPr>
          <w:sz w:val="20"/>
          <w:szCs w:val="20"/>
          <w:color w:val="auto"/>
        </w:rPr>
      </w:pPr>
      <w:r>
        <w:rPr>
          <w:rFonts w:ascii="Arial" w:cs="Arial" w:eastAsia="Arial" w:hAnsi="Arial"/>
          <w:sz w:val="18"/>
          <w:szCs w:val="18"/>
          <w:color w:val="auto"/>
        </w:rPr>
        <w:t xml:space="preserve">Ms. Minieri, and Messrs. Greifeld, Nixon, Quick and Michael Viola are the members of our Nominating and Corporate Governance Committee. Because we are a “controlled company” under the rules of NASDAQ (see “Controlled Company Status” on page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Mr. Michael Viola is not independent.</w:t>
      </w:r>
    </w:p>
    <w:p>
      <w:pPr>
        <w:spacing w:after="0" w:line="77" w:lineRule="exact"/>
        <w:rPr>
          <w:sz w:val="20"/>
          <w:szCs w:val="20"/>
          <w:color w:val="auto"/>
        </w:rPr>
      </w:pPr>
    </w:p>
    <w:p>
      <w:pPr>
        <w:ind w:left="220" w:right="760"/>
        <w:spacing w:after="0" w:line="287" w:lineRule="auto"/>
        <w:rPr>
          <w:sz w:val="20"/>
          <w:szCs w:val="20"/>
          <w:color w:val="auto"/>
        </w:rPr>
      </w:pPr>
      <w:r>
        <w:rPr>
          <w:rFonts w:ascii="Arial" w:cs="Arial" w:eastAsia="Arial" w:hAnsi="Arial"/>
          <w:sz w:val="18"/>
          <w:szCs w:val="18"/>
          <w:color w:val="auto"/>
        </w:rPr>
        <w:t>There were four regular meetings of the Nominating and Corporate Governance Committee held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83185</wp:posOffset>
            </wp:positionV>
            <wp:extent cx="58293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60"/>
            <w:col w:w="7300"/>
          </w:cols>
          <w:pgMar w:left="580" w:top="97" w:right="1319" w:bottom="1440" w:gutter="0" w:footer="0" w:header="0"/>
          <w:type w:val="continuous"/>
        </w:sect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considers specific characteristics and expertise that it believes will enhance the diversity of knowledge, expertise, background and personal characteristics of our board of directors.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p>
    <w:p>
      <w:pPr>
        <w:spacing w:after="0" w:line="79"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77" w:lineRule="exact"/>
        <w:rPr>
          <w:sz w:val="20"/>
          <w:szCs w:val="20"/>
          <w:color w:val="auto"/>
        </w:rPr>
      </w:pPr>
    </w:p>
    <w:p>
      <w:pPr>
        <w:ind w:left="760" w:right="540"/>
        <w:spacing w:after="0" w:line="287" w:lineRule="auto"/>
        <w:rPr>
          <w:sz w:val="20"/>
          <w:szCs w:val="20"/>
          <w:color w:val="auto"/>
        </w:rPr>
      </w:pPr>
      <w:r>
        <w:rPr>
          <w:rFonts w:ascii="Arial" w:cs="Arial" w:eastAsia="Arial" w:hAnsi="Arial"/>
          <w:sz w:val="18"/>
          <w:szCs w:val="18"/>
          <w:color w:val="auto"/>
        </w:rPr>
        <w:t>In its discretion, the Nominating and Corporate Governance Committee will also consider recommendations of qualified nominees by stockholders by evaluating the same factors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452120</wp:posOffset>
            </wp:positionV>
            <wp:extent cx="75438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60"/>
        <w:spacing w:after="0" w:line="259" w:lineRule="auto"/>
        <w:rPr>
          <w:sz w:val="20"/>
          <w:szCs w:val="20"/>
          <w:color w:val="auto"/>
        </w:rPr>
      </w:pPr>
      <w:r>
        <w:rPr>
          <w:rFonts w:ascii="Arial" w:cs="Arial" w:eastAsia="Arial" w:hAnsi="Arial"/>
          <w:sz w:val="18"/>
          <w:szCs w:val="18"/>
          <w:color w:val="auto"/>
        </w:rPr>
        <w:t xml:space="preserve">In addition to the board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w:t>
      </w:r>
      <w:r>
        <w:rPr>
          <w:rFonts w:ascii="Arial" w:cs="Arial" w:eastAsia="Arial" w:hAnsi="Arial"/>
          <w:sz w:val="18"/>
          <w:szCs w:val="18"/>
          <w:u w:val="single" w:color="auto"/>
          <w:color w:val="0000EE"/>
        </w:rPr>
        <w:t>65</w:t>
      </w:r>
      <w:r>
        <w:rPr>
          <w:rFonts w:ascii="Arial" w:cs="Arial" w:eastAsia="Arial" w:hAnsi="Arial"/>
          <w:sz w:val="18"/>
          <w:szCs w:val="18"/>
          <w:color w:val="auto"/>
        </w:rPr>
        <w:t xml:space="preserve"> of this proxy statement.</w:t>
      </w:r>
    </w:p>
    <w:p>
      <w:pPr>
        <w:spacing w:after="0" w:line="27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40"/>
        <w:spacing w:after="0" w:line="256" w:lineRule="auto"/>
        <w:rPr>
          <w:sz w:val="20"/>
          <w:szCs w:val="20"/>
          <w:color w:val="auto"/>
        </w:rPr>
      </w:pPr>
      <w:r>
        <w:rPr>
          <w:rFonts w:ascii="Arial" w:cs="Arial" w:eastAsia="Arial" w:hAnsi="Arial"/>
          <w:sz w:val="18"/>
          <w:szCs w:val="18"/>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1633 Broadway, New York, New York 10019.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00"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002554"/>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During the year ended December 31, 2021, no member of the Compensation Committee was one of our officers or employees. None of our executive officers serves on the Compensation Committee or board of directors of any other company of which any of the members of our Compensation Committee or any of our directors is an executive officer.</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jc w:val="both"/>
        <w:ind w:left="760" w:right="280"/>
        <w:spacing w:after="0" w:line="268" w:lineRule="auto"/>
        <w:rPr>
          <w:sz w:val="20"/>
          <w:szCs w:val="20"/>
          <w:color w:val="auto"/>
        </w:rPr>
      </w:pPr>
      <w:r>
        <w:rPr>
          <w:rFonts w:ascii="Arial" w:cs="Arial" w:eastAsia="Arial" w:hAnsi="Arial"/>
          <w:sz w:val="18"/>
          <w:szCs w:val="18"/>
          <w:color w:val="auto"/>
        </w:rPr>
        <w:t>We have adopted a code of conduct and ethics applicable to our employees, officers and directors. A copy of that code is available on our corporate website at ir.virtu.com/corporate governance/default.aspx. We expect that any amendments to the code, or any waivers of its requirements,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340"/>
        <w:spacing w:after="0"/>
        <w:rPr>
          <w:sz w:val="20"/>
          <w:szCs w:val="20"/>
          <w:color w:val="auto"/>
        </w:rPr>
      </w:pPr>
      <w:r>
        <w:rPr>
          <w:rFonts w:ascii="Arial" w:cs="Arial" w:eastAsia="Arial" w:hAnsi="Arial"/>
          <w:sz w:val="54"/>
          <w:szCs w:val="54"/>
          <w:color w:val="002554"/>
        </w:rPr>
        <w:t>Proposal 2: Advisory Vote to Approve Compensation of Named Executive Officers</w:t>
      </w:r>
    </w:p>
    <w:p>
      <w:pPr>
        <w:spacing w:after="0" w:line="65" w:lineRule="exact"/>
        <w:rPr>
          <w:sz w:val="20"/>
          <w:szCs w:val="20"/>
          <w:color w:val="auto"/>
        </w:rPr>
      </w:pPr>
    </w:p>
    <w:p>
      <w:pPr>
        <w:ind w:left="760" w:right="120"/>
        <w:spacing w:after="0" w:line="265" w:lineRule="auto"/>
        <w:rPr>
          <w:sz w:val="20"/>
          <w:szCs w:val="20"/>
          <w:color w:val="auto"/>
        </w:rPr>
      </w:pPr>
      <w:r>
        <w:rPr>
          <w:rFonts w:ascii="Arial" w:cs="Arial" w:eastAsia="Arial" w:hAnsi="Arial"/>
          <w:sz w:val="18"/>
          <w:szCs w:val="18"/>
          <w:color w:val="auto"/>
        </w:rPr>
        <w:t>In accordance with the requirements of Section 14A of the Exchange Act and Exchange Act Rule 14a 21(a), we are including in this proxy statement a separate resolution to approve, in a non-binding, stockholder advisory vote, the compensation paid to our named executive officers as disclosed in “Executive Compensation” below (the “</w:t>
      </w:r>
      <w:r>
        <w:rPr>
          <w:rFonts w:ascii="Arial" w:cs="Arial" w:eastAsia="Arial" w:hAnsi="Arial"/>
          <w:sz w:val="18"/>
          <w:szCs w:val="18"/>
          <w:b w:val="1"/>
          <w:bCs w:val="1"/>
          <w:color w:val="auto"/>
        </w:rPr>
        <w:t>say-on-pay vote</w:t>
      </w:r>
      <w:r>
        <w:rPr>
          <w:rFonts w:ascii="Arial" w:cs="Arial" w:eastAsia="Arial" w:hAnsi="Arial"/>
          <w:sz w:val="18"/>
          <w:szCs w:val="18"/>
          <w:color w:val="auto"/>
        </w:rPr>
        <w:t>”).</w:t>
      </w:r>
    </w:p>
    <w:p>
      <w:pPr>
        <w:spacing w:after="0" w:line="58" w:lineRule="exact"/>
        <w:rPr>
          <w:sz w:val="20"/>
          <w:szCs w:val="20"/>
          <w:color w:val="auto"/>
        </w:rPr>
      </w:pPr>
    </w:p>
    <w:p>
      <w:pPr>
        <w:ind w:left="760" w:right="580"/>
        <w:spacing w:after="0" w:line="318" w:lineRule="auto"/>
        <w:rPr>
          <w:sz w:val="20"/>
          <w:szCs w:val="20"/>
          <w:color w:val="auto"/>
        </w:rPr>
      </w:pPr>
      <w:r>
        <w:rPr>
          <w:rFonts w:ascii="Arial" w:cs="Arial" w:eastAsia="Arial" w:hAnsi="Arial"/>
          <w:sz w:val="17"/>
          <w:szCs w:val="17"/>
          <w:color w:val="auto"/>
        </w:rPr>
        <w:t>While the results of the say-on-pay vote are non-binding and advisory in nature, our board of directors and Compensation Committee intend to consider the results of this vote in making future compensation decisions.</w:t>
      </w:r>
    </w:p>
    <w:p>
      <w:pPr>
        <w:spacing w:after="0" w:line="22" w:lineRule="exact"/>
        <w:rPr>
          <w:sz w:val="20"/>
          <w:szCs w:val="20"/>
          <w:color w:val="auto"/>
        </w:rPr>
      </w:pPr>
    </w:p>
    <w:p>
      <w:pPr>
        <w:ind w:left="760" w:right="520"/>
        <w:spacing w:after="0" w:line="287" w:lineRule="auto"/>
        <w:rPr>
          <w:sz w:val="20"/>
          <w:szCs w:val="20"/>
          <w:color w:val="auto"/>
        </w:rPr>
      </w:pPr>
      <w:r>
        <w:rPr>
          <w:rFonts w:ascii="Arial" w:cs="Arial" w:eastAsia="Arial" w:hAnsi="Arial"/>
          <w:sz w:val="18"/>
          <w:szCs w:val="18"/>
          <w:color w:val="auto"/>
        </w:rPr>
        <w:t>Our board of directors currently intends to conduct advisory votes on executive compensation every year. As a result, our next advisory say-on-pay vote will take place at our annual meeting of stockholders in 2023.</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language of the resolution is as follows:</w:t>
      </w:r>
    </w:p>
    <w:p>
      <w:pPr>
        <w:spacing w:after="0" w:line="117"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“RESOLVED, that the compensation paid to the Company’s named executive officers for the fiscal year ended December 31, 2021, as discussed pursuant to the compensation disclosure rules of the Securities and Exchange Commission, including the compensation discussion and analysis, the summary compensation table and the related compensation tables and narrative in this proxy statement, is hereby APPROVED, on an advisory basis.”</w:t>
      </w:r>
    </w:p>
    <w:p>
      <w:pPr>
        <w:spacing w:after="0" w:line="68" w:lineRule="exact"/>
        <w:rPr>
          <w:sz w:val="20"/>
          <w:szCs w:val="20"/>
          <w:color w:val="auto"/>
        </w:rPr>
      </w:pPr>
    </w:p>
    <w:p>
      <w:pPr>
        <w:ind w:left="760" w:right="580"/>
        <w:spacing w:after="0" w:line="318" w:lineRule="auto"/>
        <w:rPr>
          <w:sz w:val="20"/>
          <w:szCs w:val="20"/>
          <w:color w:val="auto"/>
        </w:rPr>
      </w:pPr>
      <w:r>
        <w:rPr>
          <w:rFonts w:ascii="Arial" w:cs="Arial" w:eastAsia="Arial" w:hAnsi="Arial"/>
          <w:sz w:val="17"/>
          <w:szCs w:val="17"/>
          <w:color w:val="auto"/>
        </w:rPr>
        <w:t>In considering their vote, stockholders are encouraged to read the compensation discussion and analysis, the accompanying compensation tables, and the related narrative disclosure included in this proxy statement.</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80"/>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283210</wp:posOffset>
            </wp:positionV>
            <wp:extent cx="5829300" cy="480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554"/>
                <w:w w:val="99"/>
              </w:rPr>
              <w:t>Our board of directors recommends that you vote “FOR” the approval, on an advisory basis, of the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002554"/>
              </w:rPr>
              <w:t>​</w:t>
            </w:r>
          </w:p>
        </w:tc>
        <w:tc>
          <w:tcPr>
            <w:tcW w:w="8720" w:type="dxa"/>
            <w:vAlign w:val="bottom"/>
          </w:tcPr>
          <w:p>
            <w:pPr>
              <w:jc w:val="center"/>
              <w:spacing w:after="0"/>
              <w:rPr>
                <w:sz w:val="20"/>
                <w:szCs w:val="20"/>
                <w:color w:val="auto"/>
              </w:rPr>
            </w:pPr>
            <w:r>
              <w:rPr>
                <w:rFonts w:ascii="Arial" w:cs="Arial" w:eastAsia="Arial" w:hAnsi="Arial"/>
                <w:sz w:val="18"/>
                <w:szCs w:val="18"/>
                <w:b w:val="1"/>
                <w:bCs w:val="1"/>
                <w:color w:val="002554"/>
                <w:w w:val="99"/>
              </w:rPr>
              <w:t>compensation of our named executive officers.</w:t>
            </w:r>
          </w:p>
        </w:tc>
        <w:tc>
          <w:tcPr>
            <w:tcW w:w="220" w:type="dxa"/>
            <w:vAlign w:val="bottom"/>
            <w:vMerge w:val="restart"/>
          </w:tcPr>
          <w:p>
            <w:pPr>
              <w:ind w:left="160"/>
              <w:spacing w:after="0"/>
              <w:rPr>
                <w:sz w:val="20"/>
                <w:szCs w:val="20"/>
                <w:color w:val="auto"/>
              </w:rPr>
            </w:pPr>
            <w:r>
              <w:rPr>
                <w:rFonts w:ascii="Arial" w:cs="Arial" w:eastAsia="Arial" w:hAnsi="Arial"/>
                <w:sz w:val="18"/>
                <w:szCs w:val="18"/>
                <w:b w:val="1"/>
                <w:bCs w:val="1"/>
                <w:color w:val="002554"/>
              </w:rPr>
              <w:t>​</w:t>
            </w:r>
          </w:p>
        </w:tc>
        <w:tc>
          <w:tcPr>
            <w:tcW w:w="0" w:type="dxa"/>
            <w:vAlign w:val="bottom"/>
          </w:tcPr>
          <w:p>
            <w:pPr>
              <w:spacing w:after="0"/>
              <w:rPr>
                <w:sz w:val="1"/>
                <w:szCs w:val="1"/>
                <w:color w:val="auto"/>
              </w:rPr>
            </w:pPr>
          </w:p>
        </w:tc>
      </w:tr>
      <w:tr>
        <w:trPr>
          <w:trHeight w:val="68"/>
        </w:trPr>
        <w:tc>
          <w:tcPr>
            <w:tcW w:w="180" w:type="dxa"/>
            <w:vAlign w:val="bottom"/>
            <w:vMerge w:val="continue"/>
          </w:tcPr>
          <w:p>
            <w:pPr>
              <w:spacing w:after="0"/>
              <w:rPr>
                <w:sz w:val="5"/>
                <w:szCs w:val="5"/>
                <w:color w:val="auto"/>
              </w:rPr>
            </w:pPr>
          </w:p>
        </w:tc>
        <w:tc>
          <w:tcPr>
            <w:tcW w:w="87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2383790</wp:posOffset>
            </wp:positionV>
            <wp:extent cx="75438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Executive Compensation</w:t>
      </w:r>
    </w:p>
    <w:p>
      <w:pPr>
        <w:spacing w:after="0" w:line="214" w:lineRule="exact"/>
        <w:rPr>
          <w:sz w:val="20"/>
          <w:szCs w:val="20"/>
          <w:color w:val="auto"/>
        </w:rPr>
      </w:pPr>
    </w:p>
    <w:p>
      <w:pPr>
        <w:ind w:left="2660"/>
        <w:spacing w:after="0"/>
        <w:rPr>
          <w:sz w:val="20"/>
          <w:szCs w:val="20"/>
          <w:color w:val="auto"/>
        </w:rPr>
      </w:pPr>
      <w:r>
        <w:rPr>
          <w:rFonts w:ascii="Arial" w:cs="Arial" w:eastAsia="Arial" w:hAnsi="Arial"/>
          <w:sz w:val="29"/>
          <w:szCs w:val="29"/>
          <w:color w:val="00C389"/>
        </w:rPr>
        <w:t>COMPENSATION COMMITTEE REPORT</w:t>
      </w:r>
    </w:p>
    <w:p>
      <w:pPr>
        <w:spacing w:after="0" w:line="112" w:lineRule="exact"/>
        <w:rPr>
          <w:sz w:val="20"/>
          <w:szCs w:val="20"/>
          <w:color w:val="auto"/>
        </w:rPr>
      </w:pPr>
    </w:p>
    <w:p>
      <w:pPr>
        <w:ind w:left="760" w:right="50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following “Compensation Discussion and Analysis.” Based on this review and discussion, the Compensation Committee recommended to the board of directors that the section entitled “Compensation Discussion and Analysis” be included in this proxy statement for the Annual Meeting and incorporated by reference into the Corporation's annual report on Form 10-K for the fiscal year ended December 31, 2021.</w:t>
      </w:r>
    </w:p>
    <w:p>
      <w:pPr>
        <w:spacing w:after="0" w:line="73"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Christopher C. Quick</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Robert Greifeld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Urban</w:t>
      </w:r>
    </w:p>
    <w:p>
      <w:pPr>
        <w:spacing w:after="0" w:line="194" w:lineRule="exact"/>
        <w:rPr>
          <w:sz w:val="20"/>
          <w:szCs w:val="20"/>
          <w:color w:val="auto"/>
        </w:rPr>
      </w:pPr>
    </w:p>
    <w:p>
      <w:pPr>
        <w:ind w:left="2200"/>
        <w:spacing w:after="0"/>
        <w:rPr>
          <w:sz w:val="20"/>
          <w:szCs w:val="20"/>
          <w:color w:val="auto"/>
        </w:rPr>
      </w:pPr>
      <w:r>
        <w:rPr>
          <w:rFonts w:ascii="Arial" w:cs="Arial" w:eastAsia="Arial" w:hAnsi="Arial"/>
          <w:sz w:val="29"/>
          <w:szCs w:val="29"/>
          <w:color w:val="00C389"/>
        </w:rPr>
        <w:t>COMPENSATION DISCUSSION AND ANALYSIS</w:t>
      </w:r>
    </w:p>
    <w:p>
      <w:pPr>
        <w:spacing w:after="0" w:line="112"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This compensation discussion and analysis discusses our executive compensation programs for our named executive officers in respect of our fiscal year ended December 31, 2021, which we refer to herein as “fiscal year 2021,” and includes a discussion of our compensation objectives and philosophy and the material elements of compensation earned by, awarded, or paid, to our named executive officers in fiscal year 2021.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2021 and describe our intended compensation approach.</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officers for fiscal year 2021 were as follows:</w:t>
      </w:r>
    </w:p>
    <w:p>
      <w:pPr>
        <w:spacing w:after="0" w:line="124"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2400" w:type="dxa"/>
            <w:vAlign w:val="bottom"/>
            <w:tcBorders>
              <w:top w:val="single" w:sz="8" w:color="00C389"/>
            </w:tcBorders>
          </w:tcPr>
          <w:p>
            <w:pPr>
              <w:ind w:left="20"/>
              <w:spacing w:after="0" w:line="181"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00C389"/>
            </w:tcBorders>
          </w:tcPr>
          <w:p>
            <w:pPr>
              <w:ind w:left="1100"/>
              <w:spacing w:after="0" w:line="181" w:lineRule="exact"/>
              <w:rPr>
                <w:sz w:val="20"/>
                <w:szCs w:val="20"/>
                <w:color w:val="auto"/>
              </w:rPr>
            </w:pPr>
            <w:r>
              <w:rPr>
                <w:rFonts w:ascii="Arial" w:cs="Arial" w:eastAsia="Arial" w:hAnsi="Arial"/>
                <w:sz w:val="18"/>
                <w:szCs w:val="18"/>
                <w:color w:val="auto"/>
              </w:rPr>
              <w:t>​ ​</w:t>
            </w:r>
          </w:p>
        </w:tc>
        <w:tc>
          <w:tcPr>
            <w:tcW w:w="4180" w:type="dxa"/>
            <w:vAlign w:val="bottom"/>
            <w:tcBorders>
              <w:top w:val="single" w:sz="8" w:color="00C389"/>
            </w:tcBorders>
            <w:vMerge w:val="restart"/>
          </w:tcPr>
          <w:p>
            <w:pPr>
              <w:ind w:left="20"/>
              <w:spacing w:after="0"/>
              <w:rPr>
                <w:sz w:val="20"/>
                <w:szCs w:val="20"/>
                <w:color w:val="auto"/>
              </w:rPr>
            </w:pPr>
            <w:r>
              <w:rPr>
                <w:rFonts w:ascii="Arial" w:cs="Arial" w:eastAsia="Arial" w:hAnsi="Arial"/>
                <w:sz w:val="18"/>
                <w:szCs w:val="18"/>
                <w:color w:val="auto"/>
              </w:rPr>
              <w:t>Chief Executive Officer</w:t>
            </w:r>
          </w:p>
        </w:tc>
        <w:tc>
          <w:tcPr>
            <w:tcW w:w="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00" w:type="dxa"/>
            <w:vAlign w:val="bottom"/>
            <w:tcBorders>
              <w:bottom w:val="single" w:sz="8" w:color="00C389"/>
            </w:tcBorders>
          </w:tcPr>
          <w:p>
            <w:pPr>
              <w:ind w:left="20"/>
              <w:spacing w:after="0" w:line="122" w:lineRule="exact"/>
              <w:rPr>
                <w:sz w:val="20"/>
                <w:szCs w:val="20"/>
                <w:color w:val="auto"/>
              </w:rPr>
            </w:pPr>
            <w:r>
              <w:rPr>
                <w:rFonts w:ascii="Arial" w:cs="Arial" w:eastAsia="Arial" w:hAnsi="Arial"/>
                <w:sz w:val="13"/>
                <w:szCs w:val="13"/>
                <w:color w:val="auto"/>
              </w:rPr>
              <w:t>Douglas A. Cifu</w:t>
            </w:r>
          </w:p>
        </w:tc>
        <w:tc>
          <w:tcPr>
            <w:tcW w:w="1300" w:type="dxa"/>
            <w:vAlign w:val="bottom"/>
            <w:tcBorders>
              <w:bottom w:val="single" w:sz="8" w:color="00C389"/>
            </w:tcBorders>
          </w:tcPr>
          <w:p>
            <w:pPr>
              <w:spacing w:after="0"/>
              <w:rPr>
                <w:sz w:val="10"/>
                <w:szCs w:val="10"/>
                <w:color w:val="auto"/>
              </w:rPr>
            </w:pPr>
          </w:p>
        </w:tc>
        <w:tc>
          <w:tcPr>
            <w:tcW w:w="4180" w:type="dxa"/>
            <w:vAlign w:val="bottom"/>
            <w:tcBorders>
              <w:bottom w:val="single" w:sz="8" w:color="00C389"/>
            </w:tcBorders>
            <w:vMerge w:val="continue"/>
          </w:tcPr>
          <w:p>
            <w:pPr>
              <w:spacing w:after="0"/>
              <w:rPr>
                <w:sz w:val="10"/>
                <w:szCs w:val="10"/>
                <w:color w:val="auto"/>
              </w:rPr>
            </w:pPr>
          </w:p>
        </w:tc>
        <w:tc>
          <w:tcPr>
            <w:tcW w:w="20" w:type="dxa"/>
            <w:vAlign w:val="bottom"/>
            <w:tcBorders>
              <w:bottom w:val="single" w:sz="8" w:color="00C389"/>
            </w:tcBorders>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2"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00" w:type="dxa"/>
            <w:vAlign w:val="bottom"/>
            <w:tcBorders>
              <w:bottom w:val="single" w:sz="8" w:color="00C389"/>
            </w:tcBorders>
          </w:tcPr>
          <w:p>
            <w:pPr>
              <w:ind w:left="20"/>
              <w:spacing w:after="0" w:line="95" w:lineRule="exact"/>
              <w:rPr>
                <w:sz w:val="20"/>
                <w:szCs w:val="20"/>
                <w:color w:val="auto"/>
              </w:rPr>
            </w:pPr>
            <w:r>
              <w:rPr>
                <w:rFonts w:ascii="Arial" w:cs="Arial" w:eastAsia="Arial" w:hAnsi="Arial"/>
                <w:sz w:val="10"/>
                <w:szCs w:val="10"/>
                <w:color w:val="auto"/>
              </w:rPr>
              <w:t>Joseph Molluso</w:t>
            </w:r>
          </w:p>
        </w:tc>
        <w:tc>
          <w:tcPr>
            <w:tcW w:w="1300" w:type="dxa"/>
            <w:vAlign w:val="bottom"/>
            <w:tcBorders>
              <w:bottom w:val="single" w:sz="8" w:color="00C389"/>
            </w:tcBorders>
          </w:tcPr>
          <w:p>
            <w:pPr>
              <w:spacing w:after="0"/>
              <w:rPr>
                <w:sz w:val="8"/>
                <w:szCs w:val="8"/>
                <w:color w:val="auto"/>
              </w:rPr>
            </w:pPr>
          </w:p>
        </w:tc>
        <w:tc>
          <w:tcPr>
            <w:tcW w:w="4180" w:type="dxa"/>
            <w:vAlign w:val="bottom"/>
            <w:tcBorders>
              <w:bottom w:val="single" w:sz="8" w:color="00C389"/>
            </w:tcBorders>
            <w:vMerge w:val="continue"/>
          </w:tcPr>
          <w:p>
            <w:pPr>
              <w:spacing w:after="0"/>
              <w:rPr>
                <w:sz w:val="8"/>
                <w:szCs w:val="8"/>
                <w:color w:val="auto"/>
              </w:rPr>
            </w:pPr>
          </w:p>
        </w:tc>
        <w:tc>
          <w:tcPr>
            <w:tcW w:w="20" w:type="dxa"/>
            <w:vAlign w:val="bottom"/>
            <w:tcBorders>
              <w:bottom w:val="single" w:sz="8" w:color="00C389"/>
            </w:tcBorders>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2"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Co-President and Co-Chief Operating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00C389"/>
            </w:tcBorders>
          </w:tcPr>
          <w:p>
            <w:pPr>
              <w:ind w:left="20"/>
              <w:spacing w:after="0" w:line="95" w:lineRule="exact"/>
              <w:rPr>
                <w:sz w:val="20"/>
                <w:szCs w:val="20"/>
                <w:color w:val="auto"/>
              </w:rPr>
            </w:pPr>
            <w:r>
              <w:rPr>
                <w:rFonts w:ascii="Arial" w:cs="Arial" w:eastAsia="Arial" w:hAnsi="Arial"/>
                <w:sz w:val="10"/>
                <w:szCs w:val="10"/>
                <w:color w:val="auto"/>
              </w:rPr>
              <w:t>Brett Fairclough</w:t>
            </w:r>
          </w:p>
        </w:tc>
        <w:tc>
          <w:tcPr>
            <w:tcW w:w="1300" w:type="dxa"/>
            <w:vAlign w:val="bottom"/>
            <w:tcBorders>
              <w:bottom w:val="single" w:sz="8" w:color="00C389"/>
            </w:tcBorders>
          </w:tcPr>
          <w:p>
            <w:pPr>
              <w:spacing w:after="0"/>
              <w:rPr>
                <w:sz w:val="8"/>
                <w:szCs w:val="8"/>
                <w:color w:val="auto"/>
              </w:rPr>
            </w:pPr>
          </w:p>
        </w:tc>
        <w:tc>
          <w:tcPr>
            <w:tcW w:w="4180" w:type="dxa"/>
            <w:vAlign w:val="bottom"/>
            <w:tcBorders>
              <w:bottom w:val="single" w:sz="8" w:color="00C389"/>
            </w:tcBorders>
            <w:vMerge w:val="continue"/>
          </w:tcPr>
          <w:p>
            <w:pPr>
              <w:spacing w:after="0"/>
              <w:rPr>
                <w:sz w:val="8"/>
                <w:szCs w:val="8"/>
                <w:color w:val="auto"/>
              </w:rPr>
            </w:pPr>
          </w:p>
        </w:tc>
        <w:tc>
          <w:tcPr>
            <w:tcW w:w="20" w:type="dxa"/>
            <w:vAlign w:val="bottom"/>
            <w:tcBorders>
              <w:bottom w:val="single" w:sz="8" w:color="00C389"/>
            </w:tcBorders>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2"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rPr>
              <w:t>Executive Vice President, Markets</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00C389"/>
            </w:tcBorders>
          </w:tcPr>
          <w:p>
            <w:pPr>
              <w:ind w:left="20"/>
              <w:spacing w:after="0" w:line="95" w:lineRule="exact"/>
              <w:rPr>
                <w:sz w:val="20"/>
                <w:szCs w:val="20"/>
                <w:color w:val="auto"/>
              </w:rPr>
            </w:pPr>
            <w:r>
              <w:rPr>
                <w:rFonts w:ascii="Arial" w:cs="Arial" w:eastAsia="Arial" w:hAnsi="Arial"/>
                <w:sz w:val="10"/>
                <w:szCs w:val="10"/>
                <w:color w:val="auto"/>
              </w:rPr>
              <w:t>Stephen Cavoli</w:t>
            </w:r>
          </w:p>
        </w:tc>
        <w:tc>
          <w:tcPr>
            <w:tcW w:w="1300" w:type="dxa"/>
            <w:vAlign w:val="bottom"/>
            <w:tcBorders>
              <w:bottom w:val="single" w:sz="8" w:color="00C389"/>
            </w:tcBorders>
          </w:tcPr>
          <w:p>
            <w:pPr>
              <w:spacing w:after="0"/>
              <w:rPr>
                <w:sz w:val="8"/>
                <w:szCs w:val="8"/>
                <w:color w:val="auto"/>
              </w:rPr>
            </w:pPr>
          </w:p>
        </w:tc>
        <w:tc>
          <w:tcPr>
            <w:tcW w:w="4180" w:type="dxa"/>
            <w:vAlign w:val="bottom"/>
            <w:tcBorders>
              <w:bottom w:val="single" w:sz="8" w:color="00C389"/>
            </w:tcBorders>
            <w:vMerge w:val="continue"/>
          </w:tcPr>
          <w:p>
            <w:pPr>
              <w:spacing w:after="0"/>
              <w:rPr>
                <w:sz w:val="8"/>
                <w:szCs w:val="8"/>
                <w:color w:val="auto"/>
              </w:rPr>
            </w:pPr>
          </w:p>
        </w:tc>
        <w:tc>
          <w:tcPr>
            <w:tcW w:w="20" w:type="dxa"/>
            <w:vAlign w:val="bottom"/>
            <w:tcBorders>
              <w:bottom w:val="single" w:sz="8" w:color="00C389"/>
            </w:tcBorders>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42" w:lineRule="exact"/>
              <w:rPr>
                <w:sz w:val="20"/>
                <w:szCs w:val="20"/>
                <w:color w:val="auto"/>
              </w:rPr>
            </w:pPr>
            <w:r>
              <w:rPr>
                <w:rFonts w:ascii="Arial" w:cs="Arial" w:eastAsia="Arial" w:hAnsi="Arial"/>
                <w:sz w:val="16"/>
                <w:szCs w:val="16"/>
                <w:color w:val="auto"/>
              </w:rPr>
              <w:t>​ ​</w:t>
            </w:r>
          </w:p>
        </w:tc>
        <w:tc>
          <w:tcPr>
            <w:tcW w:w="4180" w:type="dxa"/>
            <w:vAlign w:val="bottom"/>
            <w:vMerge w:val="restart"/>
          </w:tcPr>
          <w:p>
            <w:pPr>
              <w:ind w:left="20"/>
              <w:spacing w:after="0"/>
              <w:rPr>
                <w:sz w:val="20"/>
                <w:szCs w:val="20"/>
                <w:color w:val="auto"/>
              </w:rPr>
            </w:pPr>
            <w:r>
              <w:rPr>
                <w:rFonts w:ascii="Arial" w:cs="Arial" w:eastAsia="Arial" w:hAnsi="Arial"/>
                <w:sz w:val="18"/>
                <w:szCs w:val="18"/>
                <w:color w:val="auto"/>
                <w:w w:val="99"/>
              </w:rPr>
              <w:t>Executive Vice President and Chief Financial Officer</w:t>
            </w: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00C389"/>
            </w:tcBorders>
          </w:tcPr>
          <w:p>
            <w:pPr>
              <w:ind w:left="20"/>
              <w:spacing w:after="0" w:line="95" w:lineRule="exact"/>
              <w:rPr>
                <w:sz w:val="20"/>
                <w:szCs w:val="20"/>
                <w:color w:val="auto"/>
              </w:rPr>
            </w:pPr>
            <w:r>
              <w:rPr>
                <w:rFonts w:ascii="Arial" w:cs="Arial" w:eastAsia="Arial" w:hAnsi="Arial"/>
                <w:sz w:val="10"/>
                <w:szCs w:val="10"/>
                <w:color w:val="auto"/>
              </w:rPr>
              <w:t>Sean P. Galvin</w:t>
            </w:r>
          </w:p>
        </w:tc>
        <w:tc>
          <w:tcPr>
            <w:tcW w:w="1300" w:type="dxa"/>
            <w:vAlign w:val="bottom"/>
            <w:tcBorders>
              <w:bottom w:val="single" w:sz="8" w:color="00C389"/>
            </w:tcBorders>
          </w:tcPr>
          <w:p>
            <w:pPr>
              <w:spacing w:after="0"/>
              <w:rPr>
                <w:sz w:val="8"/>
                <w:szCs w:val="8"/>
                <w:color w:val="auto"/>
              </w:rPr>
            </w:pPr>
          </w:p>
        </w:tc>
        <w:tc>
          <w:tcPr>
            <w:tcW w:w="4180" w:type="dxa"/>
            <w:vAlign w:val="bottom"/>
            <w:tcBorders>
              <w:bottom w:val="single" w:sz="8" w:color="00C389"/>
            </w:tcBorders>
            <w:vMerge w:val="continue"/>
          </w:tcPr>
          <w:p>
            <w:pPr>
              <w:spacing w:after="0"/>
              <w:rPr>
                <w:sz w:val="8"/>
                <w:szCs w:val="8"/>
                <w:color w:val="auto"/>
              </w:rPr>
            </w:pPr>
          </w:p>
        </w:tc>
        <w:tc>
          <w:tcPr>
            <w:tcW w:w="20" w:type="dxa"/>
            <w:vAlign w:val="bottom"/>
            <w:tcBorders>
              <w:bottom w:val="single" w:sz="8" w:color="00C389"/>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00"/>
        <w:spacing w:after="0" w:line="271" w:lineRule="auto"/>
        <w:rPr>
          <w:sz w:val="20"/>
          <w:szCs w:val="20"/>
          <w:color w:val="auto"/>
        </w:rPr>
      </w:pPr>
      <w:r>
        <w:rPr>
          <w:rFonts w:ascii="Arial" w:cs="Arial" w:eastAsia="Arial" w:hAnsi="Arial"/>
          <w:sz w:val="17"/>
          <w:szCs w:val="17"/>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in our industry.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 based in order to promote achievement of our short- and long-term strategic objectives.</w:t>
      </w:r>
    </w:p>
    <w:p>
      <w:pPr>
        <w:spacing w:after="0" w:line="61" w:lineRule="exact"/>
        <w:rPr>
          <w:sz w:val="20"/>
          <w:szCs w:val="20"/>
          <w:color w:val="auto"/>
        </w:rPr>
      </w:pPr>
    </w:p>
    <w:p>
      <w:pPr>
        <w:ind w:left="760" w:right="60"/>
        <w:spacing w:after="0" w:line="278" w:lineRule="auto"/>
        <w:rPr>
          <w:sz w:val="20"/>
          <w:szCs w:val="20"/>
          <w:color w:val="auto"/>
        </w:rPr>
      </w:pPr>
      <w:r>
        <w:rPr>
          <w:rFonts w:ascii="Arial" w:cs="Arial" w:eastAsia="Arial" w:hAnsi="Arial"/>
          <w:sz w:val="17"/>
          <w:szCs w:val="17"/>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considering external market conditions and internal equity issues. With these principles in mind,</w:t>
      </w:r>
    </w:p>
    <w:p>
      <w:pPr>
        <w:spacing w:after="0" w:line="25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480"/>
        <w:spacing w:after="0" w:line="268" w:lineRule="auto"/>
        <w:rPr>
          <w:sz w:val="20"/>
          <w:szCs w:val="20"/>
          <w:color w:val="auto"/>
        </w:rPr>
      </w:pPr>
      <w:r>
        <w:rPr>
          <w:rFonts w:ascii="Arial" w:cs="Arial" w:eastAsia="Arial" w:hAnsi="Arial"/>
          <w:sz w:val="18"/>
          <w:szCs w:val="18"/>
          <w:color w:val="auto"/>
        </w:rPr>
        <w:t>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63" w:lineRule="exact"/>
        <w:rPr>
          <w:sz w:val="20"/>
          <w:szCs w:val="20"/>
          <w:color w:val="auto"/>
        </w:rPr>
      </w:pPr>
    </w:p>
    <w:p>
      <w:pPr>
        <w:ind w:left="760" w:right="740"/>
        <w:spacing w:after="0" w:line="287" w:lineRule="auto"/>
        <w:rPr>
          <w:sz w:val="20"/>
          <w:szCs w:val="20"/>
          <w:color w:val="auto"/>
        </w:rPr>
      </w:pPr>
      <w:r>
        <w:rPr>
          <w:rFonts w:ascii="Arial" w:cs="Arial" w:eastAsia="Arial" w:hAnsi="Arial"/>
          <w:sz w:val="18"/>
          <w:szCs w:val="18"/>
          <w:color w:val="auto"/>
        </w:rPr>
        <w:t>Key features of our compensation policies and practices that aim to drive performance and align our named executive officers with stockholder interests are highlighted below:</w:t>
      </w:r>
    </w:p>
    <w:p>
      <w:pPr>
        <w:spacing w:after="0" w:line="45" w:lineRule="exact"/>
        <w:rPr>
          <w:sz w:val="20"/>
          <w:szCs w:val="20"/>
          <w:color w:val="auto"/>
        </w:rPr>
      </w:pPr>
    </w:p>
    <w:p>
      <w:pPr>
        <w:jc w:val="both"/>
        <w:ind w:left="1340" w:right="340" w:hanging="218"/>
        <w:spacing w:after="0" w:line="268" w:lineRule="auto"/>
        <w:tabs>
          <w:tab w:leader="none" w:pos="1340" w:val="left"/>
        </w:tabs>
        <w:numPr>
          <w:ilvl w:val="0"/>
          <w:numId w:val="7"/>
        </w:numPr>
        <w:rPr>
          <w:rFonts w:ascii="Arial" w:cs="Arial" w:eastAsia="Arial" w:hAnsi="Arial"/>
          <w:sz w:val="18"/>
          <w:szCs w:val="18"/>
          <w:color w:val="002554"/>
        </w:rPr>
      </w:pPr>
      <w:r>
        <w:rPr>
          <w:rFonts w:ascii="Arial" w:cs="Arial" w:eastAsia="Arial" w:hAnsi="Arial"/>
          <w:sz w:val="18"/>
          <w:szCs w:val="18"/>
          <w:i w:val="1"/>
          <w:iCs w:val="1"/>
          <w:color w:val="auto"/>
        </w:rPr>
        <w:t>Pay for performance</w:t>
      </w:r>
      <w:r>
        <w:rPr>
          <w:rFonts w:ascii="Arial" w:cs="Arial" w:eastAsia="Arial" w:hAnsi="Arial"/>
          <w:sz w:val="18"/>
          <w:szCs w:val="18"/>
          <w:color w:val="auto"/>
        </w:rPr>
        <w:t>. A portion of the compensation program for named executive officers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our executives to remain focused on both our short- and long-term operational success and to reward outstanding individual performance.</w:t>
      </w:r>
    </w:p>
    <w:p>
      <w:pPr>
        <w:spacing w:after="0" w:line="62" w:lineRule="exact"/>
        <w:rPr>
          <w:rFonts w:ascii="Arial" w:cs="Arial" w:eastAsia="Arial" w:hAnsi="Arial"/>
          <w:sz w:val="18"/>
          <w:szCs w:val="18"/>
          <w:color w:val="002554"/>
        </w:rPr>
      </w:pPr>
    </w:p>
    <w:p>
      <w:pPr>
        <w:ind w:left="1340" w:right="160" w:hanging="218"/>
        <w:spacing w:after="0" w:line="268" w:lineRule="auto"/>
        <w:tabs>
          <w:tab w:leader="none" w:pos="1340" w:val="left"/>
        </w:tabs>
        <w:numPr>
          <w:ilvl w:val="0"/>
          <w:numId w:val="7"/>
        </w:numPr>
        <w:rPr>
          <w:rFonts w:ascii="Arial" w:cs="Arial" w:eastAsia="Arial" w:hAnsi="Arial"/>
          <w:sz w:val="18"/>
          <w:szCs w:val="18"/>
          <w:color w:val="002554"/>
        </w:rPr>
      </w:pPr>
      <w:r>
        <w:rPr>
          <w:rFonts w:ascii="Arial" w:cs="Arial" w:eastAsia="Arial" w:hAnsi="Arial"/>
          <w:sz w:val="18"/>
          <w:szCs w:val="18"/>
          <w:i w:val="1"/>
          <w:iCs w:val="1"/>
          <w:color w:val="auto"/>
        </w:rPr>
        <w:t>Align incentives with stockholders</w:t>
      </w:r>
      <w:r>
        <w:rPr>
          <w:rFonts w:ascii="Arial" w:cs="Arial" w:eastAsia="Arial" w:hAnsi="Arial"/>
          <w:sz w:val="18"/>
          <w:szCs w:val="18"/>
          <w:color w:val="auto"/>
        </w:rPr>
        <w:t>. Our executive compensation program is designed to focus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on our key strategic, financial and operational goals that will translate into long term value creation for our stockholders.</w:t>
      </w:r>
    </w:p>
    <w:p>
      <w:pPr>
        <w:spacing w:after="0" w:line="62" w:lineRule="exact"/>
        <w:rPr>
          <w:rFonts w:ascii="Arial" w:cs="Arial" w:eastAsia="Arial" w:hAnsi="Arial"/>
          <w:sz w:val="18"/>
          <w:szCs w:val="18"/>
          <w:color w:val="002554"/>
        </w:rPr>
      </w:pPr>
    </w:p>
    <w:p>
      <w:pPr>
        <w:ind w:left="1340" w:right="620" w:hanging="218"/>
        <w:spacing w:after="0" w:line="287" w:lineRule="auto"/>
        <w:tabs>
          <w:tab w:leader="none" w:pos="1340" w:val="left"/>
        </w:tabs>
        <w:numPr>
          <w:ilvl w:val="0"/>
          <w:numId w:val="7"/>
        </w:numPr>
        <w:rPr>
          <w:rFonts w:ascii="Arial" w:cs="Arial" w:eastAsia="Arial" w:hAnsi="Arial"/>
          <w:sz w:val="18"/>
          <w:szCs w:val="18"/>
          <w:color w:val="002554"/>
        </w:rPr>
      </w:pPr>
      <w:r>
        <w:rPr>
          <w:rFonts w:ascii="Arial" w:cs="Arial" w:eastAsia="Arial" w:hAnsi="Arial"/>
          <w:sz w:val="18"/>
          <w:szCs w:val="18"/>
          <w:i w:val="1"/>
          <w:iCs w:val="1"/>
          <w:color w:val="auto"/>
        </w:rPr>
        <w:t>Limited perquisites</w:t>
      </w:r>
      <w:r>
        <w:rPr>
          <w:rFonts w:ascii="Arial" w:cs="Arial" w:eastAsia="Arial" w:hAnsi="Arial"/>
          <w:sz w:val="18"/>
          <w:szCs w:val="18"/>
          <w:color w:val="auto"/>
        </w:rPr>
        <w:t>. We provide limited, reasonable perquisites that we believe are consistent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compensation philosophy.</w:t>
      </w:r>
    </w:p>
    <w:p>
      <w:pPr>
        <w:spacing w:after="0" w:line="44" w:lineRule="exact"/>
        <w:rPr>
          <w:rFonts w:ascii="Arial" w:cs="Arial" w:eastAsia="Arial" w:hAnsi="Arial"/>
          <w:sz w:val="18"/>
          <w:szCs w:val="18"/>
          <w:color w:val="002554"/>
        </w:rPr>
      </w:pPr>
    </w:p>
    <w:p>
      <w:pPr>
        <w:ind w:left="1340" w:right="240" w:hanging="218"/>
        <w:spacing w:after="0" w:line="287" w:lineRule="auto"/>
        <w:tabs>
          <w:tab w:leader="none" w:pos="1340" w:val="left"/>
        </w:tabs>
        <w:numPr>
          <w:ilvl w:val="0"/>
          <w:numId w:val="7"/>
        </w:numPr>
        <w:rPr>
          <w:rFonts w:ascii="Arial" w:cs="Arial" w:eastAsia="Arial" w:hAnsi="Arial"/>
          <w:sz w:val="18"/>
          <w:szCs w:val="18"/>
          <w:color w:val="002554"/>
        </w:rPr>
      </w:pPr>
      <w:r>
        <w:rPr>
          <w:rFonts w:ascii="Arial" w:cs="Arial" w:eastAsia="Arial" w:hAnsi="Arial"/>
          <w:sz w:val="18"/>
          <w:szCs w:val="18"/>
          <w:i w:val="1"/>
          <w:iCs w:val="1"/>
          <w:color w:val="auto"/>
        </w:rPr>
        <w:t>No IRC Section 280G or 409A tax gross ups</w:t>
      </w:r>
      <w:r>
        <w:rPr>
          <w:rFonts w:ascii="Arial" w:cs="Arial" w:eastAsia="Arial" w:hAnsi="Arial"/>
          <w:sz w:val="18"/>
          <w:szCs w:val="18"/>
          <w:color w:val="auto"/>
        </w:rPr>
        <w:t>. We do not provide tax gross ups under our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deferred compensation programs.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The Compensation Committee participates in an annual evaluation of the performance of our Chief Executive Officer and subsequently determines and approves the Chief Executive Officer’s compensation level based on this evaluation. In determining the long-term incentive component of Chief Executive Officer compensation, the Compensation Committee will also consider, among such other factors, the Company’s performance, stockholder returns, the value of similar incentive awards to chief executive officers at comparable companies and the awards given to the Chief Executive Officer in past years. Our Chief Executive Officer reviews each named executive officer’s compensation package, other than his own, annually in light of the performance of each named executive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77" w:lineRule="exact"/>
        <w:rPr>
          <w:sz w:val="20"/>
          <w:szCs w:val="20"/>
          <w:color w:val="auto"/>
        </w:rPr>
      </w:pPr>
    </w:p>
    <w:p>
      <w:pPr>
        <w:ind w:left="760" w:right="100"/>
        <w:spacing w:after="0" w:line="262" w:lineRule="auto"/>
        <w:rPr>
          <w:sz w:val="20"/>
          <w:szCs w:val="20"/>
          <w:color w:val="auto"/>
        </w:rPr>
      </w:pPr>
      <w:r>
        <w:rPr>
          <w:rFonts w:ascii="Arial" w:cs="Arial" w:eastAsia="Arial" w:hAnsi="Arial"/>
          <w:sz w:val="18"/>
          <w:szCs w:val="18"/>
          <w:color w:val="auto"/>
        </w:rPr>
        <w:t>Specifically, the Compensation Committee determines and approves the compensation packages of the Chief Executive Officer and approves the compensation packages of each other named executive officer, giving significant deference to the views and recommendations of the Chief Executive Officer . The Chief Executive Officer is not present during voting or deliberations relating to his own compensation.</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Committee’s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The Compensation Committee has previously engaged an independent compensation consultant, F.W. Cook (the “</w:t>
      </w:r>
      <w:r>
        <w:rPr>
          <w:rFonts w:ascii="Arial" w:cs="Arial" w:eastAsia="Arial" w:hAnsi="Arial"/>
          <w:sz w:val="18"/>
          <w:szCs w:val="18"/>
          <w:b w:val="1"/>
          <w:bCs w:val="1"/>
          <w:color w:val="auto"/>
        </w:rPr>
        <w:t>Committee’s consultant</w:t>
      </w:r>
      <w:r>
        <w:rPr>
          <w:rFonts w:ascii="Arial" w:cs="Arial" w:eastAsia="Arial" w:hAnsi="Arial"/>
          <w:sz w:val="18"/>
          <w:szCs w:val="18"/>
          <w:color w:val="auto"/>
        </w:rPr>
        <w:t>”), to assist it in carrying out its responsibilities. The Committee’s consultant has previously provided the Compensation Committee with guidance to consider when making the compensation decisions for the Chief Executive Officer and when considering the recommendations made with respect to the other named executive officers. The Compensation Committee has the sole authority to retain or terminate consultants to assist it in the evaluation of director, chief executive officer and other executive compensation. The Compensation Committee has the sole authority to determine the terms of engagement and the extent of funding necessary for payment of compensation to any consultant retained to advise the Compensation Committee. The Committee’s consultant did not provide any services to the Compensation Committee or management in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935355</wp:posOffset>
            </wp:positionV>
            <wp:extent cx="75438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196" w:lineRule="exact"/>
        <w:rPr>
          <w:sz w:val="20"/>
          <w:szCs w:val="20"/>
          <w:color w:val="auto"/>
        </w:rPr>
      </w:pPr>
    </w:p>
    <w:p>
      <w:pPr>
        <w:ind w:left="760" w:right="680"/>
        <w:spacing w:after="0" w:line="268" w:lineRule="auto"/>
        <w:rPr>
          <w:sz w:val="20"/>
          <w:szCs w:val="20"/>
          <w:color w:val="auto"/>
        </w:rPr>
      </w:pPr>
      <w:r>
        <w:rPr>
          <w:rFonts w:ascii="Arial" w:cs="Arial" w:eastAsia="Arial" w:hAnsi="Arial"/>
          <w:sz w:val="29"/>
          <w:szCs w:val="29"/>
          <w:b w:val="1"/>
          <w:bCs w:val="1"/>
          <w:color w:val="002554"/>
        </w:rPr>
        <w:t>Elements of Compensation for 2021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8"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pacing w:after="0" w:line="98"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08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Compensation Element</w:t>
            </w:r>
          </w:p>
        </w:tc>
        <w:tc>
          <w:tcPr>
            <w:tcW w:w="300" w:type="dxa"/>
            <w:vAlign w:val="bottom"/>
            <w:tcBorders>
              <w:bottom w:val="single" w:sz="8" w:color="00C389"/>
            </w:tcBorders>
          </w:tcPr>
          <w:p>
            <w:pPr>
              <w:ind w:left="140"/>
              <w:spacing w:after="0"/>
              <w:rPr>
                <w:sz w:val="20"/>
                <w:szCs w:val="20"/>
                <w:color w:val="auto"/>
              </w:rPr>
            </w:pPr>
            <w:r>
              <w:rPr>
                <w:rFonts w:ascii="Arial" w:cs="Arial" w:eastAsia="Arial" w:hAnsi="Arial"/>
                <w:sz w:val="14"/>
                <w:szCs w:val="14"/>
                <w:b w:val="1"/>
                <w:bCs w:val="1"/>
                <w:color w:val="002554"/>
              </w:rPr>
              <w:t>​ ​</w:t>
            </w:r>
          </w:p>
        </w:tc>
        <w:tc>
          <w:tcPr>
            <w:tcW w:w="3260" w:type="dxa"/>
            <w:vAlign w:val="bottom"/>
            <w:tcBorders>
              <w:bottom w:val="single" w:sz="8" w:color="00C389"/>
            </w:tcBorders>
          </w:tcPr>
          <w:p>
            <w:pPr>
              <w:ind w:left="1060"/>
              <w:spacing w:after="0"/>
              <w:rPr>
                <w:sz w:val="20"/>
                <w:szCs w:val="20"/>
                <w:color w:val="auto"/>
              </w:rPr>
            </w:pPr>
            <w:r>
              <w:rPr>
                <w:rFonts w:ascii="Arial" w:cs="Arial" w:eastAsia="Arial" w:hAnsi="Arial"/>
                <w:sz w:val="14"/>
                <w:szCs w:val="14"/>
                <w:b w:val="1"/>
                <w:bCs w:val="1"/>
                <w:color w:val="002554"/>
              </w:rPr>
              <w:t>Brief Description</w:t>
            </w:r>
          </w:p>
        </w:tc>
        <w:tc>
          <w:tcPr>
            <w:tcW w:w="240" w:type="dxa"/>
            <w:vAlign w:val="bottom"/>
            <w:tcBorders>
              <w:bottom w:val="single" w:sz="8" w:color="00C389"/>
            </w:tcBorders>
          </w:tcPr>
          <w:p>
            <w:pPr>
              <w:ind w:left="80"/>
              <w:spacing w:after="0"/>
              <w:rPr>
                <w:sz w:val="20"/>
                <w:szCs w:val="20"/>
                <w:color w:val="auto"/>
              </w:rPr>
            </w:pPr>
            <w:r>
              <w:rPr>
                <w:rFonts w:ascii="Arial" w:cs="Arial" w:eastAsia="Arial" w:hAnsi="Arial"/>
                <w:sz w:val="14"/>
                <w:szCs w:val="14"/>
                <w:b w:val="1"/>
                <w:bCs w:val="1"/>
                <w:color w:val="002554"/>
              </w:rPr>
              <w:t>​ ​</w:t>
            </w:r>
          </w:p>
        </w:tc>
        <w:tc>
          <w:tcPr>
            <w:tcW w:w="3300" w:type="dxa"/>
            <w:vAlign w:val="bottom"/>
            <w:tcBorders>
              <w:bottom w:val="single" w:sz="8" w:color="00C389"/>
            </w:tcBorders>
          </w:tcPr>
          <w:p>
            <w:pPr>
              <w:ind w:left="1300"/>
              <w:spacing w:after="0"/>
              <w:rPr>
                <w:sz w:val="20"/>
                <w:szCs w:val="20"/>
                <w:color w:val="auto"/>
              </w:rPr>
            </w:pPr>
            <w:r>
              <w:rPr>
                <w:rFonts w:ascii="Arial" w:cs="Arial" w:eastAsia="Arial" w:hAnsi="Arial"/>
                <w:sz w:val="14"/>
                <w:szCs w:val="14"/>
                <w:b w:val="1"/>
                <w:bCs w:val="1"/>
                <w:color w:val="002554"/>
              </w:rPr>
              <w:t>Objectives</w:t>
            </w:r>
          </w:p>
        </w:tc>
        <w:tc>
          <w:tcPr>
            <w:tcW w:w="60" w:type="dxa"/>
            <w:vAlign w:val="bottom"/>
          </w:tcPr>
          <w:p>
            <w:pPr>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Base Salary</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 ​ Fixed compensation.</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 ​ Provide a competitive, fixed level of cash</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compensation to attract and retain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talented and skilled executives.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389"/>
            </w:tcBorders>
          </w:tcPr>
          <w:p>
            <w:pPr>
              <w:spacing w:after="0"/>
              <w:rPr>
                <w:sz w:val="2"/>
                <w:szCs w:val="2"/>
                <w:color w:val="auto"/>
              </w:rPr>
            </w:pPr>
          </w:p>
        </w:tc>
        <w:tc>
          <w:tcPr>
            <w:tcW w:w="3560" w:type="dxa"/>
            <w:vAlign w:val="bottom"/>
            <w:tcBorders>
              <w:bottom w:val="single" w:sz="8" w:color="00C389"/>
            </w:tcBorders>
            <w:gridSpan w:val="2"/>
          </w:tcPr>
          <w:p>
            <w:pPr>
              <w:spacing w:after="0"/>
              <w:rPr>
                <w:sz w:val="2"/>
                <w:szCs w:val="2"/>
                <w:color w:val="auto"/>
              </w:rPr>
            </w:pPr>
          </w:p>
        </w:tc>
        <w:tc>
          <w:tcPr>
            <w:tcW w:w="3540" w:type="dxa"/>
            <w:vAlign w:val="bottom"/>
            <w:tcBorders>
              <w:bottom w:val="single" w:sz="8" w:color="00C389"/>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Cash Bonus</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 ​ Variable, performance-based cash</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 ​ Retain and motivate executives to</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compensation earned based on financial</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achieve or exceed financial goals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individual performance.</w:t>
            </w: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Company objectives.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389"/>
            </w:tcBorders>
          </w:tcPr>
          <w:p>
            <w:pPr>
              <w:spacing w:after="0"/>
              <w:rPr>
                <w:sz w:val="2"/>
                <w:szCs w:val="2"/>
                <w:color w:val="auto"/>
              </w:rPr>
            </w:pPr>
          </w:p>
        </w:tc>
        <w:tc>
          <w:tcPr>
            <w:tcW w:w="3560" w:type="dxa"/>
            <w:vAlign w:val="bottom"/>
            <w:tcBorders>
              <w:bottom w:val="single" w:sz="8" w:color="00C389"/>
            </w:tcBorders>
            <w:gridSpan w:val="2"/>
          </w:tcPr>
          <w:p>
            <w:pPr>
              <w:spacing w:after="0"/>
              <w:rPr>
                <w:sz w:val="2"/>
                <w:szCs w:val="2"/>
                <w:color w:val="auto"/>
              </w:rPr>
            </w:pPr>
          </w:p>
        </w:tc>
        <w:tc>
          <w:tcPr>
            <w:tcW w:w="3540" w:type="dxa"/>
            <w:vAlign w:val="bottom"/>
            <w:tcBorders>
              <w:bottom w:val="single" w:sz="8" w:color="00C389"/>
            </w:tcBorders>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Annual Equity Awards</w:t>
            </w:r>
          </w:p>
        </w:tc>
        <w:tc>
          <w:tcPr>
            <w:tcW w:w="3560" w:type="dxa"/>
            <w:vAlign w:val="bottom"/>
            <w:gridSpan w:val="2"/>
          </w:tcPr>
          <w:p>
            <w:pPr>
              <w:ind w:left="80"/>
              <w:spacing w:after="0"/>
              <w:rPr>
                <w:sz w:val="20"/>
                <w:szCs w:val="20"/>
                <w:color w:val="auto"/>
              </w:rPr>
            </w:pPr>
            <w:r>
              <w:rPr>
                <w:rFonts w:ascii="Arial" w:cs="Arial" w:eastAsia="Arial" w:hAnsi="Arial"/>
                <w:sz w:val="18"/>
                <w:szCs w:val="18"/>
                <w:color w:val="auto"/>
              </w:rPr>
              <w:t>​ ​ Equity and equity-based compensation</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 ​ The mix of equity and equity-based</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that is subject to vesting based on</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awards with time-based vesting assists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 continued employment, and (ii) for</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retention of key talent while also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certain named executive officers,</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rewarding executives for exceptional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achievement of pre-established financial</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performance.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and operational goals.</w:t>
            </w: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389"/>
            </w:tcBorders>
          </w:tcPr>
          <w:p>
            <w:pPr>
              <w:spacing w:after="0"/>
              <w:rPr>
                <w:sz w:val="2"/>
                <w:szCs w:val="2"/>
                <w:color w:val="auto"/>
              </w:rPr>
            </w:pPr>
          </w:p>
        </w:tc>
        <w:tc>
          <w:tcPr>
            <w:tcW w:w="7100" w:type="dxa"/>
            <w:vAlign w:val="bottom"/>
            <w:tcBorders>
              <w:bottom w:val="single" w:sz="8" w:color="00C389"/>
            </w:tcBorders>
            <w:gridSpan w:val="4"/>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Pr>
          <w:p>
            <w:pPr>
              <w:spacing w:after="0"/>
              <w:rPr>
                <w:sz w:val="20"/>
                <w:szCs w:val="20"/>
                <w:color w:val="auto"/>
              </w:rPr>
            </w:pPr>
            <w:r>
              <w:rPr>
                <w:rFonts w:ascii="Arial" w:cs="Arial" w:eastAsia="Arial" w:hAnsi="Arial"/>
                <w:sz w:val="18"/>
                <w:szCs w:val="18"/>
                <w:b w:val="1"/>
                <w:bCs w:val="1"/>
                <w:i w:val="1"/>
                <w:iCs w:val="1"/>
                <w:color w:val="auto"/>
              </w:rPr>
              <w:t>Employee Benefits and</w:t>
            </w:r>
          </w:p>
        </w:tc>
        <w:tc>
          <w:tcPr>
            <w:tcW w:w="7100" w:type="dxa"/>
            <w:vAlign w:val="bottom"/>
            <w:gridSpan w:val="4"/>
          </w:tcPr>
          <w:p>
            <w:pPr>
              <w:ind w:left="80"/>
              <w:spacing w:after="0"/>
              <w:rPr>
                <w:sz w:val="20"/>
                <w:szCs w:val="20"/>
                <w:color w:val="auto"/>
              </w:rPr>
            </w:pPr>
            <w:r>
              <w:rPr>
                <w:rFonts w:ascii="Arial" w:cs="Arial" w:eastAsia="Arial" w:hAnsi="Arial"/>
                <w:sz w:val="18"/>
                <w:szCs w:val="18"/>
                <w:color w:val="auto"/>
              </w:rPr>
              <w:t>​ ​ Participation in all broad-based employee​ ​ Aid in retention of key executives in a</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Perquisites</w:t>
            </w: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health and welfare programs and</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highly competitive market for talent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retirement plans.</w:t>
            </w:r>
          </w:p>
        </w:tc>
        <w:tc>
          <w:tcPr>
            <w:tcW w:w="2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providing an overall competitive benefits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package.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00C389"/>
            </w:tcBorders>
          </w:tcPr>
          <w:p>
            <w:pPr>
              <w:spacing w:after="0"/>
              <w:rPr>
                <w:sz w:val="2"/>
                <w:szCs w:val="2"/>
                <w:color w:val="auto"/>
              </w:rPr>
            </w:pPr>
          </w:p>
        </w:tc>
        <w:tc>
          <w:tcPr>
            <w:tcW w:w="300" w:type="dxa"/>
            <w:vAlign w:val="bottom"/>
            <w:tcBorders>
              <w:bottom w:val="single" w:sz="8" w:color="00C389"/>
            </w:tcBorders>
          </w:tcPr>
          <w:p>
            <w:pPr>
              <w:spacing w:after="0"/>
              <w:rPr>
                <w:sz w:val="2"/>
                <w:szCs w:val="2"/>
                <w:color w:val="auto"/>
              </w:rPr>
            </w:pPr>
          </w:p>
        </w:tc>
        <w:tc>
          <w:tcPr>
            <w:tcW w:w="3260" w:type="dxa"/>
            <w:vAlign w:val="bottom"/>
            <w:tcBorders>
              <w:bottom w:val="single" w:sz="8" w:color="00C389"/>
            </w:tcBorders>
          </w:tcPr>
          <w:p>
            <w:pPr>
              <w:spacing w:after="0"/>
              <w:rPr>
                <w:sz w:val="2"/>
                <w:szCs w:val="2"/>
                <w:color w:val="auto"/>
              </w:rPr>
            </w:pPr>
          </w:p>
        </w:tc>
        <w:tc>
          <w:tcPr>
            <w:tcW w:w="240" w:type="dxa"/>
            <w:vAlign w:val="bottom"/>
            <w:tcBorders>
              <w:bottom w:val="single" w:sz="8" w:color="00C389"/>
            </w:tcBorders>
          </w:tcPr>
          <w:p>
            <w:pPr>
              <w:spacing w:after="0"/>
              <w:rPr>
                <w:sz w:val="2"/>
                <w:szCs w:val="2"/>
                <w:color w:val="auto"/>
              </w:rPr>
            </w:pPr>
          </w:p>
        </w:tc>
        <w:tc>
          <w:tcPr>
            <w:tcW w:w="3300" w:type="dxa"/>
            <w:vAlign w:val="bottom"/>
            <w:tcBorders>
              <w:bottom w:val="single" w:sz="8" w:color="00C389"/>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short- or long-term compensation, between cash and non-cash compensation, among different forms of non-cash compensation, or among named executive officers. Rather, we look at a named executive officer’s goals and responsibilities to determine the appropriate level and mix of incentive compensation.</w:t>
      </w:r>
    </w:p>
    <w:p>
      <w:pPr>
        <w:spacing w:after="0" w:line="81" w:lineRule="exact"/>
        <w:rPr>
          <w:sz w:val="20"/>
          <w:szCs w:val="20"/>
          <w:color w:val="auto"/>
        </w:rPr>
      </w:pPr>
    </w:p>
    <w:p>
      <w:pPr>
        <w:ind w:left="760" w:right="100"/>
        <w:spacing w:after="0" w:line="243"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We provide named executive officers with a base salary to compensate them for services rendered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fiscal 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named executive officer’s past performance, the scope of the role and responsibilities of the named executive officer within the Company and the performance of the Company as a whole. We also review the named executive officer’s compensation relative to that of our other executive officers and to the market for executive officers of similar expertise and experience. The base salary for Mr. Galvin was increased in fiscal year 2021 to $300,000 from $250,000. Base salaries for our other named executive officers were not increased during fiscal year 2021.</w:t>
      </w:r>
    </w:p>
    <w:p>
      <w:pPr>
        <w:spacing w:after="0" w:line="85" w:lineRule="exact"/>
        <w:rPr>
          <w:sz w:val="20"/>
          <w:szCs w:val="20"/>
          <w:color w:val="auto"/>
        </w:rPr>
      </w:pPr>
    </w:p>
    <w:p>
      <w:pPr>
        <w:ind w:left="760" w:right="160"/>
        <w:spacing w:after="0" w:line="247" w:lineRule="auto"/>
        <w:rPr>
          <w:sz w:val="20"/>
          <w:szCs w:val="20"/>
          <w:color w:val="auto"/>
        </w:rPr>
      </w:pPr>
      <w:r>
        <w:rPr>
          <w:rFonts w:ascii="Arial" w:cs="Arial" w:eastAsia="Arial" w:hAnsi="Arial"/>
          <w:sz w:val="18"/>
          <w:szCs w:val="18"/>
          <w:b w:val="1"/>
          <w:bCs w:val="1"/>
          <w:i w:val="1"/>
          <w:iCs w:val="1"/>
          <w:color w:val="auto"/>
        </w:rPr>
        <w:t>Variable Incentive Compensation</w:t>
      </w:r>
      <w:r>
        <w:rPr>
          <w:rFonts w:ascii="Arial" w:cs="Arial" w:eastAsia="Arial" w:hAnsi="Arial"/>
          <w:sz w:val="18"/>
          <w:szCs w:val="18"/>
          <w:color w:val="auto"/>
        </w:rPr>
        <w:t>. We award variable incentive compensation to reward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69" w:lineRule="exact"/>
        <w:rPr>
          <w:sz w:val="20"/>
          <w:szCs w:val="20"/>
          <w:color w:val="auto"/>
        </w:rPr>
      </w:pPr>
    </w:p>
    <w:p>
      <w:pPr>
        <w:ind w:left="760" w:right="280"/>
        <w:spacing w:after="0" w:line="246" w:lineRule="auto"/>
        <w:rPr>
          <w:sz w:val="20"/>
          <w:szCs w:val="20"/>
          <w:color w:val="auto"/>
        </w:rPr>
      </w:pPr>
      <w:r>
        <w:rPr>
          <w:rFonts w:ascii="Arial" w:cs="Arial" w:eastAsia="Arial" w:hAnsi="Arial"/>
          <w:sz w:val="18"/>
          <w:szCs w:val="18"/>
          <w:color w:val="auto"/>
        </w:rPr>
        <w:t>To determine the actual amount of variable incentive compensation for each named executive officer, the Compensation Committee reviews quantitative and qualitative criteria. With respect to both types of criteria, attainment of any specific level of performance or specific qualitative goal does not determine the amount of the bonus, except as discussed below regarding Messrs. Cifu’s, Molluso’s, Fairclough’s, and Cavoli’s annual bonus. Other than as set forth below with respect to Messrs. Cifu’s, Molluso’s Fairclough’s and Cavoli’s annual bonus, no pre-determined single performance metric is disproportionately weighted in making the determination of a named executive officer’s variable incentive compensation payout, which provides discretion to our Compensation Committee</w:t>
      </w: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80"/>
        <w:spacing w:after="0" w:line="287" w:lineRule="auto"/>
        <w:rPr>
          <w:sz w:val="20"/>
          <w:szCs w:val="20"/>
          <w:color w:val="auto"/>
        </w:rPr>
      </w:pPr>
      <w:r>
        <w:rPr>
          <w:rFonts w:ascii="Arial" w:cs="Arial" w:eastAsia="Arial" w:hAnsi="Arial"/>
          <w:sz w:val="18"/>
          <w:szCs w:val="18"/>
          <w:color w:val="auto"/>
        </w:rPr>
        <w:t>to adjust the actual amount paid in respect of variable incentive compensation to reward financial performance and individual performance in the context of our growing and dynamic business.</w:t>
      </w:r>
    </w:p>
    <w:p>
      <w:pPr>
        <w:spacing w:after="0" w:line="45"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 xml:space="preserve">The amount of the variable incentive compensation award can be paid in a mixture of cash and/or equity, as determined by the Compensation Committee each year. This provides the Compensation Committee with more flexibility, under differing market and financial conditions and depending upon the strategic direction of the firm, to easily vary the mix of compensation without the need to focus on the form (cash or stock) but rather the value being delivered coupled with the proper incentives for our named executive officers to create short- and long-term stockholder value. Generally, the mixture of cash and equity-based compensation is determined by the aggregate variable incentive compensation payable for the applicable year. For each of Messrs. Cifu, Molluso, Fairclough, and Cavoli, 50% of his 2021 variable incentive compensation was paid in cash and 50% was paid in equity-based compensation, 30% paid in the form of restricted stock units that vest ratably over a three-year period and 20% paid in fully vested common stock, subject to any deferrals (see “Employee Benefits and Perquisites” on page </w:t>
      </w:r>
      <w:r>
        <w:rPr>
          <w:rFonts w:ascii="Arial" w:cs="Arial" w:eastAsia="Arial" w:hAnsi="Arial"/>
          <w:sz w:val="18"/>
          <w:szCs w:val="18"/>
          <w:u w:val="single" w:color="auto"/>
          <w:color w:val="0000EE"/>
        </w:rPr>
        <w:t>26</w:t>
      </w:r>
      <w:r>
        <w:rPr>
          <w:rFonts w:ascii="Arial" w:cs="Arial" w:eastAsia="Arial" w:hAnsi="Arial"/>
          <w:sz w:val="18"/>
          <w:szCs w:val="18"/>
          <w:color w:val="auto"/>
        </w:rPr>
        <w:t xml:space="preserve"> of this proxy statement). For Mr. Galvin, 60% of his 2021 variable incentive compensation was paid in cash and 40% was paid in equity-based compensation, 24% paid in the form of restricted stock units that vest ratably over a three-year period and 16% paid in fully vested common stock. We use awards of fully vested common stock and restricted stock units as a long-term incentive vehicle because it aligns the interests of executives with those of stockholders, supports a pay for performance culture, fosters employee stock ownership, and focuses the management team on increasing value for the stockholders and on the Company’s long-term performance.</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2021, in accordance with the terms of his employment agreement, Mr. Cifu was eligible to earn an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annual bonus with a target bonus opportunity equal to $2,500,000 and a maximum bonus opportunity equal to</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$5,000,000. 80% of the annual bonus was based on the achievement of select quantitative goals as determined by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the Compensation Committee and 20% of the annual bonus was based on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achievement of qualitative goals and metrics, including debt and capital structure management, select strategic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initiatives, headquarters consolidation, technology integration goals and people and community measures. For fiscal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2021, the threshold to earn the target performance-based portion of the annual bonus was achievement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budgeted adjusted net trading income, growth initiatives, expenses, adjusted EBITDA and cumulative adjusted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EBITDA with a multi-year lookback. These target amounts were established as ranges dependent on the market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environment during the year as measured by total market volumes and implied and realized volatility. Based on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actual market environment, budgeted daily adjusted net income was in the range of $6.0 to $6.4 million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budgeted adjusted EBITDA was in the range of $714 to $1,187 million. As a result of the Company’s actual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performance of $7.56 million of daily adjusted net trading income and $1,297 million of adjusted EBITDA, Mr. Cifu</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earned 100% (i.e., $4,000,000) of the performance-based portion of his annual bonus. Additionally, based on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achievement of the aforementioned qualitative goals, the Compensation Committee determined that Mr. Cifu earned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100% (i.e., $1,000,000) of the qualitative portion of his annual bonus.</w:t>
      </w:r>
    </w:p>
    <w:p>
      <w:pPr>
        <w:spacing w:after="0" w:line="99"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amounts paid to Messrs. Molluso, Fairclough, and Cavoli were also determined in accordance with the terms of their respective employment agreements, which provide for a target bonus opportunity equal to $1,500,000 and a maximum bonus opportunity equal to $2,500,000. 80% of the annual bonus was based on the achievement of select quantitative goals based on the Company’s adjusted net trading income and adjusted EBITDA as compared to budgeted amounts in fiscal year 2021 and 20% of the annual bonus was based on the achievement of qualitative goals and metrics determined with the Chief Executive Officer. For fiscal year 2021, the threshold to earn the target performance-based portion of the annual bonus was achievement of budgeted adjusted net trading income, growth initiatives, expenses, adjusted EBITDA and cumulative adjusted EBITDA with a multi-year lookback. These target amounts were established as ranges dependent on the market environment during the year as measured by total market volumes and implied and realized volatility. Based on the actual market environment, budgeted daily adjusted net income was in the range of $6.0 to $6.4 million and budgeted adjusted EBITDA was in the range of $714 to $1,187 million. Based on the Company’s actual performance of $7.56 million of daily adjusted net trading income and $1,297 million of adjusted EBITDA, each of Messrs. Molluso, Fairclough, and Cavoli earned 100% (i.e., $2,000,000) of the performance-based portion of his annual bonus, and the CEO together with the Compensation Committee, determined that each executive earned 100% (i.e., $500,000) of the qualitative portion of his annual bonus.</w:t>
      </w:r>
    </w:p>
    <w:p>
      <w:pPr>
        <w:spacing w:after="0" w:line="87" w:lineRule="exact"/>
        <w:rPr>
          <w:sz w:val="20"/>
          <w:szCs w:val="20"/>
          <w:color w:val="auto"/>
        </w:rPr>
      </w:pPr>
    </w:p>
    <w:p>
      <w:pPr>
        <w:ind w:left="760" w:right="140"/>
        <w:spacing w:after="0" w:line="318" w:lineRule="auto"/>
        <w:rPr>
          <w:sz w:val="20"/>
          <w:szCs w:val="20"/>
          <w:color w:val="auto"/>
        </w:rPr>
      </w:pPr>
      <w:r>
        <w:rPr>
          <w:rFonts w:ascii="Arial" w:cs="Arial" w:eastAsia="Arial" w:hAnsi="Arial"/>
          <w:sz w:val="17"/>
          <w:szCs w:val="17"/>
          <w:color w:val="auto"/>
        </w:rPr>
        <w:t>Mr. Galvin’s variable incentive compensation was determined by the Chief Executive Officer and the Compensation Committee based on the Company’s financial performance as well as various other objectives and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163195</wp:posOffset>
            </wp:positionV>
            <wp:extent cx="75438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6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80"/>
        <w:spacing w:after="0" w:line="287" w:lineRule="auto"/>
        <w:rPr>
          <w:sz w:val="20"/>
          <w:szCs w:val="20"/>
          <w:color w:val="auto"/>
        </w:rPr>
      </w:pPr>
      <w:r>
        <w:rPr>
          <w:rFonts w:ascii="Arial" w:cs="Arial" w:eastAsia="Arial" w:hAnsi="Arial"/>
          <w:sz w:val="18"/>
          <w:szCs w:val="18"/>
          <w:color w:val="auto"/>
        </w:rPr>
        <w:t>Accordingly, for fiscal year 2021, the amount of variable incentive compensation form of payments to our named executive officers is described in the table below:</w:t>
      </w:r>
    </w:p>
    <w:p>
      <w:pPr>
        <w:spacing w:after="0" w:line="6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002554"/>
                <w:w w:val="99"/>
              </w:rPr>
              <w:t>Total 2021</w:t>
            </w:r>
          </w:p>
        </w:tc>
      </w:tr>
      <w:tr>
        <w:trPr>
          <w:trHeight w:val="139"/>
        </w:trPr>
        <w:tc>
          <w:tcPr>
            <w:tcW w:w="2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center"/>
              <w:ind w:left="143"/>
              <w:spacing w:after="0" w:line="139" w:lineRule="exact"/>
              <w:rPr>
                <w:sz w:val="20"/>
                <w:szCs w:val="20"/>
                <w:color w:val="auto"/>
              </w:rPr>
            </w:pPr>
            <w:r>
              <w:rPr>
                <w:rFonts w:ascii="Arial" w:cs="Arial" w:eastAsia="Arial" w:hAnsi="Arial"/>
                <w:sz w:val="14"/>
                <w:szCs w:val="14"/>
                <w:b w:val="1"/>
                <w:bCs w:val="1"/>
                <w:color w:val="002554"/>
              </w:rPr>
              <w:t>Variable</w:t>
            </w:r>
          </w:p>
        </w:tc>
      </w:tr>
      <w:tr>
        <w:trPr>
          <w:trHeight w:val="158"/>
        </w:trPr>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60" w:type="dxa"/>
            <w:vAlign w:val="bottom"/>
            <w:gridSpan w:val="2"/>
          </w:tcPr>
          <w:p>
            <w:pPr>
              <w:ind w:left="420"/>
              <w:spacing w:after="0" w:line="158" w:lineRule="exact"/>
              <w:rPr>
                <w:sz w:val="20"/>
                <w:szCs w:val="20"/>
                <w:color w:val="auto"/>
              </w:rPr>
            </w:pPr>
            <w:r>
              <w:rPr>
                <w:rFonts w:ascii="Arial" w:cs="Arial" w:eastAsia="Arial" w:hAnsi="Arial"/>
                <w:sz w:val="14"/>
                <w:szCs w:val="14"/>
                <w:b w:val="1"/>
                <w:bCs w:val="1"/>
                <w:color w:val="002554"/>
              </w:rPr>
              <w:t>Restricted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2"/>
          </w:tcPr>
          <w:p>
            <w:pPr>
              <w:jc w:val="center"/>
              <w:ind w:left="163"/>
              <w:spacing w:after="0" w:line="158" w:lineRule="exact"/>
              <w:rPr>
                <w:sz w:val="20"/>
                <w:szCs w:val="20"/>
                <w:color w:val="auto"/>
              </w:rPr>
            </w:pPr>
            <w:r>
              <w:rPr>
                <w:rFonts w:ascii="Arial" w:cs="Arial" w:eastAsia="Arial" w:hAnsi="Arial"/>
                <w:sz w:val="14"/>
                <w:szCs w:val="14"/>
                <w:b w:val="1"/>
                <w:bCs w:val="1"/>
                <w:color w:val="002554"/>
              </w:rPr>
              <w:t>Incentive</w:t>
            </w:r>
          </w:p>
        </w:tc>
      </w:tr>
      <w:tr>
        <w:trPr>
          <w:trHeight w:val="203"/>
        </w:trPr>
        <w:tc>
          <w:tcPr>
            <w:tcW w:w="2180" w:type="dxa"/>
            <w:vAlign w:val="bottom"/>
          </w:tcPr>
          <w:p>
            <w:pPr>
              <w:ind w:left="20"/>
              <w:spacing w:after="0"/>
              <w:rPr>
                <w:sz w:val="20"/>
                <w:szCs w:val="20"/>
                <w:color w:val="auto"/>
              </w:rPr>
            </w:pPr>
            <w:r>
              <w:rPr>
                <w:rFonts w:ascii="Arial" w:cs="Arial" w:eastAsia="Arial" w:hAnsi="Arial"/>
                <w:sz w:val="14"/>
                <w:szCs w:val="14"/>
                <w:b w:val="1"/>
                <w:bCs w:val="1"/>
                <w:color w:val="002554"/>
              </w:rPr>
              <w:t>Name</w:t>
            </w:r>
          </w:p>
        </w:tc>
        <w:tc>
          <w:tcPr>
            <w:tcW w:w="1280" w:type="dxa"/>
            <w:vAlign w:val="bottom"/>
          </w:tcPr>
          <w:p>
            <w:pPr>
              <w:ind w:left="920"/>
              <w:spacing w:after="0"/>
              <w:rPr>
                <w:sz w:val="20"/>
                <w:szCs w:val="20"/>
                <w:color w:val="auto"/>
              </w:rPr>
            </w:pPr>
            <w:r>
              <w:rPr>
                <w:rFonts w:ascii="Arial" w:cs="Arial" w:eastAsia="Arial" w:hAnsi="Arial"/>
                <w:sz w:val="14"/>
                <w:szCs w:val="14"/>
                <w:b w:val="1"/>
                <w:bCs w:val="1"/>
                <w:color w:val="002554"/>
              </w:rPr>
              <w:t>​ ​</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002554"/>
              </w:rPr>
              <w:t>Cash</w:t>
            </w:r>
          </w:p>
        </w:tc>
        <w:tc>
          <w:tcPr>
            <w:tcW w:w="3860" w:type="dxa"/>
            <w:vAlign w:val="bottom"/>
            <w:gridSpan w:val="6"/>
          </w:tcPr>
          <w:p>
            <w:pPr>
              <w:jc w:val="right"/>
              <w:spacing w:after="0" w:line="202" w:lineRule="exact"/>
              <w:rPr>
                <w:sz w:val="20"/>
                <w:szCs w:val="20"/>
                <w:color w:val="auto"/>
              </w:rPr>
            </w:pPr>
            <w:r>
              <w:rPr>
                <w:rFonts w:ascii="Arial" w:cs="Arial" w:eastAsia="Arial" w:hAnsi="Arial"/>
                <w:sz w:val="23"/>
                <w:szCs w:val="23"/>
                <w:b w:val="1"/>
                <w:bCs w:val="1"/>
                <w:color w:val="002554"/>
                <w:vertAlign w:val="subscript"/>
              </w:rPr>
              <w:t>​ ​</w:t>
            </w:r>
            <w:r>
              <w:rPr>
                <w:rFonts w:ascii="Arial" w:cs="Arial" w:eastAsia="Arial" w:hAnsi="Arial"/>
                <w:sz w:val="13"/>
                <w:szCs w:val="13"/>
                <w:b w:val="1"/>
                <w:bCs w:val="1"/>
                <w:color w:val="002554"/>
              </w:rPr>
              <w:t xml:space="preserve"> Stock Units  </w:t>
            </w:r>
            <w:r>
              <w:rPr>
                <w:rFonts w:ascii="Arial" w:cs="Arial" w:eastAsia="Arial" w:hAnsi="Arial"/>
                <w:sz w:val="23"/>
                <w:szCs w:val="23"/>
                <w:b w:val="1"/>
                <w:bCs w:val="1"/>
                <w:color w:val="002554"/>
                <w:vertAlign w:val="subscript"/>
              </w:rPr>
              <w:t>​ ​</w:t>
            </w:r>
            <w:r>
              <w:rPr>
                <w:rFonts w:ascii="Arial" w:cs="Arial" w:eastAsia="Arial" w:hAnsi="Arial"/>
                <w:sz w:val="13"/>
                <w:szCs w:val="13"/>
                <w:b w:val="1"/>
                <w:bCs w:val="1"/>
                <w:color w:val="002554"/>
              </w:rPr>
              <w:t xml:space="preserve"> Common Stock </w:t>
            </w:r>
            <w:r>
              <w:rPr>
                <w:rFonts w:ascii="Arial" w:cs="Arial" w:eastAsia="Arial" w:hAnsi="Arial"/>
                <w:sz w:val="23"/>
                <w:szCs w:val="23"/>
                <w:b w:val="1"/>
                <w:bCs w:val="1"/>
                <w:color w:val="002554"/>
                <w:vertAlign w:val="subscript"/>
              </w:rPr>
              <w:t>​ ​</w:t>
            </w:r>
            <w:r>
              <w:rPr>
                <w:rFonts w:ascii="Arial" w:cs="Arial" w:eastAsia="Arial" w:hAnsi="Arial"/>
                <w:sz w:val="13"/>
                <w:szCs w:val="13"/>
                <w:b w:val="1"/>
                <w:bCs w:val="1"/>
                <w:color w:val="002554"/>
              </w:rPr>
              <w:t xml:space="preserve"> Compensation</w:t>
            </w:r>
            <w:r>
              <w:rPr>
                <w:rFonts w:ascii="Arial" w:cs="Arial" w:eastAsia="Arial" w:hAnsi="Arial"/>
                <w:sz w:val="23"/>
                <w:szCs w:val="23"/>
                <w:b w:val="1"/>
                <w:bCs w:val="1"/>
                <w:color w:val="002554"/>
                <w:vertAlign w:val="subscript"/>
              </w:rPr>
              <w:t>​</w:t>
            </w:r>
          </w:p>
        </w:tc>
      </w:tr>
      <w:tr>
        <w:trPr>
          <w:trHeight w:val="263"/>
        </w:trPr>
        <w:tc>
          <w:tcPr>
            <w:tcW w:w="2180" w:type="dxa"/>
            <w:vAlign w:val="bottom"/>
            <w:tcBorders>
              <w:top w:val="single" w:sz="8" w:color="00C389"/>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Douglas A. Cifu</w:t>
            </w:r>
          </w:p>
        </w:tc>
        <w:tc>
          <w:tcPr>
            <w:tcW w:w="3460" w:type="dxa"/>
            <w:vAlign w:val="bottom"/>
            <w:tcBorders>
              <w:top w:val="single" w:sz="8" w:color="00C389"/>
              <w:bottom w:val="single" w:sz="8" w:color="00C389"/>
            </w:tcBorders>
            <w:gridSpan w:val="4"/>
            <w:shd w:val="clear" w:color="auto" w:fill="CCEEFF"/>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$2,500,000</w:t>
            </w:r>
            <w:r>
              <w:rPr>
                <w:rFonts w:ascii="Arial" w:cs="Arial" w:eastAsia="Arial" w:hAnsi="Arial"/>
                <w:sz w:val="30"/>
                <w:szCs w:val="30"/>
                <w:color w:val="auto"/>
                <w:vertAlign w:val="subscript"/>
              </w:rPr>
              <w:t>​​ ​​</w:t>
            </w:r>
            <w:r>
              <w:rPr>
                <w:rFonts w:ascii="Arial" w:cs="Arial" w:eastAsia="Arial" w:hAnsi="Arial"/>
                <w:sz w:val="16"/>
                <w:szCs w:val="16"/>
                <w:color w:val="auto"/>
              </w:rPr>
              <w:t>$2,500,000</w:t>
            </w:r>
            <w:r>
              <w:rPr>
                <w:rFonts w:ascii="Arial" w:cs="Arial" w:eastAsia="Arial" w:hAnsi="Arial"/>
                <w:sz w:val="30"/>
                <w:szCs w:val="30"/>
                <w:color w:val="auto"/>
                <w:vertAlign w:val="subscript"/>
              </w:rPr>
              <w:t>​​ ​</w:t>
            </w:r>
          </w:p>
        </w:tc>
        <w:tc>
          <w:tcPr>
            <w:tcW w:w="420" w:type="dxa"/>
            <w:vAlign w:val="bottom"/>
            <w:tcBorders>
              <w:top w:val="single" w:sz="8" w:color="00C389"/>
              <w:bottom w:val="single" w:sz="8" w:color="00C389"/>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00C389"/>
              <w:bottom w:val="single" w:sz="8" w:color="00C389"/>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$5,000,000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2180" w:type="dxa"/>
            <w:vAlign w:val="bottom"/>
          </w:tcPr>
          <w:p>
            <w:pPr>
              <w:ind w:left="20"/>
              <w:spacing w:after="0"/>
              <w:rPr>
                <w:sz w:val="20"/>
                <w:szCs w:val="20"/>
                <w:color w:val="auto"/>
              </w:rPr>
            </w:pPr>
            <w:r>
              <w:rPr>
                <w:rFonts w:ascii="Arial" w:cs="Arial" w:eastAsia="Arial" w:hAnsi="Arial"/>
                <w:sz w:val="18"/>
                <w:szCs w:val="18"/>
                <w:color w:val="auto"/>
              </w:rPr>
              <w:t>Joseph Molluso</w:t>
            </w:r>
          </w:p>
        </w:tc>
        <w:tc>
          <w:tcPr>
            <w:tcW w:w="3460" w:type="dxa"/>
            <w:vAlign w:val="bottom"/>
            <w:gridSpan w:val="4"/>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$1,250,000</w:t>
            </w:r>
            <w:r>
              <w:rPr>
                <w:rFonts w:ascii="Arial" w:cs="Arial" w:eastAsia="Arial" w:hAnsi="Arial"/>
                <w:sz w:val="30"/>
                <w:szCs w:val="30"/>
                <w:color w:val="auto"/>
                <w:vertAlign w:val="subscript"/>
              </w:rPr>
              <w:t>​​ ​​</w:t>
            </w:r>
            <w:r>
              <w:rPr>
                <w:rFonts w:ascii="Arial" w:cs="Arial" w:eastAsia="Arial" w:hAnsi="Arial"/>
                <w:sz w:val="16"/>
                <w:szCs w:val="16"/>
                <w:color w:val="auto"/>
              </w:rPr>
              <w:t>$1,250,000</w:t>
            </w:r>
            <w:r>
              <w:rPr>
                <w:rFonts w:ascii="Arial" w:cs="Arial" w:eastAsia="Arial" w:hAnsi="Arial"/>
                <w:sz w:val="30"/>
                <w:szCs w:val="30"/>
                <w:color w:val="auto"/>
                <w:vertAlign w:val="subscript"/>
              </w:rPr>
              <w:t>​​ ​</w:t>
            </w:r>
          </w:p>
        </w:tc>
        <w:tc>
          <w:tcPr>
            <w:tcW w:w="420" w:type="dxa"/>
            <w:vAlign w:val="bottom"/>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$2,500,000 </w:t>
            </w:r>
            <w:r>
              <w:rPr>
                <w:rFonts w:ascii="Arial" w:cs="Arial" w:eastAsia="Arial" w:hAnsi="Arial"/>
                <w:sz w:val="30"/>
                <w:szCs w:val="30"/>
                <w:b w:val="1"/>
                <w:bCs w:val="1"/>
                <w:color w:val="auto"/>
                <w:vertAlign w:val="subscript"/>
              </w:rPr>
              <w:t>​</w:t>
            </w:r>
          </w:p>
        </w:tc>
      </w:tr>
      <w:tr>
        <w:trPr>
          <w:trHeight w:val="263"/>
        </w:trPr>
        <w:tc>
          <w:tcPr>
            <w:tcW w:w="2180" w:type="dxa"/>
            <w:vAlign w:val="bottom"/>
            <w:tcBorders>
              <w:top w:val="single" w:sz="8" w:color="00C389"/>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Brett Fairclough</w:t>
            </w:r>
          </w:p>
        </w:tc>
        <w:tc>
          <w:tcPr>
            <w:tcW w:w="2440" w:type="dxa"/>
            <w:vAlign w:val="bottom"/>
            <w:tcBorders>
              <w:top w:val="single" w:sz="8" w:color="00C389"/>
              <w:bottom w:val="single" w:sz="8" w:color="00C389"/>
            </w:tcBorders>
            <w:gridSpan w:val="3"/>
            <w:shd w:val="clear" w:color="auto" w:fill="CCEEFF"/>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$1,250,000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Borders>
              <w:top w:val="single" w:sz="8" w:color="00C389"/>
              <w:bottom w:val="single" w:sz="8" w:color="00C389"/>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750,000</w:t>
            </w:r>
            <w:r>
              <w:rPr>
                <w:rFonts w:ascii="Arial" w:cs="Arial" w:eastAsia="Arial" w:hAnsi="Arial"/>
                <w:sz w:val="30"/>
                <w:szCs w:val="30"/>
                <w:color w:val="auto"/>
                <w:vertAlign w:val="subscript"/>
              </w:rPr>
              <w:t>​​ ​</w:t>
            </w:r>
          </w:p>
        </w:tc>
        <w:tc>
          <w:tcPr>
            <w:tcW w:w="920" w:type="dxa"/>
            <w:vAlign w:val="bottom"/>
            <w:tcBorders>
              <w:top w:val="single" w:sz="8" w:color="00C389"/>
              <w:bottom w:val="single" w:sz="8" w:color="00C389"/>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$500,000</w:t>
            </w:r>
          </w:p>
        </w:tc>
        <w:tc>
          <w:tcPr>
            <w:tcW w:w="1340" w:type="dxa"/>
            <w:vAlign w:val="bottom"/>
            <w:tcBorders>
              <w:top w:val="single" w:sz="8" w:color="00C389"/>
              <w:bottom w:val="single" w:sz="8" w:color="00C389"/>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$2,500,000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2180" w:type="dxa"/>
            <w:vAlign w:val="bottom"/>
          </w:tcPr>
          <w:p>
            <w:pPr>
              <w:ind w:left="20"/>
              <w:spacing w:after="0"/>
              <w:rPr>
                <w:sz w:val="20"/>
                <w:szCs w:val="20"/>
                <w:color w:val="auto"/>
              </w:rPr>
            </w:pPr>
            <w:r>
              <w:rPr>
                <w:rFonts w:ascii="Arial" w:cs="Arial" w:eastAsia="Arial" w:hAnsi="Arial"/>
                <w:sz w:val="18"/>
                <w:szCs w:val="18"/>
                <w:color w:val="auto"/>
              </w:rPr>
              <w:t>Stephen Cavoli</w:t>
            </w:r>
          </w:p>
        </w:tc>
        <w:tc>
          <w:tcPr>
            <w:tcW w:w="2440" w:type="dxa"/>
            <w:vAlign w:val="bottom"/>
            <w:gridSpan w:val="3"/>
          </w:tcPr>
          <w:p>
            <w:pPr>
              <w:ind w:left="92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$1,250,000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Pr>
          <w:p>
            <w:pPr>
              <w:ind w:left="80"/>
              <w:spacing w:after="0" w:line="264" w:lineRule="exact"/>
              <w:rPr>
                <w:sz w:val="20"/>
                <w:szCs w:val="20"/>
                <w:color w:val="auto"/>
              </w:rPr>
            </w:pPr>
            <w:r>
              <w:rPr>
                <w:rFonts w:ascii="Arial" w:cs="Arial" w:eastAsia="Arial" w:hAnsi="Arial"/>
                <w:sz w:val="16"/>
                <w:szCs w:val="16"/>
                <w:color w:val="auto"/>
              </w:rPr>
              <w:t>750,000</w:t>
            </w:r>
            <w:r>
              <w:rPr>
                <w:rFonts w:ascii="Arial" w:cs="Arial" w:eastAsia="Arial" w:hAnsi="Arial"/>
                <w:sz w:val="30"/>
                <w:szCs w:val="30"/>
                <w:color w:val="auto"/>
                <w:vertAlign w:val="subscript"/>
              </w:rPr>
              <w:t>​​ ​</w:t>
            </w:r>
          </w:p>
        </w:tc>
        <w:tc>
          <w:tcPr>
            <w:tcW w:w="9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$500,000</w:t>
            </w:r>
          </w:p>
        </w:tc>
        <w:tc>
          <w:tcPr>
            <w:tcW w:w="13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$2,500,000 </w:t>
            </w:r>
            <w:r>
              <w:rPr>
                <w:rFonts w:ascii="Arial" w:cs="Arial" w:eastAsia="Arial" w:hAnsi="Arial"/>
                <w:sz w:val="30"/>
                <w:szCs w:val="30"/>
                <w:b w:val="1"/>
                <w:bCs w:val="1"/>
                <w:color w:val="auto"/>
                <w:vertAlign w:val="subscript"/>
              </w:rPr>
              <w:t>​</w:t>
            </w:r>
          </w:p>
        </w:tc>
      </w:tr>
      <w:tr>
        <w:trPr>
          <w:trHeight w:val="264"/>
        </w:trPr>
        <w:tc>
          <w:tcPr>
            <w:tcW w:w="2180" w:type="dxa"/>
            <w:vAlign w:val="bottom"/>
            <w:tcBorders>
              <w:top w:val="single" w:sz="8" w:color="00C389"/>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Sean P. Galvin</w:t>
            </w:r>
          </w:p>
        </w:tc>
        <w:tc>
          <w:tcPr>
            <w:tcW w:w="1280" w:type="dxa"/>
            <w:vAlign w:val="bottom"/>
            <w:tcBorders>
              <w:top w:val="single" w:sz="8" w:color="00C389"/>
              <w:bottom w:val="single" w:sz="8" w:color="00C389"/>
            </w:tcBorders>
            <w:shd w:val="clear" w:color="auto" w:fill="CCEEFF"/>
          </w:tcPr>
          <w:p>
            <w:pPr>
              <w:ind w:left="92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60" w:type="dxa"/>
            <w:vAlign w:val="bottom"/>
            <w:tcBorders>
              <w:top w:val="single" w:sz="8" w:color="00C389"/>
              <w:bottom w:val="single" w:sz="8" w:color="00C389"/>
            </w:tcBorders>
            <w:gridSpan w:val="2"/>
            <w:shd w:val="clear" w:color="auto" w:fill="CCEEFF"/>
          </w:tcPr>
          <w:p>
            <w:pPr>
              <w:ind w:left="80"/>
              <w:spacing w:after="0" w:line="264" w:lineRule="exact"/>
              <w:rPr>
                <w:sz w:val="20"/>
                <w:szCs w:val="20"/>
                <w:color w:val="auto"/>
              </w:rPr>
            </w:pPr>
            <w:r>
              <w:rPr>
                <w:rFonts w:ascii="Arial" w:cs="Arial" w:eastAsia="Arial" w:hAnsi="Arial"/>
                <w:sz w:val="16"/>
                <w:szCs w:val="16"/>
                <w:color w:val="auto"/>
              </w:rPr>
              <w:t>540,000</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020" w:type="dxa"/>
            <w:vAlign w:val="bottom"/>
            <w:tcBorders>
              <w:top w:val="single" w:sz="8" w:color="00C389"/>
              <w:bottom w:val="single" w:sz="8" w:color="00C389"/>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216,000</w:t>
            </w:r>
            <w:r>
              <w:rPr>
                <w:rFonts w:ascii="Arial" w:cs="Arial" w:eastAsia="Arial" w:hAnsi="Arial"/>
                <w:sz w:val="30"/>
                <w:szCs w:val="30"/>
                <w:color w:val="auto"/>
                <w:vertAlign w:val="subscript"/>
              </w:rPr>
              <w:t>​​ ​</w:t>
            </w:r>
          </w:p>
        </w:tc>
        <w:tc>
          <w:tcPr>
            <w:tcW w:w="920" w:type="dxa"/>
            <w:vAlign w:val="bottom"/>
            <w:tcBorders>
              <w:top w:val="single" w:sz="8" w:color="00C389"/>
              <w:bottom w:val="single" w:sz="8" w:color="00C389"/>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$144,000</w:t>
            </w:r>
          </w:p>
        </w:tc>
        <w:tc>
          <w:tcPr>
            <w:tcW w:w="1340" w:type="dxa"/>
            <w:vAlign w:val="bottom"/>
            <w:tcBorders>
              <w:top w:val="single" w:sz="8" w:color="00C389"/>
              <w:bottom w:val="single" w:sz="8" w:color="00C389"/>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900,000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6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Cifu Equity Awards</w:t>
      </w:r>
    </w:p>
    <w:p>
      <w:pPr>
        <w:spacing w:after="0" w:line="115"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In fiscal year 2021, in accordance with the terms of his employment agreement, Mr. Cifu received a grant of 150,000 restricted stock units that are earned based on the percentage of budgeted adjusted EBITDA achieved in fiscal year 2021: 50% of the shares are earned if 70% of budgeted adjusted EBITDA is achieved and 100% of the shares are earned if 75% of budgeted adjusted EBITDA is achieved. For fiscal year 2021, our budgeted adjusted EBITDA goal was a range based on the market environment during the year. Based on the actual market environment, budgeted adjusted EBITDA was in the range of $714 to $1,187 million, and we achieved over 100% of such range. Accordingly, all of the restricted stock units granted to Mr. Cifu in fiscal year 2021 were earned, with half of the shares vesting as of December 31, 2021, and the remainder to vest as of December 31, 2022.</w:t>
      </w:r>
    </w:p>
    <w:p>
      <w:pPr>
        <w:spacing w:after="0" w:line="77" w:lineRule="exact"/>
        <w:rPr>
          <w:sz w:val="20"/>
          <w:szCs w:val="20"/>
          <w:color w:val="auto"/>
        </w:rPr>
      </w:pPr>
    </w:p>
    <w:p>
      <w:pPr>
        <w:ind w:left="760" w:right="560"/>
        <w:spacing w:after="0" w:line="287" w:lineRule="auto"/>
        <w:rPr>
          <w:sz w:val="20"/>
          <w:szCs w:val="20"/>
          <w:color w:val="auto"/>
        </w:rPr>
      </w:pPr>
      <w:r>
        <w:rPr>
          <w:rFonts w:ascii="Arial" w:cs="Arial" w:eastAsia="Arial" w:hAnsi="Arial"/>
          <w:sz w:val="18"/>
          <w:szCs w:val="18"/>
          <w:color w:val="auto"/>
        </w:rPr>
        <w:t>The Compensation Committee believes these awards incentivize Mr. Cifu to achieve key financial goals of the Company and aligns his long-term interests with those of our stockholders.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We provide a number of benefit plans to all eligible employees, including our named executive officers. These benefits include medical, dental, life insurance, business travel accident insurance, short- and long-term disability coverage and a 401(k) defined contribution plan.</w:t>
      </w:r>
    </w:p>
    <w:p>
      <w:pPr>
        <w:spacing w:after="0" w:line="63" w:lineRule="exact"/>
        <w:rPr>
          <w:sz w:val="20"/>
          <w:szCs w:val="20"/>
          <w:color w:val="auto"/>
        </w:rPr>
      </w:pPr>
    </w:p>
    <w:p>
      <w:pPr>
        <w:ind w:left="760" w:right="280"/>
        <w:spacing w:after="0" w:line="282" w:lineRule="auto"/>
        <w:rPr>
          <w:sz w:val="20"/>
          <w:szCs w:val="20"/>
          <w:color w:val="auto"/>
        </w:rPr>
      </w:pPr>
      <w:r>
        <w:rPr>
          <w:rFonts w:ascii="Arial" w:cs="Arial" w:eastAsia="Arial" w:hAnsi="Arial"/>
          <w:sz w:val="17"/>
          <w:szCs w:val="17"/>
          <w:color w:val="auto"/>
        </w:rPr>
        <w:t>On November 13, 2020, the Company adopted the Virtu Financial, Inc. Deferred Compensation Plan (the “</w:t>
      </w:r>
      <w:r>
        <w:rPr>
          <w:rFonts w:ascii="Arial" w:cs="Arial" w:eastAsia="Arial" w:hAnsi="Arial"/>
          <w:sz w:val="17"/>
          <w:szCs w:val="17"/>
          <w:b w:val="1"/>
          <w:bCs w:val="1"/>
          <w:color w:val="auto"/>
        </w:rPr>
        <w:t>DCP</w:t>
      </w:r>
      <w:r>
        <w:rPr>
          <w:rFonts w:ascii="Arial" w:cs="Arial" w:eastAsia="Arial" w:hAnsi="Arial"/>
          <w:sz w:val="17"/>
          <w:szCs w:val="17"/>
          <w:color w:val="auto"/>
        </w:rPr>
        <w:t>”). The DCP permits eligible executive officers and other employees to defer cash or equity-based compensation beginning in the calendar year ending December 31, 2021, subject to certain limitations and restrictions. The Company recognized $5.0 million as compensation cost under the DCP as of December 31, 2021.</w:t>
      </w:r>
    </w:p>
    <w:p>
      <w:pPr>
        <w:spacing w:after="0" w:line="53" w:lineRule="exact"/>
        <w:rPr>
          <w:sz w:val="20"/>
          <w:szCs w:val="20"/>
          <w:color w:val="auto"/>
        </w:rPr>
      </w:pPr>
    </w:p>
    <w:p>
      <w:pPr>
        <w:ind w:left="760" w:right="660"/>
        <w:spacing w:after="0" w:line="287" w:lineRule="auto"/>
        <w:rPr>
          <w:sz w:val="20"/>
          <w:szCs w:val="20"/>
          <w:color w:val="auto"/>
        </w:rPr>
      </w:pPr>
      <w:r>
        <w:rPr>
          <w:rFonts w:ascii="Arial" w:cs="Arial" w:eastAsia="Arial" w:hAnsi="Arial"/>
          <w:sz w:val="18"/>
          <w:szCs w:val="18"/>
          <w:color w:val="auto"/>
        </w:rPr>
        <w:t>In fiscal year 2021, only Messrs. Cifu and Molluso participated in the DCP and chose to defer a portion of his compensation in the form of deferred stock units.</w:t>
      </w:r>
    </w:p>
    <w:p>
      <w:pPr>
        <w:spacing w:after="0" w:line="6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700" w:type="dxa"/>
            <w:vAlign w:val="bottom"/>
          </w:tcPr>
          <w:p>
            <w:pPr>
              <w:jc w:val="center"/>
              <w:ind w:left="227"/>
              <w:spacing w:after="0"/>
              <w:rPr>
                <w:sz w:val="20"/>
                <w:szCs w:val="20"/>
                <w:color w:val="auto"/>
              </w:rPr>
            </w:pPr>
            <w:r>
              <w:rPr>
                <w:rFonts w:ascii="Arial" w:cs="Arial" w:eastAsia="Arial" w:hAnsi="Arial"/>
                <w:sz w:val="14"/>
                <w:szCs w:val="14"/>
                <w:b w:val="1"/>
                <w:bCs w:val="1"/>
                <w:color w:val="002554"/>
              </w:rPr>
              <w:t>Executive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2554"/>
              </w:rPr>
              <w:t>Registrant</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2554"/>
              </w:rPr>
              <w:t>Aggregate</w:t>
            </w:r>
          </w:p>
        </w:tc>
        <w:tc>
          <w:tcPr>
            <w:tcW w:w="2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002554"/>
              </w:rPr>
              <w:t>Aggregate</w:t>
            </w: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554"/>
              </w:rPr>
              <w:t>Aggregate</w:t>
            </w:r>
          </w:p>
        </w:tc>
        <w:tc>
          <w:tcPr>
            <w:tcW w:w="40" w:type="dxa"/>
            <w:vAlign w:val="bottom"/>
          </w:tcPr>
          <w:p>
            <w:pPr>
              <w:spacing w:after="0"/>
              <w:rPr>
                <w:sz w:val="14"/>
                <w:szCs w:val="14"/>
                <w:color w:val="auto"/>
              </w:rPr>
            </w:pPr>
          </w:p>
        </w:tc>
      </w:tr>
      <w:tr>
        <w:trPr>
          <w:trHeight w:val="139"/>
        </w:trPr>
        <w:tc>
          <w:tcPr>
            <w:tcW w:w="1740" w:type="dxa"/>
            <w:vAlign w:val="bottom"/>
          </w:tcPr>
          <w:p>
            <w:pPr>
              <w:spacing w:after="0"/>
              <w:rPr>
                <w:sz w:val="12"/>
                <w:szCs w:val="12"/>
                <w:color w:val="auto"/>
              </w:rPr>
            </w:pPr>
          </w:p>
        </w:tc>
        <w:tc>
          <w:tcPr>
            <w:tcW w:w="1700" w:type="dxa"/>
            <w:vAlign w:val="bottom"/>
          </w:tcPr>
          <w:p>
            <w:pPr>
              <w:jc w:val="center"/>
              <w:ind w:left="207"/>
              <w:spacing w:after="0" w:line="139" w:lineRule="exact"/>
              <w:rPr>
                <w:sz w:val="20"/>
                <w:szCs w:val="20"/>
                <w:color w:val="auto"/>
              </w:rPr>
            </w:pPr>
            <w:r>
              <w:rPr>
                <w:rFonts w:ascii="Arial" w:cs="Arial" w:eastAsia="Arial" w:hAnsi="Arial"/>
                <w:sz w:val="14"/>
                <w:szCs w:val="14"/>
                <w:b w:val="1"/>
                <w:bCs w:val="1"/>
                <w:color w:val="002554"/>
              </w:rPr>
              <w:t>Contributions</w:t>
            </w: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Contributions</w:t>
            </w:r>
          </w:p>
        </w:tc>
        <w:tc>
          <w:tcPr>
            <w:tcW w:w="2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Earnings in</w:t>
            </w:r>
          </w:p>
        </w:tc>
        <w:tc>
          <w:tcPr>
            <w:tcW w:w="260" w:type="dxa"/>
            <w:vAlign w:val="bottom"/>
          </w:tcPr>
          <w:p>
            <w:pPr>
              <w:spacing w:after="0"/>
              <w:rPr>
                <w:sz w:val="12"/>
                <w:szCs w:val="12"/>
                <w:color w:val="auto"/>
              </w:rPr>
            </w:pPr>
          </w:p>
        </w:tc>
        <w:tc>
          <w:tcPr>
            <w:tcW w:w="1120" w:type="dxa"/>
            <w:vAlign w:val="bottom"/>
            <w:gridSpan w:val="2"/>
          </w:tcPr>
          <w:p>
            <w:pPr>
              <w:jc w:val="center"/>
              <w:ind w:right="121"/>
              <w:spacing w:after="0" w:line="139" w:lineRule="exact"/>
              <w:rPr>
                <w:sz w:val="20"/>
                <w:szCs w:val="20"/>
                <w:color w:val="auto"/>
              </w:rPr>
            </w:pPr>
            <w:r>
              <w:rPr>
                <w:rFonts w:ascii="Arial" w:cs="Arial" w:eastAsia="Arial" w:hAnsi="Arial"/>
                <w:sz w:val="14"/>
                <w:szCs w:val="14"/>
                <w:b w:val="1"/>
                <w:bCs w:val="1"/>
                <w:color w:val="002554"/>
              </w:rPr>
              <w:t>Withdrawals/​</w:t>
            </w:r>
          </w:p>
        </w:tc>
        <w:tc>
          <w:tcPr>
            <w:tcW w:w="11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Balance at Last</w:t>
            </w:r>
          </w:p>
        </w:tc>
      </w:tr>
      <w:tr>
        <w:trPr>
          <w:trHeight w:val="212"/>
        </w:trPr>
        <w:tc>
          <w:tcPr>
            <w:tcW w:w="1740" w:type="dxa"/>
            <w:vAlign w:val="bottom"/>
            <w:tcBorders>
              <w:bottom w:val="single" w:sz="8" w:color="00C389"/>
            </w:tcBorders>
          </w:tcPr>
          <w:p>
            <w:pPr>
              <w:ind w:left="20"/>
              <w:spacing w:after="0"/>
              <w:rPr>
                <w:sz w:val="20"/>
                <w:szCs w:val="20"/>
                <w:color w:val="auto"/>
              </w:rPr>
            </w:pPr>
            <w:r>
              <w:rPr>
                <w:rFonts w:ascii="Arial" w:cs="Arial" w:eastAsia="Arial" w:hAnsi="Arial"/>
                <w:sz w:val="14"/>
                <w:szCs w:val="14"/>
                <w:b w:val="1"/>
                <w:bCs w:val="1"/>
                <w:color w:val="002554"/>
              </w:rPr>
              <w:t>Name</w:t>
            </w:r>
          </w:p>
        </w:tc>
        <w:tc>
          <w:tcPr>
            <w:tcW w:w="1700" w:type="dxa"/>
            <w:vAlign w:val="bottom"/>
            <w:tcBorders>
              <w:bottom w:val="single" w:sz="8" w:color="00C389"/>
            </w:tcBorders>
          </w:tcPr>
          <w:p>
            <w:pPr>
              <w:ind w:left="380"/>
              <w:spacing w:after="0" w:line="212" w:lineRule="exact"/>
              <w:rPr>
                <w:sz w:val="20"/>
                <w:szCs w:val="20"/>
                <w:color w:val="auto"/>
              </w:rPr>
            </w:pPr>
            <w:r>
              <w:rPr>
                <w:rFonts w:ascii="Arial" w:cs="Arial" w:eastAsia="Arial" w:hAnsi="Arial"/>
                <w:sz w:val="24"/>
                <w:szCs w:val="24"/>
                <w:b w:val="1"/>
                <w:bCs w:val="1"/>
                <w:color w:val="002554"/>
                <w:vertAlign w:val="subscript"/>
              </w:rPr>
              <w:t>​ ​</w:t>
            </w:r>
            <w:r>
              <w:rPr>
                <w:rFonts w:ascii="Arial" w:cs="Arial" w:eastAsia="Arial" w:hAnsi="Arial"/>
                <w:sz w:val="13"/>
                <w:szCs w:val="13"/>
                <w:b w:val="1"/>
                <w:bCs w:val="1"/>
                <w:color w:val="002554"/>
              </w:rPr>
              <w:t xml:space="preserve"> in Last FY(1)  </w:t>
            </w:r>
            <w:r>
              <w:rPr>
                <w:rFonts w:ascii="Arial" w:cs="Arial" w:eastAsia="Arial" w:hAnsi="Arial"/>
                <w:sz w:val="24"/>
                <w:szCs w:val="24"/>
                <w:b w:val="1"/>
                <w:bCs w:val="1"/>
                <w:color w:val="002554"/>
                <w:vertAlign w:val="subscript"/>
              </w:rPr>
              <w:t>​ ​</w:t>
            </w:r>
          </w:p>
        </w:tc>
        <w:tc>
          <w:tcPr>
            <w:tcW w:w="9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in Last FY</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80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Last FY</w:t>
            </w:r>
          </w:p>
        </w:tc>
        <w:tc>
          <w:tcPr>
            <w:tcW w:w="1380" w:type="dxa"/>
            <w:vAlign w:val="bottom"/>
            <w:tcBorders>
              <w:bottom w:val="single" w:sz="8" w:color="00C389"/>
            </w:tcBorders>
            <w:gridSpan w:val="3"/>
          </w:tcPr>
          <w:p>
            <w:pPr>
              <w:jc w:val="center"/>
              <w:spacing w:after="0" w:line="212" w:lineRule="exact"/>
              <w:rPr>
                <w:sz w:val="20"/>
                <w:szCs w:val="20"/>
                <w:color w:val="auto"/>
              </w:rPr>
            </w:pPr>
            <w:r>
              <w:rPr>
                <w:rFonts w:ascii="Arial" w:cs="Arial" w:eastAsia="Arial" w:hAnsi="Arial"/>
                <w:sz w:val="24"/>
                <w:szCs w:val="24"/>
                <w:b w:val="1"/>
                <w:bCs w:val="1"/>
                <w:color w:val="002554"/>
                <w:vertAlign w:val="subscript"/>
              </w:rPr>
              <w:t>​ ​</w:t>
            </w:r>
            <w:r>
              <w:rPr>
                <w:rFonts w:ascii="Arial" w:cs="Arial" w:eastAsia="Arial" w:hAnsi="Arial"/>
                <w:sz w:val="13"/>
                <w:szCs w:val="13"/>
                <w:b w:val="1"/>
                <w:bCs w:val="1"/>
                <w:color w:val="002554"/>
              </w:rPr>
              <w:t xml:space="preserve"> Distributions </w:t>
            </w:r>
            <w:r>
              <w:rPr>
                <w:rFonts w:ascii="Arial" w:cs="Arial" w:eastAsia="Arial" w:hAnsi="Arial"/>
                <w:sz w:val="24"/>
                <w:szCs w:val="24"/>
                <w:b w:val="1"/>
                <w:bCs w:val="1"/>
                <w:color w:val="002554"/>
                <w:vertAlign w:val="subscript"/>
              </w:rPr>
              <w:t>​ ​</w:t>
            </w:r>
          </w:p>
        </w:tc>
        <w:tc>
          <w:tcPr>
            <w:tcW w:w="110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FYE</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002554"/>
              </w:rPr>
              <w:t>​</w:t>
            </w:r>
          </w:p>
        </w:tc>
      </w:tr>
      <w:tr>
        <w:trPr>
          <w:trHeight w:val="263"/>
        </w:trPr>
        <w:tc>
          <w:tcPr>
            <w:tcW w:w="1740" w:type="dxa"/>
            <w:vAlign w:val="bottom"/>
            <w:tcBorders>
              <w:bottom w:val="single" w:sz="8" w:color="00C389"/>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Douglas A. Cifu</w:t>
            </w:r>
          </w:p>
        </w:tc>
        <w:tc>
          <w:tcPr>
            <w:tcW w:w="1700" w:type="dxa"/>
            <w:vAlign w:val="bottom"/>
            <w:tcBorders>
              <w:bottom w:val="single" w:sz="8" w:color="00C389"/>
            </w:tcBorders>
            <w:shd w:val="clear" w:color="auto" w:fill="CCEEFF"/>
          </w:tcPr>
          <w:p>
            <w:pPr>
              <w:ind w:left="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$4,500,000 </w:t>
            </w:r>
            <w:r>
              <w:rPr>
                <w:rFonts w:ascii="Arial" w:cs="Arial" w:eastAsia="Arial" w:hAnsi="Arial"/>
                <w:sz w:val="30"/>
                <w:szCs w:val="30"/>
                <w:color w:val="auto"/>
                <w:vertAlign w:val="subscript"/>
              </w:rPr>
              <w:t>​​ ​</w:t>
            </w:r>
          </w:p>
        </w:tc>
        <w:tc>
          <w:tcPr>
            <w:tcW w:w="960" w:type="dxa"/>
            <w:vAlign w:val="bottom"/>
            <w:tcBorders>
              <w:bottom w:val="single" w:sz="8" w:color="00C389"/>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w w:val="99"/>
              </w:rPr>
              <w:t>​</w:t>
            </w:r>
            <w:r>
              <w:rPr>
                <w:rFonts w:ascii="Arial" w:cs="Arial" w:eastAsia="Arial" w:hAnsi="Arial"/>
                <w:sz w:val="30"/>
                <w:szCs w:val="30"/>
                <w:color w:val="auto"/>
                <w:w w:val="99"/>
                <w:vertAlign w:val="superscript"/>
              </w:rPr>
              <w:t>—</w:t>
            </w:r>
          </w:p>
        </w:tc>
        <w:tc>
          <w:tcPr>
            <w:tcW w:w="2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00C389"/>
            </w:tcBorders>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$0</w:t>
            </w:r>
          </w:p>
        </w:tc>
        <w:tc>
          <w:tcPr>
            <w:tcW w:w="260" w:type="dxa"/>
            <w:vAlign w:val="bottom"/>
            <w:tcBorders>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shd w:val="clear" w:color="auto" w:fill="CCEEFF"/>
          </w:tcPr>
          <w:p>
            <w:pPr>
              <w:jc w:val="center"/>
              <w:spacing w:after="0" w:line="264" w:lineRule="exact"/>
              <w:rPr>
                <w:sz w:val="20"/>
                <w:szCs w:val="20"/>
                <w:color w:val="auto"/>
              </w:rPr>
            </w:pPr>
            <w:r>
              <w:rPr>
                <w:rFonts w:ascii="Arial" w:cs="Arial" w:eastAsia="Arial" w:hAnsi="Arial"/>
                <w:sz w:val="16"/>
                <w:szCs w:val="16"/>
                <w:color w:val="auto"/>
                <w:w w:val="99"/>
              </w:rPr>
              <w:t>​</w:t>
            </w:r>
            <w:r>
              <w:rPr>
                <w:rFonts w:ascii="Arial" w:cs="Arial" w:eastAsia="Arial" w:hAnsi="Arial"/>
                <w:sz w:val="30"/>
                <w:szCs w:val="30"/>
                <w:color w:val="auto"/>
                <w:w w:val="99"/>
                <w:vertAlign w:val="superscript"/>
              </w:rPr>
              <w:t>—</w:t>
            </w:r>
          </w:p>
        </w:tc>
        <w:tc>
          <w:tcPr>
            <w:tcW w:w="1380" w:type="dxa"/>
            <w:vAlign w:val="bottom"/>
            <w:tcBorders>
              <w:bottom w:val="single" w:sz="8" w:color="00C389"/>
              <w:right w:val="single" w:sz="8" w:color="CCEEFF"/>
            </w:tcBorders>
            <w:gridSpan w:val="2"/>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$4,500,000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1740" w:type="dxa"/>
            <w:vAlign w:val="bottom"/>
            <w:tcBorders>
              <w:bottom w:val="single" w:sz="8" w:color="00C389"/>
            </w:tcBorders>
          </w:tcPr>
          <w:p>
            <w:pPr>
              <w:ind w:left="20"/>
              <w:spacing w:after="0"/>
              <w:rPr>
                <w:sz w:val="20"/>
                <w:szCs w:val="20"/>
                <w:color w:val="auto"/>
              </w:rPr>
            </w:pPr>
            <w:r>
              <w:rPr>
                <w:rFonts w:ascii="Arial" w:cs="Arial" w:eastAsia="Arial" w:hAnsi="Arial"/>
                <w:sz w:val="18"/>
                <w:szCs w:val="18"/>
                <w:b w:val="1"/>
                <w:bCs w:val="1"/>
                <w:color w:val="auto"/>
              </w:rPr>
              <w:t>Joseph Molluso</w:t>
            </w:r>
          </w:p>
        </w:tc>
        <w:tc>
          <w:tcPr>
            <w:tcW w:w="1700" w:type="dxa"/>
            <w:vAlign w:val="bottom"/>
            <w:tcBorders>
              <w:bottom w:val="single" w:sz="8" w:color="00C389"/>
            </w:tcBorders>
          </w:tcPr>
          <w:p>
            <w:pPr>
              <w:ind w:left="38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500,000 </w:t>
            </w:r>
            <w:r>
              <w:rPr>
                <w:rFonts w:ascii="Arial" w:cs="Arial" w:eastAsia="Arial" w:hAnsi="Arial"/>
                <w:sz w:val="28"/>
                <w:szCs w:val="28"/>
                <w:color w:val="auto"/>
                <w:vertAlign w:val="subscript"/>
              </w:rPr>
              <w:t>​​ ​</w:t>
            </w:r>
          </w:p>
        </w:tc>
        <w:tc>
          <w:tcPr>
            <w:tcW w:w="960" w:type="dxa"/>
            <w:vAlign w:val="bottom"/>
            <w:tcBorders>
              <w:bottom w:val="single" w:sz="8" w:color="00C389"/>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00C389"/>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$0</w:t>
            </w:r>
          </w:p>
        </w:tc>
        <w:tc>
          <w:tcPr>
            <w:tcW w:w="2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380" w:type="dxa"/>
            <w:vAlign w:val="bottom"/>
            <w:tcBorders>
              <w:bottom w:val="single" w:sz="8" w:color="00C389"/>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500,000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76"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200" w:lineRule="exact"/>
        <w:rPr>
          <w:sz w:val="20"/>
          <w:szCs w:val="20"/>
          <w:color w:val="auto"/>
        </w:rPr>
      </w:pPr>
    </w:p>
    <w:p>
      <w:pPr>
        <w:spacing w:after="0" w:line="345"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We have previously entered into employment agreements with Messrs. Cifu, Molluso, Fairclough, and Cavoli that provide for certain severance payments and benefits in the event that such named executive officer’s employment is terminated under specified conditions. In addition, the vesting of a portion of each of these named executive officer’s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60"/>
        <w:spacing w:after="0" w:line="247" w:lineRule="auto"/>
        <w:rPr>
          <w:sz w:val="20"/>
          <w:szCs w:val="20"/>
          <w:color w:val="auto"/>
        </w:rPr>
      </w:pPr>
      <w:r>
        <w:rPr>
          <w:rFonts w:ascii="Arial" w:cs="Arial" w:eastAsia="Arial" w:hAnsi="Arial"/>
          <w:sz w:val="18"/>
          <w:szCs w:val="18"/>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w:t>
      </w:r>
      <w:r>
        <w:rPr>
          <w:rFonts w:ascii="Arial" w:cs="Arial" w:eastAsia="Arial" w:hAnsi="Arial"/>
          <w:sz w:val="18"/>
          <w:szCs w:val="18"/>
          <w:b w:val="1"/>
          <w:bCs w:val="1"/>
          <w:color w:val="auto"/>
        </w:rPr>
        <w:t>Section 162(m)</w:t>
      </w:r>
      <w:r>
        <w:rPr>
          <w:rFonts w:ascii="Arial" w:cs="Arial" w:eastAsia="Arial" w:hAnsi="Arial"/>
          <w:sz w:val="18"/>
          <w:szCs w:val="18"/>
          <w:color w:val="auto"/>
        </w:rPr>
        <w:t>”), subject to certain limited exceptions. Following recent changes to Section 162(m) or related rules, deductibility for 2021 compensation may only be permitted in certain limited cases, if at all, and for future periods may not be permitted at all.</w:t>
      </w:r>
    </w:p>
    <w:p>
      <w:pPr>
        <w:spacing w:after="0" w:line="82"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Nevertheless, even if Section 162(m) were to apply to compensation paid to our named executive officers, our board of directors believes that it should not be constrained by the requirements of 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67"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169" w:lineRule="exact"/>
        <w:rPr>
          <w:sz w:val="20"/>
          <w:szCs w:val="20"/>
          <w:color w:val="auto"/>
        </w:rPr>
      </w:pPr>
    </w:p>
    <w:p>
      <w:pPr>
        <w:ind w:left="2940"/>
        <w:spacing w:after="0"/>
        <w:rPr>
          <w:sz w:val="20"/>
          <w:szCs w:val="20"/>
          <w:color w:val="auto"/>
        </w:rPr>
      </w:pPr>
      <w:r>
        <w:rPr>
          <w:rFonts w:ascii="Arial" w:cs="Arial" w:eastAsia="Arial" w:hAnsi="Arial"/>
          <w:sz w:val="29"/>
          <w:szCs w:val="29"/>
          <w:color w:val="00C389"/>
        </w:rPr>
        <w:t>SUMMARY COMPENSATION TABLE</w:t>
      </w:r>
    </w:p>
    <w:p>
      <w:pPr>
        <w:spacing w:after="0" w:line="112" w:lineRule="exact"/>
        <w:rPr>
          <w:sz w:val="20"/>
          <w:szCs w:val="20"/>
          <w:color w:val="auto"/>
        </w:rPr>
      </w:pPr>
    </w:p>
    <w:p>
      <w:pPr>
        <w:ind w:left="760" w:right="320"/>
        <w:spacing w:after="0" w:line="287" w:lineRule="auto"/>
        <w:rPr>
          <w:sz w:val="20"/>
          <w:szCs w:val="20"/>
          <w:color w:val="auto"/>
        </w:rPr>
      </w:pPr>
      <w:r>
        <w:rPr>
          <w:rFonts w:ascii="Arial" w:cs="Arial" w:eastAsia="Arial" w:hAnsi="Arial"/>
          <w:sz w:val="18"/>
          <w:szCs w:val="18"/>
          <w:color w:val="auto"/>
        </w:rPr>
        <w:t>The following table sets forth the cash and non-cash compensation paid by the Company during the years ended December 31, 2019, December 31, 2020, and December 31, 2021, to its named executive officers.</w:t>
      </w:r>
    </w:p>
    <w:p>
      <w:pPr>
        <w:spacing w:after="0" w:line="6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002554"/>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002554"/>
              </w:rPr>
              <w:t>Non-Equity</w:t>
            </w:r>
          </w:p>
        </w:tc>
        <w:tc>
          <w:tcPr>
            <w:tcW w:w="22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002554"/>
              </w:rPr>
              <w:t>All 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800" w:type="dxa"/>
            <w:vAlign w:val="bottom"/>
            <w:gridSpan w:val="3"/>
            <w:vMerge w:val="restart"/>
          </w:tcPr>
          <w:p>
            <w:pPr>
              <w:jc w:val="right"/>
              <w:ind w:right="67"/>
              <w:spacing w:after="0"/>
              <w:rPr>
                <w:sz w:val="20"/>
                <w:szCs w:val="20"/>
                <w:color w:val="auto"/>
              </w:rPr>
            </w:pPr>
            <w:r>
              <w:rPr>
                <w:rFonts w:ascii="Arial" w:cs="Arial" w:eastAsia="Arial" w:hAnsi="Arial"/>
                <w:sz w:val="14"/>
                <w:szCs w:val="14"/>
                <w:b w:val="1"/>
                <w:bCs w:val="1"/>
                <w:color w:val="002554"/>
              </w:rPr>
              <w:t>​​</w:t>
            </w:r>
            <w:r>
              <w:rPr>
                <w:rFonts w:ascii="Arial" w:cs="Arial" w:eastAsia="Arial" w:hAnsi="Arial"/>
                <w:sz w:val="28"/>
                <w:szCs w:val="28"/>
                <w:b w:val="1"/>
                <w:bCs w:val="1"/>
                <w:color w:val="002554"/>
                <w:vertAlign w:val="superscript"/>
              </w:rPr>
              <w:t>Year</w:t>
            </w:r>
            <w:r>
              <w:rPr>
                <w:rFonts w:ascii="Arial" w:cs="Arial" w:eastAsia="Arial" w:hAnsi="Arial"/>
                <w:sz w:val="14"/>
                <w:szCs w:val="14"/>
                <w:b w:val="1"/>
                <w:bCs w:val="1"/>
                <w:color w:val="002554"/>
              </w:rPr>
              <w:t xml:space="preserve"> ​​</w:t>
            </w:r>
          </w:p>
        </w:tc>
        <w:tc>
          <w:tcPr>
            <w:tcW w:w="8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002554"/>
              </w:rPr>
              <w:t xml:space="preserve">Salary   </w:t>
            </w:r>
            <w:r>
              <w:rPr>
                <w:rFonts w:ascii="Arial" w:cs="Arial" w:eastAsia="Arial" w:hAnsi="Arial"/>
                <w:sz w:val="28"/>
                <w:szCs w:val="28"/>
                <w:b w:val="1"/>
                <w:bCs w:val="1"/>
                <w:color w:val="002554"/>
                <w:vertAlign w:val="subscript"/>
              </w:rPr>
              <w:t>​</w:t>
            </w:r>
          </w:p>
        </w:tc>
        <w:tc>
          <w:tcPr>
            <w:tcW w:w="1000" w:type="dxa"/>
            <w:vAlign w:val="bottom"/>
            <w:gridSpan w:val="2"/>
            <w:vMerge w:val="restart"/>
          </w:tcPr>
          <w:p>
            <w:pPr>
              <w:jc w:val="right"/>
              <w:ind w:right="5"/>
              <w:spacing w:after="0"/>
              <w:rPr>
                <w:sz w:val="20"/>
                <w:szCs w:val="20"/>
                <w:color w:val="auto"/>
              </w:rPr>
            </w:pPr>
            <w:r>
              <w:rPr>
                <w:rFonts w:ascii="Arial" w:cs="Arial" w:eastAsia="Arial" w:hAnsi="Arial"/>
                <w:sz w:val="28"/>
                <w:szCs w:val="28"/>
                <w:b w:val="1"/>
                <w:bCs w:val="1"/>
                <w:color w:val="002554"/>
                <w:vertAlign w:val="subscript"/>
              </w:rPr>
              <w:t>​</w:t>
            </w:r>
            <w:r>
              <w:rPr>
                <w:rFonts w:ascii="Arial" w:cs="Arial" w:eastAsia="Arial" w:hAnsi="Arial"/>
                <w:sz w:val="14"/>
                <w:szCs w:val="14"/>
                <w:b w:val="1"/>
                <w:bCs w:val="1"/>
                <w:color w:val="002554"/>
              </w:rPr>
              <w:t xml:space="preserve"> Bonus(1)  </w:t>
            </w:r>
            <w:r>
              <w:rPr>
                <w:rFonts w:ascii="Arial" w:cs="Arial" w:eastAsia="Arial" w:hAnsi="Arial"/>
                <w:sz w:val="28"/>
                <w:szCs w:val="28"/>
                <w:b w:val="1"/>
                <w:bCs w:val="1"/>
                <w:color w:val="002554"/>
                <w:vertAlign w:val="subscript"/>
              </w:rPr>
              <w:t>​</w:t>
            </w: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002554"/>
              </w:rPr>
              <w:t>Incentive Plan</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0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Name and Principal Position</w:t>
            </w:r>
          </w:p>
        </w:tc>
        <w:tc>
          <w:tcPr>
            <w:tcW w:w="800" w:type="dxa"/>
            <w:vAlign w:val="bottom"/>
            <w:tcBorders>
              <w:bottom w:val="single" w:sz="8" w:color="00C389"/>
            </w:tcBorders>
            <w:gridSpan w:val="3"/>
            <w:vMerge w:val="continue"/>
          </w:tcPr>
          <w:p>
            <w:pPr>
              <w:spacing w:after="0"/>
              <w:rPr>
                <w:sz w:val="16"/>
                <w:szCs w:val="16"/>
                <w:color w:val="auto"/>
              </w:rPr>
            </w:pPr>
          </w:p>
        </w:tc>
        <w:tc>
          <w:tcPr>
            <w:tcW w:w="820" w:type="dxa"/>
            <w:vAlign w:val="bottom"/>
            <w:tcBorders>
              <w:bottom w:val="single" w:sz="8" w:color="00C389"/>
            </w:tcBorders>
            <w:gridSpan w:val="2"/>
            <w:vMerge w:val="continue"/>
          </w:tcPr>
          <w:p>
            <w:pPr>
              <w:spacing w:after="0"/>
              <w:rPr>
                <w:sz w:val="16"/>
                <w:szCs w:val="16"/>
                <w:color w:val="auto"/>
              </w:rPr>
            </w:pPr>
          </w:p>
        </w:tc>
        <w:tc>
          <w:tcPr>
            <w:tcW w:w="1000" w:type="dxa"/>
            <w:vAlign w:val="bottom"/>
            <w:tcBorders>
              <w:bottom w:val="single" w:sz="8" w:color="00C389"/>
            </w:tcBorders>
            <w:gridSpan w:val="2"/>
            <w:vMerge w:val="continue"/>
          </w:tcPr>
          <w:p>
            <w:pPr>
              <w:spacing w:after="0"/>
              <w:rPr>
                <w:sz w:val="16"/>
                <w:szCs w:val="16"/>
                <w:color w:val="auto"/>
              </w:rPr>
            </w:pPr>
          </w:p>
        </w:tc>
        <w:tc>
          <w:tcPr>
            <w:tcW w:w="220" w:type="dxa"/>
            <w:vAlign w:val="bottom"/>
            <w:tcBorders>
              <w:bottom w:val="single" w:sz="8" w:color="00C389"/>
            </w:tcBorders>
          </w:tcPr>
          <w:p>
            <w:pPr>
              <w:ind w:left="60"/>
              <w:spacing w:after="0"/>
              <w:rPr>
                <w:sz w:val="20"/>
                <w:szCs w:val="20"/>
                <w:color w:val="auto"/>
              </w:rPr>
            </w:pPr>
            <w:r>
              <w:rPr>
                <w:rFonts w:ascii="Arial" w:cs="Arial" w:eastAsia="Arial" w:hAnsi="Arial"/>
                <w:sz w:val="14"/>
                <w:szCs w:val="14"/>
                <w:b w:val="1"/>
                <w:bCs w:val="1"/>
                <w:color w:val="002554"/>
              </w:rPr>
              <w:t>​</w:t>
            </w:r>
          </w:p>
        </w:tc>
        <w:tc>
          <w:tcPr>
            <w:tcW w:w="860" w:type="dxa"/>
            <w:vAlign w:val="bottom"/>
            <w:tcBorders>
              <w:bottom w:val="single" w:sz="8" w:color="00C389"/>
            </w:tcBorders>
            <w:gridSpan w:val="2"/>
          </w:tcPr>
          <w:p>
            <w:pPr>
              <w:jc w:val="right"/>
              <w:ind w:right="30"/>
              <w:spacing w:after="0" w:line="189" w:lineRule="exact"/>
              <w:rPr>
                <w:sz w:val="20"/>
                <w:szCs w:val="20"/>
                <w:color w:val="auto"/>
              </w:rPr>
            </w:pPr>
            <w:r>
              <w:rPr>
                <w:rFonts w:ascii="Arial" w:cs="Arial" w:eastAsia="Arial" w:hAnsi="Arial"/>
                <w:sz w:val="12"/>
                <w:szCs w:val="12"/>
                <w:b w:val="1"/>
                <w:bCs w:val="1"/>
                <w:color w:val="002554"/>
              </w:rPr>
              <w:t xml:space="preserve">Awards   </w:t>
            </w:r>
            <w:r>
              <w:rPr>
                <w:rFonts w:ascii="Arial" w:cs="Arial" w:eastAsia="Arial" w:hAnsi="Arial"/>
                <w:sz w:val="21"/>
                <w:szCs w:val="21"/>
                <w:b w:val="1"/>
                <w:bCs w:val="1"/>
                <w:color w:val="002554"/>
                <w:vertAlign w:val="subscript"/>
              </w:rPr>
              <w:t>​</w:t>
            </w:r>
          </w:p>
        </w:tc>
        <w:tc>
          <w:tcPr>
            <w:tcW w:w="2240" w:type="dxa"/>
            <w:vAlign w:val="bottom"/>
            <w:tcBorders>
              <w:bottom w:val="single" w:sz="8" w:color="00C389"/>
            </w:tcBorders>
            <w:gridSpan w:val="6"/>
          </w:tcPr>
          <w:p>
            <w:pPr>
              <w:jc w:val="right"/>
              <w:spacing w:after="0" w:line="189" w:lineRule="exact"/>
              <w:rPr>
                <w:sz w:val="20"/>
                <w:szCs w:val="20"/>
                <w:color w:val="auto"/>
              </w:rPr>
            </w:pPr>
            <w:r>
              <w:rPr>
                <w:rFonts w:ascii="Arial" w:cs="Arial" w:eastAsia="Arial" w:hAnsi="Arial"/>
                <w:sz w:val="21"/>
                <w:szCs w:val="21"/>
                <w:b w:val="1"/>
                <w:bCs w:val="1"/>
                <w:color w:val="002554"/>
                <w:vertAlign w:val="subscript"/>
              </w:rPr>
              <w:t>​</w:t>
            </w:r>
            <w:r>
              <w:rPr>
                <w:rFonts w:ascii="Arial" w:cs="Arial" w:eastAsia="Arial" w:hAnsi="Arial"/>
                <w:sz w:val="12"/>
                <w:szCs w:val="12"/>
                <w:b w:val="1"/>
                <w:bCs w:val="1"/>
                <w:color w:val="002554"/>
              </w:rPr>
              <w:t xml:space="preserve"> Compensation </w:t>
            </w:r>
            <w:r>
              <w:rPr>
                <w:rFonts w:ascii="Arial" w:cs="Arial" w:eastAsia="Arial" w:hAnsi="Arial"/>
                <w:sz w:val="21"/>
                <w:szCs w:val="21"/>
                <w:b w:val="1"/>
                <w:bCs w:val="1"/>
                <w:color w:val="002554"/>
                <w:vertAlign w:val="subscript"/>
              </w:rPr>
              <w:t>​​</w:t>
            </w:r>
            <w:r>
              <w:rPr>
                <w:rFonts w:ascii="Arial" w:cs="Arial" w:eastAsia="Arial" w:hAnsi="Arial"/>
                <w:sz w:val="12"/>
                <w:szCs w:val="12"/>
                <w:b w:val="1"/>
                <w:bCs w:val="1"/>
                <w:color w:val="002554"/>
              </w:rPr>
              <w:t>Compensation</w:t>
            </w:r>
          </w:p>
        </w:tc>
        <w:tc>
          <w:tcPr>
            <w:tcW w:w="18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w:t>
            </w:r>
          </w:p>
        </w:tc>
        <w:tc>
          <w:tcPr>
            <w:tcW w:w="120" w:type="dxa"/>
            <w:vAlign w:val="bottom"/>
            <w:tcBorders>
              <w:bottom w:val="single" w:sz="8" w:color="00C389"/>
            </w:tcBorders>
          </w:tcPr>
          <w:p>
            <w:pPr>
              <w:ind w:left="60"/>
              <w:spacing w:after="0"/>
              <w:rPr>
                <w:sz w:val="20"/>
                <w:szCs w:val="20"/>
                <w:color w:val="auto"/>
              </w:rPr>
            </w:pPr>
            <w:r>
              <w:rPr>
                <w:rFonts w:ascii="Arial" w:cs="Arial" w:eastAsia="Arial" w:hAnsi="Arial"/>
                <w:sz w:val="14"/>
                <w:szCs w:val="14"/>
                <w:b w:val="1"/>
                <w:bCs w:val="1"/>
                <w:color w:val="002554"/>
              </w:rPr>
              <w:t>​</w:t>
            </w:r>
          </w:p>
        </w:tc>
        <w:tc>
          <w:tcPr>
            <w:tcW w:w="160" w:type="dxa"/>
            <w:vAlign w:val="bottom"/>
            <w:tcBorders>
              <w:bottom w:val="single" w:sz="8" w:color="00C389"/>
            </w:tcBorders>
          </w:tcPr>
          <w:p>
            <w:pPr>
              <w:spacing w:after="0"/>
              <w:rPr>
                <w:sz w:val="16"/>
                <w:szCs w:val="16"/>
                <w:color w:val="auto"/>
              </w:rPr>
            </w:pPr>
          </w:p>
        </w:tc>
        <w:tc>
          <w:tcPr>
            <w:tcW w:w="680" w:type="dxa"/>
            <w:vAlign w:val="bottom"/>
            <w:tcBorders>
              <w:bottom w:val="single" w:sz="8" w:color="00C389"/>
            </w:tcBorders>
          </w:tcPr>
          <w:p>
            <w:pPr>
              <w:jc w:val="right"/>
              <w:ind w:right="168"/>
              <w:spacing w:after="0"/>
              <w:rPr>
                <w:sz w:val="20"/>
                <w:szCs w:val="20"/>
                <w:color w:val="auto"/>
              </w:rPr>
            </w:pPr>
            <w:r>
              <w:rPr>
                <w:rFonts w:ascii="Arial" w:cs="Arial" w:eastAsia="Arial" w:hAnsi="Arial"/>
                <w:sz w:val="14"/>
                <w:szCs w:val="14"/>
                <w:b w:val="1"/>
                <w:bCs w:val="1"/>
                <w:color w:val="002554"/>
              </w:rPr>
              <w:t>Total</w:t>
            </w:r>
          </w:p>
        </w:tc>
        <w:tc>
          <w:tcPr>
            <w:tcW w:w="40" w:type="dxa"/>
            <w:vAlign w:val="bottom"/>
          </w:tcPr>
          <w:p>
            <w:pPr>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1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Douglas A. Cifu</w:t>
            </w:r>
          </w:p>
        </w:tc>
        <w:tc>
          <w:tcPr>
            <w:tcW w:w="160" w:type="dxa"/>
            <w:vAlign w:val="bottom"/>
          </w:tcPr>
          <w:p>
            <w:pPr>
              <w:spacing w:after="0"/>
              <w:rPr>
                <w:sz w:val="10"/>
                <w:szCs w:val="10"/>
                <w:color w:val="auto"/>
              </w:rPr>
            </w:pPr>
          </w:p>
        </w:tc>
        <w:tc>
          <w:tcPr>
            <w:tcW w:w="400" w:type="dxa"/>
            <w:vAlign w:val="bottom"/>
            <w:shd w:val="clear" w:color="auto" w:fill="CCEEFF"/>
          </w:tcPr>
          <w:p>
            <w:pPr>
              <w:jc w:val="right"/>
              <w:ind w:right="227"/>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27"/>
              <w:spacing w:after="0" w:line="11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760" w:type="dxa"/>
            <w:vAlign w:val="bottom"/>
            <w:shd w:val="clear" w:color="auto" w:fill="CCEEFF"/>
          </w:tcPr>
          <w:p>
            <w:pPr>
              <w:jc w:val="right"/>
              <w:ind w:right="5"/>
              <w:spacing w:after="0" w:line="115" w:lineRule="exact"/>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 ​</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0"/>
                <w:szCs w:val="10"/>
                <w:color w:val="auto"/>
              </w:rPr>
            </w:pP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2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Borders>
              <w:bottom w:val="single" w:sz="8" w:color="CCEEFF"/>
            </w:tcBorders>
            <w:shd w:val="clear" w:color="auto" w:fill="CCEEFF"/>
          </w:tcPr>
          <w:p>
            <w:pPr>
              <w:jc w:val="right"/>
              <w:spacing w:after="0" w:line="74" w:lineRule="exact"/>
              <w:rPr>
                <w:sz w:val="20"/>
                <w:szCs w:val="20"/>
                <w:color w:val="auto"/>
              </w:rPr>
            </w:pPr>
            <w:r>
              <w:rPr>
                <w:rFonts w:ascii="Arial" w:cs="Arial" w:eastAsia="Arial" w:hAnsi="Arial"/>
                <w:sz w:val="8"/>
                <w:szCs w:val="8"/>
                <w:color w:val="auto"/>
              </w:rPr>
              <w:t>​2021</w:t>
            </w:r>
          </w:p>
        </w:tc>
        <w:tc>
          <w:tcPr>
            <w:tcW w:w="86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$1,000,000</w:t>
            </w:r>
          </w:p>
        </w:tc>
        <w:tc>
          <w:tcPr>
            <w:tcW w:w="2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ind w:left="100"/>
              <w:spacing w:after="0" w:line="74" w:lineRule="exact"/>
              <w:rPr>
                <w:sz w:val="20"/>
                <w:szCs w:val="20"/>
                <w:color w:val="auto"/>
              </w:rPr>
            </w:pPr>
            <w:r>
              <w:rPr>
                <w:rFonts w:ascii="Arial" w:cs="Arial" w:eastAsia="Arial" w:hAnsi="Arial"/>
                <w:sz w:val="8"/>
                <w:szCs w:val="8"/>
                <w:color w:val="auto"/>
              </w:rPr>
              <w:t>$</w:t>
            </w:r>
          </w:p>
        </w:tc>
        <w:tc>
          <w:tcPr>
            <w:tcW w:w="760" w:type="dxa"/>
            <w:vAlign w:val="bottom"/>
            <w:tcBorders>
              <w:bottom w:val="single" w:sz="8" w:color="CCEEFF"/>
            </w:tcBorders>
            <w:shd w:val="clear" w:color="auto" w:fill="CCEEFF"/>
          </w:tcPr>
          <w:p>
            <w:pPr>
              <w:jc w:val="right"/>
              <w:ind w:right="105"/>
              <w:spacing w:after="0" w:line="74" w:lineRule="exact"/>
              <w:rPr>
                <w:sz w:val="20"/>
                <w:szCs w:val="20"/>
                <w:color w:val="auto"/>
              </w:rPr>
            </w:pPr>
            <w:r>
              <w:rPr>
                <w:rFonts w:ascii="Arial" w:cs="Arial" w:eastAsia="Arial" w:hAnsi="Arial"/>
                <w:sz w:val="8"/>
                <w:szCs w:val="8"/>
                <w:color w:val="auto"/>
              </w:rPr>
              <w:t>500,000</w:t>
            </w:r>
          </w:p>
        </w:tc>
        <w:tc>
          <w:tcPr>
            <w:tcW w:w="220" w:type="dxa"/>
            <w:vAlign w:val="bottom"/>
            <w:tcBorders>
              <w:bottom w:val="single" w:sz="8" w:color="CCEEFF"/>
            </w:tcBorders>
            <w:shd w:val="clear" w:color="auto" w:fill="CCEEFF"/>
          </w:tcPr>
          <w:p>
            <w:pPr>
              <w:ind w:left="140"/>
              <w:spacing w:after="0" w:line="74" w:lineRule="exact"/>
              <w:rPr>
                <w:sz w:val="20"/>
                <w:szCs w:val="20"/>
                <w:color w:val="auto"/>
              </w:rPr>
            </w:pPr>
            <w:r>
              <w:rPr>
                <w:rFonts w:ascii="Arial" w:cs="Arial" w:eastAsia="Arial" w:hAnsi="Arial"/>
                <w:sz w:val="8"/>
                <w:szCs w:val="8"/>
                <w:color w:val="auto"/>
              </w:rPr>
              <w:t>$</w:t>
            </w:r>
          </w:p>
        </w:tc>
        <w:tc>
          <w:tcPr>
            <w:tcW w:w="86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6,590,500(2)</w:t>
            </w:r>
          </w:p>
        </w:tc>
        <w:tc>
          <w:tcPr>
            <w:tcW w:w="8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gridSpan w:val="3"/>
            <w:shd w:val="clear" w:color="auto" w:fill="CCEEFF"/>
          </w:tcPr>
          <w:p>
            <w:pPr>
              <w:ind w:left="160"/>
              <w:spacing w:after="0" w:line="74" w:lineRule="exact"/>
              <w:rPr>
                <w:sz w:val="20"/>
                <w:szCs w:val="20"/>
                <w:color w:val="auto"/>
              </w:rPr>
            </w:pPr>
            <w:r>
              <w:rPr>
                <w:rFonts w:ascii="Arial" w:cs="Arial" w:eastAsia="Arial" w:hAnsi="Arial"/>
                <w:sz w:val="8"/>
                <w:szCs w:val="8"/>
                <w:color w:val="auto"/>
              </w:rPr>
              <w:t>$2,000,000(3)</w:t>
            </w:r>
          </w:p>
        </w:tc>
        <w:tc>
          <w:tcPr>
            <w:tcW w:w="220" w:type="dxa"/>
            <w:vAlign w:val="bottom"/>
            <w:tcBorders>
              <w:bottom w:val="single" w:sz="8" w:color="CCEEFF"/>
            </w:tcBorders>
            <w:shd w:val="clear" w:color="auto" w:fill="CCEEFF"/>
          </w:tcPr>
          <w:p>
            <w:pPr>
              <w:ind w:left="80"/>
              <w:spacing w:after="0" w:line="74" w:lineRule="exact"/>
              <w:rPr>
                <w:sz w:val="20"/>
                <w:szCs w:val="20"/>
                <w:color w:val="auto"/>
              </w:rPr>
            </w:pPr>
            <w:r>
              <w:rPr>
                <w:rFonts w:ascii="Arial" w:cs="Arial" w:eastAsia="Arial" w:hAnsi="Arial"/>
                <w:sz w:val="8"/>
                <w:szCs w:val="8"/>
                <w:color w:val="auto"/>
              </w:rPr>
              <w:t>$</w:t>
            </w:r>
          </w:p>
        </w:tc>
        <w:tc>
          <w:tcPr>
            <w:tcW w:w="900" w:type="dxa"/>
            <w:vAlign w:val="bottom"/>
            <w:tcBorders>
              <w:bottom w:val="single" w:sz="8" w:color="CCEEFF"/>
            </w:tcBorders>
            <w:gridSpan w:val="2"/>
            <w:shd w:val="clear" w:color="auto" w:fill="CCEEFF"/>
          </w:tcPr>
          <w:p>
            <w:pPr>
              <w:jc w:val="right"/>
              <w:ind w:right="70"/>
              <w:spacing w:after="0" w:line="74" w:lineRule="exact"/>
              <w:rPr>
                <w:sz w:val="20"/>
                <w:szCs w:val="20"/>
                <w:color w:val="auto"/>
              </w:rPr>
            </w:pPr>
            <w:r>
              <w:rPr>
                <w:rFonts w:ascii="Arial" w:cs="Arial" w:eastAsia="Arial" w:hAnsi="Arial"/>
                <w:sz w:val="8"/>
                <w:szCs w:val="8"/>
                <w:color w:val="auto"/>
              </w:rPr>
              <w:t>16,761(4)</w:t>
            </w:r>
          </w:p>
        </w:tc>
        <w:tc>
          <w:tcPr>
            <w:tcW w:w="12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gridSpan w:val="2"/>
            <w:shd w:val="clear" w:color="auto" w:fill="CCEEFF"/>
          </w:tcPr>
          <w:p>
            <w:pPr>
              <w:jc w:val="right"/>
              <w:spacing w:after="0" w:line="74" w:lineRule="exact"/>
              <w:rPr>
                <w:sz w:val="20"/>
                <w:szCs w:val="20"/>
                <w:color w:val="auto"/>
              </w:rPr>
            </w:pPr>
            <w:r>
              <w:rPr>
                <w:rFonts w:ascii="Arial" w:cs="Arial" w:eastAsia="Arial" w:hAnsi="Arial"/>
                <w:sz w:val="8"/>
                <w:szCs w:val="8"/>
                <w:color w:val="auto"/>
              </w:rPr>
              <w:t>$10,107,261</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210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Chief Executive Officer</w:t>
            </w:r>
          </w:p>
        </w:tc>
        <w:tc>
          <w:tcPr>
            <w:tcW w:w="160" w:type="dxa"/>
            <w:vAlign w:val="bottom"/>
          </w:tcPr>
          <w:p>
            <w:pPr>
              <w:spacing w:after="0"/>
              <w:rPr>
                <w:sz w:val="10"/>
                <w:szCs w:val="10"/>
                <w:color w:val="auto"/>
              </w:rPr>
            </w:pPr>
          </w:p>
        </w:tc>
        <w:tc>
          <w:tcPr>
            <w:tcW w:w="400" w:type="dxa"/>
            <w:vAlign w:val="bottom"/>
          </w:tcPr>
          <w:p>
            <w:pPr>
              <w:jc w:val="right"/>
              <w:ind w:right="227"/>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20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22"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0"/>
                <w:szCs w:val="10"/>
                <w:color w:val="auto"/>
              </w:rPr>
            </w:pPr>
          </w:p>
        </w:tc>
        <w:tc>
          <w:tcPr>
            <w:tcW w:w="20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​2020</w:t>
            </w:r>
          </w:p>
        </w:tc>
        <w:tc>
          <w:tcPr>
            <w:tcW w:w="860" w:type="dxa"/>
            <w:vAlign w:val="bottom"/>
            <w:gridSpan w:val="2"/>
          </w:tcPr>
          <w:p>
            <w:pPr>
              <w:jc w:val="right"/>
              <w:spacing w:after="0" w:line="59" w:lineRule="exact"/>
              <w:rPr>
                <w:sz w:val="20"/>
                <w:szCs w:val="20"/>
                <w:color w:val="auto"/>
              </w:rPr>
            </w:pPr>
            <w:r>
              <w:rPr>
                <w:rFonts w:ascii="Arial" w:cs="Arial" w:eastAsia="Arial" w:hAnsi="Arial"/>
                <w:sz w:val="6"/>
                <w:szCs w:val="6"/>
                <w:color w:val="auto"/>
              </w:rPr>
              <w:t>$1,000,000</w:t>
            </w:r>
          </w:p>
        </w:tc>
        <w:tc>
          <w:tcPr>
            <w:tcW w:w="200" w:type="dxa"/>
            <w:vAlign w:val="bottom"/>
          </w:tcPr>
          <w:p>
            <w:pPr>
              <w:spacing w:after="0"/>
              <w:rPr>
                <w:sz w:val="5"/>
                <w:szCs w:val="5"/>
                <w:color w:val="auto"/>
              </w:rPr>
            </w:pPr>
          </w:p>
        </w:tc>
        <w:tc>
          <w:tcPr>
            <w:tcW w:w="24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760" w:type="dxa"/>
            <w:vAlign w:val="bottom"/>
          </w:tcPr>
          <w:p>
            <w:pPr>
              <w:jc w:val="right"/>
              <w:ind w:right="105"/>
              <w:spacing w:after="0" w:line="59" w:lineRule="exact"/>
              <w:rPr>
                <w:sz w:val="20"/>
                <w:szCs w:val="20"/>
                <w:color w:val="auto"/>
              </w:rPr>
            </w:pPr>
            <w:r>
              <w:rPr>
                <w:rFonts w:ascii="Arial" w:cs="Arial" w:eastAsia="Arial" w:hAnsi="Arial"/>
                <w:sz w:val="6"/>
                <w:szCs w:val="6"/>
                <w:color w:val="auto"/>
              </w:rPr>
              <w:t>500,000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860" w:type="dxa"/>
            <w:vAlign w:val="bottom"/>
            <w:gridSpan w:val="2"/>
          </w:tcPr>
          <w:p>
            <w:pPr>
              <w:jc w:val="right"/>
              <w:spacing w:after="0" w:line="59" w:lineRule="exact"/>
              <w:rPr>
                <w:sz w:val="20"/>
                <w:szCs w:val="20"/>
                <w:color w:val="auto"/>
              </w:rPr>
            </w:pPr>
            <w:r>
              <w:rPr>
                <w:rFonts w:ascii="Arial" w:cs="Arial" w:eastAsia="Arial" w:hAnsi="Arial"/>
                <w:sz w:val="6"/>
                <w:szCs w:val="6"/>
                <w:color w:val="auto"/>
              </w:rPr>
              <w:t>8,759,525(2)</w:t>
            </w:r>
          </w:p>
        </w:tc>
        <w:tc>
          <w:tcPr>
            <w:tcW w:w="80" w:type="dxa"/>
            <w:vAlign w:val="bottom"/>
          </w:tcPr>
          <w:p>
            <w:pPr>
              <w:spacing w:after="0"/>
              <w:rPr>
                <w:sz w:val="5"/>
                <w:szCs w:val="5"/>
                <w:color w:val="auto"/>
              </w:rPr>
            </w:pPr>
          </w:p>
        </w:tc>
        <w:tc>
          <w:tcPr>
            <w:tcW w:w="1220" w:type="dxa"/>
            <w:vAlign w:val="bottom"/>
            <w:gridSpan w:val="3"/>
          </w:tcPr>
          <w:p>
            <w:pPr>
              <w:ind w:left="160"/>
              <w:spacing w:after="0" w:line="59" w:lineRule="exact"/>
              <w:rPr>
                <w:sz w:val="20"/>
                <w:szCs w:val="20"/>
                <w:color w:val="auto"/>
              </w:rPr>
            </w:pPr>
            <w:r>
              <w:rPr>
                <w:rFonts w:ascii="Arial" w:cs="Arial" w:eastAsia="Arial" w:hAnsi="Arial"/>
                <w:sz w:val="6"/>
                <w:szCs w:val="6"/>
                <w:color w:val="auto"/>
              </w:rPr>
              <w:t>$2,000,000(3)</w:t>
            </w: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900" w:type="dxa"/>
            <w:vAlign w:val="bottom"/>
            <w:gridSpan w:val="2"/>
          </w:tcPr>
          <w:p>
            <w:pPr>
              <w:jc w:val="right"/>
              <w:ind w:right="70"/>
              <w:spacing w:after="0" w:line="59" w:lineRule="exact"/>
              <w:rPr>
                <w:sz w:val="20"/>
                <w:szCs w:val="20"/>
                <w:color w:val="auto"/>
              </w:rPr>
            </w:pPr>
            <w:r>
              <w:rPr>
                <w:rFonts w:ascii="Arial" w:cs="Arial" w:eastAsia="Arial" w:hAnsi="Arial"/>
                <w:sz w:val="6"/>
                <w:szCs w:val="6"/>
                <w:color w:val="auto"/>
              </w:rPr>
              <w:t>4,270(4)</w:t>
            </w:r>
          </w:p>
        </w:tc>
        <w:tc>
          <w:tcPr>
            <w:tcW w:w="120" w:type="dxa"/>
            <w:vAlign w:val="bottom"/>
          </w:tcPr>
          <w:p>
            <w:pPr>
              <w:spacing w:after="0"/>
              <w:rPr>
                <w:sz w:val="5"/>
                <w:szCs w:val="5"/>
                <w:color w:val="auto"/>
              </w:rPr>
            </w:pPr>
          </w:p>
        </w:tc>
        <w:tc>
          <w:tcPr>
            <w:tcW w:w="840" w:type="dxa"/>
            <w:vAlign w:val="bottom"/>
            <w:gridSpan w:val="2"/>
          </w:tcPr>
          <w:p>
            <w:pPr>
              <w:jc w:val="right"/>
              <w:spacing w:after="0" w:line="59" w:lineRule="exact"/>
              <w:rPr>
                <w:sz w:val="20"/>
                <w:szCs w:val="20"/>
                <w:color w:val="auto"/>
              </w:rPr>
            </w:pPr>
            <w:r>
              <w:rPr>
                <w:rFonts w:ascii="Arial" w:cs="Arial" w:eastAsia="Arial" w:hAnsi="Arial"/>
                <w:sz w:val="6"/>
                <w:szCs w:val="6"/>
                <w:color w:val="auto"/>
              </w:rPr>
              <w:t>$12,263,795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ind w:right="227"/>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45"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45"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4,598,172</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10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spacing w:after="0"/>
              <w:rPr>
                <w:sz w:val="7"/>
                <w:szCs w:val="7"/>
                <w:color w:val="auto"/>
              </w:rPr>
            </w:pPr>
          </w:p>
        </w:tc>
        <w:tc>
          <w:tcPr>
            <w:tcW w:w="40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​2019</w:t>
            </w:r>
          </w:p>
        </w:tc>
        <w:tc>
          <w:tcPr>
            <w:tcW w:w="860" w:type="dxa"/>
            <w:vAlign w:val="bottom"/>
            <w:tcBorders>
              <w:bottom w:val="single" w:sz="8" w:color="00C389"/>
            </w:tcBorders>
            <w:gridSpan w:val="2"/>
          </w:tcPr>
          <w:p>
            <w:pPr>
              <w:jc w:val="right"/>
              <w:spacing w:after="0" w:line="81" w:lineRule="exact"/>
              <w:rPr>
                <w:sz w:val="20"/>
                <w:szCs w:val="20"/>
                <w:color w:val="auto"/>
              </w:rPr>
            </w:pPr>
            <w:r>
              <w:rPr>
                <w:rFonts w:ascii="Arial" w:cs="Arial" w:eastAsia="Arial" w:hAnsi="Arial"/>
                <w:sz w:val="9"/>
                <w:szCs w:val="9"/>
                <w:color w:val="auto"/>
              </w:rPr>
              <w:t>$1,000,000</w:t>
            </w:r>
          </w:p>
        </w:tc>
        <w:tc>
          <w:tcPr>
            <w:tcW w:w="200" w:type="dxa"/>
            <w:vAlign w:val="bottom"/>
            <w:tcBorders>
              <w:bottom w:val="single" w:sz="8" w:color="00C389"/>
            </w:tcBorders>
          </w:tcPr>
          <w:p>
            <w:pPr>
              <w:spacing w:after="0"/>
              <w:rPr>
                <w:sz w:val="7"/>
                <w:szCs w:val="7"/>
                <w:color w:val="auto"/>
              </w:rPr>
            </w:pPr>
          </w:p>
        </w:tc>
        <w:tc>
          <w:tcPr>
            <w:tcW w:w="240" w:type="dxa"/>
            <w:vAlign w:val="bottom"/>
            <w:tcBorders>
              <w:bottom w:val="single" w:sz="8" w:color="00C389"/>
            </w:tcBorders>
          </w:tcPr>
          <w:p>
            <w:pPr>
              <w:ind w:left="100"/>
              <w:spacing w:after="0" w:line="81" w:lineRule="exact"/>
              <w:rPr>
                <w:sz w:val="20"/>
                <w:szCs w:val="20"/>
                <w:color w:val="auto"/>
              </w:rPr>
            </w:pPr>
            <w:r>
              <w:rPr>
                <w:rFonts w:ascii="Arial" w:cs="Arial" w:eastAsia="Arial" w:hAnsi="Arial"/>
                <w:sz w:val="9"/>
                <w:szCs w:val="9"/>
                <w:color w:val="auto"/>
              </w:rPr>
              <w:t>$</w:t>
            </w:r>
          </w:p>
        </w:tc>
        <w:tc>
          <w:tcPr>
            <w:tcW w:w="760" w:type="dxa"/>
            <w:vAlign w:val="bottom"/>
            <w:tcBorders>
              <w:bottom w:val="single" w:sz="8" w:color="00C389"/>
            </w:tcBorders>
          </w:tcPr>
          <w:p>
            <w:pPr>
              <w:jc w:val="right"/>
              <w:ind w:right="105"/>
              <w:spacing w:after="0" w:line="81" w:lineRule="exact"/>
              <w:rPr>
                <w:sz w:val="20"/>
                <w:szCs w:val="20"/>
                <w:color w:val="auto"/>
              </w:rPr>
            </w:pPr>
            <w:r>
              <w:rPr>
                <w:rFonts w:ascii="Arial" w:cs="Arial" w:eastAsia="Arial" w:hAnsi="Arial"/>
                <w:sz w:val="9"/>
                <w:szCs w:val="9"/>
                <w:color w:val="auto"/>
              </w:rPr>
              <w:t>360,000</w:t>
            </w:r>
          </w:p>
        </w:tc>
        <w:tc>
          <w:tcPr>
            <w:tcW w:w="220" w:type="dxa"/>
            <w:vAlign w:val="bottom"/>
            <w:tcBorders>
              <w:bottom w:val="single" w:sz="8" w:color="00C389"/>
            </w:tcBorders>
          </w:tcPr>
          <w:p>
            <w:pPr>
              <w:ind w:left="140"/>
              <w:spacing w:after="0" w:line="81" w:lineRule="exact"/>
              <w:rPr>
                <w:sz w:val="20"/>
                <w:szCs w:val="20"/>
                <w:color w:val="auto"/>
              </w:rPr>
            </w:pPr>
            <w:r>
              <w:rPr>
                <w:rFonts w:ascii="Arial" w:cs="Arial" w:eastAsia="Arial" w:hAnsi="Arial"/>
                <w:sz w:val="9"/>
                <w:szCs w:val="9"/>
                <w:color w:val="auto"/>
              </w:rPr>
              <w:t>$</w:t>
            </w:r>
          </w:p>
        </w:tc>
        <w:tc>
          <w:tcPr>
            <w:tcW w:w="860" w:type="dxa"/>
            <w:vAlign w:val="bottom"/>
            <w:tcBorders>
              <w:bottom w:val="single" w:sz="8" w:color="00C389"/>
            </w:tcBorders>
            <w:gridSpan w:val="2"/>
          </w:tcPr>
          <w:p>
            <w:pPr>
              <w:jc w:val="right"/>
              <w:spacing w:after="0" w:line="81" w:lineRule="exact"/>
              <w:rPr>
                <w:sz w:val="20"/>
                <w:szCs w:val="20"/>
                <w:color w:val="auto"/>
              </w:rPr>
            </w:pPr>
            <w:r>
              <w:rPr>
                <w:rFonts w:ascii="Arial" w:cs="Arial" w:eastAsia="Arial" w:hAnsi="Arial"/>
                <w:sz w:val="9"/>
                <w:szCs w:val="9"/>
                <w:color w:val="auto"/>
              </w:rPr>
              <w:t>2,100,000(2)</w:t>
            </w:r>
          </w:p>
        </w:tc>
        <w:tc>
          <w:tcPr>
            <w:tcW w:w="80" w:type="dxa"/>
            <w:vAlign w:val="bottom"/>
            <w:tcBorders>
              <w:bottom w:val="single" w:sz="8" w:color="00C389"/>
            </w:tcBorders>
          </w:tcPr>
          <w:p>
            <w:pPr>
              <w:spacing w:after="0"/>
              <w:rPr>
                <w:sz w:val="7"/>
                <w:szCs w:val="7"/>
                <w:color w:val="auto"/>
              </w:rPr>
            </w:pPr>
          </w:p>
        </w:tc>
        <w:tc>
          <w:tcPr>
            <w:tcW w:w="1220" w:type="dxa"/>
            <w:vAlign w:val="bottom"/>
            <w:tcBorders>
              <w:bottom w:val="single" w:sz="8" w:color="00C389"/>
            </w:tcBorders>
            <w:gridSpan w:val="3"/>
          </w:tcPr>
          <w:p>
            <w:pPr>
              <w:ind w:left="160"/>
              <w:spacing w:after="0" w:line="81" w:lineRule="exact"/>
              <w:rPr>
                <w:sz w:val="20"/>
                <w:szCs w:val="20"/>
                <w:color w:val="auto"/>
              </w:rPr>
            </w:pPr>
            <w:r>
              <w:rPr>
                <w:rFonts w:ascii="Arial" w:cs="Arial" w:eastAsia="Arial" w:hAnsi="Arial"/>
                <w:sz w:val="9"/>
                <w:szCs w:val="9"/>
                <w:color w:val="auto"/>
              </w:rPr>
              <w:t>$1,040,000(3)</w:t>
            </w:r>
          </w:p>
        </w:tc>
        <w:tc>
          <w:tcPr>
            <w:tcW w:w="220" w:type="dxa"/>
            <w:vAlign w:val="bottom"/>
            <w:tcBorders>
              <w:bottom w:val="single" w:sz="8" w:color="00C389"/>
            </w:tcBorders>
          </w:tcPr>
          <w:p>
            <w:pPr>
              <w:ind w:left="80"/>
              <w:spacing w:after="0" w:line="81" w:lineRule="exact"/>
              <w:rPr>
                <w:sz w:val="20"/>
                <w:szCs w:val="20"/>
                <w:color w:val="auto"/>
              </w:rPr>
            </w:pPr>
            <w:r>
              <w:rPr>
                <w:rFonts w:ascii="Arial" w:cs="Arial" w:eastAsia="Arial" w:hAnsi="Arial"/>
                <w:sz w:val="9"/>
                <w:szCs w:val="9"/>
                <w:color w:val="auto"/>
              </w:rPr>
              <w:t>$</w:t>
            </w:r>
          </w:p>
        </w:tc>
        <w:tc>
          <w:tcPr>
            <w:tcW w:w="900" w:type="dxa"/>
            <w:vAlign w:val="bottom"/>
            <w:tcBorders>
              <w:bottom w:val="single" w:sz="8" w:color="00C389"/>
            </w:tcBorders>
            <w:gridSpan w:val="2"/>
          </w:tcPr>
          <w:p>
            <w:pPr>
              <w:jc w:val="right"/>
              <w:ind w:right="70"/>
              <w:spacing w:after="0" w:line="81" w:lineRule="exact"/>
              <w:rPr>
                <w:sz w:val="20"/>
                <w:szCs w:val="20"/>
                <w:color w:val="auto"/>
              </w:rPr>
            </w:pPr>
            <w:r>
              <w:rPr>
                <w:rFonts w:ascii="Arial" w:cs="Arial" w:eastAsia="Arial" w:hAnsi="Arial"/>
                <w:sz w:val="9"/>
                <w:szCs w:val="9"/>
                <w:color w:val="auto"/>
              </w:rPr>
              <w:t>98,172(4)</w:t>
            </w:r>
          </w:p>
        </w:tc>
        <w:tc>
          <w:tcPr>
            <w:tcW w:w="12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ind w:left="4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389"/>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Joseph Molluso</w:t>
            </w:r>
          </w:p>
        </w:tc>
        <w:tc>
          <w:tcPr>
            <w:tcW w:w="560" w:type="dxa"/>
            <w:vAlign w:val="bottom"/>
            <w:gridSpan w:val="2"/>
          </w:tcPr>
          <w:p>
            <w:pPr>
              <w:jc w:val="right"/>
              <w:ind w:right="227"/>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jc w:val="right"/>
              <w:ind w:right="27"/>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760" w:type="dxa"/>
            <w:vAlign w:val="bottom"/>
          </w:tcPr>
          <w:p>
            <w:pPr>
              <w:jc w:val="right"/>
              <w:ind w:right="5"/>
              <w:spacing w:after="0" w:line="115" w:lineRule="exact"/>
              <w:rPr>
                <w:sz w:val="20"/>
                <w:szCs w:val="20"/>
                <w:color w:val="auto"/>
              </w:rPr>
            </w:pPr>
            <w:r>
              <w:rPr>
                <w:rFonts w:ascii="Arial" w:cs="Arial" w:eastAsia="Arial" w:hAnsi="Arial"/>
                <w:sz w:val="13"/>
                <w:szCs w:val="13"/>
                <w:color w:val="auto"/>
              </w:rPr>
              <w:t>​ ​</w:t>
            </w:r>
          </w:p>
        </w:tc>
        <w:tc>
          <w:tcPr>
            <w:tcW w:w="220" w:type="dxa"/>
            <w:vAlign w:val="bottom"/>
          </w:tcPr>
          <w:p>
            <w:pPr>
              <w:ind w:left="60"/>
              <w:spacing w:after="0" w:line="115" w:lineRule="exact"/>
              <w:rPr>
                <w:sz w:val="20"/>
                <w:szCs w:val="20"/>
                <w:color w:val="auto"/>
              </w:rPr>
            </w:pPr>
            <w:r>
              <w:rPr>
                <w:rFonts w:ascii="Arial" w:cs="Arial" w:eastAsia="Arial" w:hAnsi="Arial"/>
                <w:sz w:val="13"/>
                <w:szCs w:val="13"/>
                <w:color w:val="auto"/>
              </w:rPr>
              <w:t>​ ​</w:t>
            </w:r>
          </w:p>
        </w:tc>
        <w:tc>
          <w:tcPr>
            <w:tcW w:w="660" w:type="dxa"/>
            <w:vAlign w:val="bottom"/>
          </w:tcPr>
          <w:p>
            <w:pPr>
              <w:spacing w:after="0"/>
              <w:rPr>
                <w:sz w:val="10"/>
                <w:szCs w:val="10"/>
                <w:color w:val="auto"/>
              </w:rPr>
            </w:pPr>
          </w:p>
        </w:tc>
        <w:tc>
          <w:tcPr>
            <w:tcW w:w="20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ind w:left="160"/>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2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ind w:left="60"/>
              <w:spacing w:after="0" w:line="115" w:lineRule="exact"/>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tcPr>
          <w:p>
            <w:pPr>
              <w:ind w:left="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4,168,500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​2021</w:t>
            </w:r>
          </w:p>
        </w:tc>
        <w:tc>
          <w:tcPr>
            <w:tcW w:w="2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760" w:type="dxa"/>
            <w:vAlign w:val="bottom"/>
          </w:tcPr>
          <w:p>
            <w:pPr>
              <w:jc w:val="right"/>
              <w:ind w:right="105"/>
              <w:spacing w:after="0" w:line="59" w:lineRule="exact"/>
              <w:rPr>
                <w:sz w:val="20"/>
                <w:szCs w:val="20"/>
                <w:color w:val="auto"/>
              </w:rPr>
            </w:pPr>
            <w:r>
              <w:rPr>
                <w:rFonts w:ascii="Arial" w:cs="Arial" w:eastAsia="Arial" w:hAnsi="Arial"/>
                <w:sz w:val="6"/>
                <w:szCs w:val="6"/>
                <w:color w:val="auto"/>
              </w:rPr>
              <w:t>250,000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860" w:type="dxa"/>
            <w:vAlign w:val="bottom"/>
            <w:gridSpan w:val="2"/>
          </w:tcPr>
          <w:p>
            <w:pPr>
              <w:jc w:val="right"/>
              <w:spacing w:after="0" w:line="59" w:lineRule="exact"/>
              <w:rPr>
                <w:sz w:val="20"/>
                <w:szCs w:val="20"/>
                <w:color w:val="auto"/>
              </w:rPr>
            </w:pPr>
            <w:r>
              <w:rPr>
                <w:rFonts w:ascii="Arial" w:cs="Arial" w:eastAsia="Arial" w:hAnsi="Arial"/>
                <w:sz w:val="6"/>
                <w:szCs w:val="6"/>
                <w:color w:val="auto"/>
              </w:rPr>
              <w:t>2,418,500(6)</w:t>
            </w:r>
          </w:p>
        </w:tc>
        <w:tc>
          <w:tcPr>
            <w:tcW w:w="80" w:type="dxa"/>
            <w:vAlign w:val="bottom"/>
          </w:tcPr>
          <w:p>
            <w:pPr>
              <w:spacing w:after="0"/>
              <w:rPr>
                <w:sz w:val="5"/>
                <w:szCs w:val="5"/>
                <w:color w:val="auto"/>
              </w:rPr>
            </w:pPr>
          </w:p>
        </w:tc>
        <w:tc>
          <w:tcPr>
            <w:tcW w:w="1000" w:type="dxa"/>
            <w:vAlign w:val="bottom"/>
            <w:gridSpan w:val="2"/>
          </w:tcPr>
          <w:p>
            <w:pPr>
              <w:ind w:left="160"/>
              <w:spacing w:after="0" w:line="59" w:lineRule="exact"/>
              <w:rPr>
                <w:sz w:val="20"/>
                <w:szCs w:val="20"/>
                <w:color w:val="auto"/>
              </w:rPr>
            </w:pPr>
            <w:r>
              <w:rPr>
                <w:rFonts w:ascii="Arial" w:cs="Arial" w:eastAsia="Arial" w:hAnsi="Arial"/>
                <w:sz w:val="6"/>
                <w:szCs w:val="6"/>
                <w:color w:val="auto"/>
              </w:rPr>
              <w:t>$1,000,000</w:t>
            </w:r>
          </w:p>
        </w:tc>
        <w:tc>
          <w:tcPr>
            <w:tcW w:w="220" w:type="dxa"/>
            <w:vAlign w:val="bottom"/>
          </w:tcPr>
          <w:p>
            <w:pPr>
              <w:spacing w:after="0"/>
              <w:rPr>
                <w:sz w:val="5"/>
                <w:szCs w:val="5"/>
                <w:color w:val="auto"/>
              </w:rPr>
            </w:pP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ind w:left="4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5" w:lineRule="exact"/>
              <w:rPr>
                <w:sz w:val="20"/>
                <w:szCs w:val="20"/>
                <w:color w:val="auto"/>
              </w:rPr>
            </w:pPr>
            <w:r>
              <w:rPr>
                <w:rFonts w:ascii="Arial" w:cs="Arial" w:eastAsia="Arial" w:hAnsi="Arial"/>
                <w:sz w:val="14"/>
                <w:szCs w:val="14"/>
                <w:i w:val="1"/>
                <w:iCs w:val="1"/>
                <w:color w:val="auto"/>
              </w:rPr>
              <w:t>Co-President and Co-Chief</w:t>
            </w:r>
          </w:p>
        </w:tc>
        <w:tc>
          <w:tcPr>
            <w:tcW w:w="160" w:type="dxa"/>
            <w:vAlign w:val="bottom"/>
          </w:tcPr>
          <w:p>
            <w:pPr>
              <w:spacing w:after="0"/>
              <w:rPr>
                <w:sz w:val="12"/>
                <w:szCs w:val="12"/>
                <w:color w:val="auto"/>
              </w:rPr>
            </w:pPr>
          </w:p>
        </w:tc>
        <w:tc>
          <w:tcPr>
            <w:tcW w:w="400" w:type="dxa"/>
            <w:vAlign w:val="bottom"/>
          </w:tcPr>
          <w:p>
            <w:pPr>
              <w:jc w:val="right"/>
              <w:ind w:right="227"/>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45"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45"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10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​2020</w:t>
            </w:r>
          </w:p>
        </w:tc>
        <w:tc>
          <w:tcPr>
            <w:tcW w:w="2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820" w:type="dxa"/>
            <w:vAlign w:val="bottom"/>
            <w:gridSpan w:val="2"/>
          </w:tcPr>
          <w:p>
            <w:pPr>
              <w:jc w:val="right"/>
              <w:spacing w:after="0" w:line="59" w:lineRule="exact"/>
              <w:rPr>
                <w:sz w:val="20"/>
                <w:szCs w:val="20"/>
                <w:color w:val="auto"/>
              </w:rPr>
            </w:pPr>
            <w:r>
              <w:rPr>
                <w:rFonts w:ascii="Arial" w:cs="Arial" w:eastAsia="Arial" w:hAnsi="Arial"/>
                <w:sz w:val="6"/>
                <w:szCs w:val="6"/>
                <w:color w:val="auto"/>
              </w:rPr>
              <w:t>273,973(5)</w:t>
            </w:r>
          </w:p>
        </w:tc>
        <w:tc>
          <w:tcPr>
            <w:tcW w:w="1000" w:type="dxa"/>
            <w:vAlign w:val="bottom"/>
            <w:gridSpan w:val="2"/>
          </w:tcPr>
          <w:p>
            <w:pPr>
              <w:jc w:val="right"/>
              <w:ind w:right="105"/>
              <w:spacing w:after="0" w:line="59" w:lineRule="exact"/>
              <w:rPr>
                <w:sz w:val="20"/>
                <w:szCs w:val="20"/>
                <w:color w:val="auto"/>
              </w:rPr>
            </w:pPr>
            <w:r>
              <w:rPr>
                <w:rFonts w:ascii="Arial" w:cs="Arial" w:eastAsia="Arial" w:hAnsi="Arial"/>
                <w:sz w:val="6"/>
                <w:szCs w:val="6"/>
                <w:color w:val="auto"/>
              </w:rPr>
              <w:t>$3,750,000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860" w:type="dxa"/>
            <w:vAlign w:val="bottom"/>
            <w:gridSpan w:val="2"/>
          </w:tcPr>
          <w:p>
            <w:pPr>
              <w:jc w:val="right"/>
              <w:spacing w:after="0" w:line="59" w:lineRule="exact"/>
              <w:rPr>
                <w:sz w:val="20"/>
                <w:szCs w:val="20"/>
                <w:color w:val="auto"/>
              </w:rPr>
            </w:pPr>
            <w:r>
              <w:rPr>
                <w:rFonts w:ascii="Arial" w:cs="Arial" w:eastAsia="Arial" w:hAnsi="Arial"/>
                <w:sz w:val="6"/>
                <w:szCs w:val="6"/>
                <w:color w:val="auto"/>
              </w:rPr>
              <w:t>7,138,500(6)</w:t>
            </w:r>
          </w:p>
        </w:tc>
        <w:tc>
          <w:tcPr>
            <w:tcW w:w="80" w:type="dxa"/>
            <w:vAlign w:val="bottom"/>
          </w:tcPr>
          <w:p>
            <w:pPr>
              <w:spacing w:after="0"/>
              <w:rPr>
                <w:sz w:val="5"/>
                <w:szCs w:val="5"/>
                <w:color w:val="auto"/>
              </w:rPr>
            </w:pPr>
          </w:p>
        </w:tc>
        <w:tc>
          <w:tcPr>
            <w:tcW w:w="50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tcPr>
          <w:p>
            <w:pPr>
              <w:jc w:val="right"/>
              <w:spacing w:after="0" w:line="59" w:lineRule="exact"/>
              <w:rPr>
                <w:sz w:val="20"/>
                <w:szCs w:val="20"/>
                <w:color w:val="auto"/>
              </w:rPr>
            </w:pPr>
            <w:r>
              <w:rPr>
                <w:rFonts w:ascii="Arial" w:cs="Arial" w:eastAsia="Arial" w:hAnsi="Arial"/>
                <w:sz w:val="6"/>
                <w:szCs w:val="6"/>
                <w:color w:val="auto"/>
              </w:rPr>
              <w:t>$ 11,162,473</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ind w:right="227"/>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45"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45"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1,625,342</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10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spacing w:after="0"/>
              <w:rPr>
                <w:sz w:val="7"/>
                <w:szCs w:val="7"/>
                <w:color w:val="auto"/>
              </w:rPr>
            </w:pPr>
          </w:p>
        </w:tc>
        <w:tc>
          <w:tcPr>
            <w:tcW w:w="40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​2019</w:t>
            </w:r>
          </w:p>
        </w:tc>
        <w:tc>
          <w:tcPr>
            <w:tcW w:w="24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w:t>
            </w:r>
          </w:p>
        </w:tc>
        <w:tc>
          <w:tcPr>
            <w:tcW w:w="820" w:type="dxa"/>
            <w:vAlign w:val="bottom"/>
            <w:tcBorders>
              <w:bottom w:val="single" w:sz="8" w:color="00C389"/>
            </w:tcBorders>
            <w:gridSpan w:val="2"/>
          </w:tcPr>
          <w:p>
            <w:pPr>
              <w:jc w:val="right"/>
              <w:spacing w:after="0" w:line="81" w:lineRule="exact"/>
              <w:rPr>
                <w:sz w:val="20"/>
                <w:szCs w:val="20"/>
                <w:color w:val="auto"/>
              </w:rPr>
            </w:pPr>
            <w:r>
              <w:rPr>
                <w:rFonts w:ascii="Arial" w:cs="Arial" w:eastAsia="Arial" w:hAnsi="Arial"/>
                <w:sz w:val="9"/>
                <w:szCs w:val="9"/>
                <w:color w:val="auto"/>
              </w:rPr>
              <w:t>375,342(7)</w:t>
            </w:r>
          </w:p>
        </w:tc>
        <w:tc>
          <w:tcPr>
            <w:tcW w:w="240" w:type="dxa"/>
            <w:vAlign w:val="bottom"/>
            <w:tcBorders>
              <w:bottom w:val="single" w:sz="8" w:color="00C389"/>
            </w:tcBorders>
          </w:tcPr>
          <w:p>
            <w:pPr>
              <w:ind w:left="100"/>
              <w:spacing w:after="0" w:line="81" w:lineRule="exact"/>
              <w:rPr>
                <w:sz w:val="20"/>
                <w:szCs w:val="20"/>
                <w:color w:val="auto"/>
              </w:rPr>
            </w:pPr>
            <w:r>
              <w:rPr>
                <w:rFonts w:ascii="Arial" w:cs="Arial" w:eastAsia="Arial" w:hAnsi="Arial"/>
                <w:sz w:val="9"/>
                <w:szCs w:val="9"/>
                <w:color w:val="auto"/>
              </w:rPr>
              <w:t>$</w:t>
            </w:r>
          </w:p>
        </w:tc>
        <w:tc>
          <w:tcPr>
            <w:tcW w:w="760" w:type="dxa"/>
            <w:vAlign w:val="bottom"/>
            <w:tcBorders>
              <w:bottom w:val="single" w:sz="8" w:color="00C389"/>
            </w:tcBorders>
          </w:tcPr>
          <w:p>
            <w:pPr>
              <w:jc w:val="right"/>
              <w:ind w:right="105"/>
              <w:spacing w:after="0" w:line="81" w:lineRule="exact"/>
              <w:rPr>
                <w:sz w:val="20"/>
                <w:szCs w:val="20"/>
                <w:color w:val="auto"/>
              </w:rPr>
            </w:pPr>
            <w:r>
              <w:rPr>
                <w:rFonts w:ascii="Arial" w:cs="Arial" w:eastAsia="Arial" w:hAnsi="Arial"/>
                <w:sz w:val="9"/>
                <w:szCs w:val="9"/>
                <w:color w:val="auto"/>
              </w:rPr>
              <w:t>—</w:t>
            </w:r>
          </w:p>
        </w:tc>
        <w:tc>
          <w:tcPr>
            <w:tcW w:w="220" w:type="dxa"/>
            <w:vAlign w:val="bottom"/>
            <w:tcBorders>
              <w:bottom w:val="single" w:sz="8" w:color="00C389"/>
            </w:tcBorders>
          </w:tcPr>
          <w:p>
            <w:pPr>
              <w:ind w:left="14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00C389"/>
            </w:tcBorders>
            <w:vMerge w:val="continue"/>
          </w:tcPr>
          <w:p>
            <w:pPr>
              <w:spacing w:after="0"/>
              <w:rPr>
                <w:sz w:val="7"/>
                <w:szCs w:val="7"/>
                <w:color w:val="auto"/>
              </w:rPr>
            </w:pPr>
          </w:p>
        </w:tc>
        <w:tc>
          <w:tcPr>
            <w:tcW w:w="200" w:type="dxa"/>
            <w:vAlign w:val="bottom"/>
            <w:tcBorders>
              <w:bottom w:val="single" w:sz="8" w:color="00C389"/>
            </w:tcBorders>
          </w:tcPr>
          <w:p>
            <w:pPr>
              <w:spacing w:after="0"/>
              <w:rPr>
                <w:sz w:val="7"/>
                <w:szCs w:val="7"/>
                <w:color w:val="auto"/>
              </w:rPr>
            </w:pPr>
          </w:p>
        </w:tc>
        <w:tc>
          <w:tcPr>
            <w:tcW w:w="80" w:type="dxa"/>
            <w:vAlign w:val="bottom"/>
            <w:tcBorders>
              <w:bottom w:val="single" w:sz="8" w:color="00C389"/>
            </w:tcBorders>
          </w:tcPr>
          <w:p>
            <w:pPr>
              <w:spacing w:after="0"/>
              <w:rPr>
                <w:sz w:val="7"/>
                <w:szCs w:val="7"/>
                <w:color w:val="auto"/>
              </w:rPr>
            </w:pPr>
          </w:p>
        </w:tc>
        <w:tc>
          <w:tcPr>
            <w:tcW w:w="500" w:type="dxa"/>
            <w:vAlign w:val="bottom"/>
            <w:tcBorders>
              <w:bottom w:val="single" w:sz="8" w:color="00C389"/>
            </w:tcBorders>
          </w:tcPr>
          <w:p>
            <w:pPr>
              <w:ind w:left="160"/>
              <w:spacing w:after="0" w:line="81"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00C389"/>
            </w:tcBorders>
            <w:vMerge w:val="continue"/>
          </w:tcPr>
          <w:p>
            <w:pPr>
              <w:spacing w:after="0"/>
              <w:rPr>
                <w:sz w:val="7"/>
                <w:szCs w:val="7"/>
                <w:color w:val="auto"/>
              </w:rPr>
            </w:pPr>
          </w:p>
        </w:tc>
        <w:tc>
          <w:tcPr>
            <w:tcW w:w="220" w:type="dxa"/>
            <w:vAlign w:val="bottom"/>
            <w:tcBorders>
              <w:bottom w:val="single" w:sz="8" w:color="00C389"/>
            </w:tcBorders>
          </w:tcPr>
          <w:p>
            <w:pPr>
              <w:spacing w:after="0"/>
              <w:rPr>
                <w:sz w:val="7"/>
                <w:szCs w:val="7"/>
                <w:color w:val="auto"/>
              </w:rPr>
            </w:pPr>
          </w:p>
        </w:tc>
        <w:tc>
          <w:tcPr>
            <w:tcW w:w="1120" w:type="dxa"/>
            <w:vAlign w:val="bottom"/>
            <w:tcBorders>
              <w:bottom w:val="single" w:sz="8" w:color="00C389"/>
            </w:tcBorders>
            <w:gridSpan w:val="3"/>
          </w:tcPr>
          <w:p>
            <w:pPr>
              <w:ind w:left="80"/>
              <w:spacing w:after="0" w:line="81" w:lineRule="exact"/>
              <w:rPr>
                <w:sz w:val="20"/>
                <w:szCs w:val="20"/>
                <w:color w:val="auto"/>
              </w:rPr>
            </w:pPr>
            <w:r>
              <w:rPr>
                <w:rFonts w:ascii="Arial" w:cs="Arial" w:eastAsia="Arial" w:hAnsi="Arial"/>
                <w:sz w:val="9"/>
                <w:szCs w:val="9"/>
                <w:color w:val="auto"/>
              </w:rPr>
              <w:t>$1,250,000(8)</w:t>
            </w:r>
          </w:p>
        </w:tc>
        <w:tc>
          <w:tcPr>
            <w:tcW w:w="12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ind w:left="4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389"/>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Brett Fairclough</w:t>
            </w:r>
          </w:p>
        </w:tc>
        <w:tc>
          <w:tcPr>
            <w:tcW w:w="160" w:type="dxa"/>
            <w:vAlign w:val="bottom"/>
          </w:tcPr>
          <w:p>
            <w:pPr>
              <w:spacing w:after="0"/>
              <w:rPr>
                <w:sz w:val="10"/>
                <w:szCs w:val="10"/>
                <w:color w:val="auto"/>
              </w:rPr>
            </w:pPr>
          </w:p>
        </w:tc>
        <w:tc>
          <w:tcPr>
            <w:tcW w:w="400" w:type="dxa"/>
            <w:vAlign w:val="bottom"/>
            <w:shd w:val="clear" w:color="auto" w:fill="CCEEFF"/>
          </w:tcPr>
          <w:p>
            <w:pPr>
              <w:jc w:val="right"/>
              <w:ind w:right="227"/>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27"/>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760" w:type="dxa"/>
            <w:vAlign w:val="bottom"/>
            <w:shd w:val="clear" w:color="auto" w:fill="CCEEFF"/>
          </w:tcPr>
          <w:p>
            <w:pPr>
              <w:jc w:val="right"/>
              <w:ind w:right="5"/>
              <w:spacing w:after="0" w:line="115" w:lineRule="exact"/>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 ​</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​2021</w:t>
            </w:r>
          </w:p>
        </w:tc>
        <w:tc>
          <w:tcPr>
            <w:tcW w:w="24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ind w:left="100"/>
              <w:spacing w:after="0" w:line="61" w:lineRule="exact"/>
              <w:rPr>
                <w:sz w:val="20"/>
                <w:szCs w:val="20"/>
                <w:color w:val="auto"/>
              </w:rPr>
            </w:pPr>
            <w:r>
              <w:rPr>
                <w:rFonts w:ascii="Arial" w:cs="Arial" w:eastAsia="Arial" w:hAnsi="Arial"/>
                <w:sz w:val="6"/>
                <w:szCs w:val="6"/>
                <w:color w:val="auto"/>
              </w:rPr>
              <w:t>$</w:t>
            </w:r>
          </w:p>
        </w:tc>
        <w:tc>
          <w:tcPr>
            <w:tcW w:w="760" w:type="dxa"/>
            <w:vAlign w:val="bottom"/>
            <w:tcBorders>
              <w:bottom w:val="single" w:sz="8" w:color="CCEEFF"/>
            </w:tcBorders>
            <w:shd w:val="clear" w:color="auto" w:fill="CCEEFF"/>
          </w:tcPr>
          <w:p>
            <w:pPr>
              <w:jc w:val="right"/>
              <w:ind w:right="105"/>
              <w:spacing w:after="0" w:line="61" w:lineRule="exact"/>
              <w:rPr>
                <w:sz w:val="20"/>
                <w:szCs w:val="20"/>
                <w:color w:val="auto"/>
              </w:rPr>
            </w:pPr>
            <w:r>
              <w:rPr>
                <w:rFonts w:ascii="Arial" w:cs="Arial" w:eastAsia="Arial" w:hAnsi="Arial"/>
                <w:sz w:val="6"/>
                <w:szCs w:val="6"/>
                <w:color w:val="auto"/>
              </w:rPr>
              <w:t>250,000</w:t>
            </w:r>
          </w:p>
        </w:tc>
        <w:tc>
          <w:tcPr>
            <w:tcW w:w="220" w:type="dxa"/>
            <w:vAlign w:val="bottom"/>
            <w:tcBorders>
              <w:bottom w:val="single" w:sz="8" w:color="CCEEFF"/>
            </w:tcBorders>
            <w:shd w:val="clear" w:color="auto" w:fill="CCEEFF"/>
          </w:tcPr>
          <w:p>
            <w:pPr>
              <w:ind w:left="140"/>
              <w:spacing w:after="0" w:line="61" w:lineRule="exact"/>
              <w:rPr>
                <w:sz w:val="20"/>
                <w:szCs w:val="20"/>
                <w:color w:val="auto"/>
              </w:rPr>
            </w:pPr>
            <w:r>
              <w:rPr>
                <w:rFonts w:ascii="Arial" w:cs="Arial" w:eastAsia="Arial" w:hAnsi="Arial"/>
                <w:sz w:val="6"/>
                <w:szCs w:val="6"/>
                <w:color w:val="auto"/>
              </w:rPr>
              <w:t>$</w:t>
            </w:r>
          </w:p>
        </w:tc>
        <w:tc>
          <w:tcPr>
            <w:tcW w:w="860" w:type="dxa"/>
            <w:vAlign w:val="bottom"/>
            <w:tcBorders>
              <w:bottom w:val="single" w:sz="8" w:color="CCEEFF"/>
            </w:tcBorders>
            <w:gridSpan w:val="2"/>
            <w:shd w:val="clear" w:color="auto" w:fill="CCEEFF"/>
          </w:tcPr>
          <w:p>
            <w:pPr>
              <w:jc w:val="right"/>
              <w:spacing w:after="0" w:line="61" w:lineRule="exact"/>
              <w:rPr>
                <w:sz w:val="20"/>
                <w:szCs w:val="20"/>
                <w:color w:val="auto"/>
              </w:rPr>
            </w:pPr>
            <w:r>
              <w:rPr>
                <w:rFonts w:ascii="Arial" w:cs="Arial" w:eastAsia="Arial" w:hAnsi="Arial"/>
                <w:sz w:val="6"/>
                <w:szCs w:val="6"/>
                <w:color w:val="auto"/>
              </w:rPr>
              <w:t>2,184,500(9)</w:t>
            </w:r>
          </w:p>
        </w:tc>
        <w:tc>
          <w:tcPr>
            <w:tcW w:w="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gridSpan w:val="2"/>
            <w:shd w:val="clear" w:color="auto" w:fill="CCEEFF"/>
          </w:tcPr>
          <w:p>
            <w:pPr>
              <w:ind w:left="160"/>
              <w:spacing w:after="0" w:line="61" w:lineRule="exact"/>
              <w:rPr>
                <w:sz w:val="20"/>
                <w:szCs w:val="20"/>
                <w:color w:val="auto"/>
              </w:rPr>
            </w:pPr>
            <w:r>
              <w:rPr>
                <w:rFonts w:ascii="Arial" w:cs="Arial" w:eastAsia="Arial" w:hAnsi="Arial"/>
                <w:sz w:val="6"/>
                <w:szCs w:val="6"/>
                <w:color w:val="auto"/>
              </w:rPr>
              <w:t>$1,000,000</w:t>
            </w:r>
          </w:p>
        </w:tc>
        <w:tc>
          <w:tcPr>
            <w:tcW w:w="2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ind w:left="80"/>
              <w:spacing w:after="0" w:line="61"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ind w:left="40"/>
              <w:spacing w:after="0" w:line="61"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Co-President and Co-Chief</w:t>
            </w:r>
          </w:p>
        </w:tc>
        <w:tc>
          <w:tcPr>
            <w:tcW w:w="160" w:type="dxa"/>
            <w:vAlign w:val="bottom"/>
          </w:tcPr>
          <w:p>
            <w:pPr>
              <w:spacing w:after="0"/>
              <w:rPr>
                <w:sz w:val="10"/>
                <w:szCs w:val="10"/>
                <w:color w:val="auto"/>
              </w:rPr>
            </w:pPr>
          </w:p>
        </w:tc>
        <w:tc>
          <w:tcPr>
            <w:tcW w:w="400" w:type="dxa"/>
            <w:vAlign w:val="bottom"/>
          </w:tcPr>
          <w:p>
            <w:pPr>
              <w:jc w:val="right"/>
              <w:ind w:right="227"/>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22"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0"/>
                <w:szCs w:val="10"/>
                <w:color w:val="auto"/>
              </w:rPr>
            </w:pPr>
          </w:p>
        </w:tc>
        <w:tc>
          <w:tcPr>
            <w:tcW w:w="20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10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Operating Officer</w:t>
            </w: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​2020</w:t>
            </w:r>
          </w:p>
        </w:tc>
        <w:tc>
          <w:tcPr>
            <w:tcW w:w="2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760" w:type="dxa"/>
            <w:vAlign w:val="bottom"/>
          </w:tcPr>
          <w:p>
            <w:pPr>
              <w:jc w:val="right"/>
              <w:ind w:right="105"/>
              <w:spacing w:after="0" w:line="59" w:lineRule="exact"/>
              <w:rPr>
                <w:sz w:val="20"/>
                <w:szCs w:val="20"/>
                <w:color w:val="auto"/>
              </w:rPr>
            </w:pPr>
            <w:r>
              <w:rPr>
                <w:rFonts w:ascii="Arial" w:cs="Arial" w:eastAsia="Arial" w:hAnsi="Arial"/>
                <w:sz w:val="6"/>
                <w:szCs w:val="6"/>
                <w:color w:val="auto"/>
              </w:rPr>
              <w:t>250,000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860" w:type="dxa"/>
            <w:vAlign w:val="bottom"/>
            <w:gridSpan w:val="2"/>
          </w:tcPr>
          <w:p>
            <w:pPr>
              <w:jc w:val="right"/>
              <w:spacing w:after="0" w:line="59" w:lineRule="exact"/>
              <w:rPr>
                <w:sz w:val="20"/>
                <w:szCs w:val="20"/>
                <w:color w:val="auto"/>
              </w:rPr>
            </w:pPr>
            <w:r>
              <w:rPr>
                <w:rFonts w:ascii="Arial" w:cs="Arial" w:eastAsia="Arial" w:hAnsi="Arial"/>
                <w:sz w:val="6"/>
                <w:szCs w:val="6"/>
                <w:color w:val="auto"/>
              </w:rPr>
              <w:t>2,109,500(9)</w:t>
            </w:r>
          </w:p>
        </w:tc>
        <w:tc>
          <w:tcPr>
            <w:tcW w:w="80" w:type="dxa"/>
            <w:vAlign w:val="bottom"/>
          </w:tcPr>
          <w:p>
            <w:pPr>
              <w:spacing w:after="0"/>
              <w:rPr>
                <w:sz w:val="5"/>
                <w:szCs w:val="5"/>
                <w:color w:val="auto"/>
              </w:rPr>
            </w:pPr>
          </w:p>
        </w:tc>
        <w:tc>
          <w:tcPr>
            <w:tcW w:w="1220" w:type="dxa"/>
            <w:vAlign w:val="bottom"/>
            <w:gridSpan w:val="3"/>
          </w:tcPr>
          <w:p>
            <w:pPr>
              <w:ind w:left="160"/>
              <w:spacing w:after="0" w:line="59" w:lineRule="exact"/>
              <w:rPr>
                <w:sz w:val="20"/>
                <w:szCs w:val="20"/>
                <w:color w:val="auto"/>
              </w:rPr>
            </w:pPr>
            <w:r>
              <w:rPr>
                <w:rFonts w:ascii="Arial" w:cs="Arial" w:eastAsia="Arial" w:hAnsi="Arial"/>
                <w:sz w:val="6"/>
                <w:szCs w:val="6"/>
                <w:color w:val="auto"/>
              </w:rPr>
              <w:t>$1,075,000(10)</w:t>
            </w: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ind w:left="4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ind w:right="227"/>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45"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160,452</w:t>
            </w: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45"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2,120,443</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10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spacing w:after="0"/>
              <w:rPr>
                <w:sz w:val="7"/>
                <w:szCs w:val="7"/>
                <w:color w:val="auto"/>
              </w:rPr>
            </w:pPr>
          </w:p>
        </w:tc>
        <w:tc>
          <w:tcPr>
            <w:tcW w:w="40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​2019</w:t>
            </w:r>
          </w:p>
        </w:tc>
        <w:tc>
          <w:tcPr>
            <w:tcW w:w="24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00C389"/>
            </w:tcBorders>
            <w:vMerge w:val="continue"/>
          </w:tcPr>
          <w:p>
            <w:pPr>
              <w:spacing w:after="0"/>
              <w:rPr>
                <w:sz w:val="7"/>
                <w:szCs w:val="7"/>
                <w:color w:val="auto"/>
              </w:rPr>
            </w:pPr>
          </w:p>
        </w:tc>
        <w:tc>
          <w:tcPr>
            <w:tcW w:w="200" w:type="dxa"/>
            <w:vAlign w:val="bottom"/>
            <w:tcBorders>
              <w:bottom w:val="single" w:sz="8" w:color="00C389"/>
            </w:tcBorders>
          </w:tcPr>
          <w:p>
            <w:pPr>
              <w:spacing w:after="0"/>
              <w:rPr>
                <w:sz w:val="7"/>
                <w:szCs w:val="7"/>
                <w:color w:val="auto"/>
              </w:rPr>
            </w:pPr>
          </w:p>
        </w:tc>
        <w:tc>
          <w:tcPr>
            <w:tcW w:w="240" w:type="dxa"/>
            <w:vAlign w:val="bottom"/>
            <w:tcBorders>
              <w:bottom w:val="single" w:sz="8" w:color="00C389"/>
            </w:tcBorders>
          </w:tcPr>
          <w:p>
            <w:pPr>
              <w:ind w:left="100"/>
              <w:spacing w:after="0" w:line="81" w:lineRule="exact"/>
              <w:rPr>
                <w:sz w:val="20"/>
                <w:szCs w:val="20"/>
                <w:color w:val="auto"/>
              </w:rPr>
            </w:pPr>
            <w:r>
              <w:rPr>
                <w:rFonts w:ascii="Arial" w:cs="Arial" w:eastAsia="Arial" w:hAnsi="Arial"/>
                <w:sz w:val="9"/>
                <w:szCs w:val="9"/>
                <w:color w:val="auto"/>
              </w:rPr>
              <w:t>$</w:t>
            </w:r>
          </w:p>
        </w:tc>
        <w:tc>
          <w:tcPr>
            <w:tcW w:w="760" w:type="dxa"/>
            <w:vAlign w:val="bottom"/>
            <w:tcBorders>
              <w:bottom w:val="single" w:sz="8" w:color="00C389"/>
            </w:tcBorders>
          </w:tcPr>
          <w:p>
            <w:pPr>
              <w:jc w:val="right"/>
              <w:ind w:right="105"/>
              <w:spacing w:after="0" w:line="81" w:lineRule="exact"/>
              <w:rPr>
                <w:sz w:val="20"/>
                <w:szCs w:val="20"/>
                <w:color w:val="auto"/>
              </w:rPr>
            </w:pPr>
            <w:r>
              <w:rPr>
                <w:rFonts w:ascii="Arial" w:cs="Arial" w:eastAsia="Arial" w:hAnsi="Arial"/>
                <w:sz w:val="9"/>
                <w:szCs w:val="9"/>
                <w:color w:val="auto"/>
              </w:rPr>
              <w:t>616,000</w:t>
            </w:r>
          </w:p>
        </w:tc>
        <w:tc>
          <w:tcPr>
            <w:tcW w:w="220" w:type="dxa"/>
            <w:vAlign w:val="bottom"/>
            <w:tcBorders>
              <w:bottom w:val="single" w:sz="8" w:color="00C389"/>
            </w:tcBorders>
          </w:tcPr>
          <w:p>
            <w:pPr>
              <w:ind w:left="140"/>
              <w:spacing w:after="0" w:line="81" w:lineRule="exact"/>
              <w:rPr>
                <w:sz w:val="20"/>
                <w:szCs w:val="20"/>
                <w:color w:val="auto"/>
              </w:rPr>
            </w:pPr>
            <w:r>
              <w:rPr>
                <w:rFonts w:ascii="Arial" w:cs="Arial" w:eastAsia="Arial" w:hAnsi="Arial"/>
                <w:sz w:val="9"/>
                <w:szCs w:val="9"/>
                <w:color w:val="auto"/>
              </w:rPr>
              <w:t>$</w:t>
            </w:r>
          </w:p>
        </w:tc>
        <w:tc>
          <w:tcPr>
            <w:tcW w:w="860" w:type="dxa"/>
            <w:vAlign w:val="bottom"/>
            <w:tcBorders>
              <w:bottom w:val="single" w:sz="8" w:color="00C389"/>
            </w:tcBorders>
            <w:gridSpan w:val="2"/>
          </w:tcPr>
          <w:p>
            <w:pPr>
              <w:jc w:val="right"/>
              <w:spacing w:after="0" w:line="81" w:lineRule="exact"/>
              <w:rPr>
                <w:sz w:val="20"/>
                <w:szCs w:val="20"/>
                <w:color w:val="auto"/>
              </w:rPr>
            </w:pPr>
            <w:r>
              <w:rPr>
                <w:rFonts w:ascii="Arial" w:cs="Arial" w:eastAsia="Arial" w:hAnsi="Arial"/>
                <w:sz w:val="9"/>
                <w:szCs w:val="9"/>
                <w:color w:val="auto"/>
              </w:rPr>
              <w:t>924,000(9)</w:t>
            </w:r>
          </w:p>
        </w:tc>
        <w:tc>
          <w:tcPr>
            <w:tcW w:w="80" w:type="dxa"/>
            <w:vAlign w:val="bottom"/>
            <w:tcBorders>
              <w:bottom w:val="single" w:sz="8" w:color="00C389"/>
            </w:tcBorders>
          </w:tcPr>
          <w:p>
            <w:pPr>
              <w:spacing w:after="0"/>
              <w:rPr>
                <w:sz w:val="7"/>
                <w:szCs w:val="7"/>
                <w:color w:val="auto"/>
              </w:rPr>
            </w:pPr>
          </w:p>
        </w:tc>
        <w:tc>
          <w:tcPr>
            <w:tcW w:w="500" w:type="dxa"/>
            <w:vAlign w:val="bottom"/>
            <w:tcBorders>
              <w:bottom w:val="single" w:sz="8" w:color="00C389"/>
            </w:tcBorders>
          </w:tcPr>
          <w:p>
            <w:pPr>
              <w:ind w:left="160"/>
              <w:spacing w:after="0" w:line="81"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00C389"/>
            </w:tcBorders>
            <w:vMerge w:val="continue"/>
          </w:tcPr>
          <w:p>
            <w:pPr>
              <w:spacing w:after="0"/>
              <w:rPr>
                <w:sz w:val="7"/>
                <w:szCs w:val="7"/>
                <w:color w:val="auto"/>
              </w:rPr>
            </w:pPr>
          </w:p>
        </w:tc>
        <w:tc>
          <w:tcPr>
            <w:tcW w:w="220" w:type="dxa"/>
            <w:vAlign w:val="bottom"/>
            <w:tcBorders>
              <w:bottom w:val="single" w:sz="8" w:color="00C389"/>
            </w:tcBorders>
          </w:tcPr>
          <w:p>
            <w:pPr>
              <w:spacing w:after="0"/>
              <w:rPr>
                <w:sz w:val="7"/>
                <w:szCs w:val="7"/>
                <w:color w:val="auto"/>
              </w:rPr>
            </w:pPr>
          </w:p>
        </w:tc>
        <w:tc>
          <w:tcPr>
            <w:tcW w:w="220" w:type="dxa"/>
            <w:vAlign w:val="bottom"/>
            <w:tcBorders>
              <w:bottom w:val="single" w:sz="8" w:color="00C389"/>
            </w:tcBorders>
          </w:tcPr>
          <w:p>
            <w:pPr>
              <w:ind w:left="80"/>
              <w:spacing w:after="0" w:line="81" w:lineRule="exact"/>
              <w:rPr>
                <w:sz w:val="20"/>
                <w:szCs w:val="20"/>
                <w:color w:val="auto"/>
              </w:rPr>
            </w:pPr>
            <w:r>
              <w:rPr>
                <w:rFonts w:ascii="Arial" w:cs="Arial" w:eastAsia="Arial" w:hAnsi="Arial"/>
                <w:sz w:val="9"/>
                <w:szCs w:val="9"/>
                <w:color w:val="auto"/>
              </w:rPr>
              <w:t>$</w:t>
            </w:r>
          </w:p>
        </w:tc>
        <w:tc>
          <w:tcPr>
            <w:tcW w:w="900" w:type="dxa"/>
            <w:vAlign w:val="bottom"/>
            <w:tcBorders>
              <w:bottom w:val="single" w:sz="8" w:color="00C389"/>
            </w:tcBorders>
            <w:gridSpan w:val="2"/>
          </w:tcPr>
          <w:p>
            <w:pPr>
              <w:jc w:val="right"/>
              <w:ind w:right="10"/>
              <w:spacing w:after="0" w:line="81" w:lineRule="exact"/>
              <w:rPr>
                <w:sz w:val="20"/>
                <w:szCs w:val="20"/>
                <w:color w:val="auto"/>
              </w:rPr>
            </w:pPr>
            <w:r>
              <w:rPr>
                <w:rFonts w:ascii="Arial" w:cs="Arial" w:eastAsia="Arial" w:hAnsi="Arial"/>
                <w:sz w:val="9"/>
                <w:szCs w:val="9"/>
                <w:color w:val="auto"/>
              </w:rPr>
              <w:t>419,991(11)</w:t>
            </w:r>
          </w:p>
        </w:tc>
        <w:tc>
          <w:tcPr>
            <w:tcW w:w="12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ind w:left="4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389"/>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Stephen Cavoli</w:t>
            </w:r>
          </w:p>
        </w:tc>
        <w:tc>
          <w:tcPr>
            <w:tcW w:w="560" w:type="dxa"/>
            <w:vAlign w:val="bottom"/>
            <w:gridSpan w:val="2"/>
          </w:tcPr>
          <w:p>
            <w:pPr>
              <w:jc w:val="right"/>
              <w:ind w:right="227"/>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jc w:val="right"/>
              <w:ind w:right="27"/>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tcPr>
          <w:p>
            <w:pPr>
              <w:ind w:left="20"/>
              <w:spacing w:after="0" w:line="115" w:lineRule="exact"/>
              <w:rPr>
                <w:sz w:val="20"/>
                <w:szCs w:val="20"/>
                <w:color w:val="auto"/>
              </w:rPr>
            </w:pPr>
            <w:r>
              <w:rPr>
                <w:rFonts w:ascii="Arial" w:cs="Arial" w:eastAsia="Arial" w:hAnsi="Arial"/>
                <w:sz w:val="13"/>
                <w:szCs w:val="13"/>
                <w:color w:val="auto"/>
              </w:rPr>
              <w:t>​ ​</w:t>
            </w:r>
          </w:p>
        </w:tc>
        <w:tc>
          <w:tcPr>
            <w:tcW w:w="760" w:type="dxa"/>
            <w:vAlign w:val="bottom"/>
          </w:tcPr>
          <w:p>
            <w:pPr>
              <w:jc w:val="right"/>
              <w:ind w:right="5"/>
              <w:spacing w:after="0" w:line="115" w:lineRule="exact"/>
              <w:rPr>
                <w:sz w:val="20"/>
                <w:szCs w:val="20"/>
                <w:color w:val="auto"/>
              </w:rPr>
            </w:pPr>
            <w:r>
              <w:rPr>
                <w:rFonts w:ascii="Arial" w:cs="Arial" w:eastAsia="Arial" w:hAnsi="Arial"/>
                <w:sz w:val="13"/>
                <w:szCs w:val="13"/>
                <w:color w:val="auto"/>
              </w:rPr>
              <w:t>​ ​</w:t>
            </w:r>
          </w:p>
        </w:tc>
        <w:tc>
          <w:tcPr>
            <w:tcW w:w="220" w:type="dxa"/>
            <w:vAlign w:val="bottom"/>
          </w:tcPr>
          <w:p>
            <w:pPr>
              <w:ind w:left="60"/>
              <w:spacing w:after="0" w:line="115" w:lineRule="exact"/>
              <w:rPr>
                <w:sz w:val="20"/>
                <w:szCs w:val="20"/>
                <w:color w:val="auto"/>
              </w:rPr>
            </w:pPr>
            <w:r>
              <w:rPr>
                <w:rFonts w:ascii="Arial" w:cs="Arial" w:eastAsia="Arial" w:hAnsi="Arial"/>
                <w:sz w:val="13"/>
                <w:szCs w:val="13"/>
                <w:color w:val="auto"/>
              </w:rPr>
              <w:t>​ ​</w:t>
            </w:r>
          </w:p>
        </w:tc>
        <w:tc>
          <w:tcPr>
            <w:tcW w:w="660" w:type="dxa"/>
            <w:vAlign w:val="bottom"/>
          </w:tcPr>
          <w:p>
            <w:pPr>
              <w:spacing w:after="0"/>
              <w:rPr>
                <w:sz w:val="10"/>
                <w:szCs w:val="10"/>
                <w:color w:val="auto"/>
              </w:rPr>
            </w:pPr>
          </w:p>
        </w:tc>
        <w:tc>
          <w:tcPr>
            <w:tcW w:w="200" w:type="dxa"/>
            <w:vAlign w:val="bottom"/>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ind w:left="160"/>
              <w:spacing w:after="0" w:line="115"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2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ind w:left="60"/>
              <w:spacing w:after="0" w:line="115" w:lineRule="exact"/>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tcPr>
          <w:p>
            <w:pPr>
              <w:ind w:left="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​2021</w:t>
            </w:r>
          </w:p>
        </w:tc>
        <w:tc>
          <w:tcPr>
            <w:tcW w:w="2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760" w:type="dxa"/>
            <w:vAlign w:val="bottom"/>
          </w:tcPr>
          <w:p>
            <w:pPr>
              <w:jc w:val="right"/>
              <w:ind w:right="105"/>
              <w:spacing w:after="0" w:line="59" w:lineRule="exact"/>
              <w:rPr>
                <w:sz w:val="20"/>
                <w:szCs w:val="20"/>
                <w:color w:val="auto"/>
              </w:rPr>
            </w:pPr>
            <w:r>
              <w:rPr>
                <w:rFonts w:ascii="Arial" w:cs="Arial" w:eastAsia="Arial" w:hAnsi="Arial"/>
                <w:sz w:val="6"/>
                <w:szCs w:val="6"/>
                <w:color w:val="auto"/>
              </w:rPr>
              <w:t>250,000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940" w:type="dxa"/>
            <w:vAlign w:val="bottom"/>
            <w:gridSpan w:val="3"/>
          </w:tcPr>
          <w:p>
            <w:pPr>
              <w:jc w:val="right"/>
              <w:spacing w:after="0" w:line="59" w:lineRule="exact"/>
              <w:rPr>
                <w:sz w:val="20"/>
                <w:szCs w:val="20"/>
                <w:color w:val="auto"/>
              </w:rPr>
            </w:pPr>
            <w:r>
              <w:rPr>
                <w:rFonts w:ascii="Arial" w:cs="Arial" w:eastAsia="Arial" w:hAnsi="Arial"/>
                <w:sz w:val="6"/>
                <w:szCs w:val="6"/>
                <w:color w:val="auto"/>
              </w:rPr>
              <w:t>2,184,500(12)</w:t>
            </w:r>
          </w:p>
        </w:tc>
        <w:tc>
          <w:tcPr>
            <w:tcW w:w="1000" w:type="dxa"/>
            <w:vAlign w:val="bottom"/>
            <w:gridSpan w:val="2"/>
          </w:tcPr>
          <w:p>
            <w:pPr>
              <w:ind w:left="160"/>
              <w:spacing w:after="0" w:line="59" w:lineRule="exact"/>
              <w:rPr>
                <w:sz w:val="20"/>
                <w:szCs w:val="20"/>
                <w:color w:val="auto"/>
              </w:rPr>
            </w:pPr>
            <w:r>
              <w:rPr>
                <w:rFonts w:ascii="Arial" w:cs="Arial" w:eastAsia="Arial" w:hAnsi="Arial"/>
                <w:sz w:val="6"/>
                <w:szCs w:val="6"/>
                <w:color w:val="auto"/>
              </w:rPr>
              <w:t>$1,000,000</w:t>
            </w:r>
          </w:p>
        </w:tc>
        <w:tc>
          <w:tcPr>
            <w:tcW w:w="220" w:type="dxa"/>
            <w:vAlign w:val="bottom"/>
          </w:tcPr>
          <w:p>
            <w:pPr>
              <w:spacing w:after="0"/>
              <w:rPr>
                <w:sz w:val="5"/>
                <w:szCs w:val="5"/>
                <w:color w:val="auto"/>
              </w:rPr>
            </w:pP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ind w:left="4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5" w:lineRule="exact"/>
              <w:rPr>
                <w:sz w:val="20"/>
                <w:szCs w:val="20"/>
                <w:color w:val="auto"/>
              </w:rPr>
            </w:pPr>
            <w:r>
              <w:rPr>
                <w:rFonts w:ascii="Arial" w:cs="Arial" w:eastAsia="Arial" w:hAnsi="Arial"/>
                <w:sz w:val="14"/>
                <w:szCs w:val="14"/>
                <w:i w:val="1"/>
                <w:iCs w:val="1"/>
                <w:color w:val="auto"/>
              </w:rPr>
              <w:t>Executive Vice President,</w:t>
            </w:r>
          </w:p>
        </w:tc>
        <w:tc>
          <w:tcPr>
            <w:tcW w:w="160" w:type="dxa"/>
            <w:vAlign w:val="bottom"/>
          </w:tcPr>
          <w:p>
            <w:pPr>
              <w:spacing w:after="0"/>
              <w:rPr>
                <w:sz w:val="12"/>
                <w:szCs w:val="12"/>
                <w:color w:val="auto"/>
              </w:rPr>
            </w:pPr>
          </w:p>
        </w:tc>
        <w:tc>
          <w:tcPr>
            <w:tcW w:w="400" w:type="dxa"/>
            <w:vAlign w:val="bottom"/>
          </w:tcPr>
          <w:p>
            <w:pPr>
              <w:jc w:val="right"/>
              <w:ind w:right="227"/>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45"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45"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3,934,500</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10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Markets</w:t>
            </w: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​2020</w:t>
            </w:r>
          </w:p>
        </w:tc>
        <w:tc>
          <w:tcPr>
            <w:tcW w:w="2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760" w:type="dxa"/>
            <w:vAlign w:val="bottom"/>
          </w:tcPr>
          <w:p>
            <w:pPr>
              <w:jc w:val="right"/>
              <w:ind w:right="105"/>
              <w:spacing w:after="0" w:line="59" w:lineRule="exact"/>
              <w:rPr>
                <w:sz w:val="20"/>
                <w:szCs w:val="20"/>
                <w:color w:val="auto"/>
              </w:rPr>
            </w:pPr>
            <w:r>
              <w:rPr>
                <w:rFonts w:ascii="Arial" w:cs="Arial" w:eastAsia="Arial" w:hAnsi="Arial"/>
                <w:sz w:val="6"/>
                <w:szCs w:val="6"/>
                <w:color w:val="auto"/>
              </w:rPr>
              <w:t>250,000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940" w:type="dxa"/>
            <w:vAlign w:val="bottom"/>
            <w:gridSpan w:val="3"/>
          </w:tcPr>
          <w:p>
            <w:pPr>
              <w:jc w:val="right"/>
              <w:spacing w:after="0" w:line="59" w:lineRule="exact"/>
              <w:rPr>
                <w:sz w:val="20"/>
                <w:szCs w:val="20"/>
                <w:color w:val="auto"/>
              </w:rPr>
            </w:pPr>
            <w:r>
              <w:rPr>
                <w:rFonts w:ascii="Arial" w:cs="Arial" w:eastAsia="Arial" w:hAnsi="Arial"/>
                <w:sz w:val="6"/>
                <w:szCs w:val="6"/>
                <w:color w:val="auto"/>
              </w:rPr>
              <w:t>2,109,500(12)</w:t>
            </w:r>
          </w:p>
        </w:tc>
        <w:tc>
          <w:tcPr>
            <w:tcW w:w="1220" w:type="dxa"/>
            <w:vAlign w:val="bottom"/>
            <w:gridSpan w:val="3"/>
          </w:tcPr>
          <w:p>
            <w:pPr>
              <w:ind w:left="160"/>
              <w:spacing w:after="0" w:line="59" w:lineRule="exact"/>
              <w:rPr>
                <w:sz w:val="20"/>
                <w:szCs w:val="20"/>
                <w:color w:val="auto"/>
              </w:rPr>
            </w:pPr>
            <w:r>
              <w:rPr>
                <w:rFonts w:ascii="Arial" w:cs="Arial" w:eastAsia="Arial" w:hAnsi="Arial"/>
                <w:sz w:val="6"/>
                <w:szCs w:val="6"/>
                <w:color w:val="auto"/>
              </w:rPr>
              <w:t>$1,075,000(13)</w:t>
            </w: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ind w:left="4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ind w:right="227"/>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45"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400,000</w:t>
            </w: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45"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45"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jc w:val="right"/>
              <w:ind w:right="30"/>
              <w:spacing w:after="0" w:line="145"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1,700,000</w:t>
            </w: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10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spacing w:after="0"/>
              <w:rPr>
                <w:sz w:val="7"/>
                <w:szCs w:val="7"/>
                <w:color w:val="auto"/>
              </w:rPr>
            </w:pPr>
          </w:p>
        </w:tc>
        <w:tc>
          <w:tcPr>
            <w:tcW w:w="40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​2019</w:t>
            </w:r>
          </w:p>
        </w:tc>
        <w:tc>
          <w:tcPr>
            <w:tcW w:w="240" w:type="dxa"/>
            <w:vAlign w:val="bottom"/>
            <w:tcBorders>
              <w:bottom w:val="single" w:sz="8" w:color="00C389"/>
            </w:tcBorders>
          </w:tcPr>
          <w:p>
            <w:pPr>
              <w:jc w:val="right"/>
              <w:spacing w:after="0" w:line="81" w:lineRule="exact"/>
              <w:rPr>
                <w:sz w:val="20"/>
                <w:szCs w:val="20"/>
                <w:color w:val="auto"/>
              </w:rPr>
            </w:pPr>
            <w:r>
              <w:rPr>
                <w:rFonts w:ascii="Arial" w:cs="Arial" w:eastAsia="Arial" w:hAnsi="Arial"/>
                <w:sz w:val="9"/>
                <w:szCs w:val="9"/>
                <w:color w:val="auto"/>
              </w:rPr>
              <w:t>$</w:t>
            </w:r>
          </w:p>
        </w:tc>
        <w:tc>
          <w:tcPr>
            <w:tcW w:w="620" w:type="dxa"/>
            <w:vAlign w:val="bottom"/>
            <w:tcBorders>
              <w:bottom w:val="single" w:sz="8" w:color="00C389"/>
            </w:tcBorders>
            <w:vMerge w:val="continue"/>
          </w:tcPr>
          <w:p>
            <w:pPr>
              <w:spacing w:after="0"/>
              <w:rPr>
                <w:sz w:val="7"/>
                <w:szCs w:val="7"/>
                <w:color w:val="auto"/>
              </w:rPr>
            </w:pPr>
          </w:p>
        </w:tc>
        <w:tc>
          <w:tcPr>
            <w:tcW w:w="200" w:type="dxa"/>
            <w:vAlign w:val="bottom"/>
            <w:tcBorders>
              <w:bottom w:val="single" w:sz="8" w:color="00C389"/>
            </w:tcBorders>
          </w:tcPr>
          <w:p>
            <w:pPr>
              <w:spacing w:after="0"/>
              <w:rPr>
                <w:sz w:val="7"/>
                <w:szCs w:val="7"/>
                <w:color w:val="auto"/>
              </w:rPr>
            </w:pPr>
          </w:p>
        </w:tc>
        <w:tc>
          <w:tcPr>
            <w:tcW w:w="240" w:type="dxa"/>
            <w:vAlign w:val="bottom"/>
            <w:tcBorders>
              <w:bottom w:val="single" w:sz="8" w:color="00C389"/>
            </w:tcBorders>
          </w:tcPr>
          <w:p>
            <w:pPr>
              <w:ind w:left="100"/>
              <w:spacing w:after="0" w:line="81" w:lineRule="exact"/>
              <w:rPr>
                <w:sz w:val="20"/>
                <w:szCs w:val="20"/>
                <w:color w:val="auto"/>
              </w:rPr>
            </w:pPr>
            <w:r>
              <w:rPr>
                <w:rFonts w:ascii="Arial" w:cs="Arial" w:eastAsia="Arial" w:hAnsi="Arial"/>
                <w:sz w:val="9"/>
                <w:szCs w:val="9"/>
                <w:color w:val="auto"/>
              </w:rPr>
              <w:t>$</w:t>
            </w:r>
          </w:p>
        </w:tc>
        <w:tc>
          <w:tcPr>
            <w:tcW w:w="760" w:type="dxa"/>
            <w:vAlign w:val="bottom"/>
            <w:tcBorders>
              <w:bottom w:val="single" w:sz="8" w:color="00C389"/>
            </w:tcBorders>
          </w:tcPr>
          <w:p>
            <w:pPr>
              <w:jc w:val="right"/>
              <w:ind w:right="105"/>
              <w:spacing w:after="0" w:line="81" w:lineRule="exact"/>
              <w:rPr>
                <w:sz w:val="20"/>
                <w:szCs w:val="20"/>
                <w:color w:val="auto"/>
              </w:rPr>
            </w:pPr>
            <w:r>
              <w:rPr>
                <w:rFonts w:ascii="Arial" w:cs="Arial" w:eastAsia="Arial" w:hAnsi="Arial"/>
                <w:sz w:val="9"/>
                <w:szCs w:val="9"/>
                <w:color w:val="auto"/>
              </w:rPr>
              <w:t>520,000</w:t>
            </w:r>
          </w:p>
        </w:tc>
        <w:tc>
          <w:tcPr>
            <w:tcW w:w="220" w:type="dxa"/>
            <w:vAlign w:val="bottom"/>
            <w:tcBorders>
              <w:bottom w:val="single" w:sz="8" w:color="00C389"/>
            </w:tcBorders>
          </w:tcPr>
          <w:p>
            <w:pPr>
              <w:ind w:left="140"/>
              <w:spacing w:after="0" w:line="81" w:lineRule="exact"/>
              <w:rPr>
                <w:sz w:val="20"/>
                <w:szCs w:val="20"/>
                <w:color w:val="auto"/>
              </w:rPr>
            </w:pPr>
            <w:r>
              <w:rPr>
                <w:rFonts w:ascii="Arial" w:cs="Arial" w:eastAsia="Arial" w:hAnsi="Arial"/>
                <w:sz w:val="9"/>
                <w:szCs w:val="9"/>
                <w:color w:val="auto"/>
              </w:rPr>
              <w:t>$</w:t>
            </w:r>
          </w:p>
        </w:tc>
        <w:tc>
          <w:tcPr>
            <w:tcW w:w="940" w:type="dxa"/>
            <w:vAlign w:val="bottom"/>
            <w:tcBorders>
              <w:bottom w:val="single" w:sz="8" w:color="00C389"/>
            </w:tcBorders>
            <w:gridSpan w:val="3"/>
          </w:tcPr>
          <w:p>
            <w:pPr>
              <w:jc w:val="right"/>
              <w:spacing w:after="0" w:line="81" w:lineRule="exact"/>
              <w:rPr>
                <w:sz w:val="20"/>
                <w:szCs w:val="20"/>
                <w:color w:val="auto"/>
              </w:rPr>
            </w:pPr>
            <w:r>
              <w:rPr>
                <w:rFonts w:ascii="Arial" w:cs="Arial" w:eastAsia="Arial" w:hAnsi="Arial"/>
                <w:sz w:val="9"/>
                <w:szCs w:val="9"/>
                <w:color w:val="auto"/>
              </w:rPr>
              <w:t>780,000(12)</w:t>
            </w:r>
          </w:p>
        </w:tc>
        <w:tc>
          <w:tcPr>
            <w:tcW w:w="500" w:type="dxa"/>
            <w:vAlign w:val="bottom"/>
            <w:tcBorders>
              <w:bottom w:val="single" w:sz="8" w:color="00C389"/>
            </w:tcBorders>
          </w:tcPr>
          <w:p>
            <w:pPr>
              <w:ind w:left="160"/>
              <w:spacing w:after="0" w:line="81"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00C389"/>
            </w:tcBorders>
            <w:vMerge w:val="continue"/>
          </w:tcPr>
          <w:p>
            <w:pPr>
              <w:spacing w:after="0"/>
              <w:rPr>
                <w:sz w:val="7"/>
                <w:szCs w:val="7"/>
                <w:color w:val="auto"/>
              </w:rPr>
            </w:pPr>
          </w:p>
        </w:tc>
        <w:tc>
          <w:tcPr>
            <w:tcW w:w="220" w:type="dxa"/>
            <w:vAlign w:val="bottom"/>
            <w:tcBorders>
              <w:bottom w:val="single" w:sz="8" w:color="00C389"/>
            </w:tcBorders>
          </w:tcPr>
          <w:p>
            <w:pPr>
              <w:spacing w:after="0"/>
              <w:rPr>
                <w:sz w:val="7"/>
                <w:szCs w:val="7"/>
                <w:color w:val="auto"/>
              </w:rPr>
            </w:pPr>
          </w:p>
        </w:tc>
        <w:tc>
          <w:tcPr>
            <w:tcW w:w="220" w:type="dxa"/>
            <w:vAlign w:val="bottom"/>
            <w:tcBorders>
              <w:bottom w:val="single" w:sz="8" w:color="00C389"/>
            </w:tcBorders>
          </w:tcPr>
          <w:p>
            <w:pPr>
              <w:ind w:left="80"/>
              <w:spacing w:after="0" w:line="81" w:lineRule="exact"/>
              <w:rPr>
                <w:sz w:val="20"/>
                <w:szCs w:val="20"/>
                <w:color w:val="auto"/>
              </w:rPr>
            </w:pPr>
            <w:r>
              <w:rPr>
                <w:rFonts w:ascii="Arial" w:cs="Arial" w:eastAsia="Arial" w:hAnsi="Arial"/>
                <w:sz w:val="9"/>
                <w:szCs w:val="9"/>
                <w:color w:val="auto"/>
              </w:rPr>
              <w:t>$</w:t>
            </w:r>
          </w:p>
        </w:tc>
        <w:tc>
          <w:tcPr>
            <w:tcW w:w="720" w:type="dxa"/>
            <w:vAlign w:val="bottom"/>
            <w:tcBorders>
              <w:bottom w:val="single" w:sz="8" w:color="00C389"/>
            </w:tcBorders>
            <w:vMerge w:val="continue"/>
          </w:tcPr>
          <w:p>
            <w:pPr>
              <w:spacing w:after="0"/>
              <w:rPr>
                <w:sz w:val="7"/>
                <w:szCs w:val="7"/>
                <w:color w:val="auto"/>
              </w:rPr>
            </w:pPr>
          </w:p>
        </w:tc>
        <w:tc>
          <w:tcPr>
            <w:tcW w:w="180" w:type="dxa"/>
            <w:vAlign w:val="bottom"/>
            <w:tcBorders>
              <w:bottom w:val="single" w:sz="8" w:color="00C389"/>
            </w:tcBorders>
          </w:tcPr>
          <w:p>
            <w:pPr>
              <w:spacing w:after="0"/>
              <w:rPr>
                <w:sz w:val="7"/>
                <w:szCs w:val="7"/>
                <w:color w:val="auto"/>
              </w:rPr>
            </w:pPr>
          </w:p>
        </w:tc>
        <w:tc>
          <w:tcPr>
            <w:tcW w:w="120" w:type="dxa"/>
            <w:vAlign w:val="bottom"/>
            <w:tcBorders>
              <w:bottom w:val="single" w:sz="8" w:color="00C389"/>
            </w:tcBorders>
          </w:tcPr>
          <w:p>
            <w:pPr>
              <w:spacing w:after="0"/>
              <w:rPr>
                <w:sz w:val="7"/>
                <w:szCs w:val="7"/>
                <w:color w:val="auto"/>
              </w:rPr>
            </w:pPr>
          </w:p>
        </w:tc>
        <w:tc>
          <w:tcPr>
            <w:tcW w:w="160" w:type="dxa"/>
            <w:vAlign w:val="bottom"/>
            <w:tcBorders>
              <w:bottom w:val="single" w:sz="8" w:color="00C389"/>
            </w:tcBorders>
          </w:tcPr>
          <w:p>
            <w:pPr>
              <w:ind w:left="4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00C389"/>
            </w:tcBorders>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Sean P. Galvin</w:t>
            </w:r>
          </w:p>
        </w:tc>
        <w:tc>
          <w:tcPr>
            <w:tcW w:w="160" w:type="dxa"/>
            <w:vAlign w:val="bottom"/>
          </w:tcPr>
          <w:p>
            <w:pPr>
              <w:spacing w:after="0"/>
              <w:rPr>
                <w:sz w:val="10"/>
                <w:szCs w:val="10"/>
                <w:color w:val="auto"/>
              </w:rPr>
            </w:pPr>
          </w:p>
        </w:tc>
        <w:tc>
          <w:tcPr>
            <w:tcW w:w="400" w:type="dxa"/>
            <w:vAlign w:val="bottom"/>
            <w:shd w:val="clear" w:color="auto" w:fill="CCEEFF"/>
          </w:tcPr>
          <w:p>
            <w:pPr>
              <w:jc w:val="right"/>
              <w:ind w:right="227"/>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27"/>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 ​</w:t>
            </w:r>
          </w:p>
        </w:tc>
        <w:tc>
          <w:tcPr>
            <w:tcW w:w="760" w:type="dxa"/>
            <w:vAlign w:val="bottom"/>
            <w:shd w:val="clear" w:color="auto" w:fill="CCEEFF"/>
          </w:tcPr>
          <w:p>
            <w:pPr>
              <w:jc w:val="right"/>
              <w:ind w:right="5"/>
              <w:spacing w:after="0" w:line="115" w:lineRule="exact"/>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 ​</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30"/>
              <w:spacing w:after="0" w:line="115" w:lineRule="exact"/>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1,200,000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​2021</w:t>
            </w:r>
          </w:p>
        </w:tc>
        <w:tc>
          <w:tcPr>
            <w:tcW w:w="240" w:type="dxa"/>
            <w:vAlign w:val="bottom"/>
            <w:tcBorders>
              <w:bottom w:val="single" w:sz="8" w:color="CCEEFF"/>
            </w:tcBorders>
            <w:shd w:val="clear" w:color="auto" w:fill="CCEEFF"/>
          </w:tcPr>
          <w:p>
            <w:pPr>
              <w:jc w:val="right"/>
              <w:spacing w:after="0" w:line="61"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ind w:left="100"/>
              <w:spacing w:after="0" w:line="61" w:lineRule="exact"/>
              <w:rPr>
                <w:sz w:val="20"/>
                <w:szCs w:val="20"/>
                <w:color w:val="auto"/>
              </w:rPr>
            </w:pPr>
            <w:r>
              <w:rPr>
                <w:rFonts w:ascii="Arial" w:cs="Arial" w:eastAsia="Arial" w:hAnsi="Arial"/>
                <w:sz w:val="6"/>
                <w:szCs w:val="6"/>
                <w:color w:val="auto"/>
              </w:rPr>
              <w:t>$</w:t>
            </w:r>
          </w:p>
        </w:tc>
        <w:tc>
          <w:tcPr>
            <w:tcW w:w="760" w:type="dxa"/>
            <w:vAlign w:val="bottom"/>
            <w:tcBorders>
              <w:bottom w:val="single" w:sz="8" w:color="CCEEFF"/>
            </w:tcBorders>
            <w:shd w:val="clear" w:color="auto" w:fill="CCEEFF"/>
          </w:tcPr>
          <w:p>
            <w:pPr>
              <w:jc w:val="right"/>
              <w:ind w:right="105"/>
              <w:spacing w:after="0" w:line="61" w:lineRule="exact"/>
              <w:rPr>
                <w:sz w:val="20"/>
                <w:szCs w:val="20"/>
                <w:color w:val="auto"/>
              </w:rPr>
            </w:pPr>
            <w:r>
              <w:rPr>
                <w:rFonts w:ascii="Arial" w:cs="Arial" w:eastAsia="Arial" w:hAnsi="Arial"/>
                <w:sz w:val="6"/>
                <w:szCs w:val="6"/>
                <w:color w:val="auto"/>
              </w:rPr>
              <w:t>540,000</w:t>
            </w:r>
          </w:p>
        </w:tc>
        <w:tc>
          <w:tcPr>
            <w:tcW w:w="220" w:type="dxa"/>
            <w:vAlign w:val="bottom"/>
            <w:tcBorders>
              <w:bottom w:val="single" w:sz="8" w:color="CCEEFF"/>
            </w:tcBorders>
            <w:shd w:val="clear" w:color="auto" w:fill="CCEEFF"/>
          </w:tcPr>
          <w:p>
            <w:pPr>
              <w:ind w:left="140"/>
              <w:spacing w:after="0" w:line="61" w:lineRule="exact"/>
              <w:rPr>
                <w:sz w:val="20"/>
                <w:szCs w:val="20"/>
                <w:color w:val="auto"/>
              </w:rPr>
            </w:pPr>
            <w:r>
              <w:rPr>
                <w:rFonts w:ascii="Arial" w:cs="Arial" w:eastAsia="Arial" w:hAnsi="Arial"/>
                <w:sz w:val="6"/>
                <w:szCs w:val="6"/>
                <w:color w:val="auto"/>
              </w:rPr>
              <w:t>$</w:t>
            </w:r>
          </w:p>
        </w:tc>
        <w:tc>
          <w:tcPr>
            <w:tcW w:w="940" w:type="dxa"/>
            <w:vAlign w:val="bottom"/>
            <w:tcBorders>
              <w:bottom w:val="single" w:sz="8" w:color="CCEEFF"/>
            </w:tcBorders>
            <w:gridSpan w:val="3"/>
            <w:shd w:val="clear" w:color="auto" w:fill="CCEEFF"/>
          </w:tcPr>
          <w:p>
            <w:pPr>
              <w:jc w:val="right"/>
              <w:spacing w:after="0" w:line="61" w:lineRule="exact"/>
              <w:rPr>
                <w:sz w:val="20"/>
                <w:szCs w:val="20"/>
                <w:color w:val="auto"/>
              </w:rPr>
            </w:pPr>
            <w:r>
              <w:rPr>
                <w:rFonts w:ascii="Arial" w:cs="Arial" w:eastAsia="Arial" w:hAnsi="Arial"/>
                <w:sz w:val="6"/>
                <w:szCs w:val="6"/>
                <w:color w:val="auto"/>
              </w:rPr>
              <w:t>505,345(15)</w:t>
            </w:r>
          </w:p>
        </w:tc>
        <w:tc>
          <w:tcPr>
            <w:tcW w:w="500" w:type="dxa"/>
            <w:vAlign w:val="bottom"/>
            <w:tcBorders>
              <w:bottom w:val="single" w:sz="8" w:color="CCEEFF"/>
            </w:tcBorders>
            <w:shd w:val="clear" w:color="auto" w:fill="CCEEFF"/>
          </w:tcPr>
          <w:p>
            <w:pPr>
              <w:ind w:left="160"/>
              <w:spacing w:after="0" w:line="61" w:lineRule="exact"/>
              <w:rPr>
                <w:sz w:val="20"/>
                <w:szCs w:val="20"/>
                <w:color w:val="auto"/>
              </w:rPr>
            </w:pPr>
            <w:r>
              <w:rPr>
                <w:rFonts w:ascii="Arial" w:cs="Arial" w:eastAsia="Arial" w:hAnsi="Arial"/>
                <w:sz w:val="6"/>
                <w:szCs w:val="6"/>
                <w:color w:val="auto"/>
              </w:rPr>
              <w:t>$</w:t>
            </w: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ind w:left="80"/>
              <w:spacing w:after="0" w:line="61" w:lineRule="exact"/>
              <w:rPr>
                <w:sz w:val="20"/>
                <w:szCs w:val="20"/>
                <w:color w:val="auto"/>
              </w:rPr>
            </w:pPr>
            <w:r>
              <w:rPr>
                <w:rFonts w:ascii="Arial" w:cs="Arial" w:eastAsia="Arial" w:hAnsi="Arial"/>
                <w:sz w:val="6"/>
                <w:szCs w:val="6"/>
                <w:color w:val="auto"/>
              </w:rPr>
              <w:t>$</w:t>
            </w:r>
          </w:p>
        </w:tc>
        <w:tc>
          <w:tcPr>
            <w:tcW w:w="72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ind w:left="40"/>
              <w:spacing w:after="0" w:line="61"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2100" w:type="dxa"/>
            <w:vAlign w:val="bottom"/>
          </w:tcPr>
          <w:p>
            <w:pPr>
              <w:ind w:left="140"/>
              <w:spacing w:after="0" w:line="122" w:lineRule="exact"/>
              <w:rPr>
                <w:sz w:val="20"/>
                <w:szCs w:val="20"/>
                <w:color w:val="auto"/>
              </w:rPr>
            </w:pPr>
            <w:r>
              <w:rPr>
                <w:rFonts w:ascii="Arial" w:cs="Arial" w:eastAsia="Arial" w:hAnsi="Arial"/>
                <w:sz w:val="14"/>
                <w:szCs w:val="14"/>
                <w:i w:val="1"/>
                <w:iCs w:val="1"/>
                <w:color w:val="auto"/>
              </w:rPr>
              <w:t>Chief Financial Officer</w:t>
            </w:r>
          </w:p>
        </w:tc>
        <w:tc>
          <w:tcPr>
            <w:tcW w:w="160" w:type="dxa"/>
            <w:vAlign w:val="bottom"/>
          </w:tcPr>
          <w:p>
            <w:pPr>
              <w:spacing w:after="0"/>
              <w:rPr>
                <w:sz w:val="10"/>
                <w:szCs w:val="10"/>
                <w:color w:val="auto"/>
              </w:rPr>
            </w:pPr>
          </w:p>
        </w:tc>
        <w:tc>
          <w:tcPr>
            <w:tcW w:w="400" w:type="dxa"/>
            <w:vAlign w:val="bottom"/>
          </w:tcPr>
          <w:p>
            <w:pPr>
              <w:jc w:val="right"/>
              <w:ind w:right="227"/>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27"/>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20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240" w:type="dxa"/>
            <w:vAlign w:val="bottom"/>
          </w:tcPr>
          <w:p>
            <w:pPr>
              <w:ind w:left="20"/>
              <w:spacing w:after="0" w:line="122" w:lineRule="exact"/>
              <w:rPr>
                <w:sz w:val="20"/>
                <w:szCs w:val="20"/>
                <w:color w:val="auto"/>
              </w:rPr>
            </w:pPr>
            <w:r>
              <w:rPr>
                <w:rFonts w:ascii="Arial" w:cs="Arial" w:eastAsia="Arial" w:hAnsi="Arial"/>
                <w:sz w:val="14"/>
                <w:szCs w:val="14"/>
                <w:color w:val="auto"/>
              </w:rPr>
              <w:t>​ ​</w:t>
            </w:r>
          </w:p>
        </w:tc>
        <w:tc>
          <w:tcPr>
            <w:tcW w:w="760" w:type="dxa"/>
            <w:vAlign w:val="bottom"/>
          </w:tcPr>
          <w:p>
            <w:pPr>
              <w:jc w:val="right"/>
              <w:ind w:right="5"/>
              <w:spacing w:after="0" w:line="122" w:lineRule="exact"/>
              <w:rPr>
                <w:sz w:val="20"/>
                <w:szCs w:val="20"/>
                <w:color w:val="auto"/>
              </w:rPr>
            </w:pPr>
            <w:r>
              <w:rPr>
                <w:rFonts w:ascii="Arial" w:cs="Arial" w:eastAsia="Arial" w:hAnsi="Arial"/>
                <w:sz w:val="14"/>
                <w:szCs w:val="14"/>
                <w:color w:val="auto"/>
              </w:rPr>
              <w:t>​ ​</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0"/>
                <w:szCs w:val="10"/>
                <w:color w:val="auto"/>
              </w:rPr>
            </w:pPr>
          </w:p>
        </w:tc>
        <w:tc>
          <w:tcPr>
            <w:tcW w:w="200" w:type="dxa"/>
            <w:vAlign w:val="bottom"/>
          </w:tcPr>
          <w:p>
            <w:pPr>
              <w:jc w:val="right"/>
              <w:ind w:right="30"/>
              <w:spacing w:after="0" w:line="122" w:lineRule="exact"/>
              <w:rPr>
                <w:sz w:val="20"/>
                <w:szCs w:val="20"/>
                <w:color w:val="auto"/>
              </w:rPr>
            </w:pPr>
            <w:r>
              <w:rPr>
                <w:rFonts w:ascii="Arial" w:cs="Arial" w:eastAsia="Arial" w:hAnsi="Arial"/>
                <w:sz w:val="14"/>
                <w:szCs w:val="14"/>
                <w:color w:val="auto"/>
              </w:rPr>
              <w:t>​ ​</w:t>
            </w: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2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848,630</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jc w:val="right"/>
              <w:spacing w:after="0" w:line="59" w:lineRule="exact"/>
              <w:rPr>
                <w:sz w:val="20"/>
                <w:szCs w:val="20"/>
                <w:color w:val="auto"/>
              </w:rPr>
            </w:pPr>
            <w:r>
              <w:rPr>
                <w:rFonts w:ascii="Arial" w:cs="Arial" w:eastAsia="Arial" w:hAnsi="Arial"/>
                <w:sz w:val="6"/>
                <w:szCs w:val="6"/>
                <w:color w:val="auto"/>
              </w:rPr>
              <w:t>​2020</w:t>
            </w:r>
          </w:p>
        </w:tc>
        <w:tc>
          <w:tcPr>
            <w:tcW w:w="2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1060" w:type="dxa"/>
            <w:vAlign w:val="bottom"/>
            <w:gridSpan w:val="3"/>
          </w:tcPr>
          <w:p>
            <w:pPr>
              <w:jc w:val="right"/>
              <w:ind w:right="5"/>
              <w:spacing w:after="0" w:line="59" w:lineRule="exact"/>
              <w:rPr>
                <w:sz w:val="20"/>
                <w:szCs w:val="20"/>
                <w:color w:val="auto"/>
              </w:rPr>
            </w:pPr>
            <w:r>
              <w:rPr>
                <w:rFonts w:ascii="Arial" w:cs="Arial" w:eastAsia="Arial" w:hAnsi="Arial"/>
                <w:sz w:val="6"/>
                <w:szCs w:val="6"/>
                <w:color w:val="auto"/>
              </w:rPr>
              <w:t>98,630(14) $</w:t>
            </w:r>
          </w:p>
        </w:tc>
        <w:tc>
          <w:tcPr>
            <w:tcW w:w="760" w:type="dxa"/>
            <w:vAlign w:val="bottom"/>
          </w:tcPr>
          <w:p>
            <w:pPr>
              <w:jc w:val="right"/>
              <w:ind w:right="105"/>
              <w:spacing w:after="0" w:line="59" w:lineRule="exact"/>
              <w:rPr>
                <w:sz w:val="20"/>
                <w:szCs w:val="20"/>
                <w:color w:val="auto"/>
              </w:rPr>
            </w:pPr>
            <w:r>
              <w:rPr>
                <w:rFonts w:ascii="Arial" w:cs="Arial" w:eastAsia="Arial" w:hAnsi="Arial"/>
                <w:sz w:val="6"/>
                <w:szCs w:val="6"/>
                <w:color w:val="auto"/>
              </w:rPr>
              <w:t>450,000</w:t>
            </w:r>
          </w:p>
        </w:tc>
        <w:tc>
          <w:tcPr>
            <w:tcW w:w="22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940" w:type="dxa"/>
            <w:vAlign w:val="bottom"/>
            <w:gridSpan w:val="3"/>
          </w:tcPr>
          <w:p>
            <w:pPr>
              <w:jc w:val="right"/>
              <w:spacing w:after="0" w:line="59" w:lineRule="exact"/>
              <w:rPr>
                <w:sz w:val="20"/>
                <w:szCs w:val="20"/>
                <w:color w:val="auto"/>
              </w:rPr>
            </w:pPr>
            <w:r>
              <w:rPr>
                <w:rFonts w:ascii="Arial" w:cs="Arial" w:eastAsia="Arial" w:hAnsi="Arial"/>
                <w:sz w:val="6"/>
                <w:szCs w:val="6"/>
                <w:color w:val="auto"/>
              </w:rPr>
              <w:t>300,000(15)</w:t>
            </w:r>
          </w:p>
        </w:tc>
        <w:tc>
          <w:tcPr>
            <w:tcW w:w="50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ind w:left="8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ind w:left="40"/>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00" w:type="dxa"/>
            <w:vAlign w:val="bottom"/>
            <w:tcBorders>
              <w:bottom w:val="single" w:sz="8" w:color="00C389"/>
            </w:tcBorders>
          </w:tcPr>
          <w:p>
            <w:pPr>
              <w:spacing w:after="0"/>
              <w:rPr>
                <w:sz w:val="21"/>
                <w:szCs w:val="21"/>
                <w:color w:val="auto"/>
              </w:rPr>
            </w:pPr>
          </w:p>
        </w:tc>
        <w:tc>
          <w:tcPr>
            <w:tcW w:w="160" w:type="dxa"/>
            <w:vAlign w:val="bottom"/>
            <w:tcBorders>
              <w:bottom w:val="single" w:sz="8" w:color="00C389"/>
            </w:tcBorders>
          </w:tcPr>
          <w:p>
            <w:pPr>
              <w:spacing w:after="0"/>
              <w:rPr>
                <w:sz w:val="21"/>
                <w:szCs w:val="21"/>
                <w:color w:val="auto"/>
              </w:rPr>
            </w:pPr>
          </w:p>
        </w:tc>
        <w:tc>
          <w:tcPr>
            <w:tcW w:w="640" w:type="dxa"/>
            <w:vAlign w:val="bottom"/>
            <w:tcBorders>
              <w:bottom w:val="single" w:sz="8" w:color="00C389"/>
            </w:tcBorders>
            <w:gridSpan w:val="2"/>
          </w:tcPr>
          <w:p>
            <w:pPr>
              <w:jc w:val="right"/>
              <w:spacing w:after="0" w:line="25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​2019</w:t>
            </w: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820" w:type="dxa"/>
            <w:vAlign w:val="bottom"/>
            <w:tcBorders>
              <w:bottom w:val="single" w:sz="8" w:color="00C389"/>
            </w:tcBorders>
            <w:gridSpan w:val="2"/>
          </w:tcPr>
          <w:p>
            <w:pPr>
              <w:jc w:val="right"/>
              <w:ind w:right="30"/>
              <w:spacing w:after="0" w:line="25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240" w:type="dxa"/>
            <w:vAlign w:val="bottom"/>
            <w:tcBorders>
              <w:bottom w:val="single" w:sz="8" w:color="00C389"/>
            </w:tcBorders>
          </w:tcPr>
          <w:p>
            <w:pPr>
              <w:ind w:left="20"/>
              <w:spacing w:after="0" w:line="25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60" w:type="dxa"/>
            <w:vAlign w:val="bottom"/>
            <w:tcBorders>
              <w:bottom w:val="single" w:sz="8" w:color="00C389"/>
            </w:tcBorders>
          </w:tcPr>
          <w:p>
            <w:pPr>
              <w:jc w:val="right"/>
              <w:ind w:right="5"/>
              <w:spacing w:after="0" w:line="25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220" w:type="dxa"/>
            <w:vAlign w:val="bottom"/>
            <w:tcBorders>
              <w:bottom w:val="single" w:sz="8" w:color="00C389"/>
            </w:tcBorders>
          </w:tcPr>
          <w:p>
            <w:pPr>
              <w:ind w:left="60"/>
              <w:spacing w:after="0" w:line="253" w:lineRule="exact"/>
              <w:rPr>
                <w:sz w:val="20"/>
                <w:szCs w:val="20"/>
                <w:color w:val="auto"/>
              </w:rPr>
            </w:pPr>
            <w:r>
              <w:rPr>
                <w:rFonts w:ascii="Arial" w:cs="Arial" w:eastAsia="Arial" w:hAnsi="Arial"/>
                <w:sz w:val="14"/>
                <w:szCs w:val="14"/>
                <w:color w:val="auto"/>
                <w:w w:val="97"/>
              </w:rPr>
              <w:t>​ ​</w:t>
            </w:r>
            <w:r>
              <w:rPr>
                <w:rFonts w:ascii="Arial" w:cs="Arial" w:eastAsia="Arial" w:hAnsi="Arial"/>
                <w:sz w:val="28"/>
                <w:szCs w:val="28"/>
                <w:color w:val="auto"/>
                <w:w w:val="97"/>
                <w:vertAlign w:val="subscript"/>
              </w:rPr>
              <w:t>$</w:t>
            </w:r>
          </w:p>
        </w:tc>
        <w:tc>
          <w:tcPr>
            <w:tcW w:w="860" w:type="dxa"/>
            <w:vAlign w:val="bottom"/>
            <w:tcBorders>
              <w:bottom w:val="single" w:sz="8" w:color="00C389"/>
            </w:tcBorders>
            <w:gridSpan w:val="2"/>
          </w:tcPr>
          <w:p>
            <w:pPr>
              <w:jc w:val="right"/>
              <w:ind w:right="30"/>
              <w:spacing w:after="0" w:line="25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8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389"/>
            </w:tcBorders>
          </w:tcPr>
          <w:p>
            <w:pPr>
              <w:ind w:left="160"/>
              <w:spacing w:after="0" w:line="25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20" w:type="dxa"/>
            <w:vAlign w:val="bottom"/>
            <w:tcBorders>
              <w:bottom w:val="single" w:sz="8" w:color="00C389"/>
            </w:tcBorders>
            <w:gridSpan w:val="2"/>
          </w:tcPr>
          <w:p>
            <w:pPr>
              <w:jc w:val="right"/>
              <w:spacing w:after="0" w:line="25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20" w:type="dxa"/>
            <w:vAlign w:val="bottom"/>
            <w:tcBorders>
              <w:bottom w:val="single" w:sz="8" w:color="00C389"/>
            </w:tcBorders>
          </w:tcPr>
          <w:p>
            <w:pPr>
              <w:ind w:left="60"/>
              <w:spacing w:after="0" w:line="25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20" w:type="dxa"/>
            <w:vAlign w:val="bottom"/>
            <w:tcBorders>
              <w:bottom w:val="single" w:sz="8" w:color="00C389"/>
            </w:tcBorders>
          </w:tcPr>
          <w:p>
            <w:pPr>
              <w:jc w:val="right"/>
              <w:ind w:right="7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00C389"/>
            </w:tcBorders>
            <w:gridSpan w:val="2"/>
          </w:tcPr>
          <w:p>
            <w:pPr>
              <w:ind w:left="60"/>
              <w:spacing w:after="0" w:line="253"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68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-2005330</wp:posOffset>
            </wp:positionV>
            <wp:extent cx="5829300" cy="403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40322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-1207770</wp:posOffset>
            </wp:positionV>
            <wp:extent cx="5829300" cy="394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3943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-419100</wp:posOffset>
            </wp:positionV>
            <wp:extent cx="5829300" cy="411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4114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265430</wp:posOffset>
            </wp:positionV>
            <wp:extent cx="75438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1080" w:right="220" w:hanging="318"/>
        <w:spacing w:after="0" w:line="270"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Each amount represents the cash component of the portion of each named executive officer’s annual bonus that was based on the achievement of qualitative goals. For Mr. Cifu, the cash component of his annual bonus was 50% for fiscal years 2021 and 2020 and 40% for fiscal year 2019, for Mr. Molluso this was 50% for fiscal years 2021 and 2020, for Mr. Fairclough this was 50% for 2021, 53% for fiscal year 2020 and 40% for fiscal year 2019, for Mr. Cavoli, this was 50% for 2021, 53% for fiscal year 2020 and 40% for fiscal year 2019, and for Mr. Galvin this was 40% for 2021 and 100% for fiscal year 2020. The remainder in each year was paid in the form of restricted</w:t>
      </w:r>
    </w:p>
    <w:p>
      <w:pPr>
        <w:ind w:left="1080" w:right="180"/>
        <w:spacing w:after="0" w:line="282" w:lineRule="auto"/>
        <w:rPr>
          <w:rFonts w:ascii="Arial" w:cs="Arial" w:eastAsia="Arial" w:hAnsi="Arial"/>
          <w:sz w:val="14"/>
          <w:szCs w:val="14"/>
          <w:color w:val="auto"/>
        </w:rPr>
      </w:pPr>
      <w:r>
        <w:rPr>
          <w:rFonts w:ascii="Arial" w:cs="Arial" w:eastAsia="Arial" w:hAnsi="Arial"/>
          <w:sz w:val="14"/>
          <w:szCs w:val="14"/>
          <w:color w:val="auto"/>
        </w:rPr>
        <w:t>stock units and fully vested shares of our Class A common stock which are reflected in the “Stock Awards” column in the table above. In addition, the amounts reported in this column include the 100% cash component of Mr. Molluso’s 2020 sign on bonus award in the amount of $2,500,000, described further below under “Employment Agreement with Mr. Molluso” and the 50% cash component of Mr. Molluso’s guaranteed annual bonus for fiscal year 2020.</w:t>
      </w:r>
    </w:p>
    <w:p>
      <w:pPr>
        <w:spacing w:after="0" w:line="65" w:lineRule="exact"/>
        <w:rPr>
          <w:rFonts w:ascii="Arial" w:cs="Arial" w:eastAsia="Arial" w:hAnsi="Arial"/>
          <w:sz w:val="14"/>
          <w:szCs w:val="14"/>
          <w:color w:val="auto"/>
        </w:rPr>
      </w:pPr>
    </w:p>
    <w:p>
      <w:pPr>
        <w:ind w:left="1080" w:right="100" w:hanging="318"/>
        <w:spacing w:after="0" w:line="274"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2021, December 31, 2020, and December 31, 2019, included in our Annual Report on Form 10-K for the fiscal years ended December 31, 2021, December 31, 2020, and December 31, 2019, respectively. The grant of restricted stock units and fully vested shares of our Class A common stock relate to the settlement of Mr. Cifu’s 2021 annual bonus, 2020 annual bonus and 2019 annual bonus, however, the awards were actually granted in fiscal years 2022, 2021 and 2020, respectively. As noted above, the restricted shares granted to Mr. Cifu in fiscal year 2019 were not earned.</w:t>
      </w:r>
    </w:p>
    <w:p>
      <w:pPr>
        <w:spacing w:after="0" w:line="265" w:lineRule="exact"/>
        <w:rPr>
          <w:rFonts w:ascii="Arial" w:cs="Arial" w:eastAsia="Arial" w:hAnsi="Arial"/>
          <w:sz w:val="14"/>
          <w:szCs w:val="14"/>
          <w:color w:val="auto"/>
        </w:rPr>
      </w:pPr>
    </w:p>
    <w:p>
      <w:pPr>
        <w:ind w:left="1080" w:right="340" w:hanging="318"/>
        <w:spacing w:after="0" w:line="282"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Cifu’s annual bonus that was based on achievement of performance goals, which was 50% for fiscal years 2021 and 2020 and 40% for fiscal year 2019. The remainder in each year was paid in the form of restricted stock units and fully vested shares of our Class A common stock which are reflected in the “Stock Awards” column in the table above.</w:t>
      </w:r>
    </w:p>
    <w:p>
      <w:pPr>
        <w:spacing w:after="0" w:line="66" w:lineRule="exact"/>
        <w:rPr>
          <w:rFonts w:ascii="Arial" w:cs="Arial" w:eastAsia="Arial" w:hAnsi="Arial"/>
          <w:sz w:val="14"/>
          <w:szCs w:val="14"/>
          <w:color w:val="auto"/>
        </w:rPr>
      </w:pPr>
    </w:p>
    <w:p>
      <w:pPr>
        <w:ind w:left="1080" w:hanging="318"/>
        <w:spacing w:after="0"/>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cost of providing transportation services to Mr. Cifu.</w:t>
      </w:r>
    </w:p>
    <w:p>
      <w:pPr>
        <w:spacing w:after="0" w:line="122" w:lineRule="exact"/>
        <w:rPr>
          <w:rFonts w:ascii="Arial" w:cs="Arial" w:eastAsia="Arial" w:hAnsi="Arial"/>
          <w:sz w:val="14"/>
          <w:szCs w:val="14"/>
          <w:color w:val="auto"/>
        </w:rPr>
      </w:pPr>
    </w:p>
    <w:p>
      <w:pPr>
        <w:ind w:left="1080" w:right="80" w:hanging="318"/>
        <w:spacing w:after="0" w:line="325"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Molluso’s employment with the Company commenced on June 22, 2020, and as a result the amount reported is a prorated portion of his $500,000 base salary.</w:t>
      </w:r>
    </w:p>
    <w:p>
      <w:pPr>
        <w:spacing w:after="0" w:line="36" w:lineRule="exact"/>
        <w:rPr>
          <w:rFonts w:ascii="Arial" w:cs="Arial" w:eastAsia="Arial" w:hAnsi="Arial"/>
          <w:sz w:val="14"/>
          <w:szCs w:val="14"/>
          <w:color w:val="auto"/>
        </w:rPr>
      </w:pPr>
    </w:p>
    <w:p>
      <w:pPr>
        <w:ind w:left="1080" w:right="160" w:hanging="318"/>
        <w:spacing w:after="0" w:line="273"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The amount includes Mr. Molluso’s sign-on equity award of 200,000 RSUs in fiscal year 2020 with a grant date fair value of $4,720,000, which was granted as compensation for the forfeiture of equity interests associated with his resignation from a prior employer. Assumptions used in calculating these amounts are described in Note 19 of the Company’s audited financial statements for the fiscal years ended December 31, 2021, and December 31, 2020, included in our Annual Report on Form 10-K for the fiscal years ended December 31, 2021, and December 31, 2020. The grant of restricted stock units and fully vested shares of our Class A common stock relate to the settlement of Mr. Molluso’s 2021 annual bonus and 2020 annual bonus, however, the awards were actually granted in fiscal years 2022 and 2021, respectively.</w:t>
      </w:r>
    </w:p>
    <w:p>
      <w:pPr>
        <w:spacing w:after="0" w:line="73" w:lineRule="exact"/>
        <w:rPr>
          <w:rFonts w:ascii="Arial" w:cs="Arial" w:eastAsia="Arial" w:hAnsi="Arial"/>
          <w:sz w:val="14"/>
          <w:szCs w:val="14"/>
          <w:color w:val="auto"/>
        </w:rPr>
      </w:pPr>
    </w:p>
    <w:p>
      <w:pPr>
        <w:ind w:left="1080" w:right="600" w:hanging="318"/>
        <w:spacing w:after="0" w:line="325"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reported is a prorated portion of Mr. Molluso’s $500,000 base salary in connection with his voluntary departure from the Company in 2019, prior to his rejoining the company in 2020.</w:t>
      </w:r>
    </w:p>
    <w:p>
      <w:pPr>
        <w:spacing w:after="0" w:line="36" w:lineRule="exact"/>
        <w:rPr>
          <w:rFonts w:ascii="Arial" w:cs="Arial" w:eastAsia="Arial" w:hAnsi="Arial"/>
          <w:sz w:val="14"/>
          <w:szCs w:val="14"/>
          <w:color w:val="auto"/>
        </w:rPr>
      </w:pPr>
    </w:p>
    <w:p>
      <w:pPr>
        <w:ind w:left="1080" w:right="480" w:hanging="318"/>
        <w:spacing w:after="0" w:line="305"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reflects the amount paid to Mr. Molluso in connection with his voluntary departure from the Company in 2019, prior to his rejoining the company in 2020.</w:t>
      </w:r>
    </w:p>
    <w:p>
      <w:pPr>
        <w:spacing w:after="0" w:line="63" w:lineRule="exact"/>
        <w:rPr>
          <w:rFonts w:ascii="Arial" w:cs="Arial" w:eastAsia="Arial" w:hAnsi="Arial"/>
          <w:sz w:val="14"/>
          <w:szCs w:val="14"/>
          <w:color w:val="auto"/>
        </w:rPr>
      </w:pPr>
    </w:p>
    <w:p>
      <w:pPr>
        <w:ind w:left="1080" w:right="140" w:hanging="318"/>
        <w:spacing w:after="0" w:line="275"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2021, December 31, 2020, and December 31, 2019, included in our Annual Report on Form 10-K for the fiscal years ended December 31, 2021, December 31, 2020, and December 31, 2019, respectively. The grant of restricted stock units and fully vested shares of our Class A common stock relate to the settlement of Mr. Fairclough’s 2021 annual bonus, 2020 annual bonus and 2019 annual bonus, however, the awards were actually granted in fiscal years 2022, 2021 and 2020, respectively.</w:t>
      </w:r>
    </w:p>
    <w:p>
      <w:pPr>
        <w:spacing w:after="0" w:line="72" w:lineRule="exact"/>
        <w:rPr>
          <w:rFonts w:ascii="Arial" w:cs="Arial" w:eastAsia="Arial" w:hAnsi="Arial"/>
          <w:sz w:val="14"/>
          <w:szCs w:val="14"/>
          <w:color w:val="auto"/>
        </w:rPr>
      </w:pPr>
    </w:p>
    <w:p>
      <w:pPr>
        <w:ind w:left="1080" w:right="80" w:hanging="318"/>
        <w:spacing w:after="0" w:line="293"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Fairclough’s annual bonus that was based on achievement of performance goals, which was 53% for fiscal year 2020. The remainder was paid in the form of restricted stock units and fully vested shares of our Class A common stock which are reflected in the “Stock Awards” column in the table above.</w:t>
      </w:r>
    </w:p>
    <w:p>
      <w:pPr>
        <w:spacing w:after="0" w:line="58" w:lineRule="exact"/>
        <w:rPr>
          <w:rFonts w:ascii="Arial" w:cs="Arial" w:eastAsia="Arial" w:hAnsi="Arial"/>
          <w:sz w:val="14"/>
          <w:szCs w:val="14"/>
          <w:color w:val="auto"/>
        </w:rPr>
      </w:pPr>
    </w:p>
    <w:p>
      <w:pPr>
        <w:ind w:left="1080" w:right="100" w:hanging="318"/>
        <w:spacing w:after="0" w:line="278"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$80,000 paid as a housing allowance to Mr. Fairclough following his repatriation to the United States in 2019, in addition to certain tax benefits to which Mr. Fairclough is entitled for the year ended 2019 based on the difference between the actual foreign taxes due during the period and the hypothetical U.S. taxes that would have been applicable prior to his relocation. The amount shown includes the tax repayment that Mr. Fairclough received in fiscal year 2019, however, the actual amount owed was not calculable as of December 31, 2020, therefore the Company may pay Mr. Fairclough additional amounts or certain amounts may be required to be repaid to the Company.</w:t>
      </w:r>
    </w:p>
    <w:p>
      <w:pPr>
        <w:spacing w:after="0" w:line="69" w:lineRule="exact"/>
        <w:rPr>
          <w:rFonts w:ascii="Arial" w:cs="Arial" w:eastAsia="Arial" w:hAnsi="Arial"/>
          <w:sz w:val="14"/>
          <w:szCs w:val="14"/>
          <w:color w:val="auto"/>
        </w:rPr>
      </w:pPr>
    </w:p>
    <w:p>
      <w:pPr>
        <w:ind w:left="1080" w:right="140" w:hanging="318"/>
        <w:spacing w:after="0" w:line="275" w:lineRule="auto"/>
        <w:tabs>
          <w:tab w:leader="none" w:pos="10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2021, December 31, 2020, and December 31, 2019, included in our Annual Report on Form 10-K for the fiscal years ended December 31, 2021, December 31, 2020, and December 31, 2019, respectively. The grant of restricted stock units and fully vested shares of our Class A common stock relate to the settlement of Mr. Cavoli’s 2021, 2020 and 2019 annual bonuses, however, the awards were actually granted in fiscal years 2022, 2021 and 2020, respectively.</w:t>
      </w:r>
    </w:p>
    <w:p>
      <w:pPr>
        <w:spacing w:after="0" w:line="33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1080" w:right="320" w:hanging="318"/>
        <w:spacing w:after="0" w:line="293" w:lineRule="auto"/>
        <w:tabs>
          <w:tab w:leader="none" w:pos="10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Cavoli’s annual bonus that was based on achievement of performance goals, which was 53% for fiscal year 2020. The remainder was paid in the form of restricted stock units and fully vested shares of our Class A common stock which are reflected in the “Stock Awards” column in the table above.</w:t>
      </w:r>
    </w:p>
    <w:p>
      <w:pPr>
        <w:spacing w:after="0" w:line="31" w:lineRule="exact"/>
        <w:rPr>
          <w:rFonts w:ascii="Arial" w:cs="Arial" w:eastAsia="Arial" w:hAnsi="Arial"/>
          <w:sz w:val="14"/>
          <w:szCs w:val="14"/>
          <w:color w:val="auto"/>
        </w:rPr>
      </w:pPr>
    </w:p>
    <w:p>
      <w:pPr>
        <w:ind w:left="1080" w:right="240" w:hanging="318"/>
        <w:spacing w:after="0" w:line="305" w:lineRule="auto"/>
        <w:tabs>
          <w:tab w:leader="none" w:pos="108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Galvin’s employment with the Company commenced on August 10, 2020, and as a result the amount reported is a prorated portion of his $250,000 base salary.</w:t>
      </w:r>
    </w:p>
    <w:p>
      <w:pPr>
        <w:spacing w:after="0" w:line="36" w:lineRule="exact"/>
        <w:rPr>
          <w:rFonts w:ascii="Arial" w:cs="Arial" w:eastAsia="Arial" w:hAnsi="Arial"/>
          <w:sz w:val="14"/>
          <w:szCs w:val="14"/>
          <w:color w:val="auto"/>
        </w:rPr>
      </w:pPr>
    </w:p>
    <w:p>
      <w:pPr>
        <w:ind w:left="1080" w:right="440" w:hanging="318"/>
        <w:spacing w:after="0" w:line="282" w:lineRule="auto"/>
        <w:tabs>
          <w:tab w:leader="none" w:pos="10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years ended December 31, 2021, and December 31, 2020, included in our Annual Report on Form 10-K for the fiscal years ended December 31, 2021, and December 31, 2020.</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29"/>
          <w:szCs w:val="29"/>
          <w:color w:val="00C389"/>
        </w:rPr>
        <w:t>GRANTS OF PLAN-BASED AWARDS IN FISCAL YEAR 2021</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information with respect to each award made to our named executive officers in 2021.</w:t>
      </w:r>
    </w:p>
    <w:p>
      <w:pPr>
        <w:spacing w:after="0" w:line="12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002554"/>
              </w:rPr>
              <w:t>All Other</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002554"/>
              </w:rPr>
              <w:t>Estimated Possible Payouts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left="10"/>
              <w:spacing w:after="0" w:line="149" w:lineRule="exact"/>
              <w:rPr>
                <w:sz w:val="20"/>
                <w:szCs w:val="20"/>
                <w:color w:val="auto"/>
              </w:rPr>
            </w:pPr>
            <w:r>
              <w:rPr>
                <w:rFonts w:ascii="Arial" w:cs="Arial" w:eastAsia="Arial" w:hAnsi="Arial"/>
                <w:sz w:val="14"/>
                <w:szCs w:val="14"/>
                <w:b w:val="1"/>
                <w:bCs w:val="1"/>
                <w:color w:val="002554"/>
              </w:rPr>
              <w:t>Stock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jc w:val="center"/>
              <w:ind w:left="10"/>
              <w:spacing w:after="0" w:line="145" w:lineRule="exact"/>
              <w:rPr>
                <w:sz w:val="20"/>
                <w:szCs w:val="20"/>
                <w:color w:val="auto"/>
              </w:rPr>
            </w:pPr>
            <w:r>
              <w:rPr>
                <w:rFonts w:ascii="Arial" w:cs="Arial" w:eastAsia="Arial" w:hAnsi="Arial"/>
                <w:sz w:val="14"/>
                <w:szCs w:val="14"/>
                <w:b w:val="1"/>
                <w:bCs w:val="1"/>
                <w:color w:val="002554"/>
              </w:rPr>
              <w:t>Awards:</w:t>
            </w:r>
          </w:p>
        </w:tc>
        <w:tc>
          <w:tcPr>
            <w:tcW w:w="140" w:type="dxa"/>
            <w:vAlign w:val="bottom"/>
          </w:tcPr>
          <w:p>
            <w:pPr>
              <w:spacing w:after="0"/>
              <w:rPr>
                <w:sz w:val="4"/>
                <w:szCs w:val="4"/>
                <w:color w:val="auto"/>
              </w:rPr>
            </w:pPr>
          </w:p>
        </w:tc>
        <w:tc>
          <w:tcPr>
            <w:tcW w:w="920" w:type="dxa"/>
            <w:vAlign w:val="bottom"/>
            <w:gridSpan w:val="3"/>
            <w:vMerge w:val="restart"/>
          </w:tcPr>
          <w:p>
            <w:pPr>
              <w:jc w:val="center"/>
              <w:spacing w:after="0" w:line="145" w:lineRule="exact"/>
              <w:rPr>
                <w:sz w:val="20"/>
                <w:szCs w:val="20"/>
                <w:color w:val="auto"/>
              </w:rPr>
            </w:pPr>
            <w:r>
              <w:rPr>
                <w:rFonts w:ascii="Arial" w:cs="Arial" w:eastAsia="Arial" w:hAnsi="Arial"/>
                <w:sz w:val="14"/>
                <w:szCs w:val="14"/>
                <w:b w:val="1"/>
                <w:bCs w:val="1"/>
                <w:color w:val="002554"/>
              </w:rPr>
              <w:t>Grant Date</w:t>
            </w:r>
          </w:p>
        </w:tc>
        <w:tc>
          <w:tcPr>
            <w:tcW w:w="0" w:type="dxa"/>
            <w:vAlign w:val="bottom"/>
          </w:tcPr>
          <w:p>
            <w:pPr>
              <w:spacing w:after="0"/>
              <w:rPr>
                <w:sz w:val="1"/>
                <w:szCs w:val="1"/>
                <w:color w:val="auto"/>
              </w:rPr>
            </w:pPr>
          </w:p>
        </w:tc>
      </w:tr>
      <w:tr>
        <w:trPr>
          <w:trHeight w:val="90"/>
        </w:trPr>
        <w:tc>
          <w:tcPr>
            <w:tcW w:w="1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3"/>
            <w:vMerge w:val="restart"/>
          </w:tcPr>
          <w:p>
            <w:pPr>
              <w:ind w:left="420"/>
              <w:spacing w:after="0" w:line="149" w:lineRule="exact"/>
              <w:rPr>
                <w:sz w:val="20"/>
                <w:szCs w:val="20"/>
                <w:color w:val="auto"/>
              </w:rPr>
            </w:pPr>
            <w:r>
              <w:rPr>
                <w:rFonts w:ascii="Arial" w:cs="Arial" w:eastAsia="Arial" w:hAnsi="Arial"/>
                <w:sz w:val="14"/>
                <w:szCs w:val="14"/>
                <w:b w:val="1"/>
                <w:bCs w:val="1"/>
                <w:color w:val="002554"/>
              </w:rPr>
              <w:t>Under Non-Equity</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gridSpan w:val="6"/>
            <w:vMerge w:val="restart"/>
          </w:tcPr>
          <w:p>
            <w:pPr>
              <w:jc w:val="center"/>
              <w:ind w:left="28"/>
              <w:spacing w:after="0" w:line="149" w:lineRule="exact"/>
              <w:rPr>
                <w:sz w:val="20"/>
                <w:szCs w:val="20"/>
                <w:color w:val="auto"/>
              </w:rPr>
            </w:pPr>
            <w:r>
              <w:rPr>
                <w:rFonts w:ascii="Arial" w:cs="Arial" w:eastAsia="Arial" w:hAnsi="Arial"/>
                <w:sz w:val="14"/>
                <w:szCs w:val="14"/>
                <w:b w:val="1"/>
                <w:bCs w:val="1"/>
                <w:color w:val="002554"/>
              </w:rPr>
              <w:t>Estimated Possible Payouts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002554"/>
              </w:rPr>
              <w:t>​</w:t>
            </w: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002554"/>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2554"/>
              </w:rPr>
              <w:t>​​​</w:t>
            </w:r>
          </w:p>
        </w:tc>
        <w:tc>
          <w:tcPr>
            <w:tcW w:w="170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554"/>
              </w:rPr>
              <w:t>Number of</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2554"/>
                <w:w w:val="98"/>
              </w:rPr>
              <w:t>Fair Value</w:t>
            </w:r>
          </w:p>
        </w:tc>
        <w:tc>
          <w:tcPr>
            <w:tcW w:w="0" w:type="dxa"/>
            <w:vAlign w:val="bottom"/>
          </w:tcPr>
          <w:p>
            <w:pPr>
              <w:spacing w:after="0"/>
              <w:rPr>
                <w:sz w:val="1"/>
                <w:szCs w:val="1"/>
                <w:color w:val="auto"/>
              </w:rPr>
            </w:pPr>
          </w:p>
        </w:tc>
      </w:tr>
      <w:tr>
        <w:trPr>
          <w:trHeight w:val="144"/>
        </w:trPr>
        <w:tc>
          <w:tcPr>
            <w:tcW w:w="15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2160" w:type="dxa"/>
            <w:vAlign w:val="bottom"/>
            <w:gridSpan w:val="4"/>
          </w:tcPr>
          <w:p>
            <w:pPr>
              <w:ind w:left="300"/>
              <w:spacing w:after="0" w:line="145" w:lineRule="exact"/>
              <w:rPr>
                <w:sz w:val="20"/>
                <w:szCs w:val="20"/>
                <w:color w:val="auto"/>
              </w:rPr>
            </w:pPr>
            <w:r>
              <w:rPr>
                <w:rFonts w:ascii="Arial" w:cs="Arial" w:eastAsia="Arial" w:hAnsi="Arial"/>
                <w:sz w:val="14"/>
                <w:szCs w:val="14"/>
                <w:b w:val="1"/>
                <w:bCs w:val="1"/>
                <w:color w:val="002554"/>
              </w:rPr>
              <w:t>Incentive Plan Awards</w:t>
            </w:r>
          </w:p>
        </w:tc>
        <w:tc>
          <w:tcPr>
            <w:tcW w:w="20" w:type="dxa"/>
            <w:vAlign w:val="bottom"/>
          </w:tcPr>
          <w:p>
            <w:pPr>
              <w:spacing w:after="0"/>
              <w:rPr>
                <w:sz w:val="12"/>
                <w:szCs w:val="12"/>
                <w:color w:val="auto"/>
              </w:rPr>
            </w:pPr>
          </w:p>
        </w:tc>
        <w:tc>
          <w:tcPr>
            <w:tcW w:w="2660" w:type="dxa"/>
            <w:vAlign w:val="bottom"/>
            <w:gridSpan w:val="11"/>
          </w:tcPr>
          <w:p>
            <w:pPr>
              <w:jc w:val="center"/>
              <w:spacing w:after="0" w:line="145" w:lineRule="exact"/>
              <w:rPr>
                <w:sz w:val="20"/>
                <w:szCs w:val="20"/>
                <w:color w:val="auto"/>
              </w:rPr>
            </w:pPr>
            <w:r>
              <w:rPr>
                <w:rFonts w:ascii="Arial" w:cs="Arial" w:eastAsia="Arial" w:hAnsi="Arial"/>
                <w:sz w:val="14"/>
                <w:szCs w:val="14"/>
                <w:b w:val="1"/>
                <w:bCs w:val="1"/>
                <w:color w:val="002554"/>
              </w:rPr>
              <w:t>​​Under Equity Incentive Plan Awards ​</w:t>
            </w:r>
          </w:p>
        </w:tc>
        <w:tc>
          <w:tcPr>
            <w:tcW w:w="7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bottom w:val="single" w:sz="8" w:color="00C389"/>
            </w:tcBorders>
          </w:tcPr>
          <w:p>
            <w:pPr>
              <w:spacing w:after="0"/>
              <w:rPr>
                <w:sz w:val="3"/>
                <w:szCs w:val="3"/>
                <w:color w:val="auto"/>
              </w:rPr>
            </w:pPr>
          </w:p>
        </w:tc>
        <w:tc>
          <w:tcPr>
            <w:tcW w:w="640" w:type="dxa"/>
            <w:vAlign w:val="bottom"/>
            <w:tcBorders>
              <w:bottom w:val="single" w:sz="8" w:color="00C389"/>
            </w:tcBorders>
          </w:tcPr>
          <w:p>
            <w:pPr>
              <w:spacing w:after="0"/>
              <w:rPr>
                <w:sz w:val="3"/>
                <w:szCs w:val="3"/>
                <w:color w:val="auto"/>
              </w:rPr>
            </w:pPr>
          </w:p>
        </w:tc>
        <w:tc>
          <w:tcPr>
            <w:tcW w:w="760" w:type="dxa"/>
            <w:vAlign w:val="bottom"/>
            <w:tcBorders>
              <w:bottom w:val="single" w:sz="8" w:color="00C389"/>
            </w:tcBorders>
          </w:tcPr>
          <w:p>
            <w:pPr>
              <w:spacing w:after="0"/>
              <w:rPr>
                <w:sz w:val="3"/>
                <w:szCs w:val="3"/>
                <w:color w:val="auto"/>
              </w:rPr>
            </w:pPr>
          </w:p>
        </w:tc>
        <w:tc>
          <w:tcPr>
            <w:tcW w:w="300" w:type="dxa"/>
            <w:vAlign w:val="bottom"/>
            <w:tcBorders>
              <w:bottom w:val="single" w:sz="8" w:color="00C389"/>
            </w:tcBorders>
          </w:tcPr>
          <w:p>
            <w:pPr>
              <w:spacing w:after="0"/>
              <w:rPr>
                <w:sz w:val="3"/>
                <w:szCs w:val="3"/>
                <w:color w:val="auto"/>
              </w:rPr>
            </w:pPr>
          </w:p>
        </w:tc>
        <w:tc>
          <w:tcPr>
            <w:tcW w:w="460" w:type="dxa"/>
            <w:vAlign w:val="bottom"/>
            <w:tcBorders>
              <w:bottom w:val="single" w:sz="8" w:color="00C389"/>
            </w:tcBorders>
          </w:tcPr>
          <w:p>
            <w:pPr>
              <w:spacing w:after="0"/>
              <w:rPr>
                <w:sz w:val="3"/>
                <w:szCs w:val="3"/>
                <w:color w:val="auto"/>
              </w:rPr>
            </w:pPr>
          </w:p>
        </w:tc>
        <w:tc>
          <w:tcPr>
            <w:tcW w:w="20" w:type="dxa"/>
            <w:vAlign w:val="bottom"/>
            <w:tcBorders>
              <w:bottom w:val="single" w:sz="8" w:color="00C389"/>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00C389"/>
            </w:tcBorders>
          </w:tcPr>
          <w:p>
            <w:pPr>
              <w:spacing w:after="0"/>
              <w:rPr>
                <w:sz w:val="3"/>
                <w:szCs w:val="3"/>
                <w:color w:val="auto"/>
              </w:rPr>
            </w:pPr>
          </w:p>
        </w:tc>
        <w:tc>
          <w:tcPr>
            <w:tcW w:w="620" w:type="dxa"/>
            <w:vAlign w:val="bottom"/>
            <w:tcBorders>
              <w:bottom w:val="single" w:sz="8" w:color="00C389"/>
            </w:tcBorders>
          </w:tcPr>
          <w:p>
            <w:pPr>
              <w:spacing w:after="0"/>
              <w:rPr>
                <w:sz w:val="3"/>
                <w:szCs w:val="3"/>
                <w:color w:val="auto"/>
              </w:rPr>
            </w:pPr>
          </w:p>
        </w:tc>
        <w:tc>
          <w:tcPr>
            <w:tcW w:w="140" w:type="dxa"/>
            <w:vAlign w:val="bottom"/>
            <w:tcBorders>
              <w:bottom w:val="single" w:sz="8" w:color="00C389"/>
            </w:tcBorders>
          </w:tcPr>
          <w:p>
            <w:pPr>
              <w:spacing w:after="0"/>
              <w:rPr>
                <w:sz w:val="3"/>
                <w:szCs w:val="3"/>
                <w:color w:val="auto"/>
              </w:rPr>
            </w:pPr>
          </w:p>
        </w:tc>
        <w:tc>
          <w:tcPr>
            <w:tcW w:w="200" w:type="dxa"/>
            <w:vAlign w:val="bottom"/>
            <w:tcBorders>
              <w:bottom w:val="single" w:sz="8" w:color="00C389"/>
            </w:tcBorders>
          </w:tcPr>
          <w:p>
            <w:pPr>
              <w:spacing w:after="0"/>
              <w:rPr>
                <w:sz w:val="3"/>
                <w:szCs w:val="3"/>
                <w:color w:val="auto"/>
              </w:rPr>
            </w:pPr>
          </w:p>
        </w:tc>
        <w:tc>
          <w:tcPr>
            <w:tcW w:w="500" w:type="dxa"/>
            <w:vAlign w:val="bottom"/>
            <w:tcBorders>
              <w:bottom w:val="single" w:sz="8" w:color="00C389"/>
            </w:tcBorders>
          </w:tcPr>
          <w:p>
            <w:pPr>
              <w:spacing w:after="0"/>
              <w:rPr>
                <w:sz w:val="3"/>
                <w:szCs w:val="3"/>
                <w:color w:val="auto"/>
              </w:rPr>
            </w:pPr>
          </w:p>
        </w:tc>
        <w:tc>
          <w:tcPr>
            <w:tcW w:w="180" w:type="dxa"/>
            <w:vAlign w:val="bottom"/>
            <w:tcBorders>
              <w:bottom w:val="single" w:sz="8" w:color="00C389"/>
            </w:tcBorders>
          </w:tcPr>
          <w:p>
            <w:pPr>
              <w:spacing w:after="0"/>
              <w:rPr>
                <w:sz w:val="3"/>
                <w:szCs w:val="3"/>
                <w:color w:val="auto"/>
              </w:rPr>
            </w:pPr>
          </w:p>
        </w:tc>
        <w:tc>
          <w:tcPr>
            <w:tcW w:w="600" w:type="dxa"/>
            <w:vAlign w:val="bottom"/>
            <w:tcBorders>
              <w:bottom w:val="single" w:sz="8" w:color="00C389"/>
            </w:tcBorders>
          </w:tcPr>
          <w:p>
            <w:pPr>
              <w:spacing w:after="0"/>
              <w:rPr>
                <w:sz w:val="3"/>
                <w:szCs w:val="3"/>
                <w:color w:val="auto"/>
              </w:rPr>
            </w:pPr>
          </w:p>
        </w:tc>
        <w:tc>
          <w:tcPr>
            <w:tcW w:w="120" w:type="dxa"/>
            <w:vAlign w:val="bottom"/>
            <w:tcBorders>
              <w:bottom w:val="single" w:sz="8" w:color="00C389"/>
            </w:tcBorders>
          </w:tcPr>
          <w:p>
            <w:pPr>
              <w:spacing w:after="0"/>
              <w:rPr>
                <w:sz w:val="3"/>
                <w:szCs w:val="3"/>
                <w:color w:val="auto"/>
              </w:rPr>
            </w:pPr>
          </w:p>
        </w:tc>
        <w:tc>
          <w:tcPr>
            <w:tcW w:w="100" w:type="dxa"/>
            <w:vAlign w:val="bottom"/>
            <w:tcBorders>
              <w:bottom w:val="single" w:sz="8" w:color="00C389"/>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right"/>
              <w:ind w:right="28"/>
              <w:spacing w:after="0" w:line="95" w:lineRule="exact"/>
              <w:rPr>
                <w:sz w:val="20"/>
                <w:szCs w:val="20"/>
                <w:color w:val="auto"/>
              </w:rPr>
            </w:pPr>
            <w:r>
              <w:rPr>
                <w:rFonts w:ascii="Arial" w:cs="Arial" w:eastAsia="Arial" w:hAnsi="Arial"/>
                <w:sz w:val="10"/>
                <w:szCs w:val="10"/>
                <w:b w:val="1"/>
                <w:bCs w:val="1"/>
                <w:color w:val="002554"/>
              </w:rPr>
              <w:t>Shares of</w:t>
            </w:r>
          </w:p>
        </w:tc>
        <w:tc>
          <w:tcPr>
            <w:tcW w:w="920" w:type="dxa"/>
            <w:vAlign w:val="bottom"/>
            <w:gridSpan w:val="3"/>
            <w:vMerge w:val="restart"/>
          </w:tcPr>
          <w:p>
            <w:pPr>
              <w:jc w:val="center"/>
              <w:spacing w:after="0" w:line="95" w:lineRule="exact"/>
              <w:rPr>
                <w:sz w:val="20"/>
                <w:szCs w:val="20"/>
                <w:color w:val="auto"/>
              </w:rPr>
            </w:pPr>
            <w:r>
              <w:rPr>
                <w:rFonts w:ascii="Arial" w:cs="Arial" w:eastAsia="Arial" w:hAnsi="Arial"/>
                <w:sz w:val="10"/>
                <w:szCs w:val="10"/>
                <w:b w:val="1"/>
                <w:bCs w:val="1"/>
                <w:color w:val="002554"/>
              </w:rPr>
              <w:t>of Stock</w:t>
            </w:r>
          </w:p>
        </w:tc>
        <w:tc>
          <w:tcPr>
            <w:tcW w:w="0" w:type="dxa"/>
            <w:vAlign w:val="bottom"/>
          </w:tcPr>
          <w:p>
            <w:pPr>
              <w:spacing w:after="0"/>
              <w:rPr>
                <w:sz w:val="1"/>
                <w:szCs w:val="1"/>
                <w:color w:val="auto"/>
              </w:rPr>
            </w:pPr>
          </w:p>
        </w:tc>
      </w:tr>
      <w:tr>
        <w:trPr>
          <w:trHeight w:val="34"/>
        </w:trPr>
        <w:tc>
          <w:tcPr>
            <w:tcW w:w="1560" w:type="dxa"/>
            <w:vAlign w:val="bottom"/>
          </w:tcPr>
          <w:p>
            <w:pPr>
              <w:spacing w:after="0"/>
              <w:rPr>
                <w:sz w:val="2"/>
                <w:szCs w:val="2"/>
                <w:color w:val="auto"/>
              </w:rPr>
            </w:pPr>
          </w:p>
        </w:tc>
        <w:tc>
          <w:tcPr>
            <w:tcW w:w="860" w:type="dxa"/>
            <w:vAlign w:val="bottom"/>
            <w:vMerge w:val="restart"/>
          </w:tcPr>
          <w:p>
            <w:pPr>
              <w:ind w:left="380"/>
              <w:spacing w:after="0"/>
              <w:rPr>
                <w:sz w:val="20"/>
                <w:szCs w:val="20"/>
                <w:color w:val="auto"/>
              </w:rPr>
            </w:pPr>
            <w:r>
              <w:rPr>
                <w:rFonts w:ascii="Arial" w:cs="Arial" w:eastAsia="Arial" w:hAnsi="Arial"/>
                <w:sz w:val="14"/>
                <w:szCs w:val="14"/>
                <w:b w:val="1"/>
                <w:bCs w:val="1"/>
                <w:color w:val="002554"/>
              </w:rPr>
              <w:t>Grant</w:t>
            </w:r>
          </w:p>
        </w:tc>
        <w:tc>
          <w:tcPr>
            <w:tcW w:w="18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002554"/>
              </w:rPr>
              <w:t>Threshold</w:t>
            </w:r>
          </w:p>
        </w:tc>
        <w:tc>
          <w:tcPr>
            <w:tcW w:w="7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002554"/>
              </w:rPr>
              <w:t>Target</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02554"/>
              </w:rPr>
              <w:t>Maximum</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2554"/>
              </w:rPr>
              <w:t>Threshold</w:t>
            </w:r>
          </w:p>
        </w:tc>
        <w:tc>
          <w:tcPr>
            <w:tcW w:w="200" w:type="dxa"/>
            <w:vAlign w:val="bottom"/>
          </w:tcPr>
          <w:p>
            <w:pPr>
              <w:spacing w:after="0"/>
              <w:rPr>
                <w:sz w:val="2"/>
                <w:szCs w:val="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002554"/>
                <w:w w:val="98"/>
              </w:rPr>
              <w:t>Target</w:t>
            </w:r>
          </w:p>
        </w:tc>
        <w:tc>
          <w:tcPr>
            <w:tcW w:w="180" w:type="dxa"/>
            <w:vAlign w:val="bottom"/>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2554"/>
              </w:rPr>
              <w:t>Maximum</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002554"/>
              </w:rPr>
              <w:t>Stock Units</w:t>
            </w:r>
          </w:p>
        </w:tc>
        <w:tc>
          <w:tcPr>
            <w:tcW w:w="200" w:type="dxa"/>
            <w:vAlign w:val="bottom"/>
          </w:tcPr>
          <w:p>
            <w:pPr>
              <w:spacing w:after="0"/>
              <w:rPr>
                <w:sz w:val="11"/>
                <w:szCs w:val="11"/>
                <w:color w:val="auto"/>
              </w:rPr>
            </w:pPr>
          </w:p>
        </w:tc>
        <w:tc>
          <w:tcPr>
            <w:tcW w:w="720" w:type="dxa"/>
            <w:vAlign w:val="bottom"/>
            <w:gridSpan w:val="2"/>
          </w:tcPr>
          <w:p>
            <w:pPr>
              <w:jc w:val="center"/>
              <w:ind w:right="108"/>
              <w:spacing w:after="0" w:line="135" w:lineRule="exact"/>
              <w:rPr>
                <w:sz w:val="20"/>
                <w:szCs w:val="20"/>
                <w:color w:val="auto"/>
              </w:rPr>
            </w:pPr>
            <w:r>
              <w:rPr>
                <w:rFonts w:ascii="Arial" w:cs="Arial" w:eastAsia="Arial" w:hAnsi="Arial"/>
                <w:sz w:val="14"/>
                <w:szCs w:val="14"/>
                <w:b w:val="1"/>
                <w:bCs w:val="1"/>
                <w:color w:val="002554"/>
                <w:w w:val="98"/>
              </w:rPr>
              <w:t>Awards</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Arial" w:cs="Arial" w:eastAsia="Arial" w:hAnsi="Arial"/>
                <w:sz w:val="12"/>
                <w:szCs w:val="12"/>
                <w:b w:val="1"/>
                <w:bCs w:val="1"/>
                <w:color w:val="002554"/>
              </w:rPr>
              <w:t xml:space="preserve">Name and Type of Award </w:t>
            </w:r>
            <w:r>
              <w:rPr>
                <w:rFonts w:ascii="Arial" w:cs="Arial" w:eastAsia="Arial" w:hAnsi="Arial"/>
                <w:sz w:val="21"/>
                <w:szCs w:val="21"/>
                <w:b w:val="1"/>
                <w:bCs w:val="1"/>
                <w:color w:val="002554"/>
                <w:vertAlign w:val="subscript"/>
              </w:rPr>
              <w:t>​​</w:t>
            </w:r>
            <w:r>
              <w:rPr>
                <w:rFonts w:ascii="Arial" w:cs="Arial" w:eastAsia="Arial" w:hAnsi="Arial"/>
                <w:sz w:val="12"/>
                <w:szCs w:val="12"/>
                <w:b w:val="1"/>
                <w:bCs w:val="1"/>
                <w:color w:val="002554"/>
              </w:rPr>
              <w:t xml:space="preserve">   Date</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002554"/>
              </w:rPr>
              <w:t>​​</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002554"/>
              </w:rPr>
              <w:t>($)</w:t>
            </w: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002554"/>
              </w:rPr>
              <w:t>​​   ($)</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002554"/>
              </w:rPr>
              <w:t>​​</w:t>
            </w:r>
          </w:p>
        </w:tc>
        <w:tc>
          <w:tcPr>
            <w:tcW w:w="460" w:type="dxa"/>
            <w:vAlign w:val="bottom"/>
          </w:tcPr>
          <w:p>
            <w:pPr>
              <w:jc w:val="right"/>
              <w:ind w:right="168"/>
              <w:spacing w:after="0"/>
              <w:rPr>
                <w:sz w:val="20"/>
                <w:szCs w:val="20"/>
                <w:color w:val="auto"/>
              </w:rPr>
            </w:pPr>
            <w:r>
              <w:rPr>
                <w:rFonts w:ascii="Arial" w:cs="Arial" w:eastAsia="Arial" w:hAnsi="Arial"/>
                <w:sz w:val="14"/>
                <w:szCs w:val="14"/>
                <w:b w:val="1"/>
                <w:bCs w:val="1"/>
                <w:color w:val="002554"/>
              </w:rPr>
              <w:t>($)</w:t>
            </w:r>
          </w:p>
        </w:tc>
        <w:tc>
          <w:tcPr>
            <w:tcW w:w="2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002554"/>
              </w:rPr>
              <w:t>​​</w:t>
            </w:r>
          </w:p>
        </w:tc>
        <w:tc>
          <w:tcPr>
            <w:tcW w:w="620" w:type="dxa"/>
            <w:vAlign w:val="bottom"/>
          </w:tcPr>
          <w:p>
            <w:pPr>
              <w:ind w:left="300"/>
              <w:spacing w:after="0"/>
              <w:rPr>
                <w:sz w:val="20"/>
                <w:szCs w:val="20"/>
                <w:color w:val="auto"/>
              </w:rPr>
            </w:pPr>
            <w:r>
              <w:rPr>
                <w:rFonts w:ascii="Arial" w:cs="Arial" w:eastAsia="Arial" w:hAnsi="Arial"/>
                <w:sz w:val="14"/>
                <w:szCs w:val="14"/>
                <w:b w:val="1"/>
                <w:bCs w:val="1"/>
                <w:color w:val="002554"/>
              </w:rPr>
              <w:t>(#)</w:t>
            </w:r>
          </w:p>
        </w:tc>
        <w:tc>
          <w:tcPr>
            <w:tcW w:w="1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002554"/>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002554"/>
              </w:rPr>
              <w:t>​​</w:t>
            </w:r>
          </w:p>
        </w:tc>
        <w:tc>
          <w:tcPr>
            <w:tcW w:w="600" w:type="dxa"/>
            <w:vAlign w:val="bottom"/>
          </w:tcPr>
          <w:p>
            <w:pPr>
              <w:ind w:left="280"/>
              <w:spacing w:after="0"/>
              <w:rPr>
                <w:sz w:val="20"/>
                <w:szCs w:val="20"/>
                <w:color w:val="auto"/>
              </w:rPr>
            </w:pPr>
            <w:r>
              <w:rPr>
                <w:rFonts w:ascii="Arial" w:cs="Arial" w:eastAsia="Arial" w:hAnsi="Arial"/>
                <w:sz w:val="14"/>
                <w:szCs w:val="14"/>
                <w:b w:val="1"/>
                <w:bCs w:val="1"/>
                <w:color w:val="002554"/>
              </w:rPr>
              <w:t>(#)</w:t>
            </w:r>
          </w:p>
        </w:tc>
        <w:tc>
          <w:tcPr>
            <w:tcW w:w="1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002554"/>
              </w:rPr>
              <w:t>​​</w:t>
            </w:r>
          </w:p>
        </w:tc>
        <w:tc>
          <w:tcPr>
            <w:tcW w:w="640" w:type="dxa"/>
            <w:vAlign w:val="bottom"/>
          </w:tcPr>
          <w:p>
            <w:pPr>
              <w:ind w:left="300"/>
              <w:spacing w:after="0"/>
              <w:rPr>
                <w:sz w:val="20"/>
                <w:szCs w:val="20"/>
                <w:color w:val="auto"/>
              </w:rPr>
            </w:pPr>
            <w:r>
              <w:rPr>
                <w:rFonts w:ascii="Arial" w:cs="Arial" w:eastAsia="Arial" w:hAnsi="Arial"/>
                <w:sz w:val="14"/>
                <w:szCs w:val="14"/>
                <w:b w:val="1"/>
                <w:bCs w:val="1"/>
                <w:color w:val="002554"/>
              </w:rPr>
              <w:t>(#)</w:t>
            </w:r>
          </w:p>
        </w:tc>
        <w:tc>
          <w:tcPr>
            <w:tcW w:w="1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002554"/>
              </w:rPr>
              <w:t>​​   ($)(2)   ​</w:t>
            </w:r>
          </w:p>
        </w:tc>
        <w:tc>
          <w:tcPr>
            <w:tcW w:w="0" w:type="dxa"/>
            <w:vAlign w:val="bottom"/>
          </w:tcPr>
          <w:p>
            <w:pPr>
              <w:spacing w:after="0"/>
              <w:rPr>
                <w:sz w:val="1"/>
                <w:szCs w:val="1"/>
                <w:color w:val="auto"/>
              </w:rPr>
            </w:pPr>
          </w:p>
        </w:tc>
      </w:tr>
      <w:tr>
        <w:trPr>
          <w:trHeight w:val="20"/>
        </w:trPr>
        <w:tc>
          <w:tcPr>
            <w:tcW w:w="1560" w:type="dxa"/>
            <w:vAlign w:val="bottom"/>
            <w:shd w:val="clear" w:color="auto" w:fill="00C389"/>
          </w:tcPr>
          <w:p>
            <w:pPr>
              <w:spacing w:after="0" w:line="20" w:lineRule="exact"/>
              <w:rPr>
                <w:sz w:val="1"/>
                <w:szCs w:val="1"/>
                <w:color w:val="auto"/>
              </w:rPr>
            </w:pPr>
          </w:p>
        </w:tc>
        <w:tc>
          <w:tcPr>
            <w:tcW w:w="860" w:type="dxa"/>
            <w:vAlign w:val="bottom"/>
            <w:shd w:val="clear" w:color="auto" w:fill="00C389"/>
          </w:tcPr>
          <w:p>
            <w:pPr>
              <w:spacing w:after="0" w:line="20" w:lineRule="exact"/>
              <w:rPr>
                <w:sz w:val="1"/>
                <w:szCs w:val="1"/>
                <w:color w:val="auto"/>
              </w:rPr>
            </w:pPr>
          </w:p>
        </w:tc>
        <w:tc>
          <w:tcPr>
            <w:tcW w:w="18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640" w:type="dxa"/>
            <w:vAlign w:val="bottom"/>
            <w:shd w:val="clear" w:color="auto" w:fill="00C389"/>
          </w:tcPr>
          <w:p>
            <w:pPr>
              <w:spacing w:after="0" w:line="20" w:lineRule="exact"/>
              <w:rPr>
                <w:sz w:val="1"/>
                <w:szCs w:val="1"/>
                <w:color w:val="auto"/>
              </w:rPr>
            </w:pPr>
          </w:p>
        </w:tc>
        <w:tc>
          <w:tcPr>
            <w:tcW w:w="760" w:type="dxa"/>
            <w:vAlign w:val="bottom"/>
            <w:shd w:val="clear" w:color="auto" w:fill="00C389"/>
          </w:tcPr>
          <w:p>
            <w:pPr>
              <w:spacing w:after="0" w:line="20" w:lineRule="exact"/>
              <w:rPr>
                <w:sz w:val="1"/>
                <w:szCs w:val="1"/>
                <w:color w:val="auto"/>
              </w:rPr>
            </w:pPr>
          </w:p>
        </w:tc>
        <w:tc>
          <w:tcPr>
            <w:tcW w:w="300" w:type="dxa"/>
            <w:vAlign w:val="bottom"/>
            <w:shd w:val="clear" w:color="auto" w:fill="00C389"/>
          </w:tcPr>
          <w:p>
            <w:pPr>
              <w:spacing w:after="0" w:line="20" w:lineRule="exact"/>
              <w:rPr>
                <w:sz w:val="1"/>
                <w:szCs w:val="1"/>
                <w:color w:val="auto"/>
              </w:rPr>
            </w:pPr>
          </w:p>
        </w:tc>
        <w:tc>
          <w:tcPr>
            <w:tcW w:w="46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4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620" w:type="dxa"/>
            <w:vAlign w:val="bottom"/>
            <w:shd w:val="clear" w:color="auto" w:fill="00C389"/>
          </w:tcPr>
          <w:p>
            <w:pPr>
              <w:spacing w:after="0" w:line="20" w:lineRule="exact"/>
              <w:rPr>
                <w:sz w:val="1"/>
                <w:szCs w:val="1"/>
                <w:color w:val="auto"/>
              </w:rPr>
            </w:pPr>
          </w:p>
        </w:tc>
        <w:tc>
          <w:tcPr>
            <w:tcW w:w="140" w:type="dxa"/>
            <w:vAlign w:val="bottom"/>
            <w:shd w:val="clear" w:color="auto" w:fill="00C389"/>
          </w:tcPr>
          <w:p>
            <w:pPr>
              <w:spacing w:after="0" w:line="20" w:lineRule="exact"/>
              <w:rPr>
                <w:sz w:val="1"/>
                <w:szCs w:val="1"/>
                <w:color w:val="auto"/>
              </w:rPr>
            </w:pPr>
          </w:p>
        </w:tc>
        <w:tc>
          <w:tcPr>
            <w:tcW w:w="200" w:type="dxa"/>
            <w:vAlign w:val="bottom"/>
            <w:shd w:val="clear" w:color="auto" w:fill="00C389"/>
          </w:tcPr>
          <w:p>
            <w:pPr>
              <w:spacing w:after="0" w:line="20" w:lineRule="exact"/>
              <w:rPr>
                <w:sz w:val="1"/>
                <w:szCs w:val="1"/>
                <w:color w:val="auto"/>
              </w:rPr>
            </w:pPr>
          </w:p>
        </w:tc>
        <w:tc>
          <w:tcPr>
            <w:tcW w:w="500" w:type="dxa"/>
            <w:vAlign w:val="bottom"/>
            <w:shd w:val="clear" w:color="auto" w:fill="00C389"/>
          </w:tcPr>
          <w:p>
            <w:pPr>
              <w:spacing w:after="0" w:line="20" w:lineRule="exact"/>
              <w:rPr>
                <w:sz w:val="1"/>
                <w:szCs w:val="1"/>
                <w:color w:val="auto"/>
              </w:rPr>
            </w:pPr>
          </w:p>
        </w:tc>
        <w:tc>
          <w:tcPr>
            <w:tcW w:w="180" w:type="dxa"/>
            <w:vAlign w:val="bottom"/>
            <w:shd w:val="clear" w:color="auto" w:fill="00C389"/>
          </w:tcPr>
          <w:p>
            <w:pPr>
              <w:spacing w:after="0" w:line="20" w:lineRule="exact"/>
              <w:rPr>
                <w:sz w:val="1"/>
                <w:szCs w:val="1"/>
                <w:color w:val="auto"/>
              </w:rPr>
            </w:pPr>
          </w:p>
        </w:tc>
        <w:tc>
          <w:tcPr>
            <w:tcW w:w="600" w:type="dxa"/>
            <w:vAlign w:val="bottom"/>
            <w:shd w:val="clear" w:color="auto" w:fill="00C389"/>
          </w:tcPr>
          <w:p>
            <w:pPr>
              <w:spacing w:after="0" w:line="20" w:lineRule="exact"/>
              <w:rPr>
                <w:sz w:val="1"/>
                <w:szCs w:val="1"/>
                <w:color w:val="auto"/>
              </w:rPr>
            </w:pPr>
          </w:p>
        </w:tc>
        <w:tc>
          <w:tcPr>
            <w:tcW w:w="12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640" w:type="dxa"/>
            <w:vAlign w:val="bottom"/>
            <w:shd w:val="clear" w:color="auto" w:fill="00C389"/>
          </w:tcPr>
          <w:p>
            <w:pPr>
              <w:spacing w:after="0" w:line="20" w:lineRule="exact"/>
              <w:rPr>
                <w:sz w:val="1"/>
                <w:szCs w:val="1"/>
                <w:color w:val="auto"/>
              </w:rPr>
            </w:pPr>
          </w:p>
        </w:tc>
        <w:tc>
          <w:tcPr>
            <w:tcW w:w="140" w:type="dxa"/>
            <w:vAlign w:val="bottom"/>
            <w:shd w:val="clear" w:color="auto" w:fill="00C389"/>
          </w:tcPr>
          <w:p>
            <w:pPr>
              <w:spacing w:after="0" w:line="20" w:lineRule="exact"/>
              <w:rPr>
                <w:sz w:val="1"/>
                <w:szCs w:val="1"/>
                <w:color w:val="auto"/>
              </w:rPr>
            </w:pPr>
          </w:p>
        </w:tc>
        <w:tc>
          <w:tcPr>
            <w:tcW w:w="200" w:type="dxa"/>
            <w:vAlign w:val="bottom"/>
            <w:shd w:val="clear" w:color="auto" w:fill="00C389"/>
          </w:tcPr>
          <w:p>
            <w:pPr>
              <w:spacing w:after="0" w:line="20" w:lineRule="exact"/>
              <w:rPr>
                <w:sz w:val="1"/>
                <w:szCs w:val="1"/>
                <w:color w:val="auto"/>
              </w:rPr>
            </w:pPr>
          </w:p>
        </w:tc>
        <w:tc>
          <w:tcPr>
            <w:tcW w:w="680" w:type="dxa"/>
            <w:vAlign w:val="bottom"/>
            <w:shd w:val="clear" w:color="auto" w:fill="00C38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Pr>
          <w:p>
            <w:pPr>
              <w:spacing w:after="0"/>
              <w:rPr>
                <w:sz w:val="20"/>
                <w:szCs w:val="20"/>
                <w:color w:val="auto"/>
              </w:rPr>
            </w:pPr>
            <w:r>
              <w:rPr>
                <w:rFonts w:ascii="Arial" w:cs="Arial" w:eastAsia="Arial" w:hAnsi="Arial"/>
                <w:sz w:val="14"/>
                <w:szCs w:val="14"/>
                <w:b w:val="1"/>
                <w:bCs w:val="1"/>
                <w:color w:val="auto"/>
              </w:rPr>
              <w:t>Douglas A. Cifu</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8"/>
                <w:szCs w:val="18"/>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5,000,000</w:t>
            </w:r>
          </w:p>
        </w:tc>
        <w:tc>
          <w:tcPr>
            <w:tcW w:w="1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tcPr>
          <w:p>
            <w:pPr>
              <w:jc w:val="right"/>
              <w:ind w:right="558"/>
              <w:spacing w:after="0" w:line="54" w:lineRule="exact"/>
              <w:rPr>
                <w:sz w:val="20"/>
                <w:szCs w:val="20"/>
                <w:color w:val="auto"/>
              </w:rPr>
            </w:pPr>
            <w:r>
              <w:rPr>
                <w:rFonts w:ascii="Arial" w:cs="Arial" w:eastAsia="Arial" w:hAnsi="Arial"/>
                <w:sz w:val="6"/>
                <w:szCs w:val="6"/>
                <w:color w:val="auto"/>
              </w:rPr>
              <w:t>​​​</w:t>
            </w:r>
          </w:p>
        </w:tc>
        <w:tc>
          <w:tcPr>
            <w:tcW w:w="300" w:type="dxa"/>
            <w:vAlign w:val="bottom"/>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p>
        </w:tc>
        <w:tc>
          <w:tcPr>
            <w:tcW w:w="1120" w:type="dxa"/>
            <w:vAlign w:val="bottom"/>
            <w:tcBorders>
              <w:bottom w:val="single" w:sz="8" w:color="00C389"/>
            </w:tcBorders>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​12/24/2021</w:t>
            </w:r>
            <w:r>
              <w:rPr>
                <w:rFonts w:ascii="Arial" w:cs="Arial" w:eastAsia="Arial" w:hAnsi="Arial"/>
                <w:sz w:val="23"/>
                <w:szCs w:val="23"/>
                <w:color w:val="auto"/>
                <w:vertAlign w:val="subscript"/>
              </w:rPr>
              <w:t>​​​</w:t>
            </w:r>
          </w:p>
        </w:tc>
        <w:tc>
          <w:tcPr>
            <w:tcW w:w="640" w:type="dxa"/>
            <w:vAlign w:val="bottom"/>
            <w:tcBorders>
              <w:bottom w:val="single" w:sz="8" w:color="00C389"/>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389"/>
            </w:tcBorders>
            <w:shd w:val="clear" w:color="auto" w:fill="CCEEFF"/>
          </w:tcPr>
          <w:p>
            <w:pPr>
              <w:jc w:val="right"/>
              <w:ind w:right="53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389"/>
            </w:tcBorders>
            <w:shd w:val="clear" w:color="auto" w:fill="CCEEFF"/>
          </w:tcPr>
          <w:p>
            <w:pPr>
              <w:spacing w:after="0"/>
              <w:rPr>
                <w:sz w:val="17"/>
                <w:szCs w:val="17"/>
                <w:color w:val="auto"/>
              </w:rPr>
            </w:pPr>
          </w:p>
        </w:tc>
        <w:tc>
          <w:tcPr>
            <w:tcW w:w="140" w:type="dxa"/>
            <w:vAlign w:val="bottom"/>
            <w:tcBorders>
              <w:bottom w:val="single" w:sz="8" w:color="00C389"/>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389"/>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389"/>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C389"/>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389"/>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150,000</w:t>
            </w:r>
          </w:p>
        </w:tc>
        <w:tc>
          <w:tcPr>
            <w:tcW w:w="140" w:type="dxa"/>
            <w:vAlign w:val="bottom"/>
            <w:tcBorders>
              <w:bottom w:val="single" w:sz="8" w:color="00C389"/>
            </w:tcBorders>
            <w:shd w:val="clear" w:color="auto" w:fill="CCEEFF"/>
          </w:tcPr>
          <w:p>
            <w:pPr>
              <w:spacing w:after="0"/>
              <w:rPr>
                <w:sz w:val="17"/>
                <w:szCs w:val="17"/>
                <w:color w:val="auto"/>
              </w:rPr>
            </w:pPr>
          </w:p>
        </w:tc>
        <w:tc>
          <w:tcPr>
            <w:tcW w:w="880" w:type="dxa"/>
            <w:vAlign w:val="bottom"/>
            <w:tcBorders>
              <w:bottom w:val="single" w:sz="8" w:color="00C389"/>
            </w:tcBorders>
            <w:gridSpan w:val="2"/>
            <w:shd w:val="clear" w:color="auto" w:fill="CCEEFF"/>
          </w:tcPr>
          <w:p>
            <w:pPr>
              <w:ind w:left="2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​4,090,500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56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8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2,500,000</w:t>
            </w:r>
          </w:p>
        </w:tc>
        <w:tc>
          <w:tcPr>
            <w:tcW w:w="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8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56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jc w:val="right"/>
              <w:ind w:right="558"/>
              <w:spacing w:after="0" w:line="54" w:lineRule="exact"/>
              <w:rPr>
                <w:sz w:val="20"/>
                <w:szCs w:val="20"/>
                <w:color w:val="auto"/>
              </w:rPr>
            </w:pPr>
            <w:r>
              <w:rPr>
                <w:rFonts w:ascii="Arial" w:cs="Arial" w:eastAsia="Arial" w:hAnsi="Arial"/>
                <w:sz w:val="6"/>
                <w:szCs w:val="6"/>
                <w:color w:val="auto"/>
              </w:rPr>
              <w:t>​​​</w:t>
            </w:r>
          </w:p>
        </w:tc>
        <w:tc>
          <w:tcPr>
            <w:tcW w:w="3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shd w:val="clear" w:color="auto" w:fill="CCEEFF"/>
          </w:tcPr>
          <w:p>
            <w:pPr>
              <w:spacing w:after="0"/>
              <w:rPr>
                <w:sz w:val="4"/>
                <w:szCs w:val="4"/>
                <w:color w:val="auto"/>
              </w:rPr>
            </w:pPr>
          </w:p>
        </w:tc>
        <w:tc>
          <w:tcPr>
            <w:tcW w:w="140" w:type="dxa"/>
            <w:vAlign w:val="bottom"/>
            <w:gridSpan w:val="3"/>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4"/>
                <w:szCs w:val="14"/>
                <w:i w:val="1"/>
                <w:iCs w:val="1"/>
                <w:color w:val="auto"/>
              </w:rPr>
              <w:t>Restricted Shares</w:t>
            </w:r>
          </w:p>
        </w:tc>
        <w:tc>
          <w:tcPr>
            <w:tcW w:w="112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6/22/2020</w:t>
            </w:r>
            <w:r>
              <w:rPr>
                <w:rFonts w:ascii="Arial" w:cs="Arial" w:eastAsia="Arial" w:hAnsi="Arial"/>
                <w:sz w:val="23"/>
                <w:szCs w:val="23"/>
                <w:color w:val="auto"/>
                <w:vertAlign w:val="subscript"/>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50,000</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​1,168,500 </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1560" w:type="dxa"/>
            <w:vAlign w:val="bottom"/>
            <w:shd w:val="clear" w:color="auto" w:fill="00C389"/>
          </w:tcPr>
          <w:p>
            <w:pPr>
              <w:spacing w:after="0" w:line="20" w:lineRule="exact"/>
              <w:rPr>
                <w:sz w:val="1"/>
                <w:szCs w:val="1"/>
                <w:color w:val="auto"/>
              </w:rPr>
            </w:pPr>
          </w:p>
        </w:tc>
        <w:tc>
          <w:tcPr>
            <w:tcW w:w="860" w:type="dxa"/>
            <w:vAlign w:val="bottom"/>
            <w:shd w:val="clear" w:color="auto" w:fill="00C389"/>
          </w:tcPr>
          <w:p>
            <w:pPr>
              <w:spacing w:after="0" w:line="20" w:lineRule="exact"/>
              <w:rPr>
                <w:sz w:val="1"/>
                <w:szCs w:val="1"/>
                <w:color w:val="auto"/>
              </w:rPr>
            </w:pPr>
          </w:p>
        </w:tc>
        <w:tc>
          <w:tcPr>
            <w:tcW w:w="18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640" w:type="dxa"/>
            <w:vAlign w:val="bottom"/>
            <w:shd w:val="clear" w:color="auto" w:fill="00C389"/>
          </w:tcPr>
          <w:p>
            <w:pPr>
              <w:spacing w:after="0" w:line="20" w:lineRule="exact"/>
              <w:rPr>
                <w:sz w:val="1"/>
                <w:szCs w:val="1"/>
                <w:color w:val="auto"/>
              </w:rPr>
            </w:pPr>
          </w:p>
        </w:tc>
        <w:tc>
          <w:tcPr>
            <w:tcW w:w="760" w:type="dxa"/>
            <w:vAlign w:val="bottom"/>
            <w:shd w:val="clear" w:color="auto" w:fill="00C389"/>
          </w:tcPr>
          <w:p>
            <w:pPr>
              <w:spacing w:after="0" w:line="20" w:lineRule="exact"/>
              <w:rPr>
                <w:sz w:val="1"/>
                <w:szCs w:val="1"/>
                <w:color w:val="auto"/>
              </w:rPr>
            </w:pPr>
          </w:p>
        </w:tc>
        <w:tc>
          <w:tcPr>
            <w:tcW w:w="300" w:type="dxa"/>
            <w:vAlign w:val="bottom"/>
            <w:shd w:val="clear" w:color="auto" w:fill="00C389"/>
          </w:tcPr>
          <w:p>
            <w:pPr>
              <w:spacing w:after="0" w:line="20" w:lineRule="exact"/>
              <w:rPr>
                <w:sz w:val="1"/>
                <w:szCs w:val="1"/>
                <w:color w:val="auto"/>
              </w:rPr>
            </w:pPr>
          </w:p>
        </w:tc>
        <w:tc>
          <w:tcPr>
            <w:tcW w:w="46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4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620" w:type="dxa"/>
            <w:vAlign w:val="bottom"/>
            <w:shd w:val="clear" w:color="auto" w:fill="00C389"/>
          </w:tcPr>
          <w:p>
            <w:pPr>
              <w:spacing w:after="0" w:line="20" w:lineRule="exact"/>
              <w:rPr>
                <w:sz w:val="1"/>
                <w:szCs w:val="1"/>
                <w:color w:val="auto"/>
              </w:rPr>
            </w:pPr>
          </w:p>
        </w:tc>
        <w:tc>
          <w:tcPr>
            <w:tcW w:w="140" w:type="dxa"/>
            <w:vAlign w:val="bottom"/>
            <w:shd w:val="clear" w:color="auto" w:fill="00C389"/>
          </w:tcPr>
          <w:p>
            <w:pPr>
              <w:spacing w:after="0" w:line="20" w:lineRule="exact"/>
              <w:rPr>
                <w:sz w:val="1"/>
                <w:szCs w:val="1"/>
                <w:color w:val="auto"/>
              </w:rPr>
            </w:pPr>
          </w:p>
        </w:tc>
        <w:tc>
          <w:tcPr>
            <w:tcW w:w="200" w:type="dxa"/>
            <w:vAlign w:val="bottom"/>
            <w:shd w:val="clear" w:color="auto" w:fill="00C389"/>
          </w:tcPr>
          <w:p>
            <w:pPr>
              <w:spacing w:after="0" w:line="20" w:lineRule="exact"/>
              <w:rPr>
                <w:sz w:val="1"/>
                <w:szCs w:val="1"/>
                <w:color w:val="auto"/>
              </w:rPr>
            </w:pPr>
          </w:p>
        </w:tc>
        <w:tc>
          <w:tcPr>
            <w:tcW w:w="500" w:type="dxa"/>
            <w:vAlign w:val="bottom"/>
            <w:shd w:val="clear" w:color="auto" w:fill="00C389"/>
          </w:tcPr>
          <w:p>
            <w:pPr>
              <w:spacing w:after="0" w:line="20" w:lineRule="exact"/>
              <w:rPr>
                <w:sz w:val="1"/>
                <w:szCs w:val="1"/>
                <w:color w:val="auto"/>
              </w:rPr>
            </w:pPr>
          </w:p>
        </w:tc>
        <w:tc>
          <w:tcPr>
            <w:tcW w:w="180" w:type="dxa"/>
            <w:vAlign w:val="bottom"/>
            <w:shd w:val="clear" w:color="auto" w:fill="00C389"/>
          </w:tcPr>
          <w:p>
            <w:pPr>
              <w:spacing w:after="0" w:line="20" w:lineRule="exact"/>
              <w:rPr>
                <w:sz w:val="1"/>
                <w:szCs w:val="1"/>
                <w:color w:val="auto"/>
              </w:rPr>
            </w:pPr>
          </w:p>
        </w:tc>
        <w:tc>
          <w:tcPr>
            <w:tcW w:w="600" w:type="dxa"/>
            <w:vAlign w:val="bottom"/>
            <w:shd w:val="clear" w:color="auto" w:fill="00C389"/>
          </w:tcPr>
          <w:p>
            <w:pPr>
              <w:spacing w:after="0" w:line="20" w:lineRule="exact"/>
              <w:rPr>
                <w:sz w:val="1"/>
                <w:szCs w:val="1"/>
                <w:color w:val="auto"/>
              </w:rPr>
            </w:pPr>
          </w:p>
        </w:tc>
        <w:tc>
          <w:tcPr>
            <w:tcW w:w="12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640" w:type="dxa"/>
            <w:vAlign w:val="bottom"/>
            <w:shd w:val="clear" w:color="auto" w:fill="00C389"/>
          </w:tcPr>
          <w:p>
            <w:pPr>
              <w:spacing w:after="0" w:line="20" w:lineRule="exact"/>
              <w:rPr>
                <w:sz w:val="1"/>
                <w:szCs w:val="1"/>
                <w:color w:val="auto"/>
              </w:rPr>
            </w:pPr>
          </w:p>
        </w:tc>
        <w:tc>
          <w:tcPr>
            <w:tcW w:w="140" w:type="dxa"/>
            <w:vAlign w:val="bottom"/>
            <w:shd w:val="clear" w:color="auto" w:fill="00C389"/>
          </w:tcPr>
          <w:p>
            <w:pPr>
              <w:spacing w:after="0" w:line="20" w:lineRule="exact"/>
              <w:rPr>
                <w:sz w:val="1"/>
                <w:szCs w:val="1"/>
                <w:color w:val="auto"/>
              </w:rPr>
            </w:pPr>
          </w:p>
        </w:tc>
        <w:tc>
          <w:tcPr>
            <w:tcW w:w="200" w:type="dxa"/>
            <w:vAlign w:val="bottom"/>
            <w:shd w:val="clear" w:color="auto" w:fill="00C389"/>
          </w:tcPr>
          <w:p>
            <w:pPr>
              <w:spacing w:after="0" w:line="20" w:lineRule="exact"/>
              <w:rPr>
                <w:sz w:val="1"/>
                <w:szCs w:val="1"/>
                <w:color w:val="auto"/>
              </w:rPr>
            </w:pPr>
          </w:p>
        </w:tc>
        <w:tc>
          <w:tcPr>
            <w:tcW w:w="680" w:type="dxa"/>
            <w:vAlign w:val="bottom"/>
            <w:shd w:val="clear" w:color="auto" w:fill="00C38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spacing w:after="0"/>
              <w:rPr>
                <w:sz w:val="20"/>
                <w:szCs w:val="20"/>
                <w:color w:val="auto"/>
              </w:rPr>
            </w:pPr>
            <w:r>
              <w:rPr>
                <w:rFonts w:ascii="Arial" w:cs="Arial" w:eastAsia="Arial" w:hAnsi="Arial"/>
                <w:sz w:val="14"/>
                <w:szCs w:val="14"/>
                <w:b w:val="1"/>
                <w:bCs w:val="1"/>
                <w:color w:val="auto"/>
              </w:rPr>
              <w:t>Brett Fairclough</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560" w:type="dxa"/>
            <w:vAlign w:val="bottom"/>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2,500,000</w:t>
            </w:r>
          </w:p>
        </w:tc>
        <w:tc>
          <w:tcPr>
            <w:tcW w:w="1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60" w:type="dxa"/>
            <w:vAlign w:val="bottom"/>
          </w:tcPr>
          <w:p>
            <w:pPr>
              <w:jc w:val="right"/>
              <w:ind w:right="558"/>
              <w:spacing w:after="0" w:line="54" w:lineRule="exact"/>
              <w:rPr>
                <w:sz w:val="20"/>
                <w:szCs w:val="20"/>
                <w:color w:val="auto"/>
              </w:rPr>
            </w:pPr>
            <w:r>
              <w:rPr>
                <w:rFonts w:ascii="Arial" w:cs="Arial" w:eastAsia="Arial" w:hAnsi="Arial"/>
                <w:sz w:val="6"/>
                <w:szCs w:val="6"/>
                <w:color w:val="auto"/>
              </w:rPr>
              <w:t>​​​</w:t>
            </w:r>
          </w:p>
        </w:tc>
        <w:tc>
          <w:tcPr>
            <w:tcW w:w="300" w:type="dxa"/>
            <w:vAlign w:val="bottom"/>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i w:val="1"/>
                <w:iCs w:val="1"/>
                <w:color w:val="auto"/>
              </w:rPr>
              <w:t>Restricted Shares</w:t>
            </w:r>
          </w:p>
        </w:tc>
        <w:tc>
          <w:tcPr>
            <w:tcW w:w="1120" w:type="dxa"/>
            <w:vAlign w:val="bottom"/>
            <w:tcBorders>
              <w:bottom w:val="single" w:sz="8" w:color="00C389"/>
            </w:tcBorders>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2/27/2020</w:t>
            </w:r>
            <w:r>
              <w:rPr>
                <w:rFonts w:ascii="Arial" w:cs="Arial" w:eastAsia="Arial" w:hAnsi="Arial"/>
                <w:sz w:val="23"/>
                <w:szCs w:val="23"/>
                <w:color w:val="auto"/>
                <w:vertAlign w:val="subscript"/>
              </w:rPr>
              <w:t>​​​</w:t>
            </w:r>
          </w:p>
        </w:tc>
        <w:tc>
          <w:tcPr>
            <w:tcW w:w="640" w:type="dxa"/>
            <w:vAlign w:val="bottom"/>
            <w:tcBorders>
              <w:bottom w:val="single" w:sz="8" w:color="00C389"/>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C389"/>
            </w:tcBorders>
            <w:shd w:val="clear" w:color="auto" w:fill="CCEEFF"/>
          </w:tcPr>
          <w:p>
            <w:pPr>
              <w:jc w:val="right"/>
              <w:ind w:right="53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Borders>
              <w:bottom w:val="single" w:sz="8" w:color="00C389"/>
            </w:tcBorders>
            <w:shd w:val="clear" w:color="auto" w:fill="CCEEFF"/>
          </w:tcPr>
          <w:p>
            <w:pPr>
              <w:spacing w:after="0"/>
              <w:rPr>
                <w:sz w:val="17"/>
                <w:szCs w:val="17"/>
                <w:color w:val="auto"/>
              </w:rPr>
            </w:pPr>
          </w:p>
        </w:tc>
        <w:tc>
          <w:tcPr>
            <w:tcW w:w="140" w:type="dxa"/>
            <w:vAlign w:val="bottom"/>
            <w:tcBorders>
              <w:bottom w:val="single" w:sz="8" w:color="00C389"/>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C389"/>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w:t>
            </w:r>
          </w:p>
        </w:tc>
        <w:tc>
          <w:tcPr>
            <w:tcW w:w="140" w:type="dxa"/>
            <w:vAlign w:val="bottom"/>
            <w:tcBorders>
              <w:bottom w:val="single" w:sz="8" w:color="00C389"/>
            </w:tcBorders>
            <w:shd w:val="clear" w:color="auto" w:fill="CCEEFF"/>
          </w:tcPr>
          <w:p>
            <w:pPr>
              <w:spacing w:after="0"/>
              <w:rPr>
                <w:sz w:val="17"/>
                <w:szCs w:val="17"/>
                <w:color w:val="auto"/>
              </w:rPr>
            </w:pPr>
          </w:p>
        </w:tc>
        <w:tc>
          <w:tcPr>
            <w:tcW w:w="2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00C389"/>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C389"/>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50,000</w:t>
            </w:r>
          </w:p>
        </w:tc>
        <w:tc>
          <w:tcPr>
            <w:tcW w:w="120" w:type="dxa"/>
            <w:vAlign w:val="bottom"/>
            <w:tcBorders>
              <w:bottom w:val="single" w:sz="8" w:color="00C389"/>
            </w:tcBorders>
            <w:shd w:val="clear" w:color="auto" w:fill="CCEEFF"/>
          </w:tcPr>
          <w:p>
            <w:pPr>
              <w:spacing w:after="0"/>
              <w:rPr>
                <w:sz w:val="17"/>
                <w:szCs w:val="17"/>
                <w:color w:val="auto"/>
              </w:rPr>
            </w:pPr>
          </w:p>
        </w:tc>
        <w:tc>
          <w:tcPr>
            <w:tcW w:w="180" w:type="dxa"/>
            <w:vAlign w:val="bottom"/>
            <w:tcBorders>
              <w:bottom w:val="single" w:sz="8" w:color="00C389"/>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00C389"/>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C389"/>
            </w:tcBorders>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934,500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560" w:type="dxa"/>
            <w:vAlign w:val="bottom"/>
          </w:tcPr>
          <w:p>
            <w:pPr>
              <w:spacing w:after="0"/>
              <w:rPr>
                <w:sz w:val="20"/>
                <w:szCs w:val="20"/>
                <w:color w:val="auto"/>
              </w:rPr>
            </w:pPr>
            <w:r>
              <w:rPr>
                <w:rFonts w:ascii="Arial" w:cs="Arial" w:eastAsia="Arial" w:hAnsi="Arial"/>
                <w:sz w:val="14"/>
                <w:szCs w:val="14"/>
                <w:b w:val="1"/>
                <w:bCs w:val="1"/>
                <w:color w:val="auto"/>
              </w:rPr>
              <w:t>Stephen Cavoli</w:t>
            </w: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53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5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Annual Bonus(1)</w:t>
            </w:r>
          </w:p>
        </w:tc>
        <w:tc>
          <w:tcPr>
            <w:tcW w:w="8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7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2,500,000</w:t>
            </w:r>
          </w:p>
        </w:tc>
        <w:tc>
          <w:tcPr>
            <w:tcW w:w="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8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1560" w:type="dxa"/>
            <w:vAlign w:val="bottom"/>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jc w:val="right"/>
              <w:ind w:right="558"/>
              <w:spacing w:after="0" w:line="54" w:lineRule="exact"/>
              <w:rPr>
                <w:sz w:val="20"/>
                <w:szCs w:val="20"/>
                <w:color w:val="auto"/>
              </w:rPr>
            </w:pPr>
            <w:r>
              <w:rPr>
                <w:rFonts w:ascii="Arial" w:cs="Arial" w:eastAsia="Arial" w:hAnsi="Arial"/>
                <w:sz w:val="6"/>
                <w:szCs w:val="6"/>
                <w:color w:val="auto"/>
              </w:rPr>
              <w:t>​​​</w:t>
            </w:r>
          </w:p>
        </w:tc>
        <w:tc>
          <w:tcPr>
            <w:tcW w:w="3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460" w:type="dxa"/>
            <w:vAlign w:val="bottom"/>
            <w:shd w:val="clear" w:color="auto" w:fill="CCEEFF"/>
          </w:tcPr>
          <w:p>
            <w:pPr>
              <w:spacing w:after="0"/>
              <w:rPr>
                <w:sz w:val="4"/>
                <w:szCs w:val="4"/>
                <w:color w:val="auto"/>
              </w:rPr>
            </w:pPr>
          </w:p>
        </w:tc>
        <w:tc>
          <w:tcPr>
            <w:tcW w:w="140" w:type="dxa"/>
            <w:vAlign w:val="bottom"/>
            <w:gridSpan w:val="3"/>
            <w:vMerge w:val="continue"/>
            <w:shd w:val="clear" w:color="auto" w:fill="CCEEFF"/>
          </w:tcPr>
          <w:p>
            <w:pPr>
              <w:spacing w:after="0"/>
              <w:rPr>
                <w:sz w:val="4"/>
                <w:szCs w:val="4"/>
                <w:color w:val="auto"/>
              </w:rPr>
            </w:pPr>
          </w:p>
        </w:tc>
        <w:tc>
          <w:tcPr>
            <w:tcW w:w="62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6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4"/>
                <w:szCs w:val="14"/>
                <w:i w:val="1"/>
                <w:iCs w:val="1"/>
                <w:color w:val="auto"/>
              </w:rPr>
              <w:t>Restricted Shares</w:t>
            </w:r>
          </w:p>
        </w:tc>
        <w:tc>
          <w:tcPr>
            <w:tcW w:w="112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2/27/2020</w:t>
            </w:r>
            <w:r>
              <w:rPr>
                <w:rFonts w:ascii="Arial" w:cs="Arial" w:eastAsia="Arial" w:hAnsi="Arial"/>
                <w:sz w:val="23"/>
                <w:szCs w:val="23"/>
                <w:color w:val="auto"/>
                <w:vertAlign w:val="subscript"/>
              </w:rPr>
              <w:t>​​​</w:t>
            </w:r>
          </w:p>
        </w:tc>
        <w:tc>
          <w:tcPr>
            <w:tcW w:w="640" w:type="dxa"/>
            <w:vAlign w:val="bottom"/>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25,000</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50,000</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 xml:space="preserve">934,500 </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115"/>
        </w:trPr>
        <w:tc>
          <w:tcPr>
            <w:tcW w:w="1560" w:type="dxa"/>
            <w:vAlign w:val="bottom"/>
            <w:tcBorders>
              <w:top w:val="single" w:sz="8" w:color="00C389"/>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Sean P. Galvin</w:t>
            </w:r>
          </w:p>
        </w:tc>
        <w:tc>
          <w:tcPr>
            <w:tcW w:w="860" w:type="dxa"/>
            <w:vAlign w:val="bottom"/>
            <w:tcBorders>
              <w:top w:val="single" w:sz="8" w:color="00C389"/>
            </w:tcBorders>
            <w:vMerge w:val="restart"/>
            <w:shd w:val="clear" w:color="auto" w:fill="CCEEFF"/>
          </w:tcPr>
          <w:p>
            <w:pPr>
              <w:ind w:left="160"/>
              <w:spacing w:after="0" w:line="210"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4"/>
                <w:szCs w:val="24"/>
                <w:b w:val="1"/>
                <w:bCs w:val="1"/>
                <w:color w:val="auto"/>
                <w:vertAlign w:val="superscript"/>
              </w:rPr>
              <w:t>​</w:t>
            </w:r>
          </w:p>
        </w:tc>
        <w:tc>
          <w:tcPr>
            <w:tcW w:w="260" w:type="dxa"/>
            <w:vAlign w:val="bottom"/>
            <w:tcBorders>
              <w:top w:val="single" w:sz="8" w:color="00C389"/>
            </w:tcBorders>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00C389"/>
            </w:tcBorders>
            <w:shd w:val="clear" w:color="auto" w:fill="CCEEFF"/>
          </w:tcPr>
          <w:p>
            <w:pPr>
              <w:ind w:left="280"/>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00C389"/>
            </w:tcBorders>
            <w:shd w:val="clear" w:color="auto" w:fill="CCEEFF"/>
          </w:tcPr>
          <w:p>
            <w:pPr>
              <w:jc w:val="right"/>
              <w:ind w:right="538"/>
              <w:spacing w:after="0" w:line="115" w:lineRule="exact"/>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00C389"/>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 ​</w:t>
            </w:r>
          </w:p>
        </w:tc>
        <w:tc>
          <w:tcPr>
            <w:tcW w:w="460" w:type="dxa"/>
            <w:vAlign w:val="bottom"/>
            <w:tcBorders>
              <w:top w:val="single" w:sz="8" w:color="00C389"/>
            </w:tcBorders>
            <w:shd w:val="clear" w:color="auto" w:fill="CCEEFF"/>
          </w:tcPr>
          <w:p>
            <w:pPr>
              <w:spacing w:after="0"/>
              <w:rPr>
                <w:sz w:val="10"/>
                <w:szCs w:val="10"/>
                <w:color w:val="auto"/>
              </w:rPr>
            </w:pPr>
          </w:p>
        </w:tc>
        <w:tc>
          <w:tcPr>
            <w:tcW w:w="140" w:type="dxa"/>
            <w:vAlign w:val="bottom"/>
            <w:tcBorders>
              <w:top w:val="single" w:sz="8" w:color="00C389"/>
            </w:tcBorders>
            <w:gridSpan w:val="3"/>
            <w:shd w:val="clear" w:color="auto" w:fill="CCEEFF"/>
          </w:tcPr>
          <w:p>
            <w:pPr>
              <w:jc w:val="right"/>
              <w:ind w:right="100"/>
              <w:spacing w:after="0" w:line="115"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00C389"/>
            </w:tcBorders>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00C389"/>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00C389"/>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00C389"/>
            </w:tcBorders>
            <w:shd w:val="clear" w:color="auto" w:fill="CCEEFF"/>
          </w:tcPr>
          <w:p>
            <w:pPr>
              <w:jc w:val="center"/>
              <w:spacing w:after="0" w:line="115"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00C389"/>
            </w:tcBorders>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00C389"/>
            </w:tcBorders>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00C389"/>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00C389"/>
            </w:tcBorders>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00C389"/>
            </w:tcBorders>
            <w:shd w:val="clear" w:color="auto" w:fill="CCEEFF"/>
          </w:tcPr>
          <w:p>
            <w:pPr>
              <w:ind w:left="100"/>
              <w:spacing w:after="0" w:line="115"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00C389"/>
            </w:tcBorders>
            <w:shd w:val="clear" w:color="auto" w:fill="CCEEFF"/>
          </w:tcPr>
          <w:p>
            <w:pPr>
              <w:jc w:val="right"/>
              <w:ind w:right="8"/>
              <w:spacing w:after="0" w:line="115"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00C389"/>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w:t>
            </w:r>
          </w:p>
        </w:tc>
        <w:tc>
          <w:tcPr>
            <w:tcW w:w="680" w:type="dxa"/>
            <w:vAlign w:val="bottom"/>
            <w:tcBorders>
              <w:top w:val="single" w:sz="8" w:color="00C389"/>
            </w:tcBorders>
            <w:vMerge w:val="restart"/>
            <w:shd w:val="clear" w:color="auto" w:fill="CCEEFF"/>
          </w:tcPr>
          <w:p>
            <w:pPr>
              <w:ind w:left="620"/>
              <w:spacing w:after="0"/>
              <w:rPr>
                <w:sz w:val="20"/>
                <w:szCs w:val="20"/>
                <w:color w:val="auto"/>
              </w:rPr>
            </w:pPr>
            <w:r>
              <w:rPr>
                <w:rFonts w:ascii="Arial" w:cs="Arial" w:eastAsia="Arial" w:hAnsi="Arial"/>
                <w:sz w:val="14"/>
                <w:szCs w:val="14"/>
                <w:b w:val="1"/>
                <w:bCs w:val="1"/>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1560" w:type="dxa"/>
            <w:vAlign w:val="bottom"/>
            <w:tcBorders>
              <w:bottom w:val="single" w:sz="8" w:color="00C389"/>
            </w:tcBorders>
            <w:vMerge w:val="continue"/>
            <w:shd w:val="clear" w:color="auto" w:fill="CCEEFF"/>
          </w:tcPr>
          <w:p>
            <w:pPr>
              <w:spacing w:after="0"/>
              <w:rPr>
                <w:sz w:val="8"/>
                <w:szCs w:val="8"/>
                <w:color w:val="auto"/>
              </w:rPr>
            </w:pPr>
          </w:p>
        </w:tc>
        <w:tc>
          <w:tcPr>
            <w:tcW w:w="860" w:type="dxa"/>
            <w:vAlign w:val="bottom"/>
            <w:tcBorders>
              <w:bottom w:val="single" w:sz="8" w:color="00C389"/>
            </w:tcBorders>
            <w:vMerge w:val="continue"/>
            <w:shd w:val="clear" w:color="auto" w:fill="CCEEFF"/>
          </w:tcPr>
          <w:p>
            <w:pPr>
              <w:spacing w:after="0"/>
              <w:rPr>
                <w:sz w:val="8"/>
                <w:szCs w:val="8"/>
                <w:color w:val="auto"/>
              </w:rPr>
            </w:pPr>
          </w:p>
        </w:tc>
        <w:tc>
          <w:tcPr>
            <w:tcW w:w="260" w:type="dxa"/>
            <w:vAlign w:val="bottom"/>
            <w:tcBorders>
              <w:bottom w:val="single" w:sz="8" w:color="00C389"/>
            </w:tcBorders>
            <w:gridSpan w:val="2"/>
            <w:vMerge w:val="continue"/>
            <w:shd w:val="clear" w:color="auto" w:fill="CCEEFF"/>
          </w:tcPr>
          <w:p>
            <w:pPr>
              <w:spacing w:after="0"/>
              <w:rPr>
                <w:sz w:val="8"/>
                <w:szCs w:val="8"/>
                <w:color w:val="auto"/>
              </w:rPr>
            </w:pPr>
          </w:p>
        </w:tc>
        <w:tc>
          <w:tcPr>
            <w:tcW w:w="640" w:type="dxa"/>
            <w:vAlign w:val="bottom"/>
            <w:tcBorders>
              <w:bottom w:val="single" w:sz="8" w:color="00C389"/>
            </w:tcBorders>
            <w:shd w:val="clear" w:color="auto" w:fill="CCEEFF"/>
          </w:tcPr>
          <w:p>
            <w:pPr>
              <w:spacing w:after="0"/>
              <w:rPr>
                <w:sz w:val="8"/>
                <w:szCs w:val="8"/>
                <w:color w:val="auto"/>
              </w:rPr>
            </w:pPr>
          </w:p>
        </w:tc>
        <w:tc>
          <w:tcPr>
            <w:tcW w:w="760" w:type="dxa"/>
            <w:vAlign w:val="bottom"/>
            <w:tcBorders>
              <w:bottom w:val="single" w:sz="8" w:color="00C389"/>
            </w:tcBorders>
            <w:shd w:val="clear" w:color="auto" w:fill="CCEEFF"/>
          </w:tcPr>
          <w:p>
            <w:pPr>
              <w:jc w:val="right"/>
              <w:ind w:right="558"/>
              <w:spacing w:after="0" w:line="95" w:lineRule="exact"/>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00C389"/>
            </w:tcBorders>
            <w:shd w:val="clear" w:color="auto" w:fill="CCEEFF"/>
          </w:tcPr>
          <w:p>
            <w:pPr>
              <w:spacing w:after="0" w:line="95"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00C389"/>
            </w:tcBorders>
            <w:shd w:val="clear" w:color="auto" w:fill="CCEEFF"/>
          </w:tcPr>
          <w:p>
            <w:pPr>
              <w:spacing w:after="0"/>
              <w:rPr>
                <w:sz w:val="8"/>
                <w:szCs w:val="8"/>
                <w:color w:val="auto"/>
              </w:rPr>
            </w:pPr>
          </w:p>
        </w:tc>
        <w:tc>
          <w:tcPr>
            <w:tcW w:w="140" w:type="dxa"/>
            <w:vAlign w:val="bottom"/>
            <w:tcBorders>
              <w:bottom w:val="single" w:sz="8" w:color="00C389"/>
            </w:tcBorders>
            <w:gridSpan w:val="3"/>
            <w:shd w:val="clear" w:color="auto" w:fill="CCEEFF"/>
          </w:tcPr>
          <w:p>
            <w:pPr>
              <w:jc w:val="right"/>
              <w:ind w:right="20"/>
              <w:spacing w:after="0" w:line="95" w:lineRule="exact"/>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00C389"/>
            </w:tcBorders>
            <w:vMerge w:val="continue"/>
            <w:shd w:val="clear" w:color="auto" w:fill="CCEEFF"/>
          </w:tcPr>
          <w:p>
            <w:pPr>
              <w:spacing w:after="0"/>
              <w:rPr>
                <w:sz w:val="8"/>
                <w:szCs w:val="8"/>
                <w:color w:val="auto"/>
              </w:rPr>
            </w:pPr>
          </w:p>
        </w:tc>
        <w:tc>
          <w:tcPr>
            <w:tcW w:w="140" w:type="dxa"/>
            <w:vAlign w:val="bottom"/>
            <w:tcBorders>
              <w:bottom w:val="single" w:sz="8" w:color="00C389"/>
            </w:tcBorders>
            <w:vMerge w:val="continue"/>
            <w:shd w:val="clear" w:color="auto" w:fill="CCEEFF"/>
          </w:tcPr>
          <w:p>
            <w:pPr>
              <w:spacing w:after="0"/>
              <w:rPr>
                <w:sz w:val="8"/>
                <w:szCs w:val="8"/>
                <w:color w:val="auto"/>
              </w:rPr>
            </w:pPr>
          </w:p>
        </w:tc>
        <w:tc>
          <w:tcPr>
            <w:tcW w:w="200" w:type="dxa"/>
            <w:vAlign w:val="bottom"/>
            <w:tcBorders>
              <w:bottom w:val="single" w:sz="8" w:color="00C389"/>
            </w:tcBorders>
            <w:vMerge w:val="continue"/>
            <w:shd w:val="clear" w:color="auto" w:fill="CCEEFF"/>
          </w:tcPr>
          <w:p>
            <w:pPr>
              <w:spacing w:after="0"/>
              <w:rPr>
                <w:sz w:val="8"/>
                <w:szCs w:val="8"/>
                <w:color w:val="auto"/>
              </w:rPr>
            </w:pPr>
          </w:p>
        </w:tc>
        <w:tc>
          <w:tcPr>
            <w:tcW w:w="500" w:type="dxa"/>
            <w:vAlign w:val="bottom"/>
            <w:tcBorders>
              <w:bottom w:val="single" w:sz="8" w:color="00C389"/>
            </w:tcBorders>
            <w:shd w:val="clear" w:color="auto" w:fill="CCEEFF"/>
          </w:tcPr>
          <w:p>
            <w:pPr>
              <w:spacing w:after="0"/>
              <w:rPr>
                <w:sz w:val="8"/>
                <w:szCs w:val="8"/>
                <w:color w:val="auto"/>
              </w:rPr>
            </w:pPr>
          </w:p>
        </w:tc>
        <w:tc>
          <w:tcPr>
            <w:tcW w:w="180" w:type="dxa"/>
            <w:vAlign w:val="bottom"/>
            <w:tcBorders>
              <w:bottom w:val="single" w:sz="8" w:color="00C389"/>
            </w:tcBorders>
            <w:vMerge w:val="continue"/>
            <w:shd w:val="clear" w:color="auto" w:fill="CCEEFF"/>
          </w:tcPr>
          <w:p>
            <w:pPr>
              <w:spacing w:after="0"/>
              <w:rPr>
                <w:sz w:val="8"/>
                <w:szCs w:val="8"/>
                <w:color w:val="auto"/>
              </w:rPr>
            </w:pPr>
          </w:p>
        </w:tc>
        <w:tc>
          <w:tcPr>
            <w:tcW w:w="600" w:type="dxa"/>
            <w:vAlign w:val="bottom"/>
            <w:tcBorders>
              <w:bottom w:val="single" w:sz="8" w:color="00C389"/>
            </w:tcBorders>
            <w:vMerge w:val="continue"/>
            <w:shd w:val="clear" w:color="auto" w:fill="CCEEFF"/>
          </w:tcPr>
          <w:p>
            <w:pPr>
              <w:spacing w:after="0"/>
              <w:rPr>
                <w:sz w:val="8"/>
                <w:szCs w:val="8"/>
                <w:color w:val="auto"/>
              </w:rPr>
            </w:pPr>
          </w:p>
        </w:tc>
        <w:tc>
          <w:tcPr>
            <w:tcW w:w="120" w:type="dxa"/>
            <w:vAlign w:val="bottom"/>
            <w:tcBorders>
              <w:bottom w:val="single" w:sz="8" w:color="00C389"/>
            </w:tcBorders>
            <w:vMerge w:val="continue"/>
            <w:shd w:val="clear" w:color="auto" w:fill="CCEEFF"/>
          </w:tcPr>
          <w:p>
            <w:pPr>
              <w:spacing w:after="0"/>
              <w:rPr>
                <w:sz w:val="8"/>
                <w:szCs w:val="8"/>
                <w:color w:val="auto"/>
              </w:rPr>
            </w:pPr>
          </w:p>
        </w:tc>
        <w:tc>
          <w:tcPr>
            <w:tcW w:w="180" w:type="dxa"/>
            <w:vAlign w:val="bottom"/>
            <w:tcBorders>
              <w:bottom w:val="single" w:sz="8" w:color="00C389"/>
            </w:tcBorders>
            <w:gridSpan w:val="2"/>
            <w:vMerge w:val="continue"/>
            <w:shd w:val="clear" w:color="auto" w:fill="CCEEFF"/>
          </w:tcPr>
          <w:p>
            <w:pPr>
              <w:spacing w:after="0"/>
              <w:rPr>
                <w:sz w:val="8"/>
                <w:szCs w:val="8"/>
                <w:color w:val="auto"/>
              </w:rPr>
            </w:pPr>
          </w:p>
        </w:tc>
        <w:tc>
          <w:tcPr>
            <w:tcW w:w="640" w:type="dxa"/>
            <w:vAlign w:val="bottom"/>
            <w:tcBorders>
              <w:bottom w:val="single" w:sz="8" w:color="00C389"/>
            </w:tcBorders>
            <w:shd w:val="clear" w:color="auto" w:fill="CCEEFF"/>
          </w:tcPr>
          <w:p>
            <w:pPr>
              <w:ind w:left="100"/>
              <w:spacing w:after="0" w:line="95"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00C389"/>
            </w:tcBorders>
            <w:shd w:val="clear" w:color="auto" w:fill="CCEEFF"/>
          </w:tcPr>
          <w:p>
            <w:pPr>
              <w:spacing w:after="0"/>
              <w:rPr>
                <w:sz w:val="8"/>
                <w:szCs w:val="8"/>
                <w:color w:val="auto"/>
              </w:rPr>
            </w:pPr>
          </w:p>
        </w:tc>
        <w:tc>
          <w:tcPr>
            <w:tcW w:w="200" w:type="dxa"/>
            <w:vAlign w:val="bottom"/>
            <w:tcBorders>
              <w:bottom w:val="single" w:sz="8" w:color="00C389"/>
            </w:tcBorders>
            <w:vMerge w:val="continue"/>
            <w:shd w:val="clear" w:color="auto" w:fill="CCEEFF"/>
          </w:tcPr>
          <w:p>
            <w:pPr>
              <w:spacing w:after="0"/>
              <w:rPr>
                <w:sz w:val="8"/>
                <w:szCs w:val="8"/>
                <w:color w:val="auto"/>
              </w:rPr>
            </w:pPr>
          </w:p>
        </w:tc>
        <w:tc>
          <w:tcPr>
            <w:tcW w:w="680" w:type="dxa"/>
            <w:vAlign w:val="bottom"/>
            <w:tcBorders>
              <w:bottom w:val="single" w:sz="8" w:color="00C389"/>
            </w:tcBorders>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-1739265</wp:posOffset>
            </wp:positionV>
            <wp:extent cx="582930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14605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-942340</wp:posOffset>
            </wp:positionV>
            <wp:extent cx="582930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8" w:lineRule="exact"/>
        <w:rPr>
          <w:sz w:val="20"/>
          <w:szCs w:val="20"/>
          <w:color w:val="auto"/>
        </w:rPr>
      </w:pPr>
    </w:p>
    <w:p>
      <w:pPr>
        <w:jc w:val="both"/>
        <w:ind w:left="980" w:right="140" w:hanging="218"/>
        <w:spacing w:after="0" w:line="293"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This bonus, to the extent earned, is settled 50% in cash, 30% in restricted stock units that vest in three equal annual installments and 20% in fully vested common stock, fully vested common stock, subject to any deferrals (see “Employee Benefits and Perquisites” on page </w:t>
      </w:r>
      <w:r>
        <w:rPr>
          <w:rFonts w:ascii="Arial" w:cs="Arial" w:eastAsia="Arial" w:hAnsi="Arial"/>
          <w:sz w:val="14"/>
          <w:szCs w:val="14"/>
          <w:u w:val="single" w:color="auto"/>
          <w:color w:val="0000EE"/>
        </w:rPr>
        <w:t>26</w:t>
      </w:r>
      <w:r>
        <w:rPr>
          <w:rFonts w:ascii="Arial" w:cs="Arial" w:eastAsia="Arial" w:hAnsi="Arial"/>
          <w:sz w:val="14"/>
          <w:szCs w:val="14"/>
          <w:color w:val="auto"/>
        </w:rPr>
        <w:t xml:space="preserve"> of this proxy statement).</w:t>
      </w:r>
    </w:p>
    <w:p>
      <w:pPr>
        <w:spacing w:after="0" w:line="31" w:lineRule="exact"/>
        <w:rPr>
          <w:rFonts w:ascii="Arial" w:cs="Arial" w:eastAsia="Arial" w:hAnsi="Arial"/>
          <w:sz w:val="14"/>
          <w:szCs w:val="14"/>
          <w:color w:val="auto"/>
        </w:rPr>
      </w:pPr>
    </w:p>
    <w:p>
      <w:pPr>
        <w:ind w:left="980" w:right="140" w:hanging="218"/>
        <w:spacing w:after="0" w:line="282"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For Messrs. Molluso, Fairclough, and Cavoli, the amount shown with respect to the restricted shares that vest based on budgeted adjusted EBITDA represent the value of only the 2021 portion of the 2020-2022 grant because the grant is subject to three single-year performance periods (2020, 2021, and 2022). Assumptions used in calculating these amounts are described in Note 19 of the Company’s audited financial statements for the fiscal year ended December 31, 2021, included in our Annual Report on Form 10-K for the fiscal year ended December 31, 2021.</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Cifu</w:t>
      </w:r>
    </w:p>
    <w:p>
      <w:pPr>
        <w:spacing w:after="0" w:line="115" w:lineRule="exact"/>
        <w:rPr>
          <w:sz w:val="20"/>
          <w:szCs w:val="20"/>
          <w:color w:val="auto"/>
        </w:rPr>
      </w:pPr>
    </w:p>
    <w:p>
      <w:pPr>
        <w:ind w:left="760" w:right="160"/>
        <w:spacing w:after="0" w:line="243" w:lineRule="auto"/>
        <w:rPr>
          <w:sz w:val="20"/>
          <w:szCs w:val="20"/>
          <w:color w:val="auto"/>
        </w:rPr>
      </w:pPr>
      <w:r>
        <w:rPr>
          <w:rFonts w:ascii="Arial" w:cs="Arial" w:eastAsia="Arial" w:hAnsi="Arial"/>
          <w:sz w:val="18"/>
          <w:szCs w:val="18"/>
          <w:color w:val="auto"/>
        </w:rPr>
        <w:t>On November 15, 2017, we entered into a new employment agreement with Mr. Cifu, which amended and superseded the terms of his prior employment agreement dated April 14, 2015, pursuant to which Mr. Cifu will continue to serve as our Chief Executive Officer and report to our board of directors. Mr. Cifu’s duties, responsibilities and permitted activities are substantially identical to his original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197485</wp:posOffset>
            </wp:positionV>
            <wp:extent cx="75438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The employment agreement has an initial term of five years ending on November 15, 2022, with automatic renewals for successive one-year terms thereafter unless either we or Mr. Cifu provides notice of non-renewal at least ninety days in advance of the expiration of the then 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82"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Under the employment agreement, Mr. Cifu’s base salary is $1,000,000 and Mr. Cifu is eligible to earn an annual bonus with a target bonus opportunity equal to $2,500,000 and a maximum bonus opportunity equal to $5,000,000. 80% of the annual bonus will be based on the achievement of quantitative targets composed of specific components of the Company’s annual budget and 20% of the annual bonus will be based on the achievement of qualitative goals.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w:t>
      </w:r>
    </w:p>
    <w:p>
      <w:pPr>
        <w:spacing w:after="0" w:line="77" w:lineRule="exact"/>
        <w:rPr>
          <w:sz w:val="20"/>
          <w:szCs w:val="20"/>
          <w:color w:val="auto"/>
        </w:rPr>
      </w:pPr>
    </w:p>
    <w:p>
      <w:pPr>
        <w:ind w:left="760" w:right="80"/>
        <w:spacing w:after="0" w:line="272" w:lineRule="auto"/>
        <w:rPr>
          <w:sz w:val="20"/>
          <w:szCs w:val="20"/>
          <w:color w:val="auto"/>
        </w:rPr>
      </w:pPr>
      <w:r>
        <w:rPr>
          <w:rFonts w:ascii="Arial" w:cs="Arial" w:eastAsia="Arial" w:hAnsi="Arial"/>
          <w:sz w:val="17"/>
          <w:szCs w:val="17"/>
          <w:color w:val="auto"/>
        </w:rPr>
        <w:t>The employment agreement provides that, commencing with calendar year 2018, Mr. Cifu is eligible to receive an equity award at the beginning of each calendar year during the term (each such award to any executive, an “</w:t>
      </w:r>
      <w:r>
        <w:rPr>
          <w:rFonts w:ascii="Arial" w:cs="Arial" w:eastAsia="Arial" w:hAnsi="Arial"/>
          <w:sz w:val="17"/>
          <w:szCs w:val="17"/>
          <w:b w:val="1"/>
          <w:b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color w:val="auto"/>
        </w:rPr>
        <w:t>equity grant</w:t>
      </w:r>
      <w:r>
        <w:rPr>
          <w:rFonts w:ascii="Arial" w:cs="Arial" w:eastAsia="Arial" w:hAnsi="Arial"/>
          <w:sz w:val="17"/>
          <w:szCs w:val="17"/>
          <w:color w:val="auto"/>
        </w:rPr>
        <w:t>”). It is our board of directors’ current intention that the annual equity grant will be in the form of</w:t>
      </w:r>
    </w:p>
    <w:p>
      <w:pPr>
        <w:spacing w:after="0" w:line="1"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150,000 restricted shares of Class A common stock that are subject to performance and service conditions. The number of shares earned under each annual equity grant will be based on the percentage of budgeted EBITDA achieved in the applicable calendar year, with a minimum of 50% of shares earned upon at least 70% achievement and 100% of shares earned upon at least 75% achievement. To the extent any shares of Class A common stock are earned with respect to an applicable annual equity grant, 50% of such shares will vest on the last day of the calendar year to which such award relates and the remaining 50% will vest on the last day of the subsequent calendar year, subject to Mr. Cifu’s continued employment through each applicable vesting date.</w:t>
      </w:r>
    </w:p>
    <w:p>
      <w:pPr>
        <w:spacing w:after="0" w:line="75" w:lineRule="exact"/>
        <w:rPr>
          <w:sz w:val="20"/>
          <w:szCs w:val="20"/>
          <w:color w:val="auto"/>
        </w:rPr>
      </w:pPr>
    </w:p>
    <w:p>
      <w:pPr>
        <w:ind w:left="760" w:right="120"/>
        <w:spacing w:after="0" w:line="282" w:lineRule="auto"/>
        <w:rPr>
          <w:sz w:val="20"/>
          <w:szCs w:val="20"/>
          <w:color w:val="auto"/>
        </w:rPr>
      </w:pPr>
      <w:r>
        <w:rPr>
          <w:rFonts w:ascii="Arial" w:cs="Arial" w:eastAsia="Arial" w:hAnsi="Arial"/>
          <w:sz w:val="17"/>
          <w:szCs w:val="17"/>
          <w:color w:val="auto"/>
        </w:rPr>
        <w:t>The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53"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The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The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77" w:lineRule="exact"/>
        <w:rPr>
          <w:sz w:val="20"/>
          <w:szCs w:val="20"/>
          <w:color w:val="auto"/>
        </w:rPr>
      </w:pPr>
    </w:p>
    <w:p>
      <w:pPr>
        <w:ind w:left="760" w:right="700"/>
        <w:spacing w:after="0" w:line="287" w:lineRule="auto"/>
        <w:rPr>
          <w:sz w:val="20"/>
          <w:szCs w:val="20"/>
          <w:color w:val="auto"/>
        </w:rPr>
      </w:pPr>
      <w:r>
        <w:rPr>
          <w:rFonts w:ascii="Arial" w:cs="Arial" w:eastAsia="Arial" w:hAnsi="Arial"/>
          <w:sz w:val="18"/>
          <w:szCs w:val="18"/>
          <w:color w:val="auto"/>
        </w:rPr>
        <w:t>The employment agreement for Mr. Cifu provides for severance upon certain terminations of employment as described below under “Potential Payments Upon Termination of Employment or Change in Control.”</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Molluso</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Virtu East entered into a new employment agreement with Mr. Molluso on April 30, 2020, pursuant to which</w:t>
      </w:r>
    </w:p>
    <w:p>
      <w:pPr>
        <w:spacing w:after="0" w:line="27" w:lineRule="exact"/>
        <w:rPr>
          <w:sz w:val="20"/>
          <w:szCs w:val="20"/>
          <w:color w:val="auto"/>
        </w:rPr>
      </w:pPr>
    </w:p>
    <w:p>
      <w:pPr>
        <w:ind w:left="760" w:right="140"/>
        <w:spacing w:after="0" w:line="254" w:lineRule="auto"/>
        <w:rPr>
          <w:sz w:val="20"/>
          <w:szCs w:val="20"/>
          <w:color w:val="auto"/>
        </w:rPr>
      </w:pPr>
      <w:r>
        <w:rPr>
          <w:rFonts w:ascii="Arial" w:cs="Arial" w:eastAsia="Arial" w:hAnsi="Arial"/>
          <w:sz w:val="18"/>
          <w:szCs w:val="18"/>
          <w:color w:val="auto"/>
        </w:rPr>
        <w:t>Mr. Molluso was appointed as our Co-President and Co-Chief Operating Officer, reporting to our Chief Executive Officer. Mr. Molluso’s employment agreement further provides that to the extent such activities do not significantly interfere with the performance of his duties, service and responsibilities, Mr. Molluso is permitted to manage his personal, financial and legal affairs, serve on civic or charitable boards and committees and, to the extent approved by our board of directors, serve on corporate boards and committees.</w:t>
      </w:r>
    </w:p>
    <w:p>
      <w:pPr>
        <w:spacing w:after="0" w:line="75"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The employment agreement has an initial term of three years ending on April 30, 2023, with automatic renewals for successive one-year terms thereafter unless either we or Mr. Molluso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27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Under the employment agreement, Mr. Molluso’s base salary is $500,000 and Mr. Molluso is eligible to earn an annual bonus with a minimum amount of $2,500,000 with respect to the fiscal year ended December 31, 2020, and $1,500,000 with respect to the fiscal years ended December 31, 2021 and December 31, 2022, and a maximum bonus opportunity equal to $2,500,000.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 stock units and fully vested shares of Class A common stock in accordance with the Company’s incentive and equity plans as in effect from time to time.</w:t>
      </w:r>
    </w:p>
    <w:p>
      <w:pPr>
        <w:spacing w:after="0" w:line="73" w:lineRule="exact"/>
        <w:rPr>
          <w:sz w:val="20"/>
          <w:szCs w:val="20"/>
          <w:color w:val="auto"/>
        </w:rPr>
      </w:pPr>
    </w:p>
    <w:p>
      <w:pPr>
        <w:ind w:left="760" w:right="60"/>
        <w:spacing w:after="0" w:line="256" w:lineRule="auto"/>
        <w:rPr>
          <w:sz w:val="20"/>
          <w:szCs w:val="20"/>
          <w:color w:val="auto"/>
        </w:rPr>
      </w:pPr>
      <w:r>
        <w:rPr>
          <w:rFonts w:ascii="Arial" w:cs="Arial" w:eastAsia="Arial" w:hAnsi="Arial"/>
          <w:sz w:val="18"/>
          <w:szCs w:val="18"/>
          <w:color w:val="auto"/>
        </w:rPr>
        <w:t>The employment agreement also provided for a special long-term equity award in the form of 150,000 restricted shares of Class A common stock that are subject to performance and service conditions, which was issued on June 22,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75"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The employment agreement also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p>
    <w:p>
      <w:pPr>
        <w:spacing w:after="0" w:line="75" w:lineRule="exact"/>
        <w:rPr>
          <w:sz w:val="20"/>
          <w:szCs w:val="20"/>
          <w:color w:val="auto"/>
        </w:rPr>
      </w:pPr>
    </w:p>
    <w:p>
      <w:pPr>
        <w:ind w:left="760" w:right="80"/>
        <w:spacing w:after="0" w:line="271" w:lineRule="auto"/>
        <w:rPr>
          <w:sz w:val="20"/>
          <w:szCs w:val="20"/>
          <w:color w:val="auto"/>
        </w:rPr>
      </w:pPr>
      <w:r>
        <w:rPr>
          <w:rFonts w:ascii="Arial" w:cs="Arial" w:eastAsia="Arial" w:hAnsi="Arial"/>
          <w:sz w:val="17"/>
          <w:szCs w:val="17"/>
          <w:color w:val="auto"/>
        </w:rPr>
        <w:t>The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Molluso ceases to be an officer or employee of the Company. The employment agreement for Mr. Molluso provides for severance upon certain terminations of employment as described below under “Potential Payments Upon Termination of Employment or Change in Control.”</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Fairclough</w:t>
      </w:r>
    </w:p>
    <w:p>
      <w:pPr>
        <w:spacing w:after="0" w:line="115" w:lineRule="exact"/>
        <w:rPr>
          <w:sz w:val="20"/>
          <w:szCs w:val="20"/>
          <w:color w:val="auto"/>
        </w:rPr>
      </w:pPr>
    </w:p>
    <w:p>
      <w:pPr>
        <w:ind w:left="760" w:right="340"/>
        <w:spacing w:after="0" w:line="260" w:lineRule="auto"/>
        <w:rPr>
          <w:sz w:val="20"/>
          <w:szCs w:val="20"/>
          <w:color w:val="auto"/>
        </w:rPr>
      </w:pPr>
      <w:r>
        <w:rPr>
          <w:rFonts w:ascii="Arial" w:cs="Arial" w:eastAsia="Arial" w:hAnsi="Arial"/>
          <w:sz w:val="18"/>
          <w:szCs w:val="18"/>
          <w:color w:val="auto"/>
        </w:rPr>
        <w:t>Virtu East entered into a new employment agreement with Mr. Fairclough on February 26, 2020, which amended and superseded the terms of his prior employment agreement dated April 17, 2019, pursuant to which</w:t>
      </w:r>
    </w:p>
    <w:p>
      <w:pPr>
        <w:spacing w:after="0" w:line="2"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Mr. Fairclough was appointed as our Chief Operating Officer, reporting to our Chief Executive Officer. Mr. Fairclough has since been appointed as our Co-President and Co-Chief Operating Officer. Mr. Fairclough’s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p>
    <w:p>
      <w:pPr>
        <w:spacing w:after="0" w:line="77"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The employment agreement has an initial term of four years ending on February 26, 2024, with automatic renewals for successive one-year terms thereafter unless either we or Mr. Fairclough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71" w:lineRule="exact"/>
        <w:rPr>
          <w:sz w:val="20"/>
          <w:szCs w:val="20"/>
          <w:color w:val="auto"/>
        </w:rPr>
      </w:pPr>
    </w:p>
    <w:p>
      <w:pPr>
        <w:ind w:left="760" w:right="60"/>
        <w:spacing w:after="0" w:line="257" w:lineRule="auto"/>
        <w:rPr>
          <w:sz w:val="20"/>
          <w:szCs w:val="20"/>
          <w:color w:val="auto"/>
        </w:rPr>
      </w:pPr>
      <w:r>
        <w:rPr>
          <w:rFonts w:ascii="Arial" w:cs="Arial" w:eastAsia="Arial" w:hAnsi="Arial"/>
          <w:sz w:val="18"/>
          <w:szCs w:val="18"/>
          <w:color w:val="auto"/>
        </w:rPr>
        <w:t>Under the employment agreement, Mr. Fairclough’s base salary is $500,000 and Mr. Fairclough is eligible to earn an annual bonus with a target bonus opportunity equal to $1,500,000 and a maximum bonus opportunity equal to $2,500,000.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196215</wp:posOffset>
            </wp:positionV>
            <wp:extent cx="75438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80"/>
        <w:spacing w:after="0" w:line="261" w:lineRule="auto"/>
        <w:rPr>
          <w:sz w:val="20"/>
          <w:szCs w:val="20"/>
          <w:color w:val="auto"/>
        </w:rPr>
      </w:pPr>
      <w:r>
        <w:rPr>
          <w:rFonts w:ascii="Arial" w:cs="Arial" w:eastAsia="Arial" w:hAnsi="Arial"/>
          <w:sz w:val="18"/>
          <w:szCs w:val="18"/>
          <w:color w:val="auto"/>
        </w:rPr>
        <w:t>Committee. To the extent earned, the annual bonus will be paid in a mix of cash, restricted stock units and fully vested shares of Class A common stock in accordance with the Company’s incentive and equity plans as in effect from time to time.</w:t>
      </w:r>
    </w:p>
    <w:p>
      <w:pPr>
        <w:spacing w:after="0" w:line="54"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The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67" w:lineRule="exact"/>
        <w:rPr>
          <w:sz w:val="20"/>
          <w:szCs w:val="20"/>
          <w:color w:val="auto"/>
        </w:rPr>
      </w:pPr>
    </w:p>
    <w:p>
      <w:pPr>
        <w:jc w:val="both"/>
        <w:ind w:left="760" w:right="360"/>
        <w:spacing w:after="0" w:line="252" w:lineRule="auto"/>
        <w:rPr>
          <w:sz w:val="20"/>
          <w:szCs w:val="20"/>
          <w:color w:val="auto"/>
        </w:rPr>
      </w:pPr>
      <w:r>
        <w:rPr>
          <w:rFonts w:ascii="Arial" w:cs="Arial" w:eastAsia="Arial" w:hAnsi="Arial"/>
          <w:sz w:val="18"/>
          <w:szCs w:val="18"/>
          <w:color w:val="auto"/>
        </w:rPr>
        <w:t>The employment agreement further provides that Mr. Fairclough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76"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The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thirty-six-month anniversary of the date on which Mr. Fairclough ceases to be an officer or employee of the Company. The employment agreement for Mr. Fairclough provides for severance upon certain terminations of employment as described below under “Potential Payments Upon Termination of Employment or Change in Control.”</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Cavoli</w:t>
      </w:r>
    </w:p>
    <w:p>
      <w:pPr>
        <w:spacing w:after="0" w:line="115"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Virtu East entered into a new employment agreement with Mr. Cavoli on February 26, 2020, which amended and superseded the terms of his prior employment agreement dated June 24, 2015, pursuant to which Mr. Cavoli will continue to serve as our Executive Vice President, Markets and report to our Chief Executive Officer. Mr. Cavoli’s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p>
    <w:p>
      <w:pPr>
        <w:spacing w:after="0" w:line="67" w:lineRule="exact"/>
        <w:rPr>
          <w:sz w:val="20"/>
          <w:szCs w:val="20"/>
          <w:color w:val="auto"/>
        </w:rPr>
      </w:pPr>
    </w:p>
    <w:p>
      <w:pPr>
        <w:ind w:left="760" w:right="180"/>
        <w:spacing w:after="0" w:line="247" w:lineRule="auto"/>
        <w:rPr>
          <w:sz w:val="20"/>
          <w:szCs w:val="20"/>
          <w:color w:val="auto"/>
        </w:rPr>
      </w:pPr>
      <w:r>
        <w:rPr>
          <w:rFonts w:ascii="Arial" w:cs="Arial" w:eastAsia="Arial" w:hAnsi="Arial"/>
          <w:sz w:val="18"/>
          <w:szCs w:val="18"/>
          <w:color w:val="auto"/>
        </w:rPr>
        <w:t>The employment agreement has an initial term of three years ending on February 26, 2023, with automatic renewals for successive one-year terms thereafter unless either we or Mr. Cavoli provides notice of non-renewal at least ninety days in advance of the expiration of the then 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82"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Under the employment agreement, Mr. Cavoli’s base salary is $500,000 and Mr. Cavoli is eligible to earn an annual bonus with a target bonus opportunity equal to $1,500,000 and a maximum bonus opportunity equal to $2,500,000.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 stock units and fully vested shares of Class A common stock in accordance with the Company’s incentive and equity plans as in effect from time to time.</w:t>
      </w:r>
    </w:p>
    <w:p>
      <w:pPr>
        <w:spacing w:after="0" w:line="72"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The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81" w:lineRule="exact"/>
        <w:rPr>
          <w:sz w:val="20"/>
          <w:szCs w:val="20"/>
          <w:color w:val="auto"/>
        </w:rPr>
      </w:pPr>
    </w:p>
    <w:p>
      <w:pPr>
        <w:ind w:left="760" w:right="120"/>
        <w:spacing w:after="0" w:line="252" w:lineRule="auto"/>
        <w:rPr>
          <w:sz w:val="20"/>
          <w:szCs w:val="20"/>
          <w:color w:val="auto"/>
        </w:rPr>
      </w:pPr>
      <w:r>
        <w:rPr>
          <w:rFonts w:ascii="Arial" w:cs="Arial" w:eastAsia="Arial" w:hAnsi="Arial"/>
          <w:sz w:val="18"/>
          <w:szCs w:val="18"/>
          <w:color w:val="auto"/>
        </w:rPr>
        <w:t>The employment agreement further provides that Mr. Cavoli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82" w:lineRule="auto"/>
        <w:rPr>
          <w:sz w:val="20"/>
          <w:szCs w:val="20"/>
          <w:color w:val="auto"/>
        </w:rPr>
      </w:pPr>
      <w:r>
        <w:rPr>
          <w:rFonts w:ascii="Arial" w:cs="Arial" w:eastAsia="Arial" w:hAnsi="Arial"/>
          <w:sz w:val="17"/>
          <w:szCs w:val="17"/>
          <w:color w:val="auto"/>
        </w:rPr>
        <w:t>The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53" w:lineRule="exact"/>
        <w:rPr>
          <w:sz w:val="20"/>
          <w:szCs w:val="20"/>
          <w:color w:val="auto"/>
        </w:rPr>
      </w:pPr>
    </w:p>
    <w:p>
      <w:pPr>
        <w:ind w:left="760" w:right="520"/>
        <w:spacing w:after="0" w:line="287" w:lineRule="auto"/>
        <w:rPr>
          <w:sz w:val="20"/>
          <w:szCs w:val="20"/>
          <w:color w:val="auto"/>
        </w:rPr>
      </w:pPr>
      <w:r>
        <w:rPr>
          <w:rFonts w:ascii="Arial" w:cs="Arial" w:eastAsia="Arial" w:hAnsi="Arial"/>
          <w:sz w:val="18"/>
          <w:szCs w:val="18"/>
          <w:color w:val="auto"/>
        </w:rPr>
        <w:t>The employment agreement for Mr. Cavoli provides for severance upon certain terminations of employment as described below under “Potential Payments Upon Termination of Employment or Change in Control.”</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Galvin</w:t>
      </w:r>
    </w:p>
    <w:p>
      <w:pPr>
        <w:spacing w:after="0" w:line="115" w:lineRule="exact"/>
        <w:rPr>
          <w:sz w:val="20"/>
          <w:szCs w:val="20"/>
          <w:color w:val="auto"/>
        </w:rPr>
      </w:pPr>
    </w:p>
    <w:p>
      <w:pPr>
        <w:ind w:left="760" w:right="200"/>
        <w:spacing w:after="0" w:line="269" w:lineRule="auto"/>
        <w:rPr>
          <w:sz w:val="20"/>
          <w:szCs w:val="20"/>
          <w:color w:val="auto"/>
        </w:rPr>
      </w:pPr>
      <w:r>
        <w:rPr>
          <w:rFonts w:ascii="Arial" w:cs="Arial" w:eastAsia="Arial" w:hAnsi="Arial"/>
          <w:sz w:val="17"/>
          <w:szCs w:val="17"/>
          <w:color w:val="auto"/>
        </w:rPr>
        <w:t>Virtu East entered into an employment agreement with Mr. Galvin on August 7, 2020, on an “at will” employment basis. The employment agreement provides for a salary of $250,000 per year, which was increased to $300,000 in fiscal year 2021. In addition, the employment agreement provides for eligibility to earn an annual bonus payable in cash and stock, as determined at the sole discretion of Virtu East, which bonus shall be in the amount of $450,000 for the year ended December 31, 2020. The employment agreement also provided for a grant of restricted</w:t>
      </w:r>
    </w:p>
    <w:p>
      <w:pPr>
        <w:spacing w:after="0" w:line="3" w:lineRule="exact"/>
        <w:rPr>
          <w:sz w:val="20"/>
          <w:szCs w:val="20"/>
          <w:color w:val="auto"/>
        </w:rPr>
      </w:pPr>
    </w:p>
    <w:p>
      <w:pPr>
        <w:ind w:left="760" w:right="60"/>
        <w:spacing w:after="0" w:line="258" w:lineRule="auto"/>
        <w:rPr>
          <w:sz w:val="20"/>
          <w:szCs w:val="20"/>
          <w:color w:val="auto"/>
        </w:rPr>
      </w:pPr>
      <w:r>
        <w:rPr>
          <w:rFonts w:ascii="Arial" w:cs="Arial" w:eastAsia="Arial" w:hAnsi="Arial"/>
          <w:sz w:val="18"/>
          <w:szCs w:val="18"/>
          <w:color w:val="auto"/>
        </w:rPr>
        <w:t>stock units with the number of restricted stock units to be granted determined by dividing $300,000 by the applicable issue price of the Company’s Class A common stock following Mr. Galvin’s start date, and provided that Mr. Galvin is eligible to participate in all benefit programs of Virtu East available to similarly situated employees.</w:t>
      </w:r>
    </w:p>
    <w:p>
      <w:pPr>
        <w:spacing w:after="0" w:line="70"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color w:val="auto"/>
        </w:rPr>
        <w:t>In connection with his employment agreement, Mr. Galvin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12 months thereafter.</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29"/>
          <w:szCs w:val="29"/>
          <w:color w:val="00C389"/>
        </w:rPr>
        <w:t>OUTSTANDING EQUITY AWARDS AT END OF FISCAL YEAR 2021</w:t>
      </w:r>
    </w:p>
    <w:p>
      <w:pPr>
        <w:spacing w:after="0" w:line="112" w:lineRule="exact"/>
        <w:rPr>
          <w:sz w:val="20"/>
          <w:szCs w:val="20"/>
          <w:color w:val="auto"/>
        </w:rPr>
      </w:pPr>
    </w:p>
    <w:p>
      <w:pPr>
        <w:ind w:left="760" w:right="200"/>
        <w:spacing w:after="0" w:line="287" w:lineRule="auto"/>
        <w:rPr>
          <w:sz w:val="20"/>
          <w:szCs w:val="20"/>
          <w:color w:val="auto"/>
        </w:rPr>
      </w:pPr>
      <w:r>
        <w:rPr>
          <w:rFonts w:ascii="Arial" w:cs="Arial" w:eastAsia="Arial" w:hAnsi="Arial"/>
          <w:sz w:val="18"/>
          <w:szCs w:val="18"/>
          <w:color w:val="auto"/>
        </w:rPr>
        <w:t>The following table provides information about each of the outstanding awards of options to purchase our common stock and restricted stock units held by each named executive officer as of December 31, 2021.</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000" w:type="dxa"/>
            <w:vAlign w:val="bottom"/>
          </w:tcPr>
          <w:p>
            <w:pPr>
              <w:spacing w:after="0"/>
              <w:rPr>
                <w:sz w:val="20"/>
                <w:szCs w:val="20"/>
                <w:color w:val="auto"/>
              </w:rPr>
            </w:pPr>
            <w:r>
              <w:rPr>
                <w:rFonts w:ascii="Arial" w:cs="Arial" w:eastAsia="Arial" w:hAnsi="Arial"/>
                <w:sz w:val="14"/>
                <w:szCs w:val="14"/>
                <w:b w:val="1"/>
                <w:bCs w:val="1"/>
                <w:color w:val="002554"/>
              </w:rPr>
              <w:t>​</w:t>
            </w:r>
          </w:p>
        </w:tc>
        <w:tc>
          <w:tcPr>
            <w:tcW w:w="780" w:type="dxa"/>
            <w:vAlign w:val="bottom"/>
            <w:gridSpan w:val="3"/>
          </w:tcPr>
          <w:p>
            <w:pPr>
              <w:ind w:left="620"/>
              <w:spacing w:after="0"/>
              <w:rPr>
                <w:sz w:val="20"/>
                <w:szCs w:val="20"/>
                <w:color w:val="auto"/>
              </w:rPr>
            </w:pPr>
            <w:r>
              <w:rPr>
                <w:rFonts w:ascii="Arial" w:cs="Arial" w:eastAsia="Arial" w:hAnsi="Arial"/>
                <w:sz w:val="14"/>
                <w:szCs w:val="14"/>
                <w:b w:val="1"/>
                <w:bCs w:val="1"/>
                <w:color w:val="002554"/>
              </w:rPr>
              <w:t>​ ​</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ind w:left="300"/>
              <w:spacing w:after="0"/>
              <w:rPr>
                <w:sz w:val="20"/>
                <w:szCs w:val="20"/>
                <w:color w:val="auto"/>
              </w:rPr>
            </w:pPr>
            <w:r>
              <w:rPr>
                <w:rFonts w:ascii="Arial" w:cs="Arial" w:eastAsia="Arial" w:hAnsi="Arial"/>
                <w:sz w:val="14"/>
                <w:szCs w:val="14"/>
                <w:b w:val="1"/>
                <w:bCs w:val="1"/>
                <w:color w:val="002554"/>
              </w:rPr>
              <w:t>Option Awards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554"/>
              </w:rPr>
              <w:t>​ ​</w:t>
            </w:r>
          </w:p>
        </w:tc>
        <w:tc>
          <w:tcPr>
            <w:tcW w:w="240" w:type="dxa"/>
            <w:vAlign w:val="bottom"/>
          </w:tcPr>
          <w:p>
            <w:pPr>
              <w:spacing w:after="0"/>
              <w:rPr>
                <w:sz w:val="18"/>
                <w:szCs w:val="18"/>
                <w:color w:val="auto"/>
              </w:rPr>
            </w:pPr>
          </w:p>
        </w:tc>
        <w:tc>
          <w:tcPr>
            <w:tcW w:w="208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002554"/>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C389"/>
            </w:tcBorders>
          </w:tcPr>
          <w:p>
            <w:pPr>
              <w:spacing w:after="0"/>
              <w:rPr>
                <w:sz w:val="14"/>
                <w:szCs w:val="14"/>
                <w:color w:val="auto"/>
              </w:rPr>
            </w:pPr>
          </w:p>
        </w:tc>
        <w:tc>
          <w:tcPr>
            <w:tcW w:w="860" w:type="dxa"/>
            <w:vAlign w:val="bottom"/>
            <w:tcBorders>
              <w:top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Number of</w:t>
            </w:r>
          </w:p>
        </w:tc>
        <w:tc>
          <w:tcPr>
            <w:tcW w:w="260" w:type="dxa"/>
            <w:vAlign w:val="bottom"/>
            <w:tcBorders>
              <w:top w:val="single" w:sz="8" w:color="00C389"/>
            </w:tcBorders>
          </w:tcPr>
          <w:p>
            <w:pPr>
              <w:spacing w:after="0"/>
              <w:rPr>
                <w:sz w:val="14"/>
                <w:szCs w:val="14"/>
                <w:color w:val="auto"/>
              </w:rPr>
            </w:pPr>
          </w:p>
        </w:tc>
        <w:tc>
          <w:tcPr>
            <w:tcW w:w="940" w:type="dxa"/>
            <w:vAlign w:val="bottom"/>
            <w:tcBorders>
              <w:top w:val="single" w:sz="8" w:color="00C389"/>
            </w:tcBorders>
          </w:tcPr>
          <w:p>
            <w:pPr>
              <w:jc w:val="center"/>
              <w:spacing w:after="0"/>
              <w:rPr>
                <w:sz w:val="20"/>
                <w:szCs w:val="20"/>
                <w:color w:val="auto"/>
              </w:rPr>
            </w:pPr>
            <w:r>
              <w:rPr>
                <w:rFonts w:ascii="Arial" w:cs="Arial" w:eastAsia="Arial" w:hAnsi="Arial"/>
                <w:sz w:val="14"/>
                <w:szCs w:val="14"/>
                <w:b w:val="1"/>
                <w:bCs w:val="1"/>
                <w:color w:val="002554"/>
                <w:w w:val="99"/>
              </w:rPr>
              <w:t>Number of</w:t>
            </w:r>
          </w:p>
        </w:tc>
        <w:tc>
          <w:tcPr>
            <w:tcW w:w="220" w:type="dxa"/>
            <w:vAlign w:val="bottom"/>
            <w:tcBorders>
              <w:top w:val="single" w:sz="8" w:color="00C389"/>
            </w:tcBorders>
          </w:tcPr>
          <w:p>
            <w:pPr>
              <w:spacing w:after="0"/>
              <w:rPr>
                <w:sz w:val="14"/>
                <w:szCs w:val="14"/>
                <w:color w:val="auto"/>
              </w:rPr>
            </w:pPr>
          </w:p>
        </w:tc>
        <w:tc>
          <w:tcPr>
            <w:tcW w:w="620" w:type="dxa"/>
            <w:vAlign w:val="bottom"/>
            <w:tcBorders>
              <w:top w:val="single" w:sz="8" w:color="00C389"/>
            </w:tcBorders>
          </w:tcPr>
          <w:p>
            <w:pPr>
              <w:spacing w:after="0"/>
              <w:rPr>
                <w:sz w:val="14"/>
                <w:szCs w:val="14"/>
                <w:color w:val="auto"/>
              </w:rPr>
            </w:pPr>
          </w:p>
        </w:tc>
        <w:tc>
          <w:tcPr>
            <w:tcW w:w="220" w:type="dxa"/>
            <w:vAlign w:val="bottom"/>
            <w:tcBorders>
              <w:top w:val="single" w:sz="8" w:color="00C389"/>
            </w:tcBorders>
          </w:tcPr>
          <w:p>
            <w:pPr>
              <w:spacing w:after="0"/>
              <w:rPr>
                <w:sz w:val="14"/>
                <w:szCs w:val="14"/>
                <w:color w:val="auto"/>
              </w:rPr>
            </w:pPr>
          </w:p>
        </w:tc>
        <w:tc>
          <w:tcPr>
            <w:tcW w:w="720" w:type="dxa"/>
            <w:vAlign w:val="bottom"/>
            <w:tcBorders>
              <w:top w:val="single" w:sz="8" w:color="00C389"/>
            </w:tcBorders>
          </w:tcPr>
          <w:p>
            <w:pPr>
              <w:spacing w:after="0"/>
              <w:rPr>
                <w:sz w:val="14"/>
                <w:szCs w:val="14"/>
                <w:color w:val="auto"/>
              </w:rPr>
            </w:pPr>
          </w:p>
        </w:tc>
        <w:tc>
          <w:tcPr>
            <w:tcW w:w="20" w:type="dxa"/>
            <w:vAlign w:val="bottom"/>
            <w:tcBorders>
              <w:top w:val="single" w:sz="8" w:color="00C389"/>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00C389"/>
            </w:tcBorders>
          </w:tcPr>
          <w:p>
            <w:pPr>
              <w:spacing w:after="0"/>
              <w:rPr>
                <w:sz w:val="14"/>
                <w:szCs w:val="14"/>
                <w:color w:val="auto"/>
              </w:rPr>
            </w:pPr>
          </w:p>
        </w:tc>
        <w:tc>
          <w:tcPr>
            <w:tcW w:w="740" w:type="dxa"/>
            <w:vAlign w:val="bottom"/>
            <w:tcBorders>
              <w:top w:val="single" w:sz="8" w:color="00C389"/>
            </w:tcBorders>
          </w:tcPr>
          <w:p>
            <w:pPr>
              <w:jc w:val="center"/>
              <w:ind w:right="187"/>
              <w:spacing w:after="0"/>
              <w:rPr>
                <w:sz w:val="20"/>
                <w:szCs w:val="20"/>
                <w:color w:val="auto"/>
              </w:rPr>
            </w:pPr>
            <w:r>
              <w:rPr>
                <w:rFonts w:ascii="Arial" w:cs="Arial" w:eastAsia="Arial" w:hAnsi="Arial"/>
                <w:sz w:val="14"/>
                <w:szCs w:val="14"/>
                <w:b w:val="1"/>
                <w:bCs w:val="1"/>
                <w:color w:val="002554"/>
              </w:rPr>
              <w:t>Equity</w:t>
            </w:r>
          </w:p>
        </w:tc>
        <w:tc>
          <w:tcPr>
            <w:tcW w:w="240" w:type="dxa"/>
            <w:vAlign w:val="bottom"/>
            <w:tcBorders>
              <w:top w:val="single" w:sz="8" w:color="00C389"/>
            </w:tcBorders>
          </w:tcPr>
          <w:p>
            <w:pPr>
              <w:spacing w:after="0"/>
              <w:rPr>
                <w:sz w:val="14"/>
                <w:szCs w:val="14"/>
                <w:color w:val="auto"/>
              </w:rPr>
            </w:pPr>
          </w:p>
        </w:tc>
        <w:tc>
          <w:tcPr>
            <w:tcW w:w="200" w:type="dxa"/>
            <w:vAlign w:val="bottom"/>
            <w:tcBorders>
              <w:top w:val="single" w:sz="8" w:color="00C389"/>
            </w:tcBorders>
          </w:tcPr>
          <w:p>
            <w:pPr>
              <w:spacing w:after="0"/>
              <w:rPr>
                <w:sz w:val="14"/>
                <w:szCs w:val="14"/>
                <w:color w:val="auto"/>
              </w:rPr>
            </w:pPr>
          </w:p>
        </w:tc>
        <w:tc>
          <w:tcPr>
            <w:tcW w:w="900" w:type="dxa"/>
            <w:vAlign w:val="bottom"/>
            <w:tcBorders>
              <w:top w:val="single" w:sz="8" w:color="00C389"/>
            </w:tcBorders>
          </w:tcPr>
          <w:p>
            <w:pPr>
              <w:jc w:val="center"/>
              <w:ind w:right="136"/>
              <w:spacing w:after="0"/>
              <w:rPr>
                <w:sz w:val="20"/>
                <w:szCs w:val="20"/>
                <w:color w:val="auto"/>
              </w:rPr>
            </w:pPr>
            <w:r>
              <w:rPr>
                <w:rFonts w:ascii="Arial" w:cs="Arial" w:eastAsia="Arial" w:hAnsi="Arial"/>
                <w:sz w:val="14"/>
                <w:szCs w:val="14"/>
                <w:b w:val="1"/>
                <w:bCs w:val="1"/>
                <w:color w:val="002554"/>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Securities</w:t>
            </w:r>
          </w:p>
        </w:tc>
        <w:tc>
          <w:tcPr>
            <w:tcW w:w="26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Securities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Incentive Plan</w:t>
            </w:r>
          </w:p>
        </w:tc>
        <w:tc>
          <w:tcPr>
            <w:tcW w:w="240" w:type="dxa"/>
            <w:vAlign w:val="bottom"/>
          </w:tcPr>
          <w:p>
            <w:pPr>
              <w:spacing w:after="0"/>
              <w:rPr>
                <w:sz w:val="12"/>
                <w:szCs w:val="12"/>
                <w:color w:val="auto"/>
              </w:rPr>
            </w:pP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Incentive Plan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Underlying</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002554"/>
              </w:rPr>
              <w:t>Underlying</w:t>
            </w: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002554"/>
              </w:rPr>
              <w:t>Option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Awards: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002554"/>
              </w:rPr>
              <w:t>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554"/>
              </w:rPr>
              <w:t>Unexercised</w:t>
            </w:r>
          </w:p>
        </w:tc>
        <w:tc>
          <w:tcPr>
            <w:tcW w:w="2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002554"/>
              </w:rPr>
              <w:t>Unexercised</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002554"/>
              </w:rPr>
              <w:t>Option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554"/>
              </w:rPr>
              <w:t>Number of</w:t>
            </w:r>
          </w:p>
        </w:tc>
        <w:tc>
          <w:tcPr>
            <w:tcW w:w="240" w:type="dxa"/>
            <w:vAlign w:val="bottom"/>
          </w:tcPr>
          <w:p>
            <w:pPr>
              <w:spacing w:after="0"/>
              <w:rPr>
                <w:sz w:val="12"/>
                <w:szCs w:val="12"/>
                <w:color w:val="auto"/>
              </w:rPr>
            </w:pP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554"/>
              </w:rPr>
              <w:t>Market 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Options</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002554"/>
              </w:rPr>
              <w:t>Options</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002554"/>
              </w:rPr>
              <w:t>Exercise</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Unvested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002554"/>
              </w:rPr>
              <w:t>Unvested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Exercisable</w:t>
            </w:r>
          </w:p>
        </w:tc>
        <w:tc>
          <w:tcPr>
            <w:tcW w:w="1200" w:type="dxa"/>
            <w:vAlign w:val="bottom"/>
            <w:gridSpan w:val="2"/>
          </w:tcPr>
          <w:p>
            <w:pPr>
              <w:jc w:val="center"/>
              <w:ind w:left="135"/>
              <w:spacing w:after="0" w:line="139" w:lineRule="exact"/>
              <w:rPr>
                <w:sz w:val="20"/>
                <w:szCs w:val="20"/>
                <w:color w:val="auto"/>
              </w:rPr>
            </w:pPr>
            <w:r>
              <w:rPr>
                <w:rFonts w:ascii="Arial" w:cs="Arial" w:eastAsia="Arial" w:hAnsi="Arial"/>
                <w:sz w:val="14"/>
                <w:szCs w:val="14"/>
                <w:b w:val="1"/>
                <w:bCs w:val="1"/>
                <w:color w:val="002554"/>
              </w:rPr>
              <w:t>Unexercisable</w:t>
            </w:r>
          </w:p>
        </w:tc>
        <w:tc>
          <w:tcPr>
            <w:tcW w:w="22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Price</w:t>
            </w:r>
          </w:p>
        </w:tc>
        <w:tc>
          <w:tcPr>
            <w:tcW w:w="2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Expiration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Stock Awards</w:t>
            </w:r>
          </w:p>
        </w:tc>
        <w:tc>
          <w:tcPr>
            <w:tcW w:w="240" w:type="dxa"/>
            <w:vAlign w:val="bottom"/>
          </w:tcPr>
          <w:p>
            <w:pPr>
              <w:spacing w:after="0"/>
              <w:rPr>
                <w:sz w:val="12"/>
                <w:szCs w:val="12"/>
                <w:color w:val="auto"/>
              </w:rPr>
            </w:pP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Stock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0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Name</w:t>
            </w:r>
          </w:p>
        </w:tc>
        <w:tc>
          <w:tcPr>
            <w:tcW w:w="780" w:type="dxa"/>
            <w:vAlign w:val="bottom"/>
            <w:tcBorders>
              <w:bottom w:val="single" w:sz="8" w:color="00C389"/>
            </w:tcBorders>
            <w:gridSpan w:val="3"/>
          </w:tcPr>
          <w:p>
            <w:pPr>
              <w:ind w:left="620"/>
              <w:spacing w:after="0"/>
              <w:rPr>
                <w:sz w:val="20"/>
                <w:szCs w:val="20"/>
                <w:color w:val="auto"/>
              </w:rPr>
            </w:pPr>
            <w:r>
              <w:rPr>
                <w:rFonts w:ascii="Arial" w:cs="Arial" w:eastAsia="Arial" w:hAnsi="Arial"/>
                <w:sz w:val="14"/>
                <w:szCs w:val="14"/>
                <w:b w:val="1"/>
                <w:bCs w:val="1"/>
                <w:color w:val="002554"/>
              </w:rPr>
              <w:t>​ ​</w:t>
            </w:r>
          </w:p>
        </w:tc>
        <w:tc>
          <w:tcPr>
            <w:tcW w:w="860" w:type="dxa"/>
            <w:vAlign w:val="bottom"/>
            <w:tcBorders>
              <w:bottom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w:t>
            </w:r>
          </w:p>
        </w:tc>
        <w:tc>
          <w:tcPr>
            <w:tcW w:w="26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94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62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72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w w:val="98"/>
              </w:rPr>
              <w:t>Date</w:t>
            </w:r>
          </w:p>
        </w:tc>
        <w:tc>
          <w:tcPr>
            <w:tcW w:w="20" w:type="dxa"/>
            <w:vAlign w:val="bottom"/>
            <w:tcBorders>
              <w:bottom w:val="single" w:sz="8" w:color="00C389"/>
            </w:tcBorders>
          </w:tcPr>
          <w:p>
            <w:pPr>
              <w:spacing w:after="0"/>
              <w:rPr>
                <w:sz w:val="17"/>
                <w:szCs w:val="17"/>
                <w:color w:val="auto"/>
              </w:rPr>
            </w:pP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240" w:type="dxa"/>
            <w:vAlign w:val="bottom"/>
            <w:tcBorders>
              <w:bottom w:val="single" w:sz="8" w:color="00C389"/>
            </w:tcBorders>
          </w:tcPr>
          <w:p>
            <w:pPr>
              <w:spacing w:after="0"/>
              <w:rPr>
                <w:sz w:val="17"/>
                <w:szCs w:val="17"/>
                <w:color w:val="auto"/>
              </w:rPr>
            </w:pPr>
          </w:p>
        </w:tc>
        <w:tc>
          <w:tcPr>
            <w:tcW w:w="740" w:type="dxa"/>
            <w:vAlign w:val="bottom"/>
            <w:tcBorders>
              <w:bottom w:val="single" w:sz="8" w:color="00C389"/>
            </w:tcBorders>
          </w:tcPr>
          <w:p>
            <w:pPr>
              <w:jc w:val="center"/>
              <w:ind w:right="127"/>
              <w:spacing w:after="0"/>
              <w:rPr>
                <w:sz w:val="20"/>
                <w:szCs w:val="20"/>
                <w:color w:val="auto"/>
              </w:rPr>
            </w:pPr>
            <w:r>
              <w:rPr>
                <w:rFonts w:ascii="Arial" w:cs="Arial" w:eastAsia="Arial" w:hAnsi="Arial"/>
                <w:sz w:val="14"/>
                <w:szCs w:val="14"/>
                <w:b w:val="1"/>
                <w:bCs w:val="1"/>
                <w:color w:val="002554"/>
              </w:rPr>
              <w:t>(#)</w:t>
            </w:r>
          </w:p>
        </w:tc>
        <w:tc>
          <w:tcPr>
            <w:tcW w:w="24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200" w:type="dxa"/>
            <w:vAlign w:val="bottom"/>
            <w:tcBorders>
              <w:bottom w:val="single" w:sz="8" w:color="00C389"/>
            </w:tcBorders>
          </w:tcPr>
          <w:p>
            <w:pPr>
              <w:spacing w:after="0"/>
              <w:rPr>
                <w:sz w:val="17"/>
                <w:szCs w:val="17"/>
                <w:color w:val="auto"/>
              </w:rPr>
            </w:pPr>
          </w:p>
        </w:tc>
        <w:tc>
          <w:tcPr>
            <w:tcW w:w="900" w:type="dxa"/>
            <w:vAlign w:val="bottom"/>
            <w:tcBorders>
              <w:bottom w:val="single" w:sz="8" w:color="00C389"/>
            </w:tcBorders>
          </w:tcPr>
          <w:p>
            <w:pPr>
              <w:jc w:val="center"/>
              <w:ind w:right="96"/>
              <w:spacing w:after="0"/>
              <w:rPr>
                <w:sz w:val="20"/>
                <w:szCs w:val="20"/>
                <w:color w:val="auto"/>
              </w:rPr>
            </w:pPr>
            <w:r>
              <w:rPr>
                <w:rFonts w:ascii="Arial" w:cs="Arial" w:eastAsia="Arial" w:hAnsi="Arial"/>
                <w:sz w:val="14"/>
                <w:szCs w:val="14"/>
                <w:b w:val="1"/>
                <w:bCs w:val="1"/>
                <w:color w:val="002554"/>
              </w:rPr>
              <w:t>($)(1)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49"/>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680" w:type="dxa"/>
            <w:vAlign w:val="bottom"/>
            <w:shd w:val="clear" w:color="auto" w:fill="CCEEFF"/>
          </w:tcPr>
          <w:p>
            <w:pPr>
              <w:ind w:left="620"/>
              <w:spacing w:after="0" w:line="14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line="14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0"/>
              <w:spacing w:after="0" w:line="14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ind w:left="360"/>
              <w:spacing w:after="0" w:line="14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62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ind w:left="260"/>
              <w:spacing w:after="0" w:line="149"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 ​  ​</w:t>
            </w:r>
          </w:p>
        </w:tc>
        <w:tc>
          <w:tcPr>
            <w:tcW w:w="90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519,372</w:t>
            </w:r>
          </w:p>
        </w:tc>
        <w:tc>
          <w:tcPr>
            <w:tcW w:w="60" w:type="dxa"/>
            <w:vAlign w:val="bottom"/>
          </w:tcPr>
          <w:p>
            <w:pPr>
              <w:jc w:val="right"/>
              <w:spacing w:after="0" w:line="14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89"/>
        </w:trPr>
        <w:tc>
          <w:tcPr>
            <w:tcW w:w="2000" w:type="dxa"/>
            <w:vAlign w:val="bottom"/>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60" w:type="dxa"/>
            <w:vAlign w:val="bottom"/>
            <w:gridSpan w:val="2"/>
            <w:shd w:val="clear" w:color="auto" w:fill="CCEEFF"/>
          </w:tcPr>
          <w:p>
            <w:pPr>
              <w:ind w:left="340"/>
              <w:spacing w:after="0" w:line="90"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ind w:left="360"/>
              <w:spacing w:after="0" w:line="90"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ind w:left="220"/>
              <w:spacing w:after="0" w:line="90"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ind w:left="280"/>
              <w:spacing w:after="0" w:line="90"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gridSpan w:val="3"/>
            <w:shd w:val="clear" w:color="auto" w:fill="CCEEFF"/>
          </w:tcPr>
          <w:p>
            <w:pPr>
              <w:ind w:left="160"/>
              <w:spacing w:after="0" w:line="90" w:lineRule="exact"/>
              <w:rPr>
                <w:sz w:val="20"/>
                <w:szCs w:val="20"/>
                <w:color w:val="auto"/>
              </w:rPr>
            </w:pPr>
            <w:r>
              <w:rPr>
                <w:rFonts w:ascii="Arial" w:cs="Arial" w:eastAsia="Arial" w:hAnsi="Arial"/>
                <w:sz w:val="10"/>
                <w:szCs w:val="10"/>
                <w:color w:val="auto"/>
              </w:rPr>
              <w:t>​ 18,015(2)</w:t>
            </w:r>
          </w:p>
        </w:tc>
        <w:tc>
          <w:tcPr>
            <w:tcW w:w="20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9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9"/>
        </w:trPr>
        <w:tc>
          <w:tcPr>
            <w:tcW w:w="20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gridSpan w:val="3"/>
            <w:shd w:val="clear" w:color="auto" w:fill="CCEEFF"/>
          </w:tcPr>
          <w:p>
            <w:pPr>
              <w:ind w:left="160"/>
              <w:spacing w:after="0" w:line="90" w:lineRule="exact"/>
              <w:rPr>
                <w:sz w:val="20"/>
                <w:szCs w:val="20"/>
                <w:color w:val="auto"/>
              </w:rPr>
            </w:pPr>
            <w:r>
              <w:rPr>
                <w:rFonts w:ascii="Arial" w:cs="Arial" w:eastAsia="Arial" w:hAnsi="Arial"/>
                <w:sz w:val="10"/>
                <w:szCs w:val="10"/>
                <w:color w:val="auto"/>
              </w:rPr>
              <w:t>​ 53,682(3)</w:t>
            </w:r>
          </w:p>
        </w:tc>
        <w:tc>
          <w:tcPr>
            <w:tcW w:w="1100" w:type="dxa"/>
            <w:vAlign w:val="bottom"/>
            <w:tcBorders>
              <w:right w:val="single" w:sz="8" w:color="CCEEFF"/>
            </w:tcBorders>
            <w:gridSpan w:val="2"/>
            <w:shd w:val="clear" w:color="auto" w:fill="CCEEFF"/>
          </w:tcPr>
          <w:p>
            <w:pPr>
              <w:jc w:val="right"/>
              <w:ind w:right="56"/>
              <w:spacing w:after="0" w:line="90" w:lineRule="exact"/>
              <w:rPr>
                <w:sz w:val="20"/>
                <w:szCs w:val="20"/>
                <w:color w:val="auto"/>
              </w:rPr>
            </w:pPr>
            <w:r>
              <w:rPr>
                <w:rFonts w:ascii="Arial" w:cs="Arial" w:eastAsia="Arial" w:hAnsi="Arial"/>
                <w:sz w:val="10"/>
                <w:szCs w:val="10"/>
                <w:color w:val="auto"/>
              </w:rPr>
              <w:t>​1,547,652</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9"/>
        </w:trPr>
        <w:tc>
          <w:tcPr>
            <w:tcW w:w="20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gridSpan w:val="3"/>
            <w:shd w:val="clear" w:color="auto" w:fill="CCEEFF"/>
          </w:tcPr>
          <w:p>
            <w:pPr>
              <w:ind w:left="160"/>
              <w:spacing w:after="0" w:line="90" w:lineRule="exact"/>
              <w:rPr>
                <w:sz w:val="20"/>
                <w:szCs w:val="20"/>
                <w:color w:val="auto"/>
              </w:rPr>
            </w:pPr>
            <w:r>
              <w:rPr>
                <w:rFonts w:ascii="Arial" w:cs="Arial" w:eastAsia="Arial" w:hAnsi="Arial"/>
                <w:sz w:val="10"/>
                <w:szCs w:val="10"/>
                <w:color w:val="auto"/>
              </w:rPr>
              <w:t>​ 54,253(4)</w:t>
            </w:r>
          </w:p>
        </w:tc>
        <w:tc>
          <w:tcPr>
            <w:tcW w:w="1100" w:type="dxa"/>
            <w:vAlign w:val="bottom"/>
            <w:tcBorders>
              <w:right w:val="single" w:sz="8" w:color="CCEEFF"/>
            </w:tcBorders>
            <w:gridSpan w:val="2"/>
            <w:shd w:val="clear" w:color="auto" w:fill="CCEEFF"/>
          </w:tcPr>
          <w:p>
            <w:pPr>
              <w:jc w:val="right"/>
              <w:ind w:right="56"/>
              <w:spacing w:after="0" w:line="90" w:lineRule="exact"/>
              <w:rPr>
                <w:sz w:val="20"/>
                <w:szCs w:val="20"/>
                <w:color w:val="auto"/>
              </w:rPr>
            </w:pPr>
            <w:r>
              <w:rPr>
                <w:rFonts w:ascii="Arial" w:cs="Arial" w:eastAsia="Arial" w:hAnsi="Arial"/>
                <w:sz w:val="10"/>
                <w:szCs w:val="10"/>
                <w:color w:val="auto"/>
              </w:rPr>
              <w:t>​1,564,114</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00" w:type="dxa"/>
            <w:vAlign w:val="bottom"/>
            <w:tcBorders>
              <w:bottom w:val="single" w:sz="8" w:color="00C389"/>
            </w:tcBorders>
            <w:shd w:val="clear" w:color="auto" w:fill="CCEEFF"/>
          </w:tcPr>
          <w:p>
            <w:pPr>
              <w:spacing w:after="0"/>
              <w:rPr>
                <w:sz w:val="10"/>
                <w:szCs w:val="10"/>
                <w:color w:val="auto"/>
              </w:rPr>
            </w:pPr>
          </w:p>
        </w:tc>
        <w:tc>
          <w:tcPr>
            <w:tcW w:w="680" w:type="dxa"/>
            <w:vAlign w:val="bottom"/>
            <w:tcBorders>
              <w:bottom w:val="single" w:sz="8" w:color="00C389"/>
            </w:tcBorders>
            <w:shd w:val="clear" w:color="auto" w:fill="CCEEFF"/>
          </w:tcPr>
          <w:p>
            <w:pPr>
              <w:spacing w:after="0"/>
              <w:rPr>
                <w:sz w:val="10"/>
                <w:szCs w:val="10"/>
                <w:color w:val="auto"/>
              </w:rPr>
            </w:pPr>
          </w:p>
        </w:tc>
        <w:tc>
          <w:tcPr>
            <w:tcW w:w="80" w:type="dxa"/>
            <w:vAlign w:val="bottom"/>
            <w:tcBorders>
              <w:bottom w:val="single" w:sz="8" w:color="00C389"/>
            </w:tcBorders>
            <w:shd w:val="clear" w:color="auto" w:fill="CCEEFF"/>
          </w:tcPr>
          <w:p>
            <w:pPr>
              <w:spacing w:after="0"/>
              <w:rPr>
                <w:sz w:val="10"/>
                <w:szCs w:val="10"/>
                <w:color w:val="auto"/>
              </w:rPr>
            </w:pPr>
          </w:p>
        </w:tc>
        <w:tc>
          <w:tcPr>
            <w:tcW w:w="20" w:type="dxa"/>
            <w:vAlign w:val="bottom"/>
            <w:tcBorders>
              <w:bottom w:val="single" w:sz="8" w:color="00C389"/>
            </w:tcBorders>
            <w:shd w:val="clear" w:color="auto" w:fill="CCEEFF"/>
          </w:tcPr>
          <w:p>
            <w:pPr>
              <w:spacing w:after="0"/>
              <w:rPr>
                <w:sz w:val="10"/>
                <w:szCs w:val="10"/>
                <w:color w:val="auto"/>
              </w:rPr>
            </w:pPr>
          </w:p>
        </w:tc>
        <w:tc>
          <w:tcPr>
            <w:tcW w:w="520" w:type="dxa"/>
            <w:vAlign w:val="bottom"/>
            <w:tcBorders>
              <w:bottom w:val="single" w:sz="8" w:color="00C389"/>
            </w:tcBorders>
            <w:shd w:val="clear" w:color="auto" w:fill="CCEEFF"/>
          </w:tcPr>
          <w:p>
            <w:pPr>
              <w:spacing w:after="0"/>
              <w:rPr>
                <w:sz w:val="10"/>
                <w:szCs w:val="10"/>
                <w:color w:val="auto"/>
              </w:rPr>
            </w:pPr>
          </w:p>
        </w:tc>
        <w:tc>
          <w:tcPr>
            <w:tcW w:w="340" w:type="dxa"/>
            <w:vAlign w:val="bottom"/>
            <w:tcBorders>
              <w:bottom w:val="single" w:sz="8" w:color="00C389"/>
            </w:tcBorders>
            <w:shd w:val="clear" w:color="auto" w:fill="CCEEFF"/>
          </w:tcPr>
          <w:p>
            <w:pPr>
              <w:spacing w:after="0"/>
              <w:rPr>
                <w:sz w:val="10"/>
                <w:szCs w:val="10"/>
                <w:color w:val="auto"/>
              </w:rPr>
            </w:pPr>
          </w:p>
        </w:tc>
        <w:tc>
          <w:tcPr>
            <w:tcW w:w="260" w:type="dxa"/>
            <w:vAlign w:val="bottom"/>
            <w:tcBorders>
              <w:bottom w:val="single" w:sz="8" w:color="00C389"/>
            </w:tcBorders>
            <w:shd w:val="clear" w:color="auto" w:fill="CCEEFF"/>
          </w:tcPr>
          <w:p>
            <w:pPr>
              <w:spacing w:after="0"/>
              <w:rPr>
                <w:sz w:val="10"/>
                <w:szCs w:val="10"/>
                <w:color w:val="auto"/>
              </w:rPr>
            </w:pPr>
          </w:p>
        </w:tc>
        <w:tc>
          <w:tcPr>
            <w:tcW w:w="94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62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720" w:type="dxa"/>
            <w:vAlign w:val="bottom"/>
            <w:tcBorders>
              <w:bottom w:val="single" w:sz="8" w:color="00C389"/>
            </w:tcBorders>
            <w:shd w:val="clear" w:color="auto" w:fill="CCEEFF"/>
          </w:tcPr>
          <w:p>
            <w:pPr>
              <w:spacing w:after="0"/>
              <w:rPr>
                <w:sz w:val="10"/>
                <w:szCs w:val="10"/>
                <w:color w:val="auto"/>
              </w:rPr>
            </w:pPr>
          </w:p>
        </w:tc>
        <w:tc>
          <w:tcPr>
            <w:tcW w:w="2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1220" w:type="dxa"/>
            <w:vAlign w:val="bottom"/>
            <w:tcBorders>
              <w:bottom w:val="single" w:sz="8" w:color="00C389"/>
            </w:tcBorders>
            <w:gridSpan w:val="3"/>
            <w:shd w:val="clear" w:color="auto" w:fill="CCEEFF"/>
          </w:tcPr>
          <w:p>
            <w:pPr>
              <w:ind w:left="160"/>
              <w:spacing w:after="0" w:line="122" w:lineRule="exact"/>
              <w:rPr>
                <w:sz w:val="20"/>
                <w:szCs w:val="20"/>
                <w:color w:val="auto"/>
              </w:rPr>
            </w:pPr>
            <w:r>
              <w:rPr>
                <w:rFonts w:ascii="Arial" w:cs="Arial" w:eastAsia="Arial" w:hAnsi="Arial"/>
                <w:sz w:val="13"/>
                <w:szCs w:val="13"/>
                <w:color w:val="auto"/>
              </w:rPr>
              <w:t>​ 75,000(5)</w:t>
            </w:r>
          </w:p>
        </w:tc>
        <w:tc>
          <w:tcPr>
            <w:tcW w:w="1100" w:type="dxa"/>
            <w:vAlign w:val="bottom"/>
            <w:tcBorders>
              <w:bottom w:val="single" w:sz="8" w:color="00C389"/>
              <w:right w:val="single" w:sz="8" w:color="CCEEFF"/>
            </w:tcBorders>
            <w:gridSpan w:val="2"/>
            <w:shd w:val="clear" w:color="auto" w:fill="CCEEFF"/>
          </w:tcPr>
          <w:p>
            <w:pPr>
              <w:jc w:val="right"/>
              <w:ind w:right="56"/>
              <w:spacing w:after="0" w:line="122" w:lineRule="exact"/>
              <w:rPr>
                <w:sz w:val="20"/>
                <w:szCs w:val="20"/>
                <w:color w:val="auto"/>
              </w:rPr>
            </w:pPr>
            <w:r>
              <w:rPr>
                <w:rFonts w:ascii="Arial" w:cs="Arial" w:eastAsia="Arial" w:hAnsi="Arial"/>
                <w:sz w:val="13"/>
                <w:szCs w:val="13"/>
                <w:color w:val="auto"/>
              </w:rPr>
              <w:t>​2,162,250</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Joseph Molluso</w:t>
            </w:r>
          </w:p>
        </w:tc>
        <w:tc>
          <w:tcPr>
            <w:tcW w:w="760" w:type="dxa"/>
            <w:vAlign w:val="bottom"/>
            <w:gridSpan w:val="2"/>
          </w:tcPr>
          <w:p>
            <w:pPr>
              <w:ind w:left="620"/>
              <w:spacing w:after="0" w:line="142"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2"/>
                <w:szCs w:val="12"/>
                <w:color w:val="auto"/>
              </w:rPr>
            </w:pPr>
          </w:p>
        </w:tc>
        <w:tc>
          <w:tcPr>
            <w:tcW w:w="52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40" w:type="dxa"/>
            <w:vAlign w:val="bottom"/>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tcPr>
          <w:p>
            <w:pPr>
              <w:ind w:left="260"/>
              <w:spacing w:after="0" w:line="142" w:lineRule="exact"/>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240" w:type="dxa"/>
            <w:vAlign w:val="bottom"/>
          </w:tcPr>
          <w:p>
            <w:pPr>
              <w:ind w:left="160"/>
              <w:spacing w:after="0" w:line="142" w:lineRule="exact"/>
              <w:rPr>
                <w:sz w:val="20"/>
                <w:szCs w:val="20"/>
                <w:color w:val="auto"/>
              </w:rPr>
            </w:pPr>
            <w:r>
              <w:rPr>
                <w:rFonts w:ascii="Arial" w:cs="Arial" w:eastAsia="Arial" w:hAnsi="Arial"/>
                <w:sz w:val="16"/>
                <w:szCs w:val="16"/>
                <w:color w:val="auto"/>
              </w:rPr>
              <w:t>​</w:t>
            </w:r>
          </w:p>
        </w:tc>
        <w:tc>
          <w:tcPr>
            <w:tcW w:w="7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  ​</w:t>
            </w:r>
          </w:p>
        </w:tc>
        <w:tc>
          <w:tcPr>
            <w:tcW w:w="9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2"/>
          </w:tcPr>
          <w:p>
            <w:pPr>
              <w:ind w:left="340"/>
              <w:spacing w:after="0" w:line="90"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7"/>
                <w:szCs w:val="7"/>
                <w:color w:val="auto"/>
              </w:rPr>
            </w:pPr>
          </w:p>
        </w:tc>
        <w:tc>
          <w:tcPr>
            <w:tcW w:w="940" w:type="dxa"/>
            <w:vAlign w:val="bottom"/>
          </w:tcPr>
          <w:p>
            <w:pPr>
              <w:ind w:left="360"/>
              <w:spacing w:after="0" w:line="90"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620" w:type="dxa"/>
            <w:vAlign w:val="bottom"/>
          </w:tcPr>
          <w:p>
            <w:pPr>
              <w:ind w:left="220"/>
              <w:spacing w:after="0" w:line="90"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720" w:type="dxa"/>
            <w:vAlign w:val="bottom"/>
          </w:tcPr>
          <w:p>
            <w:pPr>
              <w:ind w:left="280"/>
              <w:spacing w:after="0" w:line="90"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tcPr>
          <w:p>
            <w:pPr>
              <w:ind w:left="160"/>
              <w:spacing w:after="0" w:line="90" w:lineRule="exact"/>
              <w:rPr>
                <w:sz w:val="20"/>
                <w:szCs w:val="20"/>
                <w:color w:val="auto"/>
              </w:rPr>
            </w:pPr>
            <w:r>
              <w:rPr>
                <w:rFonts w:ascii="Arial" w:cs="Arial" w:eastAsia="Arial" w:hAnsi="Arial"/>
                <w:sz w:val="10"/>
                <w:szCs w:val="10"/>
                <w:color w:val="auto"/>
              </w:rPr>
              <w:t>​133,333(3)</w:t>
            </w:r>
          </w:p>
        </w:tc>
        <w:tc>
          <w:tcPr>
            <w:tcW w:w="1100" w:type="dxa"/>
            <w:vAlign w:val="bottom"/>
            <w:gridSpan w:val="2"/>
          </w:tcPr>
          <w:p>
            <w:pPr>
              <w:jc w:val="right"/>
              <w:ind w:right="56"/>
              <w:spacing w:after="0" w:line="90" w:lineRule="exact"/>
              <w:rPr>
                <w:sz w:val="20"/>
                <w:szCs w:val="20"/>
                <w:color w:val="auto"/>
              </w:rPr>
            </w:pPr>
            <w:r>
              <w:rPr>
                <w:rFonts w:ascii="Arial" w:cs="Arial" w:eastAsia="Arial" w:hAnsi="Arial"/>
                <w:sz w:val="10"/>
                <w:szCs w:val="10"/>
                <w:color w:val="auto"/>
              </w:rPr>
              <w:t>​3,843,990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940" w:type="dxa"/>
            <w:vAlign w:val="bottom"/>
          </w:tcPr>
          <w:p>
            <w:pPr>
              <w:ind w:left="3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ind w:left="16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740" w:type="dxa"/>
            <w:vAlign w:val="bottom"/>
          </w:tcPr>
          <w:p>
            <w:pPr>
              <w:jc w:val="right"/>
              <w:ind w:right="67"/>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56"/>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​1,441,500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6"/>
              <w:spacing w:after="0"/>
              <w:rPr>
                <w:sz w:val="20"/>
                <w:szCs w:val="20"/>
                <w:color w:val="auto"/>
              </w:rPr>
            </w:pPr>
            <w:r>
              <w:rPr>
                <w:rFonts w:ascii="Arial" w:cs="Arial" w:eastAsia="Arial" w:hAnsi="Arial"/>
                <w:sz w:val="18"/>
                <w:szCs w:val="18"/>
                <w:color w:val="auto"/>
              </w:rPr>
              <w:t>782,043</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00" w:type="dxa"/>
            <w:vAlign w:val="bottom"/>
            <w:tcBorders>
              <w:bottom w:val="single" w:sz="8" w:color="00C389"/>
            </w:tcBorders>
          </w:tcPr>
          <w:p>
            <w:pPr>
              <w:spacing w:after="0"/>
              <w:rPr>
                <w:sz w:val="10"/>
                <w:szCs w:val="10"/>
                <w:color w:val="auto"/>
              </w:rPr>
            </w:pPr>
          </w:p>
        </w:tc>
        <w:tc>
          <w:tcPr>
            <w:tcW w:w="680" w:type="dxa"/>
            <w:vAlign w:val="bottom"/>
            <w:tcBorders>
              <w:bottom w:val="single" w:sz="8" w:color="00C389"/>
            </w:tcBorders>
          </w:tcPr>
          <w:p>
            <w:pPr>
              <w:spacing w:after="0"/>
              <w:rPr>
                <w:sz w:val="10"/>
                <w:szCs w:val="10"/>
                <w:color w:val="auto"/>
              </w:rPr>
            </w:pPr>
          </w:p>
        </w:tc>
        <w:tc>
          <w:tcPr>
            <w:tcW w:w="80" w:type="dxa"/>
            <w:vAlign w:val="bottom"/>
            <w:tcBorders>
              <w:bottom w:val="single" w:sz="8" w:color="00C389"/>
            </w:tcBorders>
          </w:tcPr>
          <w:p>
            <w:pPr>
              <w:spacing w:after="0"/>
              <w:rPr>
                <w:sz w:val="10"/>
                <w:szCs w:val="10"/>
                <w:color w:val="auto"/>
              </w:rPr>
            </w:pPr>
          </w:p>
        </w:tc>
        <w:tc>
          <w:tcPr>
            <w:tcW w:w="20" w:type="dxa"/>
            <w:vAlign w:val="bottom"/>
            <w:tcBorders>
              <w:bottom w:val="single" w:sz="8" w:color="00C389"/>
            </w:tcBorders>
          </w:tcPr>
          <w:p>
            <w:pPr>
              <w:spacing w:after="0"/>
              <w:rPr>
                <w:sz w:val="10"/>
                <w:szCs w:val="10"/>
                <w:color w:val="auto"/>
              </w:rPr>
            </w:pPr>
          </w:p>
        </w:tc>
        <w:tc>
          <w:tcPr>
            <w:tcW w:w="520" w:type="dxa"/>
            <w:vAlign w:val="bottom"/>
            <w:tcBorders>
              <w:bottom w:val="single" w:sz="8" w:color="00C389"/>
            </w:tcBorders>
          </w:tcPr>
          <w:p>
            <w:pPr>
              <w:spacing w:after="0"/>
              <w:rPr>
                <w:sz w:val="10"/>
                <w:szCs w:val="10"/>
                <w:color w:val="auto"/>
              </w:rPr>
            </w:pPr>
          </w:p>
        </w:tc>
        <w:tc>
          <w:tcPr>
            <w:tcW w:w="340" w:type="dxa"/>
            <w:vAlign w:val="bottom"/>
            <w:tcBorders>
              <w:bottom w:val="single" w:sz="8" w:color="00C389"/>
            </w:tcBorders>
          </w:tcPr>
          <w:p>
            <w:pPr>
              <w:spacing w:after="0"/>
              <w:rPr>
                <w:sz w:val="10"/>
                <w:szCs w:val="10"/>
                <w:color w:val="auto"/>
              </w:rPr>
            </w:pPr>
          </w:p>
        </w:tc>
        <w:tc>
          <w:tcPr>
            <w:tcW w:w="260" w:type="dxa"/>
            <w:vAlign w:val="bottom"/>
            <w:tcBorders>
              <w:bottom w:val="single" w:sz="8" w:color="00C389"/>
            </w:tcBorders>
          </w:tcPr>
          <w:p>
            <w:pPr>
              <w:spacing w:after="0"/>
              <w:rPr>
                <w:sz w:val="10"/>
                <w:szCs w:val="10"/>
                <w:color w:val="auto"/>
              </w:rPr>
            </w:pPr>
          </w:p>
        </w:tc>
        <w:tc>
          <w:tcPr>
            <w:tcW w:w="940" w:type="dxa"/>
            <w:vAlign w:val="bottom"/>
            <w:tcBorders>
              <w:bottom w:val="single" w:sz="8" w:color="00C389"/>
            </w:tcBorders>
          </w:tcPr>
          <w:p>
            <w:pPr>
              <w:spacing w:after="0"/>
              <w:rPr>
                <w:sz w:val="10"/>
                <w:szCs w:val="10"/>
                <w:color w:val="auto"/>
              </w:rPr>
            </w:pPr>
          </w:p>
        </w:tc>
        <w:tc>
          <w:tcPr>
            <w:tcW w:w="220" w:type="dxa"/>
            <w:vAlign w:val="bottom"/>
            <w:tcBorders>
              <w:bottom w:val="single" w:sz="8" w:color="00C389"/>
            </w:tcBorders>
          </w:tcPr>
          <w:p>
            <w:pPr>
              <w:spacing w:after="0"/>
              <w:rPr>
                <w:sz w:val="10"/>
                <w:szCs w:val="10"/>
                <w:color w:val="auto"/>
              </w:rPr>
            </w:pPr>
          </w:p>
        </w:tc>
        <w:tc>
          <w:tcPr>
            <w:tcW w:w="620" w:type="dxa"/>
            <w:vAlign w:val="bottom"/>
            <w:tcBorders>
              <w:bottom w:val="single" w:sz="8" w:color="00C389"/>
            </w:tcBorders>
          </w:tcPr>
          <w:p>
            <w:pPr>
              <w:spacing w:after="0"/>
              <w:rPr>
                <w:sz w:val="10"/>
                <w:szCs w:val="10"/>
                <w:color w:val="auto"/>
              </w:rPr>
            </w:pPr>
          </w:p>
        </w:tc>
        <w:tc>
          <w:tcPr>
            <w:tcW w:w="220" w:type="dxa"/>
            <w:vAlign w:val="bottom"/>
            <w:tcBorders>
              <w:bottom w:val="single" w:sz="8" w:color="00C389"/>
            </w:tcBorders>
          </w:tcPr>
          <w:p>
            <w:pPr>
              <w:spacing w:after="0"/>
              <w:rPr>
                <w:sz w:val="10"/>
                <w:szCs w:val="10"/>
                <w:color w:val="auto"/>
              </w:rPr>
            </w:pPr>
          </w:p>
        </w:tc>
        <w:tc>
          <w:tcPr>
            <w:tcW w:w="720" w:type="dxa"/>
            <w:vAlign w:val="bottom"/>
            <w:tcBorders>
              <w:bottom w:val="single" w:sz="8" w:color="00C389"/>
            </w:tcBorders>
          </w:tcPr>
          <w:p>
            <w:pPr>
              <w:spacing w:after="0"/>
              <w:rPr>
                <w:sz w:val="10"/>
                <w:szCs w:val="10"/>
                <w:color w:val="auto"/>
              </w:rPr>
            </w:pPr>
          </w:p>
        </w:tc>
        <w:tc>
          <w:tcPr>
            <w:tcW w:w="20" w:type="dxa"/>
            <w:vAlign w:val="bottom"/>
            <w:tcBorders>
              <w:bottom w:val="single" w:sz="8" w:color="00C389"/>
            </w:tcBorders>
          </w:tcPr>
          <w:p>
            <w:pPr>
              <w:spacing w:after="0"/>
              <w:rPr>
                <w:sz w:val="10"/>
                <w:szCs w:val="10"/>
                <w:color w:val="auto"/>
              </w:rPr>
            </w:pPr>
          </w:p>
        </w:tc>
        <w:tc>
          <w:tcPr>
            <w:tcW w:w="220" w:type="dxa"/>
            <w:vAlign w:val="bottom"/>
            <w:tcBorders>
              <w:bottom w:val="single" w:sz="8" w:color="00C389"/>
            </w:tcBorders>
          </w:tcPr>
          <w:p>
            <w:pPr>
              <w:spacing w:after="0"/>
              <w:rPr>
                <w:sz w:val="10"/>
                <w:szCs w:val="10"/>
                <w:color w:val="auto"/>
              </w:rPr>
            </w:pPr>
          </w:p>
        </w:tc>
        <w:tc>
          <w:tcPr>
            <w:tcW w:w="1220" w:type="dxa"/>
            <w:vAlign w:val="bottom"/>
            <w:tcBorders>
              <w:bottom w:val="single" w:sz="8" w:color="00C389"/>
            </w:tcBorders>
            <w:gridSpan w:val="3"/>
          </w:tcPr>
          <w:p>
            <w:pPr>
              <w:ind w:left="160"/>
              <w:spacing w:after="0" w:line="122" w:lineRule="exact"/>
              <w:rPr>
                <w:sz w:val="20"/>
                <w:szCs w:val="20"/>
                <w:color w:val="auto"/>
              </w:rPr>
            </w:pPr>
            <w:r>
              <w:rPr>
                <w:rFonts w:ascii="Arial" w:cs="Arial" w:eastAsia="Arial" w:hAnsi="Arial"/>
                <w:sz w:val="13"/>
                <w:szCs w:val="13"/>
                <w:color w:val="auto"/>
              </w:rPr>
              <w:t>​ 27,126(4)</w:t>
            </w:r>
          </w:p>
        </w:tc>
        <w:tc>
          <w:tcPr>
            <w:tcW w:w="200" w:type="dxa"/>
            <w:vAlign w:val="bottom"/>
            <w:tcBorders>
              <w:bottom w:val="single" w:sz="8" w:color="00C389"/>
            </w:tcBorders>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389"/>
            </w:tcBorders>
            <w:vMerge w:val="continue"/>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680" w:type="dxa"/>
            <w:vAlign w:val="bottom"/>
            <w:shd w:val="clear" w:color="auto" w:fill="CCEEFF"/>
          </w:tcPr>
          <w:p>
            <w:pPr>
              <w:ind w:left="620"/>
              <w:spacing w:after="0" w:line="14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0"/>
              <w:spacing w:after="0" w:line="142"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ind w:left="360"/>
              <w:spacing w:after="0" w:line="142"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ind w:left="160"/>
              <w:spacing w:after="0" w:line="142"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  ​</w:t>
            </w:r>
          </w:p>
        </w:tc>
        <w:tc>
          <w:tcPr>
            <w:tcW w:w="90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82,223</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00" w:type="dxa"/>
            <w:vAlign w:val="bottom"/>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ind w:left="160"/>
              <w:spacing w:after="0" w:line="90"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74"/>
              <w:spacing w:after="0" w:line="90" w:lineRule="exact"/>
              <w:rPr>
                <w:sz w:val="20"/>
                <w:szCs w:val="20"/>
                <w:color w:val="auto"/>
              </w:rPr>
            </w:pPr>
            <w:r>
              <w:rPr>
                <w:rFonts w:ascii="Arial" w:cs="Arial" w:eastAsia="Arial" w:hAnsi="Arial"/>
                <w:sz w:val="10"/>
                <w:szCs w:val="10"/>
                <w:color w:val="auto"/>
              </w:rPr>
              <w:t>2,852(2)</w:t>
            </w:r>
          </w:p>
        </w:tc>
        <w:tc>
          <w:tcPr>
            <w:tcW w:w="20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9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680,965</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9"/>
        </w:trPr>
        <w:tc>
          <w:tcPr>
            <w:tcW w:w="20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20" w:type="dxa"/>
            <w:vAlign w:val="bottom"/>
            <w:gridSpan w:val="3"/>
            <w:shd w:val="clear" w:color="auto" w:fill="CCEEFF"/>
          </w:tcPr>
          <w:p>
            <w:pPr>
              <w:ind w:left="160"/>
              <w:spacing w:after="0" w:line="90" w:lineRule="exact"/>
              <w:rPr>
                <w:sz w:val="20"/>
                <w:szCs w:val="20"/>
                <w:color w:val="auto"/>
              </w:rPr>
            </w:pPr>
            <w:r>
              <w:rPr>
                <w:rFonts w:ascii="Arial" w:cs="Arial" w:eastAsia="Arial" w:hAnsi="Arial"/>
                <w:sz w:val="10"/>
                <w:szCs w:val="10"/>
                <w:color w:val="auto"/>
              </w:rPr>
              <w:t>​ 23,620(3)</w:t>
            </w:r>
          </w:p>
        </w:tc>
        <w:tc>
          <w:tcPr>
            <w:tcW w:w="20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6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7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tcBorders>
              <w:right w:val="single" w:sz="8" w:color="CCEEFF"/>
            </w:tcBorders>
            <w:gridSpan w:val="2"/>
            <w:shd w:val="clear" w:color="auto" w:fill="CCEEFF"/>
          </w:tcPr>
          <w:p>
            <w:pPr>
              <w:jc w:val="right"/>
              <w:ind w:right="56"/>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​1,441,500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ind w:left="40"/>
              <w:spacing w:after="0" w:line="181"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90"/>
              <w:spacing w:after="0" w:line="18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735,107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2000" w:type="dxa"/>
            <w:vAlign w:val="bottom"/>
            <w:tcBorders>
              <w:bottom w:val="single" w:sz="8" w:color="00C389"/>
            </w:tcBorders>
            <w:shd w:val="clear" w:color="auto" w:fill="CCEEFF"/>
          </w:tcPr>
          <w:p>
            <w:pPr>
              <w:spacing w:after="0"/>
              <w:rPr>
                <w:sz w:val="10"/>
                <w:szCs w:val="10"/>
                <w:color w:val="auto"/>
              </w:rPr>
            </w:pPr>
          </w:p>
        </w:tc>
        <w:tc>
          <w:tcPr>
            <w:tcW w:w="680" w:type="dxa"/>
            <w:vAlign w:val="bottom"/>
            <w:tcBorders>
              <w:bottom w:val="single" w:sz="8" w:color="00C389"/>
            </w:tcBorders>
            <w:shd w:val="clear" w:color="auto" w:fill="CCEEFF"/>
          </w:tcPr>
          <w:p>
            <w:pPr>
              <w:spacing w:after="0"/>
              <w:rPr>
                <w:sz w:val="10"/>
                <w:szCs w:val="10"/>
                <w:color w:val="auto"/>
              </w:rPr>
            </w:pPr>
          </w:p>
        </w:tc>
        <w:tc>
          <w:tcPr>
            <w:tcW w:w="80" w:type="dxa"/>
            <w:vAlign w:val="bottom"/>
            <w:tcBorders>
              <w:bottom w:val="single" w:sz="8" w:color="00C389"/>
            </w:tcBorders>
            <w:shd w:val="clear" w:color="auto" w:fill="CCEEFF"/>
          </w:tcPr>
          <w:p>
            <w:pPr>
              <w:spacing w:after="0"/>
              <w:rPr>
                <w:sz w:val="10"/>
                <w:szCs w:val="10"/>
                <w:color w:val="auto"/>
              </w:rPr>
            </w:pPr>
          </w:p>
        </w:tc>
        <w:tc>
          <w:tcPr>
            <w:tcW w:w="20" w:type="dxa"/>
            <w:vAlign w:val="bottom"/>
            <w:tcBorders>
              <w:bottom w:val="single" w:sz="8" w:color="00C389"/>
            </w:tcBorders>
            <w:shd w:val="clear" w:color="auto" w:fill="CCEEFF"/>
          </w:tcPr>
          <w:p>
            <w:pPr>
              <w:spacing w:after="0"/>
              <w:rPr>
                <w:sz w:val="10"/>
                <w:szCs w:val="10"/>
                <w:color w:val="auto"/>
              </w:rPr>
            </w:pPr>
          </w:p>
        </w:tc>
        <w:tc>
          <w:tcPr>
            <w:tcW w:w="520" w:type="dxa"/>
            <w:vAlign w:val="bottom"/>
            <w:tcBorders>
              <w:bottom w:val="single" w:sz="8" w:color="00C389"/>
            </w:tcBorders>
            <w:shd w:val="clear" w:color="auto" w:fill="CCEEFF"/>
          </w:tcPr>
          <w:p>
            <w:pPr>
              <w:spacing w:after="0"/>
              <w:rPr>
                <w:sz w:val="10"/>
                <w:szCs w:val="10"/>
                <w:color w:val="auto"/>
              </w:rPr>
            </w:pPr>
          </w:p>
        </w:tc>
        <w:tc>
          <w:tcPr>
            <w:tcW w:w="340" w:type="dxa"/>
            <w:vAlign w:val="bottom"/>
            <w:tcBorders>
              <w:bottom w:val="single" w:sz="8" w:color="00C389"/>
            </w:tcBorders>
            <w:shd w:val="clear" w:color="auto" w:fill="CCEEFF"/>
          </w:tcPr>
          <w:p>
            <w:pPr>
              <w:spacing w:after="0"/>
              <w:rPr>
                <w:sz w:val="10"/>
                <w:szCs w:val="10"/>
                <w:color w:val="auto"/>
              </w:rPr>
            </w:pPr>
          </w:p>
        </w:tc>
        <w:tc>
          <w:tcPr>
            <w:tcW w:w="260" w:type="dxa"/>
            <w:vAlign w:val="bottom"/>
            <w:tcBorders>
              <w:bottom w:val="single" w:sz="8" w:color="00C389"/>
            </w:tcBorders>
            <w:shd w:val="clear" w:color="auto" w:fill="CCEEFF"/>
          </w:tcPr>
          <w:p>
            <w:pPr>
              <w:spacing w:after="0"/>
              <w:rPr>
                <w:sz w:val="10"/>
                <w:szCs w:val="10"/>
                <w:color w:val="auto"/>
              </w:rPr>
            </w:pPr>
          </w:p>
        </w:tc>
        <w:tc>
          <w:tcPr>
            <w:tcW w:w="94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62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720" w:type="dxa"/>
            <w:vAlign w:val="bottom"/>
            <w:tcBorders>
              <w:bottom w:val="single" w:sz="8" w:color="00C389"/>
            </w:tcBorders>
            <w:shd w:val="clear" w:color="auto" w:fill="CCEEFF"/>
          </w:tcPr>
          <w:p>
            <w:pPr>
              <w:spacing w:after="0"/>
              <w:rPr>
                <w:sz w:val="10"/>
                <w:szCs w:val="10"/>
                <w:color w:val="auto"/>
              </w:rPr>
            </w:pPr>
          </w:p>
        </w:tc>
        <w:tc>
          <w:tcPr>
            <w:tcW w:w="2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1220" w:type="dxa"/>
            <w:vAlign w:val="bottom"/>
            <w:tcBorders>
              <w:bottom w:val="single" w:sz="8" w:color="00C389"/>
            </w:tcBorders>
            <w:gridSpan w:val="3"/>
            <w:shd w:val="clear" w:color="auto" w:fill="CCEEFF"/>
          </w:tcPr>
          <w:p>
            <w:pPr>
              <w:ind w:left="160"/>
              <w:spacing w:after="0" w:line="122" w:lineRule="exact"/>
              <w:rPr>
                <w:sz w:val="20"/>
                <w:szCs w:val="20"/>
                <w:color w:val="auto"/>
              </w:rPr>
            </w:pPr>
            <w:r>
              <w:rPr>
                <w:rFonts w:ascii="Arial" w:cs="Arial" w:eastAsia="Arial" w:hAnsi="Arial"/>
                <w:sz w:val="13"/>
                <w:szCs w:val="13"/>
                <w:color w:val="auto"/>
              </w:rPr>
              <w:t>​ 25,498(4)</w:t>
            </w:r>
          </w:p>
        </w:tc>
        <w:tc>
          <w:tcPr>
            <w:tcW w:w="200" w:type="dxa"/>
            <w:vAlign w:val="bottom"/>
            <w:tcBorders>
              <w:bottom w:val="single" w:sz="8" w:color="00C389"/>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389"/>
              <w:right w:val="single" w:sz="8" w:color="CCEEFF"/>
            </w:tcBorders>
            <w:vMerge w:val="continue"/>
            <w:shd w:val="clear" w:color="auto" w:fill="CCEEFF"/>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Stephen Cavoli</w:t>
            </w:r>
          </w:p>
        </w:tc>
        <w:tc>
          <w:tcPr>
            <w:tcW w:w="760" w:type="dxa"/>
            <w:vAlign w:val="bottom"/>
            <w:gridSpan w:val="2"/>
          </w:tcPr>
          <w:p>
            <w:pPr>
              <w:ind w:left="620"/>
              <w:spacing w:after="0" w:line="142"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12"/>
                <w:szCs w:val="12"/>
                <w:color w:val="auto"/>
              </w:rPr>
            </w:pPr>
          </w:p>
        </w:tc>
        <w:tc>
          <w:tcPr>
            <w:tcW w:w="52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940" w:type="dxa"/>
            <w:vAlign w:val="bottom"/>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tcPr>
          <w:p>
            <w:pPr>
              <w:ind w:left="260"/>
              <w:spacing w:after="0" w:line="142" w:lineRule="exact"/>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w:t>
            </w:r>
          </w:p>
        </w:tc>
        <w:tc>
          <w:tcPr>
            <w:tcW w:w="240" w:type="dxa"/>
            <w:vAlign w:val="bottom"/>
          </w:tcPr>
          <w:p>
            <w:pPr>
              <w:ind w:left="160"/>
              <w:spacing w:after="0" w:line="142" w:lineRule="exact"/>
              <w:rPr>
                <w:sz w:val="20"/>
                <w:szCs w:val="20"/>
                <w:color w:val="auto"/>
              </w:rPr>
            </w:pPr>
            <w:r>
              <w:rPr>
                <w:rFonts w:ascii="Arial" w:cs="Arial" w:eastAsia="Arial" w:hAnsi="Arial"/>
                <w:sz w:val="16"/>
                <w:szCs w:val="16"/>
                <w:color w:val="auto"/>
              </w:rPr>
              <w:t>​</w:t>
            </w:r>
          </w:p>
        </w:tc>
        <w:tc>
          <w:tcPr>
            <w:tcW w:w="7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 ​  ​</w:t>
            </w:r>
          </w:p>
        </w:tc>
        <w:tc>
          <w:tcPr>
            <w:tcW w:w="900" w:type="dxa"/>
            <w:vAlign w:val="bottom"/>
            <w:vMerge w:val="restart"/>
          </w:tcPr>
          <w:p>
            <w:pPr>
              <w:jc w:val="right"/>
              <w:ind w:right="56"/>
              <w:spacing w:after="0"/>
              <w:rPr>
                <w:sz w:val="20"/>
                <w:szCs w:val="20"/>
                <w:color w:val="auto"/>
              </w:rPr>
            </w:pPr>
            <w:r>
              <w:rPr>
                <w:rFonts w:ascii="Arial" w:cs="Arial" w:eastAsia="Arial" w:hAnsi="Arial"/>
                <w:sz w:val="18"/>
                <w:szCs w:val="18"/>
                <w:color w:val="auto"/>
              </w:rPr>
              <w:t>69,250</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2"/>
          </w:tcPr>
          <w:p>
            <w:pPr>
              <w:ind w:left="340"/>
              <w:spacing w:after="0" w:line="90"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7"/>
                <w:szCs w:val="7"/>
                <w:color w:val="auto"/>
              </w:rPr>
            </w:pPr>
          </w:p>
        </w:tc>
        <w:tc>
          <w:tcPr>
            <w:tcW w:w="940" w:type="dxa"/>
            <w:vAlign w:val="bottom"/>
          </w:tcPr>
          <w:p>
            <w:pPr>
              <w:ind w:left="360"/>
              <w:spacing w:after="0" w:line="90"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620" w:type="dxa"/>
            <w:vAlign w:val="bottom"/>
          </w:tcPr>
          <w:p>
            <w:pPr>
              <w:ind w:left="220"/>
              <w:spacing w:after="0" w:line="90"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720" w:type="dxa"/>
            <w:vAlign w:val="bottom"/>
          </w:tcPr>
          <w:p>
            <w:pPr>
              <w:ind w:left="280"/>
              <w:spacing w:after="0" w:line="90"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ind w:left="160"/>
              <w:spacing w:after="0" w:line="90"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74"/>
              <w:spacing w:after="0" w:line="90" w:lineRule="exact"/>
              <w:rPr>
                <w:sz w:val="20"/>
                <w:szCs w:val="20"/>
                <w:color w:val="auto"/>
              </w:rPr>
            </w:pPr>
            <w:r>
              <w:rPr>
                <w:rFonts w:ascii="Arial" w:cs="Arial" w:eastAsia="Arial" w:hAnsi="Arial"/>
                <w:sz w:val="10"/>
                <w:szCs w:val="10"/>
                <w:color w:val="auto"/>
              </w:rPr>
              <w:t>2,402(2)</w:t>
            </w:r>
          </w:p>
        </w:tc>
        <w:tc>
          <w:tcPr>
            <w:tcW w:w="200" w:type="dxa"/>
            <w:vAlign w:val="bottom"/>
          </w:tcPr>
          <w:p>
            <w:pPr>
              <w:jc w:val="right"/>
              <w:spacing w:after="0" w:line="90" w:lineRule="exact"/>
              <w:rPr>
                <w:sz w:val="20"/>
                <w:szCs w:val="20"/>
                <w:color w:val="auto"/>
              </w:rPr>
            </w:pPr>
            <w:r>
              <w:rPr>
                <w:rFonts w:ascii="Arial" w:cs="Arial" w:eastAsia="Arial" w:hAnsi="Arial"/>
                <w:sz w:val="10"/>
                <w:szCs w:val="10"/>
                <w:color w:val="auto"/>
              </w:rPr>
              <w:t>​</w:t>
            </w: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6"/>
              <w:spacing w:after="0"/>
              <w:rPr>
                <w:sz w:val="20"/>
                <w:szCs w:val="20"/>
                <w:color w:val="auto"/>
              </w:rPr>
            </w:pPr>
            <w:r>
              <w:rPr>
                <w:rFonts w:ascii="Arial" w:cs="Arial" w:eastAsia="Arial" w:hAnsi="Arial"/>
                <w:sz w:val="18"/>
                <w:szCs w:val="18"/>
                <w:color w:val="auto"/>
              </w:rPr>
              <w:t>574,870</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9"/>
        </w:trPr>
        <w:tc>
          <w:tcPr>
            <w:tcW w:w="20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tcPr>
          <w:p>
            <w:pPr>
              <w:ind w:left="160"/>
              <w:spacing w:after="0" w:line="90" w:lineRule="exact"/>
              <w:rPr>
                <w:sz w:val="20"/>
                <w:szCs w:val="20"/>
                <w:color w:val="auto"/>
              </w:rPr>
            </w:pPr>
            <w:r>
              <w:rPr>
                <w:rFonts w:ascii="Arial" w:cs="Arial" w:eastAsia="Arial" w:hAnsi="Arial"/>
                <w:sz w:val="10"/>
                <w:szCs w:val="10"/>
                <w:color w:val="auto"/>
              </w:rPr>
              <w:t>​ 19,940(3)</w:t>
            </w:r>
          </w:p>
        </w:tc>
        <w:tc>
          <w:tcPr>
            <w:tcW w:w="200" w:type="dxa"/>
            <w:vAlign w:val="bottom"/>
          </w:tcPr>
          <w:p>
            <w:pPr>
              <w:jc w:val="right"/>
              <w:spacing w:after="0" w:line="90" w:lineRule="exact"/>
              <w:rPr>
                <w:sz w:val="20"/>
                <w:szCs w:val="20"/>
                <w:color w:val="auto"/>
              </w:rPr>
            </w:pPr>
            <w:r>
              <w:rPr>
                <w:rFonts w:ascii="Arial" w:cs="Arial" w:eastAsia="Arial" w:hAnsi="Arial"/>
                <w:sz w:val="10"/>
                <w:szCs w:val="10"/>
                <w:color w:val="auto"/>
              </w:rPr>
              <w:t>​</w:t>
            </w: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940" w:type="dxa"/>
            <w:vAlign w:val="bottom"/>
          </w:tcPr>
          <w:p>
            <w:pPr>
              <w:ind w:left="3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ind w:left="16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740" w:type="dxa"/>
            <w:vAlign w:val="bottom"/>
          </w:tcPr>
          <w:p>
            <w:pPr>
              <w:jc w:val="right"/>
              <w:ind w:right="67"/>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56"/>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​1,441,500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940" w:type="dxa"/>
            <w:vAlign w:val="bottom"/>
          </w:tcPr>
          <w:p>
            <w:pPr>
              <w:ind w:left="3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20" w:type="dxa"/>
            <w:vAlign w:val="bottom"/>
          </w:tcPr>
          <w:p>
            <w:pPr>
              <w:ind w:left="22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20" w:type="dxa"/>
            <w:vAlign w:val="bottom"/>
          </w:tcPr>
          <w:p>
            <w:pPr>
              <w:ind w:left="260"/>
              <w:spacing w:after="0" w:line="18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w:t>
            </w:r>
          </w:p>
        </w:tc>
        <w:tc>
          <w:tcPr>
            <w:tcW w:w="240" w:type="dxa"/>
            <w:vAlign w:val="bottom"/>
          </w:tcPr>
          <w:p>
            <w:pPr>
              <w:ind w:left="160"/>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  ​</w:t>
            </w:r>
          </w:p>
        </w:tc>
        <w:tc>
          <w:tcPr>
            <w:tcW w:w="900" w:type="dxa"/>
            <w:vAlign w:val="bottom"/>
            <w:vMerge w:val="restart"/>
          </w:tcPr>
          <w:p>
            <w:pPr>
              <w:jc w:val="right"/>
              <w:ind w:right="56"/>
              <w:spacing w:after="0"/>
              <w:rPr>
                <w:sz w:val="20"/>
                <w:szCs w:val="20"/>
                <w:color w:val="auto"/>
              </w:rPr>
            </w:pPr>
            <w:r>
              <w:rPr>
                <w:rFonts w:ascii="Arial" w:cs="Arial" w:eastAsia="Arial" w:hAnsi="Arial"/>
                <w:sz w:val="18"/>
                <w:szCs w:val="18"/>
                <w:color w:val="auto"/>
              </w:rPr>
              <w:t>735,107</w:t>
            </w:r>
          </w:p>
        </w:tc>
        <w:tc>
          <w:tcPr>
            <w:tcW w:w="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2000" w:type="dxa"/>
            <w:vAlign w:val="bottom"/>
            <w:tcBorders>
              <w:bottom w:val="single" w:sz="8" w:color="00C389"/>
            </w:tcBorders>
          </w:tcPr>
          <w:p>
            <w:pPr>
              <w:spacing w:after="0"/>
              <w:rPr>
                <w:sz w:val="10"/>
                <w:szCs w:val="10"/>
                <w:color w:val="auto"/>
              </w:rPr>
            </w:pPr>
          </w:p>
        </w:tc>
        <w:tc>
          <w:tcPr>
            <w:tcW w:w="680" w:type="dxa"/>
            <w:vAlign w:val="bottom"/>
            <w:tcBorders>
              <w:bottom w:val="single" w:sz="8" w:color="00C389"/>
            </w:tcBorders>
          </w:tcPr>
          <w:p>
            <w:pPr>
              <w:spacing w:after="0"/>
              <w:rPr>
                <w:sz w:val="10"/>
                <w:szCs w:val="10"/>
                <w:color w:val="auto"/>
              </w:rPr>
            </w:pPr>
          </w:p>
        </w:tc>
        <w:tc>
          <w:tcPr>
            <w:tcW w:w="80" w:type="dxa"/>
            <w:vAlign w:val="bottom"/>
            <w:tcBorders>
              <w:bottom w:val="single" w:sz="8" w:color="00C389"/>
            </w:tcBorders>
          </w:tcPr>
          <w:p>
            <w:pPr>
              <w:spacing w:after="0"/>
              <w:rPr>
                <w:sz w:val="10"/>
                <w:szCs w:val="10"/>
                <w:color w:val="auto"/>
              </w:rPr>
            </w:pPr>
          </w:p>
        </w:tc>
        <w:tc>
          <w:tcPr>
            <w:tcW w:w="20" w:type="dxa"/>
            <w:vAlign w:val="bottom"/>
            <w:tcBorders>
              <w:bottom w:val="single" w:sz="8" w:color="00C389"/>
            </w:tcBorders>
          </w:tcPr>
          <w:p>
            <w:pPr>
              <w:spacing w:after="0"/>
              <w:rPr>
                <w:sz w:val="10"/>
                <w:szCs w:val="10"/>
                <w:color w:val="auto"/>
              </w:rPr>
            </w:pPr>
          </w:p>
        </w:tc>
        <w:tc>
          <w:tcPr>
            <w:tcW w:w="520" w:type="dxa"/>
            <w:vAlign w:val="bottom"/>
            <w:tcBorders>
              <w:bottom w:val="single" w:sz="8" w:color="00C389"/>
            </w:tcBorders>
          </w:tcPr>
          <w:p>
            <w:pPr>
              <w:spacing w:after="0"/>
              <w:rPr>
                <w:sz w:val="10"/>
                <w:szCs w:val="10"/>
                <w:color w:val="auto"/>
              </w:rPr>
            </w:pPr>
          </w:p>
        </w:tc>
        <w:tc>
          <w:tcPr>
            <w:tcW w:w="340" w:type="dxa"/>
            <w:vAlign w:val="bottom"/>
            <w:tcBorders>
              <w:bottom w:val="single" w:sz="8" w:color="00C389"/>
            </w:tcBorders>
          </w:tcPr>
          <w:p>
            <w:pPr>
              <w:spacing w:after="0"/>
              <w:rPr>
                <w:sz w:val="10"/>
                <w:szCs w:val="10"/>
                <w:color w:val="auto"/>
              </w:rPr>
            </w:pPr>
          </w:p>
        </w:tc>
        <w:tc>
          <w:tcPr>
            <w:tcW w:w="260" w:type="dxa"/>
            <w:vAlign w:val="bottom"/>
            <w:tcBorders>
              <w:bottom w:val="single" w:sz="8" w:color="00C389"/>
            </w:tcBorders>
          </w:tcPr>
          <w:p>
            <w:pPr>
              <w:spacing w:after="0"/>
              <w:rPr>
                <w:sz w:val="10"/>
                <w:szCs w:val="10"/>
                <w:color w:val="auto"/>
              </w:rPr>
            </w:pPr>
          </w:p>
        </w:tc>
        <w:tc>
          <w:tcPr>
            <w:tcW w:w="940" w:type="dxa"/>
            <w:vAlign w:val="bottom"/>
            <w:tcBorders>
              <w:bottom w:val="single" w:sz="8" w:color="00C389"/>
            </w:tcBorders>
          </w:tcPr>
          <w:p>
            <w:pPr>
              <w:spacing w:after="0"/>
              <w:rPr>
                <w:sz w:val="10"/>
                <w:szCs w:val="10"/>
                <w:color w:val="auto"/>
              </w:rPr>
            </w:pPr>
          </w:p>
        </w:tc>
        <w:tc>
          <w:tcPr>
            <w:tcW w:w="220" w:type="dxa"/>
            <w:vAlign w:val="bottom"/>
            <w:tcBorders>
              <w:bottom w:val="single" w:sz="8" w:color="00C389"/>
            </w:tcBorders>
          </w:tcPr>
          <w:p>
            <w:pPr>
              <w:spacing w:after="0"/>
              <w:rPr>
                <w:sz w:val="10"/>
                <w:szCs w:val="10"/>
                <w:color w:val="auto"/>
              </w:rPr>
            </w:pPr>
          </w:p>
        </w:tc>
        <w:tc>
          <w:tcPr>
            <w:tcW w:w="620" w:type="dxa"/>
            <w:vAlign w:val="bottom"/>
            <w:tcBorders>
              <w:bottom w:val="single" w:sz="8" w:color="00C389"/>
            </w:tcBorders>
          </w:tcPr>
          <w:p>
            <w:pPr>
              <w:spacing w:after="0"/>
              <w:rPr>
                <w:sz w:val="10"/>
                <w:szCs w:val="10"/>
                <w:color w:val="auto"/>
              </w:rPr>
            </w:pPr>
          </w:p>
        </w:tc>
        <w:tc>
          <w:tcPr>
            <w:tcW w:w="220" w:type="dxa"/>
            <w:vAlign w:val="bottom"/>
            <w:tcBorders>
              <w:bottom w:val="single" w:sz="8" w:color="00C389"/>
            </w:tcBorders>
          </w:tcPr>
          <w:p>
            <w:pPr>
              <w:spacing w:after="0"/>
              <w:rPr>
                <w:sz w:val="10"/>
                <w:szCs w:val="10"/>
                <w:color w:val="auto"/>
              </w:rPr>
            </w:pPr>
          </w:p>
        </w:tc>
        <w:tc>
          <w:tcPr>
            <w:tcW w:w="720" w:type="dxa"/>
            <w:vAlign w:val="bottom"/>
            <w:tcBorders>
              <w:bottom w:val="single" w:sz="8" w:color="00C389"/>
            </w:tcBorders>
          </w:tcPr>
          <w:p>
            <w:pPr>
              <w:spacing w:after="0"/>
              <w:rPr>
                <w:sz w:val="10"/>
                <w:szCs w:val="10"/>
                <w:color w:val="auto"/>
              </w:rPr>
            </w:pPr>
          </w:p>
        </w:tc>
        <w:tc>
          <w:tcPr>
            <w:tcW w:w="20" w:type="dxa"/>
            <w:vAlign w:val="bottom"/>
            <w:tcBorders>
              <w:bottom w:val="single" w:sz="8" w:color="00C389"/>
            </w:tcBorders>
          </w:tcPr>
          <w:p>
            <w:pPr>
              <w:spacing w:after="0"/>
              <w:rPr>
                <w:sz w:val="10"/>
                <w:szCs w:val="10"/>
                <w:color w:val="auto"/>
              </w:rPr>
            </w:pPr>
          </w:p>
        </w:tc>
        <w:tc>
          <w:tcPr>
            <w:tcW w:w="220" w:type="dxa"/>
            <w:vAlign w:val="bottom"/>
            <w:tcBorders>
              <w:bottom w:val="single" w:sz="8" w:color="00C389"/>
            </w:tcBorders>
          </w:tcPr>
          <w:p>
            <w:pPr>
              <w:spacing w:after="0"/>
              <w:rPr>
                <w:sz w:val="10"/>
                <w:szCs w:val="10"/>
                <w:color w:val="auto"/>
              </w:rPr>
            </w:pPr>
          </w:p>
        </w:tc>
        <w:tc>
          <w:tcPr>
            <w:tcW w:w="1220" w:type="dxa"/>
            <w:vAlign w:val="bottom"/>
            <w:tcBorders>
              <w:bottom w:val="single" w:sz="8" w:color="00C389"/>
            </w:tcBorders>
            <w:gridSpan w:val="3"/>
          </w:tcPr>
          <w:p>
            <w:pPr>
              <w:ind w:left="160"/>
              <w:spacing w:after="0" w:line="122" w:lineRule="exact"/>
              <w:rPr>
                <w:sz w:val="20"/>
                <w:szCs w:val="20"/>
                <w:color w:val="auto"/>
              </w:rPr>
            </w:pPr>
            <w:r>
              <w:rPr>
                <w:rFonts w:ascii="Arial" w:cs="Arial" w:eastAsia="Arial" w:hAnsi="Arial"/>
                <w:sz w:val="13"/>
                <w:szCs w:val="13"/>
                <w:color w:val="auto"/>
              </w:rPr>
              <w:t>​ 25,498(4)</w:t>
            </w:r>
          </w:p>
        </w:tc>
        <w:tc>
          <w:tcPr>
            <w:tcW w:w="200" w:type="dxa"/>
            <w:vAlign w:val="bottom"/>
            <w:tcBorders>
              <w:bottom w:val="single" w:sz="8" w:color="00C389"/>
            </w:tcBorders>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389"/>
            </w:tcBorders>
            <w:vMerge w:val="continue"/>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2"/>
        </w:trPr>
        <w:tc>
          <w:tcPr>
            <w:tcW w:w="20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Sean P. Galvin</w:t>
            </w:r>
          </w:p>
        </w:tc>
        <w:tc>
          <w:tcPr>
            <w:tcW w:w="780" w:type="dxa"/>
            <w:vAlign w:val="bottom"/>
            <w:gridSpan w:val="3"/>
            <w:shd w:val="clear" w:color="auto" w:fill="CCEEFF"/>
          </w:tcPr>
          <w:p>
            <w:pPr>
              <w:ind w:left="620"/>
              <w:spacing w:after="0" w:line="142" w:lineRule="exact"/>
              <w:rPr>
                <w:sz w:val="20"/>
                <w:szCs w:val="20"/>
                <w:color w:val="auto"/>
              </w:rPr>
            </w:pPr>
            <w:r>
              <w:rPr>
                <w:rFonts w:ascii="Arial" w:cs="Arial" w:eastAsia="Arial" w:hAnsi="Arial"/>
                <w:sz w:val="16"/>
                <w:szCs w:val="16"/>
                <w:color w:val="auto"/>
              </w:rPr>
              <w:t>​ ​</w:t>
            </w:r>
          </w:p>
        </w:tc>
        <w:tc>
          <w:tcPr>
            <w:tcW w:w="860" w:type="dxa"/>
            <w:vAlign w:val="bottom"/>
            <w:gridSpan w:val="2"/>
            <w:shd w:val="clear" w:color="auto" w:fill="CCEEFF"/>
          </w:tcPr>
          <w:p>
            <w:pPr>
              <w:jc w:val="right"/>
              <w:ind w:right="390"/>
              <w:spacing w:after="0" w:line="14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ind w:left="360"/>
              <w:spacing w:after="0" w:line="14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62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7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ind w:left="160"/>
              <w:spacing w:after="0" w:line="142"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  ​</w:t>
            </w:r>
          </w:p>
        </w:tc>
        <w:tc>
          <w:tcPr>
            <w:tcW w:w="900" w:type="dxa"/>
            <w:vAlign w:val="bottom"/>
            <w:tcBorders>
              <w:right w:val="single" w:sz="8" w:color="CCEEFF"/>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254,396</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0" w:type="dxa"/>
            <w:vAlign w:val="bottom"/>
            <w:tcBorders>
              <w:bottom w:val="single" w:sz="8" w:color="00C389"/>
            </w:tcBorders>
            <w:vMerge w:val="continue"/>
            <w:shd w:val="clear" w:color="auto" w:fill="CCEEFF"/>
          </w:tcPr>
          <w:p>
            <w:pPr>
              <w:spacing w:after="0"/>
              <w:rPr>
                <w:sz w:val="10"/>
                <w:szCs w:val="10"/>
                <w:color w:val="auto"/>
              </w:rPr>
            </w:pPr>
          </w:p>
        </w:tc>
        <w:tc>
          <w:tcPr>
            <w:tcW w:w="680" w:type="dxa"/>
            <w:vAlign w:val="bottom"/>
            <w:tcBorders>
              <w:bottom w:val="single" w:sz="8" w:color="00C389"/>
            </w:tcBorders>
            <w:shd w:val="clear" w:color="auto" w:fill="CCEEFF"/>
          </w:tcPr>
          <w:p>
            <w:pPr>
              <w:spacing w:after="0"/>
              <w:rPr>
                <w:sz w:val="10"/>
                <w:szCs w:val="10"/>
                <w:color w:val="auto"/>
              </w:rPr>
            </w:pPr>
          </w:p>
        </w:tc>
        <w:tc>
          <w:tcPr>
            <w:tcW w:w="80" w:type="dxa"/>
            <w:vAlign w:val="bottom"/>
            <w:tcBorders>
              <w:bottom w:val="single" w:sz="8" w:color="00C389"/>
            </w:tcBorders>
            <w:shd w:val="clear" w:color="auto" w:fill="CCEEFF"/>
          </w:tcPr>
          <w:p>
            <w:pPr>
              <w:spacing w:after="0"/>
              <w:rPr>
                <w:sz w:val="10"/>
                <w:szCs w:val="10"/>
                <w:color w:val="auto"/>
              </w:rPr>
            </w:pPr>
          </w:p>
        </w:tc>
        <w:tc>
          <w:tcPr>
            <w:tcW w:w="20" w:type="dxa"/>
            <w:vAlign w:val="bottom"/>
            <w:tcBorders>
              <w:bottom w:val="single" w:sz="8" w:color="00C389"/>
            </w:tcBorders>
            <w:shd w:val="clear" w:color="auto" w:fill="CCEEFF"/>
          </w:tcPr>
          <w:p>
            <w:pPr>
              <w:spacing w:after="0"/>
              <w:rPr>
                <w:sz w:val="10"/>
                <w:szCs w:val="10"/>
                <w:color w:val="auto"/>
              </w:rPr>
            </w:pPr>
          </w:p>
        </w:tc>
        <w:tc>
          <w:tcPr>
            <w:tcW w:w="860" w:type="dxa"/>
            <w:vAlign w:val="bottom"/>
            <w:tcBorders>
              <w:bottom w:val="single" w:sz="8" w:color="00C389"/>
            </w:tcBorders>
            <w:gridSpan w:val="2"/>
            <w:shd w:val="clear" w:color="auto" w:fill="CCEEFF"/>
          </w:tcPr>
          <w:p>
            <w:pPr>
              <w:ind w:left="340"/>
              <w:spacing w:after="0" w:line="122"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00C389"/>
            </w:tcBorders>
            <w:shd w:val="clear" w:color="auto" w:fill="CCEEFF"/>
          </w:tcPr>
          <w:p>
            <w:pPr>
              <w:spacing w:after="0"/>
              <w:rPr>
                <w:sz w:val="10"/>
                <w:szCs w:val="10"/>
                <w:color w:val="auto"/>
              </w:rPr>
            </w:pPr>
          </w:p>
        </w:tc>
        <w:tc>
          <w:tcPr>
            <w:tcW w:w="940" w:type="dxa"/>
            <w:vAlign w:val="bottom"/>
            <w:tcBorders>
              <w:bottom w:val="single" w:sz="8" w:color="00C389"/>
            </w:tcBorders>
            <w:shd w:val="clear" w:color="auto" w:fill="CCEEFF"/>
          </w:tcPr>
          <w:p>
            <w:pPr>
              <w:ind w:left="360"/>
              <w:spacing w:after="0" w:line="122"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00C389"/>
            </w:tcBorders>
            <w:shd w:val="clear" w:color="auto" w:fill="CCEEFF"/>
          </w:tcPr>
          <w:p>
            <w:pPr>
              <w:spacing w:after="0"/>
              <w:rPr>
                <w:sz w:val="10"/>
                <w:szCs w:val="10"/>
                <w:color w:val="auto"/>
              </w:rPr>
            </w:pPr>
          </w:p>
        </w:tc>
        <w:tc>
          <w:tcPr>
            <w:tcW w:w="620" w:type="dxa"/>
            <w:vAlign w:val="bottom"/>
            <w:tcBorders>
              <w:bottom w:val="single" w:sz="8" w:color="00C389"/>
            </w:tcBorders>
            <w:shd w:val="clear" w:color="auto" w:fill="CCEEFF"/>
          </w:tcPr>
          <w:p>
            <w:pPr>
              <w:ind w:left="220"/>
              <w:spacing w:after="0" w:line="122"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00C389"/>
            </w:tcBorders>
            <w:shd w:val="clear" w:color="auto" w:fill="CCEEFF"/>
          </w:tcPr>
          <w:p>
            <w:pPr>
              <w:spacing w:after="0"/>
              <w:rPr>
                <w:sz w:val="10"/>
                <w:szCs w:val="10"/>
                <w:color w:val="auto"/>
              </w:rPr>
            </w:pPr>
          </w:p>
        </w:tc>
        <w:tc>
          <w:tcPr>
            <w:tcW w:w="720" w:type="dxa"/>
            <w:vAlign w:val="bottom"/>
            <w:tcBorders>
              <w:bottom w:val="single" w:sz="8" w:color="00C389"/>
            </w:tcBorders>
            <w:shd w:val="clear" w:color="auto" w:fill="CCEEFF"/>
          </w:tcPr>
          <w:p>
            <w:pPr>
              <w:ind w:left="280"/>
              <w:spacing w:after="0" w:line="122"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00C389"/>
            </w:tcBorders>
            <w:shd w:val="clear" w:color="auto" w:fill="CCEEFF"/>
          </w:tcPr>
          <w:p>
            <w:pPr>
              <w:spacing w:after="0"/>
              <w:rPr>
                <w:sz w:val="10"/>
                <w:szCs w:val="10"/>
                <w:color w:val="auto"/>
              </w:rPr>
            </w:pPr>
          </w:p>
        </w:tc>
        <w:tc>
          <w:tcPr>
            <w:tcW w:w="220" w:type="dxa"/>
            <w:vAlign w:val="bottom"/>
            <w:tcBorders>
              <w:bottom w:val="single" w:sz="8" w:color="00C389"/>
            </w:tcBorders>
            <w:shd w:val="clear" w:color="auto" w:fill="CCEEFF"/>
          </w:tcPr>
          <w:p>
            <w:pPr>
              <w:spacing w:after="0"/>
              <w:rPr>
                <w:sz w:val="10"/>
                <w:szCs w:val="10"/>
                <w:color w:val="auto"/>
              </w:rPr>
            </w:pPr>
          </w:p>
        </w:tc>
        <w:tc>
          <w:tcPr>
            <w:tcW w:w="240" w:type="dxa"/>
            <w:vAlign w:val="bottom"/>
            <w:tcBorders>
              <w:bottom w:val="single" w:sz="8" w:color="00C389"/>
            </w:tcBorders>
            <w:shd w:val="clear" w:color="auto" w:fill="CCEEFF"/>
          </w:tcPr>
          <w:p>
            <w:pPr>
              <w:ind w:left="160"/>
              <w:spacing w:after="0" w:line="12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00C389"/>
            </w:tcBorders>
            <w:gridSpan w:val="2"/>
            <w:shd w:val="clear" w:color="auto" w:fill="CCEEFF"/>
          </w:tcPr>
          <w:p>
            <w:pPr>
              <w:jc w:val="right"/>
              <w:ind w:right="74"/>
              <w:spacing w:after="0" w:line="122" w:lineRule="exact"/>
              <w:rPr>
                <w:sz w:val="20"/>
                <w:szCs w:val="20"/>
                <w:color w:val="auto"/>
              </w:rPr>
            </w:pPr>
            <w:r>
              <w:rPr>
                <w:rFonts w:ascii="Arial" w:cs="Arial" w:eastAsia="Arial" w:hAnsi="Arial"/>
                <w:sz w:val="13"/>
                <w:szCs w:val="13"/>
                <w:color w:val="auto"/>
              </w:rPr>
              <w:t>8,824(6)</w:t>
            </w:r>
          </w:p>
        </w:tc>
        <w:tc>
          <w:tcPr>
            <w:tcW w:w="200" w:type="dxa"/>
            <w:vAlign w:val="bottom"/>
            <w:tcBorders>
              <w:bottom w:val="single" w:sz="8" w:color="00C389"/>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C389"/>
              <w:right w:val="single" w:sz="8" w:color="CCEEFF"/>
            </w:tcBorders>
            <w:vMerge w:val="continue"/>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80" w:right="160" w:hanging="218"/>
        <w:spacing w:after="0" w:line="325"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our Class A common stock on December 31, 2021 (the last trading day of fiscal year 2021) equal to $28.83.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166370</wp:posOffset>
            </wp:positionV>
            <wp:extent cx="754380" cy="240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7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restricted stock units will vest on January 23, 2022.</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24, 2022, and January 24, 2023.</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February 1, 2022, February 1, 2023, and February 1, 2024.</w:t>
      </w:r>
    </w:p>
    <w:p>
      <w:pPr>
        <w:spacing w:after="0" w:line="122" w:lineRule="exact"/>
        <w:rPr>
          <w:rFonts w:ascii="Arial" w:cs="Arial" w:eastAsia="Arial" w:hAnsi="Arial"/>
          <w:sz w:val="14"/>
          <w:szCs w:val="14"/>
          <w:color w:val="auto"/>
        </w:rPr>
      </w:pPr>
    </w:p>
    <w:p>
      <w:pPr>
        <w:ind w:left="980" w:right="160" w:hanging="218"/>
        <w:spacing w:after="0" w:line="305"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as further described above under “Cifu Equity Awards” that will vest on December 31, 2022.</w:t>
      </w:r>
    </w:p>
    <w:p>
      <w:pPr>
        <w:spacing w:after="0" w:line="49"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August 12, 2022, and August 12, 2023.</w:t>
      </w:r>
    </w:p>
    <w:p>
      <w:pPr>
        <w:spacing w:after="0" w:line="194" w:lineRule="exact"/>
        <w:rPr>
          <w:sz w:val="20"/>
          <w:szCs w:val="20"/>
          <w:color w:val="auto"/>
        </w:rPr>
      </w:pPr>
    </w:p>
    <w:p>
      <w:pPr>
        <w:jc w:val="center"/>
        <w:ind w:right="-619"/>
        <w:spacing w:after="0"/>
        <w:rPr>
          <w:sz w:val="20"/>
          <w:szCs w:val="20"/>
          <w:color w:val="auto"/>
        </w:rPr>
      </w:pPr>
      <w:r>
        <w:rPr>
          <w:rFonts w:ascii="Arial" w:cs="Arial" w:eastAsia="Arial" w:hAnsi="Arial"/>
          <w:sz w:val="29"/>
          <w:szCs w:val="29"/>
          <w:color w:val="00C389"/>
        </w:rPr>
        <w:t>OPTION EXERCISES AND STOCK VESTED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29"/>
          <w:szCs w:val="29"/>
          <w:color w:val="00C389"/>
        </w:rPr>
        <w:t>DURING FISCAL YEAR 2021</w:t>
      </w:r>
    </w:p>
    <w:p>
      <w:pPr>
        <w:spacing w:after="0" w:line="84"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The following table sets forth as to each of the named executive officers’ information on exercises of options to purchase our common stock, the vesting of restricted and unrestricted shares of our common stock, and the vesting of restricted stock units during 2021.</w:t>
      </w:r>
    </w:p>
    <w:p>
      <w:pPr>
        <w:spacing w:after="0" w:line="90"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2460" w:type="dxa"/>
            <w:vAlign w:val="bottom"/>
          </w:tcPr>
          <w:p>
            <w:pPr>
              <w:spacing w:after="0"/>
              <w:rPr>
                <w:sz w:val="20"/>
                <w:szCs w:val="20"/>
                <w:color w:val="auto"/>
              </w:rPr>
            </w:pPr>
            <w:r>
              <w:rPr>
                <w:rFonts w:ascii="Arial" w:cs="Arial" w:eastAsia="Arial" w:hAnsi="Arial"/>
                <w:sz w:val="14"/>
                <w:szCs w:val="14"/>
                <w:b w:val="1"/>
                <w:bCs w:val="1"/>
                <w:color w:val="002554"/>
              </w:rPr>
              <w:t>​</w:t>
            </w:r>
          </w:p>
        </w:tc>
        <w:tc>
          <w:tcPr>
            <w:tcW w:w="1000" w:type="dxa"/>
            <w:vAlign w:val="bottom"/>
          </w:tcPr>
          <w:p>
            <w:pPr>
              <w:ind w:left="840"/>
              <w:spacing w:after="0"/>
              <w:rPr>
                <w:sz w:val="20"/>
                <w:szCs w:val="20"/>
                <w:color w:val="auto"/>
              </w:rPr>
            </w:pPr>
            <w:r>
              <w:rPr>
                <w:rFonts w:ascii="Arial" w:cs="Arial" w:eastAsia="Arial" w:hAnsi="Arial"/>
                <w:sz w:val="14"/>
                <w:szCs w:val="14"/>
                <w:b w:val="1"/>
                <w:bCs w:val="1"/>
                <w:color w:val="002554"/>
              </w:rPr>
              <w:t>​ ​</w:t>
            </w:r>
          </w:p>
        </w:tc>
        <w:tc>
          <w:tcPr>
            <w:tcW w:w="2460" w:type="dxa"/>
            <w:vAlign w:val="bottom"/>
            <w:tcBorders>
              <w:bottom w:val="single" w:sz="8" w:color="00C389"/>
            </w:tcBorders>
            <w:gridSpan w:val="4"/>
          </w:tcPr>
          <w:p>
            <w:pPr>
              <w:ind w:left="860"/>
              <w:spacing w:after="0"/>
              <w:rPr>
                <w:sz w:val="20"/>
                <w:szCs w:val="20"/>
                <w:color w:val="auto"/>
              </w:rPr>
            </w:pPr>
            <w:r>
              <w:rPr>
                <w:rFonts w:ascii="Arial" w:cs="Arial" w:eastAsia="Arial" w:hAnsi="Arial"/>
                <w:sz w:val="14"/>
                <w:szCs w:val="14"/>
                <w:b w:val="1"/>
                <w:bCs w:val="1"/>
                <w:color w:val="002554"/>
              </w:rPr>
              <w:t>Option Awards</w:t>
            </w:r>
          </w:p>
        </w:tc>
        <w:tc>
          <w:tcPr>
            <w:tcW w:w="260" w:type="dxa"/>
            <w:vAlign w:val="bottom"/>
            <w:tcBorders>
              <w:bottom w:val="single" w:sz="8" w:color="00C389"/>
            </w:tcBorders>
          </w:tcPr>
          <w:p>
            <w:pPr>
              <w:spacing w:after="0"/>
              <w:rPr>
                <w:sz w:val="18"/>
                <w:szCs w:val="18"/>
                <w:color w:val="auto"/>
              </w:rPr>
            </w:pPr>
          </w:p>
        </w:tc>
        <w:tc>
          <w:tcPr>
            <w:tcW w:w="40" w:type="dxa"/>
            <w:vAlign w:val="bottom"/>
            <w:tcBorders>
              <w:bottom w:val="single" w:sz="8" w:color="00C389"/>
            </w:tcBorders>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002554"/>
              </w:rPr>
              <w:t>​ ​</w:t>
            </w:r>
          </w:p>
        </w:tc>
        <w:tc>
          <w:tcPr>
            <w:tcW w:w="380" w:type="dxa"/>
            <w:vAlign w:val="bottom"/>
            <w:tcBorders>
              <w:bottom w:val="single" w:sz="8" w:color="00C389"/>
            </w:tcBorders>
          </w:tcPr>
          <w:p>
            <w:pPr>
              <w:spacing w:after="0"/>
              <w:rPr>
                <w:sz w:val="18"/>
                <w:szCs w:val="18"/>
                <w:color w:val="auto"/>
              </w:rPr>
            </w:pPr>
          </w:p>
        </w:tc>
        <w:tc>
          <w:tcPr>
            <w:tcW w:w="2380" w:type="dxa"/>
            <w:vAlign w:val="bottom"/>
            <w:tcBorders>
              <w:bottom w:val="single" w:sz="8" w:color="00C389"/>
            </w:tcBorders>
            <w:gridSpan w:val="3"/>
          </w:tcPr>
          <w:p>
            <w:pPr>
              <w:ind w:left="540"/>
              <w:spacing w:after="0"/>
              <w:rPr>
                <w:sz w:val="20"/>
                <w:szCs w:val="20"/>
                <w:color w:val="auto"/>
              </w:rPr>
            </w:pPr>
            <w:r>
              <w:rPr>
                <w:rFonts w:ascii="Arial" w:cs="Arial" w:eastAsia="Arial" w:hAnsi="Arial"/>
                <w:sz w:val="14"/>
                <w:szCs w:val="14"/>
                <w:b w:val="1"/>
                <w:bCs w:val="1"/>
                <w:color w:val="002554"/>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554"/>
              </w:rPr>
              <w:t>Number of Shares</w:t>
            </w:r>
          </w:p>
        </w:tc>
        <w:tc>
          <w:tcPr>
            <w:tcW w:w="240" w:type="dxa"/>
            <w:vAlign w:val="bottom"/>
          </w:tcPr>
          <w:p>
            <w:pPr>
              <w:spacing w:after="0"/>
              <w:rPr>
                <w:sz w:val="14"/>
                <w:szCs w:val="14"/>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554"/>
              </w:rPr>
              <w:t>Value Realized 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554"/>
              </w:rPr>
              <w:t>Number of Shares</w:t>
            </w:r>
          </w:p>
        </w:tc>
        <w:tc>
          <w:tcPr>
            <w:tcW w:w="2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002554"/>
              </w:rPr>
              <w:t>Value Realized 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Acquired on</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Acquired on</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242"/>
              <w:spacing w:after="0" w:line="139" w:lineRule="exact"/>
              <w:rPr>
                <w:sz w:val="20"/>
                <w:szCs w:val="20"/>
                <w:color w:val="auto"/>
              </w:rPr>
            </w:pPr>
            <w:r>
              <w:rPr>
                <w:rFonts w:ascii="Arial" w:cs="Arial" w:eastAsia="Arial" w:hAnsi="Arial"/>
                <w:sz w:val="14"/>
                <w:szCs w:val="14"/>
                <w:b w:val="1"/>
                <w:bCs w:val="1"/>
                <w:color w:val="002554"/>
              </w:rPr>
              <w:t>Exercise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80"/>
              <w:spacing w:after="0" w:line="139" w:lineRule="exact"/>
              <w:rPr>
                <w:sz w:val="20"/>
                <w:szCs w:val="20"/>
                <w:color w:val="auto"/>
              </w:rPr>
            </w:pPr>
            <w:r>
              <w:rPr>
                <w:rFonts w:ascii="Arial" w:cs="Arial" w:eastAsia="Arial" w:hAnsi="Arial"/>
                <w:sz w:val="14"/>
                <w:szCs w:val="14"/>
                <w:b w:val="1"/>
                <w:bCs w:val="1"/>
                <w:color w:val="002554"/>
              </w:rPr>
              <w:t>Exercise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ind w:right="299"/>
              <w:spacing w:after="0" w:line="139" w:lineRule="exact"/>
              <w:rPr>
                <w:sz w:val="20"/>
                <w:szCs w:val="20"/>
                <w:color w:val="auto"/>
              </w:rPr>
            </w:pPr>
            <w:r>
              <w:rPr>
                <w:rFonts w:ascii="Arial" w:cs="Arial" w:eastAsia="Arial" w:hAnsi="Arial"/>
                <w:sz w:val="14"/>
                <w:szCs w:val="14"/>
                <w:b w:val="1"/>
                <w:bCs w:val="1"/>
                <w:color w:val="002554"/>
                <w:w w:val="98"/>
              </w:rPr>
              <w:t>Vesting</w:t>
            </w:r>
          </w:p>
        </w:tc>
        <w:tc>
          <w:tcPr>
            <w:tcW w:w="24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w w:val="98"/>
              </w:rPr>
              <w:t>Vesting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46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Name</w:t>
            </w:r>
          </w:p>
        </w:tc>
        <w:tc>
          <w:tcPr>
            <w:tcW w:w="1000" w:type="dxa"/>
            <w:vAlign w:val="bottom"/>
            <w:tcBorders>
              <w:bottom w:val="single" w:sz="8" w:color="00C389"/>
            </w:tcBorders>
          </w:tcPr>
          <w:p>
            <w:pPr>
              <w:ind w:left="840"/>
              <w:spacing w:after="0"/>
              <w:rPr>
                <w:sz w:val="20"/>
                <w:szCs w:val="20"/>
                <w:color w:val="auto"/>
              </w:rPr>
            </w:pPr>
            <w:r>
              <w:rPr>
                <w:rFonts w:ascii="Arial" w:cs="Arial" w:eastAsia="Arial" w:hAnsi="Arial"/>
                <w:sz w:val="14"/>
                <w:szCs w:val="14"/>
                <w:b w:val="1"/>
                <w:bCs w:val="1"/>
                <w:color w:val="002554"/>
              </w:rPr>
              <w:t>​ ​</w:t>
            </w:r>
          </w:p>
        </w:tc>
        <w:tc>
          <w:tcPr>
            <w:tcW w:w="920" w:type="dxa"/>
            <w:vAlign w:val="bottom"/>
            <w:tcBorders>
              <w:bottom w:val="single" w:sz="8" w:color="00C389"/>
            </w:tcBorders>
          </w:tcPr>
          <w:p>
            <w:pPr>
              <w:jc w:val="center"/>
              <w:ind w:left="282"/>
              <w:spacing w:after="0"/>
              <w:rPr>
                <w:sz w:val="20"/>
                <w:szCs w:val="20"/>
                <w:color w:val="auto"/>
              </w:rPr>
            </w:pPr>
            <w:r>
              <w:rPr>
                <w:rFonts w:ascii="Arial" w:cs="Arial" w:eastAsia="Arial" w:hAnsi="Arial"/>
                <w:sz w:val="14"/>
                <w:szCs w:val="14"/>
                <w:b w:val="1"/>
                <w:bCs w:val="1"/>
                <w:color w:val="002554"/>
                <w:w w:val="93"/>
              </w:rPr>
              <w:t>(#)</w:t>
            </w:r>
          </w:p>
        </w:tc>
        <w:tc>
          <w:tcPr>
            <w:tcW w:w="340" w:type="dxa"/>
            <w:vAlign w:val="bottom"/>
            <w:tcBorders>
              <w:bottom w:val="single" w:sz="8" w:color="00C389"/>
            </w:tcBorders>
          </w:tcPr>
          <w:p>
            <w:pPr>
              <w:spacing w:after="0"/>
              <w:rPr>
                <w:sz w:val="18"/>
                <w:szCs w:val="18"/>
                <w:color w:val="auto"/>
              </w:rPr>
            </w:pPr>
          </w:p>
        </w:tc>
        <w:tc>
          <w:tcPr>
            <w:tcW w:w="24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960" w:type="dxa"/>
            <w:vAlign w:val="bottom"/>
            <w:tcBorders>
              <w:bottom w:val="single" w:sz="8" w:color="00C389"/>
            </w:tcBorders>
          </w:tcPr>
          <w:p>
            <w:pPr>
              <w:jc w:val="center"/>
              <w:ind w:left="220"/>
              <w:spacing w:after="0"/>
              <w:rPr>
                <w:sz w:val="20"/>
                <w:szCs w:val="20"/>
                <w:color w:val="auto"/>
              </w:rPr>
            </w:pPr>
            <w:r>
              <w:rPr>
                <w:rFonts w:ascii="Arial" w:cs="Arial" w:eastAsia="Arial" w:hAnsi="Arial"/>
                <w:sz w:val="14"/>
                <w:szCs w:val="14"/>
                <w:b w:val="1"/>
                <w:bCs w:val="1"/>
                <w:color w:val="002554"/>
              </w:rPr>
              <w:t>($)</w:t>
            </w:r>
          </w:p>
        </w:tc>
        <w:tc>
          <w:tcPr>
            <w:tcW w:w="260" w:type="dxa"/>
            <w:vAlign w:val="bottom"/>
            <w:tcBorders>
              <w:bottom w:val="single" w:sz="8" w:color="00C389"/>
            </w:tcBorders>
          </w:tcPr>
          <w:p>
            <w:pPr>
              <w:spacing w:after="0"/>
              <w:rPr>
                <w:sz w:val="18"/>
                <w:szCs w:val="18"/>
                <w:color w:val="auto"/>
              </w:rPr>
            </w:pPr>
          </w:p>
        </w:tc>
        <w:tc>
          <w:tcPr>
            <w:tcW w:w="40" w:type="dxa"/>
            <w:vAlign w:val="bottom"/>
            <w:tcBorders>
              <w:bottom w:val="single" w:sz="8" w:color="00C389"/>
            </w:tcBorders>
          </w:tcPr>
          <w:p>
            <w:pPr>
              <w:spacing w:after="0"/>
              <w:rPr>
                <w:sz w:val="18"/>
                <w:szCs w:val="18"/>
                <w:color w:val="auto"/>
              </w:rPr>
            </w:pPr>
          </w:p>
        </w:tc>
        <w:tc>
          <w:tcPr>
            <w:tcW w:w="20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380" w:type="dxa"/>
            <w:vAlign w:val="bottom"/>
            <w:tcBorders>
              <w:bottom w:val="single" w:sz="8" w:color="00C389"/>
            </w:tcBorders>
          </w:tcPr>
          <w:p>
            <w:pPr>
              <w:spacing w:after="0"/>
              <w:rPr>
                <w:sz w:val="18"/>
                <w:szCs w:val="18"/>
                <w:color w:val="auto"/>
              </w:rPr>
            </w:pPr>
          </w:p>
        </w:tc>
        <w:tc>
          <w:tcPr>
            <w:tcW w:w="880" w:type="dxa"/>
            <w:vAlign w:val="bottom"/>
            <w:tcBorders>
              <w:bottom w:val="single" w:sz="8" w:color="00C389"/>
            </w:tcBorders>
          </w:tcPr>
          <w:p>
            <w:pPr>
              <w:jc w:val="center"/>
              <w:ind w:right="259"/>
              <w:spacing w:after="0"/>
              <w:rPr>
                <w:sz w:val="20"/>
                <w:szCs w:val="20"/>
                <w:color w:val="auto"/>
              </w:rPr>
            </w:pPr>
            <w:r>
              <w:rPr>
                <w:rFonts w:ascii="Arial" w:cs="Arial" w:eastAsia="Arial" w:hAnsi="Arial"/>
                <w:sz w:val="14"/>
                <w:szCs w:val="14"/>
                <w:b w:val="1"/>
                <w:bCs w:val="1"/>
                <w:color w:val="002554"/>
                <w:w w:val="99"/>
              </w:rPr>
              <w:t>(#)(6)</w:t>
            </w:r>
          </w:p>
        </w:tc>
        <w:tc>
          <w:tcPr>
            <w:tcW w:w="24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12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63"/>
        </w:trPr>
        <w:tc>
          <w:tcPr>
            <w:tcW w:w="24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Douglas A. Cifu(1)</w:t>
            </w:r>
          </w:p>
        </w:tc>
        <w:tc>
          <w:tcPr>
            <w:tcW w:w="1000" w:type="dxa"/>
            <w:vAlign w:val="bottom"/>
            <w:tcBorders>
              <w:bottom w:val="single" w:sz="8" w:color="00C389"/>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00C389"/>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0C389"/>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389"/>
            </w:tcBorders>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​297,083</w:t>
            </w:r>
          </w:p>
        </w:tc>
        <w:tc>
          <w:tcPr>
            <w:tcW w:w="24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389"/>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​8,427,653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Arial" w:cs="Arial" w:eastAsia="Arial" w:hAnsi="Arial"/>
                <w:sz w:val="18"/>
                <w:szCs w:val="18"/>
                <w:b w:val="1"/>
                <w:bCs w:val="1"/>
                <w:color w:val="auto"/>
              </w:rPr>
              <w:t>Joseph Molluso(2)</w:t>
            </w:r>
          </w:p>
        </w:tc>
        <w:tc>
          <w:tcPr>
            <w:tcW w:w="1000" w:type="dxa"/>
            <w:vAlign w:val="bottom"/>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199"/>
              <w:spacing w:after="0"/>
              <w:rPr>
                <w:sz w:val="20"/>
                <w:szCs w:val="20"/>
                <w:color w:val="auto"/>
              </w:rPr>
            </w:pPr>
            <w:r>
              <w:rPr>
                <w:rFonts w:ascii="Arial" w:cs="Arial" w:eastAsia="Arial" w:hAnsi="Arial"/>
                <w:sz w:val="18"/>
                <w:szCs w:val="18"/>
                <w:color w:val="auto"/>
              </w:rPr>
              <w:t>​134,752</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center"/>
              <w:spacing w:after="0"/>
              <w:rPr>
                <w:sz w:val="20"/>
                <w:szCs w:val="20"/>
                <w:color w:val="auto"/>
              </w:rPr>
            </w:pPr>
            <w:r>
              <w:rPr>
                <w:rFonts w:ascii="Arial" w:cs="Arial" w:eastAsia="Arial" w:hAnsi="Arial"/>
                <w:sz w:val="18"/>
                <w:szCs w:val="18"/>
                <w:color w:val="auto"/>
              </w:rPr>
              <w:t>​3,617,048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24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Fairclough(3)</w:t>
            </w:r>
          </w:p>
        </w:tc>
        <w:tc>
          <w:tcPr>
            <w:tcW w:w="1000" w:type="dxa"/>
            <w:vAlign w:val="bottom"/>
            <w:tcBorders>
              <w:top w:val="single" w:sz="8" w:color="00C389"/>
              <w:bottom w:val="single" w:sz="8" w:color="00C389"/>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389"/>
              <w:bottom w:val="single" w:sz="8" w:color="00C389"/>
            </w:tcBorders>
            <w:shd w:val="clear" w:color="auto" w:fill="CCEEFF"/>
          </w:tcPr>
          <w:p>
            <w:pPr>
              <w:ind w:left="340"/>
              <w:spacing w:after="0"/>
              <w:rPr>
                <w:sz w:val="20"/>
                <w:szCs w:val="20"/>
                <w:color w:val="auto"/>
              </w:rPr>
            </w:pPr>
            <w:r>
              <w:rPr>
                <w:rFonts w:ascii="Arial" w:cs="Arial" w:eastAsia="Arial" w:hAnsi="Arial"/>
                <w:sz w:val="18"/>
                <w:szCs w:val="18"/>
                <w:color w:val="auto"/>
              </w:rPr>
              <w:t>​75,000</w:t>
            </w:r>
          </w:p>
        </w:tc>
        <w:tc>
          <w:tcPr>
            <w:tcW w:w="340" w:type="dxa"/>
            <w:vAlign w:val="bottom"/>
            <w:tcBorders>
              <w:top w:val="single" w:sz="8" w:color="00C389"/>
              <w:bottom w:val="single" w:sz="8" w:color="00C389"/>
            </w:tcBorders>
            <w:shd w:val="clear" w:color="auto" w:fill="CCEEFF"/>
          </w:tcPr>
          <w:p>
            <w:pPr>
              <w:spacing w:after="0"/>
              <w:rPr>
                <w:sz w:val="21"/>
                <w:szCs w:val="21"/>
                <w:color w:val="auto"/>
              </w:rPr>
            </w:pPr>
          </w:p>
        </w:tc>
        <w:tc>
          <w:tcPr>
            <w:tcW w:w="24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389"/>
              <w:bottom w:val="single" w:sz="8" w:color="00C389"/>
            </w:tcBorders>
            <w:shd w:val="clear" w:color="auto" w:fill="CCEEFF"/>
          </w:tcPr>
          <w:p>
            <w:pPr>
              <w:ind w:left="280"/>
              <w:spacing w:after="0"/>
              <w:rPr>
                <w:sz w:val="20"/>
                <w:szCs w:val="20"/>
                <w:color w:val="auto"/>
              </w:rPr>
            </w:pPr>
            <w:r>
              <w:rPr>
                <w:rFonts w:ascii="Arial" w:cs="Arial" w:eastAsia="Arial" w:hAnsi="Arial"/>
                <w:sz w:val="18"/>
                <w:szCs w:val="18"/>
                <w:color w:val="auto"/>
              </w:rPr>
              <w:t>​736,500</w:t>
            </w:r>
          </w:p>
        </w:tc>
        <w:tc>
          <w:tcPr>
            <w:tcW w:w="260" w:type="dxa"/>
            <w:vAlign w:val="bottom"/>
            <w:tcBorders>
              <w:top w:val="single" w:sz="8" w:color="00C389"/>
              <w:bottom w:val="single" w:sz="8" w:color="00C389"/>
            </w:tcBorders>
            <w:shd w:val="clear" w:color="auto" w:fill="CCEEFF"/>
          </w:tcPr>
          <w:p>
            <w:pPr>
              <w:spacing w:after="0"/>
              <w:rPr>
                <w:sz w:val="21"/>
                <w:szCs w:val="21"/>
                <w:color w:val="auto"/>
              </w:rPr>
            </w:pPr>
          </w:p>
        </w:tc>
        <w:tc>
          <w:tcPr>
            <w:tcW w:w="240" w:type="dxa"/>
            <w:vAlign w:val="bottom"/>
            <w:tcBorders>
              <w:top w:val="single" w:sz="8" w:color="00C389"/>
              <w:bottom w:val="single" w:sz="8" w:color="00C389"/>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00C389"/>
              <w:bottom w:val="single" w:sz="8" w:color="00C389"/>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C389"/>
              <w:bottom w:val="single" w:sz="8" w:color="00C389"/>
            </w:tcBorders>
            <w:shd w:val="clear" w:color="auto" w:fill="CCEEFF"/>
          </w:tcPr>
          <w:p>
            <w:pPr>
              <w:jc w:val="right"/>
              <w:ind w:right="199"/>
              <w:spacing w:after="0"/>
              <w:rPr>
                <w:sz w:val="20"/>
                <w:szCs w:val="20"/>
                <w:color w:val="auto"/>
              </w:rPr>
            </w:pPr>
            <w:r>
              <w:rPr>
                <w:rFonts w:ascii="Arial" w:cs="Arial" w:eastAsia="Arial" w:hAnsi="Arial"/>
                <w:sz w:val="18"/>
                <w:szCs w:val="18"/>
                <w:color w:val="auto"/>
              </w:rPr>
              <w:t>84,695</w:t>
            </w:r>
          </w:p>
        </w:tc>
        <w:tc>
          <w:tcPr>
            <w:tcW w:w="24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389"/>
              <w:bottom w:val="single" w:sz="8" w:color="00C389"/>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​2,368,424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Arial" w:cs="Arial" w:eastAsia="Arial" w:hAnsi="Arial"/>
                <w:sz w:val="18"/>
                <w:szCs w:val="18"/>
                <w:b w:val="1"/>
                <w:bCs w:val="1"/>
                <w:color w:val="auto"/>
              </w:rPr>
              <w:t>Stephen Cavoli(4)</w:t>
            </w:r>
          </w:p>
        </w:tc>
        <w:tc>
          <w:tcPr>
            <w:tcW w:w="1000" w:type="dxa"/>
            <w:vAlign w:val="bottom"/>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9"/>
              <w:spacing w:after="0"/>
              <w:rPr>
                <w:sz w:val="20"/>
                <w:szCs w:val="20"/>
                <w:color w:val="auto"/>
              </w:rPr>
            </w:pPr>
            <w:r>
              <w:rPr>
                <w:rFonts w:ascii="Arial" w:cs="Arial" w:eastAsia="Arial" w:hAnsi="Arial"/>
                <w:sz w:val="18"/>
                <w:szCs w:val="18"/>
                <w:color w:val="auto"/>
              </w:rPr>
              <w:t>79,371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tcPr>
          <w:p>
            <w:pPr>
              <w:jc w:val="center"/>
              <w:spacing w:after="0"/>
              <w:rPr>
                <w:sz w:val="20"/>
                <w:szCs w:val="20"/>
                <w:color w:val="auto"/>
              </w:rPr>
            </w:pPr>
            <w:r>
              <w:rPr>
                <w:rFonts w:ascii="Arial" w:cs="Arial" w:eastAsia="Arial" w:hAnsi="Arial"/>
                <w:sz w:val="18"/>
                <w:szCs w:val="18"/>
                <w:color w:val="auto"/>
              </w:rPr>
              <w:t>​2,236,176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5"/>
        </w:trPr>
        <w:tc>
          <w:tcPr>
            <w:tcW w:w="2460" w:type="dxa"/>
            <w:vAlign w:val="bottom"/>
            <w:tcBorders>
              <w:top w:val="single" w:sz="8" w:color="00C389"/>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Sean P. Galvin(5)</w:t>
            </w:r>
          </w:p>
        </w:tc>
        <w:tc>
          <w:tcPr>
            <w:tcW w:w="1000" w:type="dxa"/>
            <w:vAlign w:val="bottom"/>
            <w:tcBorders>
              <w:top w:val="single" w:sz="8" w:color="00C389"/>
            </w:tcBorders>
            <w:vMerge w:val="restart"/>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00C389"/>
            </w:tcBorders>
            <w:shd w:val="clear" w:color="auto" w:fill="CCEEFF"/>
          </w:tcPr>
          <w:p>
            <w:pPr>
              <w:ind w:left="340"/>
              <w:spacing w:after="0" w:line="15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00C389"/>
            </w:tcBorders>
            <w:shd w:val="clear" w:color="auto" w:fill="CCEEFF"/>
          </w:tcPr>
          <w:p>
            <w:pPr>
              <w:spacing w:after="0" w:line="15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00C389"/>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00C389"/>
            </w:tcBorders>
            <w:shd w:val="clear" w:color="auto" w:fill="CCEEFF"/>
          </w:tcPr>
          <w:p>
            <w:pPr>
              <w:ind w:left="280"/>
              <w:spacing w:after="0" w:line="15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00C389"/>
            </w:tcBorders>
            <w:shd w:val="clear" w:color="auto" w:fill="CCEEFF"/>
          </w:tcPr>
          <w:p>
            <w:pPr>
              <w:spacing w:after="0" w:line="15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00C389"/>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00C389"/>
            </w:tcBorders>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00C389"/>
            </w:tcBorders>
            <w:vMerge w:val="restart"/>
            <w:shd w:val="clear" w:color="auto" w:fill="CCEEFF"/>
          </w:tcPr>
          <w:p>
            <w:pPr>
              <w:jc w:val="right"/>
              <w:ind w:right="199"/>
              <w:spacing w:after="0"/>
              <w:rPr>
                <w:sz w:val="20"/>
                <w:szCs w:val="20"/>
                <w:color w:val="auto"/>
              </w:rPr>
            </w:pPr>
            <w:r>
              <w:rPr>
                <w:rFonts w:ascii="Arial" w:cs="Arial" w:eastAsia="Arial" w:hAnsi="Arial"/>
                <w:sz w:val="18"/>
                <w:szCs w:val="18"/>
                <w:color w:val="auto"/>
              </w:rPr>
              <w:t>4,412</w:t>
            </w:r>
          </w:p>
        </w:tc>
        <w:tc>
          <w:tcPr>
            <w:tcW w:w="240" w:type="dxa"/>
            <w:vAlign w:val="bottom"/>
            <w:tcBorders>
              <w:top w:val="single" w:sz="8" w:color="00C389"/>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top w:val="single" w:sz="8" w:color="00C389"/>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  115,065</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2460" w:type="dxa"/>
            <w:vAlign w:val="bottom"/>
            <w:tcBorders>
              <w:bottom w:val="single" w:sz="8" w:color="00C389"/>
            </w:tcBorders>
            <w:vMerge w:val="continue"/>
            <w:shd w:val="clear" w:color="auto" w:fill="CCEEFF"/>
          </w:tcPr>
          <w:p>
            <w:pPr>
              <w:spacing w:after="0"/>
              <w:rPr>
                <w:sz w:val="8"/>
                <w:szCs w:val="8"/>
                <w:color w:val="auto"/>
              </w:rPr>
            </w:pPr>
          </w:p>
        </w:tc>
        <w:tc>
          <w:tcPr>
            <w:tcW w:w="1000" w:type="dxa"/>
            <w:vAlign w:val="bottom"/>
            <w:tcBorders>
              <w:bottom w:val="single" w:sz="8" w:color="00C389"/>
            </w:tcBorders>
            <w:vMerge w:val="continue"/>
            <w:shd w:val="clear" w:color="auto" w:fill="CCEEFF"/>
          </w:tcPr>
          <w:p>
            <w:pPr>
              <w:spacing w:after="0"/>
              <w:rPr>
                <w:sz w:val="8"/>
                <w:szCs w:val="8"/>
                <w:color w:val="auto"/>
              </w:rPr>
            </w:pPr>
          </w:p>
        </w:tc>
        <w:tc>
          <w:tcPr>
            <w:tcW w:w="920" w:type="dxa"/>
            <w:vAlign w:val="bottom"/>
            <w:tcBorders>
              <w:bottom w:val="single" w:sz="8" w:color="00C389"/>
            </w:tcBorders>
            <w:shd w:val="clear" w:color="auto" w:fill="CCEEFF"/>
          </w:tcPr>
          <w:p>
            <w:pPr>
              <w:ind w:left="340"/>
              <w:spacing w:after="0" w:line="95" w:lineRule="exact"/>
              <w:rPr>
                <w:sz w:val="20"/>
                <w:szCs w:val="20"/>
                <w:color w:val="auto"/>
              </w:rPr>
            </w:pPr>
            <w:r>
              <w:rPr>
                <w:rFonts w:ascii="Arial" w:cs="Arial" w:eastAsia="Arial" w:hAnsi="Arial"/>
                <w:sz w:val="10"/>
                <w:szCs w:val="10"/>
                <w:color w:val="auto"/>
              </w:rPr>
              <w:t>​</w:t>
            </w:r>
          </w:p>
        </w:tc>
        <w:tc>
          <w:tcPr>
            <w:tcW w:w="340" w:type="dxa"/>
            <w:vAlign w:val="bottom"/>
            <w:tcBorders>
              <w:bottom w:val="single" w:sz="8" w:color="00C389"/>
            </w:tcBorders>
            <w:shd w:val="clear" w:color="auto" w:fill="CCEEFF"/>
          </w:tcPr>
          <w:p>
            <w:pPr>
              <w:spacing w:after="0"/>
              <w:rPr>
                <w:sz w:val="8"/>
                <w:szCs w:val="8"/>
                <w:color w:val="auto"/>
              </w:rPr>
            </w:pPr>
          </w:p>
        </w:tc>
        <w:tc>
          <w:tcPr>
            <w:tcW w:w="240" w:type="dxa"/>
            <w:vAlign w:val="bottom"/>
            <w:tcBorders>
              <w:bottom w:val="single" w:sz="8" w:color="00C389"/>
            </w:tcBorders>
            <w:vMerge w:val="continue"/>
            <w:shd w:val="clear" w:color="auto" w:fill="CCEEFF"/>
          </w:tcPr>
          <w:p>
            <w:pPr>
              <w:spacing w:after="0"/>
              <w:rPr>
                <w:sz w:val="8"/>
                <w:szCs w:val="8"/>
                <w:color w:val="auto"/>
              </w:rPr>
            </w:pPr>
          </w:p>
        </w:tc>
        <w:tc>
          <w:tcPr>
            <w:tcW w:w="960" w:type="dxa"/>
            <w:vAlign w:val="bottom"/>
            <w:tcBorders>
              <w:bottom w:val="single" w:sz="8" w:color="00C389"/>
            </w:tcBorders>
            <w:shd w:val="clear" w:color="auto" w:fill="CCEEFF"/>
          </w:tcPr>
          <w:p>
            <w:pPr>
              <w:ind w:left="280"/>
              <w:spacing w:after="0" w:line="95"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00C389"/>
            </w:tcBorders>
            <w:shd w:val="clear" w:color="auto" w:fill="CCEEFF"/>
          </w:tcPr>
          <w:p>
            <w:pPr>
              <w:spacing w:after="0"/>
              <w:rPr>
                <w:sz w:val="8"/>
                <w:szCs w:val="8"/>
                <w:color w:val="auto"/>
              </w:rPr>
            </w:pPr>
          </w:p>
        </w:tc>
        <w:tc>
          <w:tcPr>
            <w:tcW w:w="240" w:type="dxa"/>
            <w:vAlign w:val="bottom"/>
            <w:tcBorders>
              <w:bottom w:val="single" w:sz="8" w:color="00C389"/>
            </w:tcBorders>
            <w:gridSpan w:val="2"/>
            <w:vMerge w:val="continue"/>
            <w:shd w:val="clear" w:color="auto" w:fill="CCEEFF"/>
          </w:tcPr>
          <w:p>
            <w:pPr>
              <w:spacing w:after="0"/>
              <w:rPr>
                <w:sz w:val="8"/>
                <w:szCs w:val="8"/>
                <w:color w:val="auto"/>
              </w:rPr>
            </w:pPr>
          </w:p>
        </w:tc>
        <w:tc>
          <w:tcPr>
            <w:tcW w:w="380" w:type="dxa"/>
            <w:vAlign w:val="bottom"/>
            <w:tcBorders>
              <w:bottom w:val="single" w:sz="8" w:color="00C389"/>
            </w:tcBorders>
            <w:vMerge w:val="continue"/>
            <w:shd w:val="clear" w:color="auto" w:fill="CCEEFF"/>
          </w:tcPr>
          <w:p>
            <w:pPr>
              <w:spacing w:after="0"/>
              <w:rPr>
                <w:sz w:val="8"/>
                <w:szCs w:val="8"/>
                <w:color w:val="auto"/>
              </w:rPr>
            </w:pPr>
          </w:p>
        </w:tc>
        <w:tc>
          <w:tcPr>
            <w:tcW w:w="880" w:type="dxa"/>
            <w:vAlign w:val="bottom"/>
            <w:tcBorders>
              <w:bottom w:val="single" w:sz="8" w:color="00C389"/>
            </w:tcBorders>
            <w:vMerge w:val="continue"/>
            <w:shd w:val="clear" w:color="auto" w:fill="CCEEFF"/>
          </w:tcPr>
          <w:p>
            <w:pPr>
              <w:spacing w:after="0"/>
              <w:rPr>
                <w:sz w:val="8"/>
                <w:szCs w:val="8"/>
                <w:color w:val="auto"/>
              </w:rPr>
            </w:pPr>
          </w:p>
        </w:tc>
        <w:tc>
          <w:tcPr>
            <w:tcW w:w="240" w:type="dxa"/>
            <w:vAlign w:val="bottom"/>
            <w:tcBorders>
              <w:bottom w:val="single" w:sz="8" w:color="00C389"/>
            </w:tcBorders>
            <w:vMerge w:val="continue"/>
            <w:shd w:val="clear" w:color="auto" w:fill="CCEEFF"/>
          </w:tcPr>
          <w:p>
            <w:pPr>
              <w:spacing w:after="0"/>
              <w:rPr>
                <w:sz w:val="8"/>
                <w:szCs w:val="8"/>
                <w:color w:val="auto"/>
              </w:rPr>
            </w:pPr>
          </w:p>
        </w:tc>
        <w:tc>
          <w:tcPr>
            <w:tcW w:w="1260" w:type="dxa"/>
            <w:vAlign w:val="bottom"/>
            <w:tcBorders>
              <w:bottom w:val="single" w:sz="8" w:color="00C389"/>
              <w:right w:val="single" w:sz="8" w:color="CCEEFF"/>
            </w:tcBorders>
            <w:vMerge w:val="continue"/>
            <w:shd w:val="clear" w:color="auto" w:fill="CCEEFF"/>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80" w:right="180" w:hanging="218"/>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Mr. Cifu, this includes the vesting of 34,073 RSUs on January 23, 2021, at a closing price of $24.84, 26,841 RSUs on January 24, 2021, at a closing price of $24.84, 125,000 RSUs and 36,169 shares of Class A common stock on February 1, 2021, at a closing price of $29.64, and 75,000 shares of restricted stock on December 27, 2021, at a closing price of $28.50.</w:t>
      </w:r>
    </w:p>
    <w:p>
      <w:pPr>
        <w:spacing w:after="0" w:line="58" w:lineRule="exact"/>
        <w:rPr>
          <w:rFonts w:ascii="Arial" w:cs="Arial" w:eastAsia="Arial" w:hAnsi="Arial"/>
          <w:sz w:val="14"/>
          <w:szCs w:val="14"/>
          <w:color w:val="auto"/>
        </w:rPr>
      </w:pPr>
    </w:p>
    <w:p>
      <w:pPr>
        <w:ind w:left="980" w:right="260" w:hanging="218"/>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Mr. Molluso, this includes the vesting of 66,667 RSUs on January 24, 2021, at a closing price of $24.84, 18,085 shares of Class A common stock on February 1, 2021, at a closing price of $29.64, and 50,000 shares of restricted stock on December 27, 2021, at a closing price of $28.50.</w:t>
      </w:r>
    </w:p>
    <w:p>
      <w:pPr>
        <w:spacing w:after="0" w:line="58" w:lineRule="exact"/>
        <w:rPr>
          <w:rFonts w:ascii="Arial" w:cs="Arial" w:eastAsia="Arial" w:hAnsi="Arial"/>
          <w:sz w:val="14"/>
          <w:szCs w:val="14"/>
          <w:color w:val="auto"/>
        </w:rPr>
      </w:pPr>
    </w:p>
    <w:p>
      <w:pPr>
        <w:ind w:left="980" w:right="260" w:hanging="218"/>
        <w:spacing w:after="0" w:line="28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Mr. Fairclough, this includes the vesting of 5,885 RSUs on January 23, 2021, at a closing price of $24.84, 11,810 RSUs on January 24, 2021, at a closing price of $24.84, 17,000 shares of Class A common stock on February 1, 2021, at a closing price of $29.64, and 50,000 shares of restricted stock vested on December 27, 2021, at a closing price of $28.50.</w:t>
      </w:r>
    </w:p>
    <w:p>
      <w:pPr>
        <w:spacing w:after="0" w:line="64" w:lineRule="exact"/>
        <w:rPr>
          <w:rFonts w:ascii="Arial" w:cs="Arial" w:eastAsia="Arial" w:hAnsi="Arial"/>
          <w:sz w:val="14"/>
          <w:szCs w:val="14"/>
          <w:color w:val="auto"/>
        </w:rPr>
      </w:pPr>
    </w:p>
    <w:p>
      <w:pPr>
        <w:ind w:left="980" w:right="140" w:hanging="218"/>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Mr. Cavoli, this includes the vesting of 2,402 RSUs on January 23, 2021, at a closing price of $24.84, 8,325 RSUs on January 24, 2021, at a closing price of $24.84, 17,000 shares of Class A common stock on February 1, 2021, at a closing price of $29.64, and 50,000 shares of restricted stock vested on December 27, 2021, at a closing price of $28.50.</w:t>
      </w:r>
    </w:p>
    <w:p>
      <w:pPr>
        <w:spacing w:after="0" w:line="58" w:lineRule="exact"/>
        <w:rPr>
          <w:rFonts w:ascii="Arial" w:cs="Arial" w:eastAsia="Arial" w:hAnsi="Arial"/>
          <w:sz w:val="14"/>
          <w:szCs w:val="14"/>
          <w:color w:val="auto"/>
        </w:rPr>
      </w:pPr>
    </w:p>
    <w:p>
      <w:pPr>
        <w:ind w:left="980" w:hanging="218"/>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Mr. Galvin, this includes the vesting of 4,412 RSUs on August 12, 2021, at a closing price of $26.08.</w:t>
      </w:r>
    </w:p>
    <w:p>
      <w:pPr>
        <w:spacing w:after="0" w:line="122" w:lineRule="exact"/>
        <w:rPr>
          <w:rFonts w:ascii="Arial" w:cs="Arial" w:eastAsia="Arial" w:hAnsi="Arial"/>
          <w:sz w:val="14"/>
          <w:szCs w:val="14"/>
          <w:color w:val="auto"/>
        </w:rPr>
      </w:pPr>
    </w:p>
    <w:p>
      <w:pPr>
        <w:ind w:left="980" w:right="100" w:hanging="218"/>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number of shares delivered upon vesting of the executive’s stock awards were reduced by a number of shares with a market value equal to the applicable tax withholding amounts on their awards. As a result, the actual shares acquired by Messrs. Cifu, Molluso, Fairclough and Cavoli upon the vesting and settlement of their stock awards was 263,205, 66,798, 43,972, and 40,080, respectively.</w:t>
      </w:r>
    </w:p>
    <w:p>
      <w:pPr>
        <w:spacing w:after="0" w:line="130" w:lineRule="exact"/>
        <w:rPr>
          <w:sz w:val="20"/>
          <w:szCs w:val="20"/>
          <w:color w:val="auto"/>
        </w:rPr>
      </w:pPr>
    </w:p>
    <w:p>
      <w:pPr>
        <w:jc w:val="center"/>
        <w:ind w:left="1300" w:right="280"/>
        <w:spacing w:after="0" w:line="257" w:lineRule="auto"/>
        <w:rPr>
          <w:sz w:val="20"/>
          <w:szCs w:val="20"/>
          <w:color w:val="auto"/>
        </w:rPr>
      </w:pPr>
      <w:r>
        <w:rPr>
          <w:rFonts w:ascii="Arial" w:cs="Arial" w:eastAsia="Arial" w:hAnsi="Arial"/>
          <w:sz w:val="29"/>
          <w:szCs w:val="29"/>
          <w:color w:val="00C389"/>
        </w:rPr>
        <w:t>POTENTIAL PAYMENTS UPON TERMINATION OF EMPLOYMENT OR CHANGE IN CONTROL</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w:t>
      </w:r>
    </w:p>
    <w:p>
      <w:pPr>
        <w:spacing w:after="0" w:line="115" w:lineRule="exact"/>
        <w:rPr>
          <w:sz w:val="20"/>
          <w:szCs w:val="20"/>
          <w:color w:val="auto"/>
        </w:rPr>
      </w:pPr>
    </w:p>
    <w:p>
      <w:pPr>
        <w:ind w:left="760" w:right="120"/>
        <w:spacing w:after="0" w:line="262" w:lineRule="auto"/>
        <w:rPr>
          <w:sz w:val="20"/>
          <w:szCs w:val="20"/>
          <w:color w:val="auto"/>
        </w:rPr>
      </w:pPr>
      <w:r>
        <w:rPr>
          <w:rFonts w:ascii="Arial" w:cs="Arial" w:eastAsia="Arial" w:hAnsi="Arial"/>
          <w:sz w:val="17"/>
          <w:szCs w:val="17"/>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7"/>
          <w:szCs w:val="17"/>
          <w:b w:val="1"/>
          <w:bCs w:val="1"/>
          <w:color w:val="auto"/>
        </w:rPr>
        <w:t>Cifu 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(B) continued health, dental, vision and life insurance benefits under the terms of our benefit</w:t>
      </w:r>
    </w:p>
    <w:p>
      <w:pPr>
        <w:spacing w:after="0" w:line="262"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plans for (x) twelve months or (y) the period from termination of employment through the remainder of the term, whichever is longer (the “</w:t>
      </w:r>
      <w:r>
        <w:rPr>
          <w:rFonts w:ascii="Arial" w:cs="Arial" w:eastAsia="Arial" w:hAnsi="Arial"/>
          <w:sz w:val="18"/>
          <w:szCs w:val="18"/>
          <w:b w:val="1"/>
          <w:bCs w:val="1"/>
          <w:color w:val="auto"/>
        </w:rPr>
        <w:t>Benefits Continuation Period</w:t>
      </w:r>
      <w:r>
        <w:rPr>
          <w:rFonts w:ascii="Arial" w:cs="Arial" w:eastAsia="Arial" w:hAnsi="Arial"/>
          <w:sz w:val="18"/>
          <w:szCs w:val="18"/>
          <w:color w:val="auto"/>
        </w:rPr>
        <w:t>”); and following the Benefits Continuation Period, continued participation in the Company’s health, dental, vision and life insurance until the earlier of (i) Mr. Cifu’s independents reaching the age of 26, (ii) Mr. Cifu or his spouse becoming eligible for Medicare, or (iii) Mr. Cifu becoming eligible for comparable coverage under another employer’s benefit plans, subject to Mr. Cifu’s payment of the full cost of such benefits; (C) continued eligibility to earn shares of Class A common stock under his then current annual equity grant, and to the extent earned, a pro rata portion of such shares shall be deemed vested on the last day of the calendar year to which such award relates (the “</w:t>
      </w:r>
      <w:r>
        <w:rPr>
          <w:rFonts w:ascii="Arial" w:cs="Arial" w:eastAsia="Arial" w:hAnsi="Arial"/>
          <w:sz w:val="18"/>
          <w:szCs w:val="18"/>
          <w:b w:val="1"/>
          <w:bCs w:val="1"/>
          <w:color w:val="auto"/>
        </w:rPr>
        <w:t>Cifu Equity Acceleration</w:t>
      </w:r>
      <w:r>
        <w:rPr>
          <w:rFonts w:ascii="Arial" w:cs="Arial" w:eastAsia="Arial" w:hAnsi="Arial"/>
          <w:sz w:val="18"/>
          <w:szCs w:val="18"/>
          <w:color w:val="auto"/>
        </w:rPr>
        <w:t>”); (D) accelerated vesting of any earned but unvested shares of Class A common stock under the annual equity grant granted in the year prior to the year of termination; and (E) 150,000 shares of fully vested Class A common stock.</w:t>
      </w:r>
    </w:p>
    <w:p>
      <w:pPr>
        <w:spacing w:after="0" w:line="77"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Under Mr. Molluso’s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8"/>
          <w:szCs w:val="18"/>
          <w:b w:val="1"/>
          <w:bCs w:val="1"/>
          <w:color w:val="auto"/>
        </w:rPr>
        <w:t>Molluso Severance Amount</w:t>
      </w:r>
      <w:r>
        <w:rPr>
          <w:rFonts w:ascii="Arial" w:cs="Arial" w:eastAsia="Arial" w:hAnsi="Arial"/>
          <w:sz w:val="18"/>
          <w:szCs w:val="18"/>
          <w:color w:val="auto"/>
        </w:rPr>
        <w:t>”); (B) Mr. Molluso will receive continued health, dental, vision and life insurance benefits under the terms of our benefit plans for twelve months; and (C) the next scheduled vesting installments under each of Mr. Molluso’s special equity award and sign-on equity award prorated for the elapsed portion of the calendar year, together with the full next installment of such awards (if any) shall be deemed accelerated and vested.</w:t>
      </w:r>
    </w:p>
    <w:p>
      <w:pPr>
        <w:spacing w:after="0" w:line="82"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Under Mr. Fairclough’s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8"/>
          <w:szCs w:val="18"/>
          <w:b w:val="1"/>
          <w:bCs w:val="1"/>
          <w:color w:val="auto"/>
        </w:rPr>
        <w:t>Fairclough Severance Amount</w:t>
      </w:r>
      <w:r>
        <w:rPr>
          <w:rFonts w:ascii="Arial" w:cs="Arial" w:eastAsia="Arial" w:hAnsi="Arial"/>
          <w:sz w:val="18"/>
          <w:szCs w:val="18"/>
          <w:color w:val="auto"/>
        </w:rPr>
        <w:t>”); (B) Mr. Fairclough will receive continued health, dental, vision and life insurance benefits under the terms of our benefit plans for twelve months; and (C) the next scheduled vesting installment under Mr. Fairclough’s special equity award prorated for the elapsed portion of the calendar year, together with the full next installment of such award (if any) shall be deemed accelerated and vested.</w:t>
      </w:r>
    </w:p>
    <w:p>
      <w:pPr>
        <w:spacing w:after="0" w:line="74"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w:t>
      </w:r>
      <w:r>
        <w:rPr>
          <w:rFonts w:ascii="Arial" w:cs="Arial" w:eastAsia="Arial" w:hAnsi="Arial"/>
          <w:sz w:val="18"/>
          <w:szCs w:val="18"/>
          <w:b w:val="1"/>
          <w:bCs w:val="1"/>
          <w:color w:val="auto"/>
        </w:rPr>
        <w:t>Cavoli</w:t>
      </w:r>
      <w:r>
        <w:rPr>
          <w:rFonts w:ascii="Arial" w:cs="Arial" w:eastAsia="Arial" w:hAnsi="Arial"/>
          <w:sz w:val="18"/>
          <w:szCs w:val="18"/>
          <w:color w:val="auto"/>
        </w:rPr>
        <w:t xml:space="preserve"> </w:t>
      </w:r>
      <w:r>
        <w:rPr>
          <w:rFonts w:ascii="Arial" w:cs="Arial" w:eastAsia="Arial" w:hAnsi="Arial"/>
          <w:sz w:val="18"/>
          <w:szCs w:val="18"/>
          <w:b w:val="1"/>
          <w:bCs w:val="1"/>
          <w:color w:val="auto"/>
        </w:rPr>
        <w:t>Severance Amount</w:t>
      </w:r>
      <w:r>
        <w:rPr>
          <w:rFonts w:ascii="Arial" w:cs="Arial" w:eastAsia="Arial" w:hAnsi="Arial"/>
          <w:sz w:val="18"/>
          <w:szCs w:val="18"/>
          <w:color w:val="auto"/>
        </w:rPr>
        <w:t>”); (B) Mr. Cavoli will receive continued health, dental, vision and life insurance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our benefit plans for twelve months; and (C) the next scheduled vesting installment under Mr. Cavoli’s special equity award prorated for the elapsed portion of the calendar year, together with the full next installment of such award (if any) shall be deemed accelerated and vested.</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Galvin is not entitled to any payments or benefits in connection with the termination of his employment.</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 Upon a Change in Control Termination</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Mr. Cifu is terminated at any time within sixty days before, or 24 months following, a change in control, then</w:t>
      </w:r>
    </w:p>
    <w:p>
      <w:pPr>
        <w:spacing w:after="0" w:line="27" w:lineRule="exact"/>
        <w:rPr>
          <w:sz w:val="20"/>
          <w:szCs w:val="20"/>
          <w:color w:val="auto"/>
        </w:rPr>
      </w:pPr>
    </w:p>
    <w:p>
      <w:pPr>
        <w:ind w:left="760" w:right="60"/>
        <w:spacing w:after="0" w:line="272" w:lineRule="auto"/>
        <w:rPr>
          <w:sz w:val="20"/>
          <w:szCs w:val="20"/>
          <w:color w:val="auto"/>
        </w:rPr>
      </w:pPr>
      <w:r>
        <w:rPr>
          <w:rFonts w:ascii="Arial" w:cs="Arial" w:eastAsia="Arial" w:hAnsi="Arial"/>
          <w:sz w:val="17"/>
          <w:szCs w:val="17"/>
          <w:color w:val="auto"/>
        </w:rPr>
        <w:t>Mr. Cifu is entitled to the payments and benefits described above, however (1) in lieu of the Cifu Severance Amount, 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240"/>
        <w:spacing w:after="0" w:line="268" w:lineRule="auto"/>
        <w:rPr>
          <w:sz w:val="20"/>
          <w:szCs w:val="20"/>
          <w:color w:val="auto"/>
        </w:rPr>
      </w:pPr>
      <w:r>
        <w:rPr>
          <w:rFonts w:ascii="Arial" w:cs="Arial" w:eastAsia="Arial" w:hAnsi="Arial"/>
          <w:sz w:val="18"/>
          <w:szCs w:val="18"/>
          <w:color w:val="auto"/>
        </w:rPr>
        <w:t>lieu of the Cifu Equity Acceleration, Mr. Cifu will be entitled to a pro rata portion of all of the shares underlying his then current annual equity grant, which shall be deemed vested on the last day of the calendar year to which such award relates.</w:t>
      </w:r>
    </w:p>
    <w:p>
      <w:pPr>
        <w:spacing w:after="0" w:line="63" w:lineRule="exact"/>
        <w:rPr>
          <w:sz w:val="20"/>
          <w:szCs w:val="20"/>
          <w:color w:val="auto"/>
        </w:rPr>
      </w:pPr>
    </w:p>
    <w:p>
      <w:pPr>
        <w:jc w:val="both"/>
        <w:ind w:left="760" w:right="380"/>
        <w:spacing w:after="0" w:line="262" w:lineRule="auto"/>
        <w:rPr>
          <w:sz w:val="20"/>
          <w:szCs w:val="20"/>
          <w:color w:val="auto"/>
        </w:rPr>
      </w:pPr>
      <w:r>
        <w:rPr>
          <w:rFonts w:ascii="Arial" w:cs="Arial" w:eastAsia="Arial" w:hAnsi="Arial"/>
          <w:sz w:val="18"/>
          <w:szCs w:val="18"/>
          <w:color w:val="auto"/>
        </w:rPr>
        <w:t>If Mr. Molluso is terminated at any time in anticipation of, or within 12 months following, a change in control, then Mr. Molluso is entitled to the payments and benefits described above, however, in lieu of the Molluso Severance Amount, Mr. Molluso will be entitled to an amount equal to two times the sum of (x) his base salary then in effect plus (y) the prior year’s actual discretionary bonus paid to him.</w:t>
      </w:r>
    </w:p>
    <w:p>
      <w:pPr>
        <w:spacing w:after="0" w:line="68" w:lineRule="exact"/>
        <w:rPr>
          <w:sz w:val="20"/>
          <w:szCs w:val="20"/>
          <w:color w:val="auto"/>
        </w:rPr>
      </w:pPr>
    </w:p>
    <w:p>
      <w:pPr>
        <w:ind w:left="760" w:right="160"/>
        <w:spacing w:after="0" w:line="262" w:lineRule="auto"/>
        <w:rPr>
          <w:sz w:val="20"/>
          <w:szCs w:val="20"/>
          <w:color w:val="auto"/>
        </w:rPr>
      </w:pPr>
      <w:r>
        <w:rPr>
          <w:rFonts w:ascii="Arial" w:cs="Arial" w:eastAsia="Arial" w:hAnsi="Arial"/>
          <w:sz w:val="18"/>
          <w:szCs w:val="18"/>
          <w:color w:val="auto"/>
        </w:rPr>
        <w:t>If Mr. Fairclough is terminated at any time in anticipation of, or within 12 months following, a change in control, then Mr. Fairclough is entitled to the payments and benefits described above, however, in lieu of the Fairclough Severance Amount, Mr. Fairclough will be entitled to an amount equal to two times the sum of (x) his base salary then in effect plus (y) the prior year’s actual discretionary bonus paid to him.</w:t>
      </w:r>
    </w:p>
    <w:p>
      <w:pPr>
        <w:spacing w:after="0" w:line="68"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color w:val="auto"/>
        </w:rPr>
        <w:t>If Mr. Cavoli is terminated at any time in anticipation of, or within 12 months following, a change in control, then Mr. Cavoli is entitled to the payments and benefits described above, however in lieu of the Cavoli Severance Amount, Mr. Cavoli will be entitled to an amount equal to two times the sum of (x) his base salary then in effect plus (y) the prior year’s actual discretionary bonus paid to him.</w:t>
      </w:r>
    </w:p>
    <w:p>
      <w:pPr>
        <w:spacing w:after="0" w:line="68" w:lineRule="exact"/>
        <w:rPr>
          <w:sz w:val="20"/>
          <w:szCs w:val="20"/>
          <w:color w:val="auto"/>
        </w:rPr>
      </w:pPr>
    </w:p>
    <w:p>
      <w:pPr>
        <w:ind w:left="760" w:right="680"/>
        <w:spacing w:after="0" w:line="287" w:lineRule="auto"/>
        <w:rPr>
          <w:sz w:val="20"/>
          <w:szCs w:val="20"/>
          <w:color w:val="auto"/>
        </w:rPr>
      </w:pPr>
      <w:r>
        <w:rPr>
          <w:rFonts w:ascii="Arial" w:cs="Arial" w:eastAsia="Arial" w:hAnsi="Arial"/>
          <w:sz w:val="18"/>
          <w:szCs w:val="18"/>
          <w:color w:val="auto"/>
        </w:rPr>
        <w:t>Mr. Galvin is not entitled to any payments or benefits in connection with the termination of his employment in anticipation of, or within 12 months following, a change in control.</w:t>
      </w:r>
    </w:p>
    <w:p>
      <w:pPr>
        <w:spacing w:after="0" w:line="45"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For purposes of the employment agreements with Messrs. Cifu, Molluso, Fairclough, and Cavoli,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 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82"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If any payments to Messrs. Cifu, Molluso, Fairclough, Cavoli, and Galvin are determined to be so called “golden parachute” payments subject to the excise tax under Section 4999 of the Code, then such payments will be reduced to the extent such reduction would result in the executive retaining a greater net after tax amount than he would have retained had he received the full amount of the payments and paid the applicable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Estimated Payments Upon Termination of Employment or Change in Control</w:t>
      </w:r>
    </w:p>
    <w:p>
      <w:pPr>
        <w:spacing w:after="0" w:line="117" w:lineRule="exact"/>
        <w:rPr>
          <w:sz w:val="20"/>
          <w:szCs w:val="20"/>
          <w:color w:val="auto"/>
        </w:rPr>
      </w:pPr>
    </w:p>
    <w:p>
      <w:pPr>
        <w:ind w:left="760" w:right="120"/>
        <w:spacing w:after="0" w:line="268" w:lineRule="auto"/>
        <w:rPr>
          <w:sz w:val="20"/>
          <w:szCs w:val="20"/>
          <w:color w:val="auto"/>
        </w:rPr>
      </w:pPr>
      <w:r>
        <w:rPr>
          <w:rFonts w:ascii="Arial" w:cs="Arial" w:eastAsia="Arial" w:hAnsi="Arial"/>
          <w:sz w:val="18"/>
          <w:szCs w:val="18"/>
          <w:color w:val="auto"/>
        </w:rPr>
        <w:t>Assuming each named executive officer’s termination of employment occurred on December 31, 2021, or a change in control occurred on December 31, 2021, the dollar value of the payments and other benefits to be provided to each of the named executive officers are estimated in the table below.</w:t>
      </w:r>
    </w:p>
    <w:p>
      <w:pPr>
        <w:spacing w:after="0" w:line="87"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002554"/>
        </w:rPr>
        <w:t>Death,</w:t>
      </w:r>
    </w:p>
    <w:p>
      <w:pPr>
        <w:jc w:val="center"/>
        <w:ind w:right="-919"/>
        <w:spacing w:after="0" w:line="221" w:lineRule="auto"/>
        <w:rPr>
          <w:sz w:val="20"/>
          <w:szCs w:val="20"/>
          <w:color w:val="auto"/>
        </w:rPr>
      </w:pPr>
      <w:r>
        <w:rPr>
          <w:rFonts w:ascii="Arial" w:cs="Arial" w:eastAsia="Arial" w:hAnsi="Arial"/>
          <w:sz w:val="14"/>
          <w:szCs w:val="14"/>
          <w:b w:val="1"/>
          <w:bCs w:val="1"/>
          <w:color w:val="002554"/>
        </w:rPr>
        <w:t>Disability,</w:t>
      </w:r>
    </w:p>
    <w:tbl>
      <w:tblPr>
        <w:tblLayout w:type="fixed"/>
        <w:tblInd w:w="760" w:type="dxa"/>
        <w:tblCellMar>
          <w:top w:w="0" w:type="dxa"/>
          <w:left w:w="0" w:type="dxa"/>
          <w:bottom w:w="0" w:type="dxa"/>
          <w:right w:w="0" w:type="dxa"/>
        </w:tblCellMar>
      </w:tblPr>
      <w:tr>
        <w:trPr>
          <w:trHeight w:val="135"/>
        </w:trPr>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w w:val="99"/>
              </w:rPr>
              <w:t>Termination</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02554"/>
              </w:rPr>
              <w:t>Non-Renewal</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jc w:val="center"/>
              <w:ind w:right="193"/>
              <w:spacing w:after="0" w:line="145" w:lineRule="exact"/>
              <w:rPr>
                <w:sz w:val="20"/>
                <w:szCs w:val="20"/>
                <w:color w:val="auto"/>
              </w:rPr>
            </w:pPr>
            <w:r>
              <w:rPr>
                <w:rFonts w:ascii="Arial" w:cs="Arial" w:eastAsia="Arial" w:hAnsi="Arial"/>
                <w:sz w:val="14"/>
                <w:szCs w:val="14"/>
                <w:b w:val="1"/>
                <w:bCs w:val="1"/>
                <w:color w:val="002554"/>
              </w:rPr>
              <w:t>Without Cause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002554"/>
              </w:rPr>
              <w:t>Death,</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or for Good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by the</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jc w:val="center"/>
              <w:ind w:right="173"/>
              <w:spacing w:after="0" w:line="145" w:lineRule="exact"/>
              <w:rPr>
                <w:sz w:val="20"/>
                <w:szCs w:val="20"/>
                <w:color w:val="auto"/>
              </w:rPr>
            </w:pPr>
            <w:r>
              <w:rPr>
                <w:rFonts w:ascii="Arial" w:cs="Arial" w:eastAsia="Arial" w:hAnsi="Arial"/>
                <w:sz w:val="14"/>
                <w:szCs w:val="14"/>
                <w:b w:val="1"/>
                <w:bCs w:val="1"/>
                <w:color w:val="002554"/>
              </w:rPr>
              <w:t>Reason 60 Days</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002554"/>
              </w:rPr>
              <w:t>Company</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002554"/>
                <w:w w:val="99"/>
              </w:rPr>
              <w:t>Disability,</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554"/>
              </w:rPr>
              <w:t>Prior to or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002554"/>
              </w:rPr>
              <w:t>60 Days Prior</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w w:val="99"/>
              </w:rPr>
              <w:t>Termination</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002554"/>
              </w:rPr>
              <w:t>24 Months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tcPr>
          <w:p>
            <w:pPr>
              <w:jc w:val="center"/>
              <w:ind w:right="192"/>
              <w:spacing w:after="0" w:line="139" w:lineRule="exact"/>
              <w:rPr>
                <w:sz w:val="20"/>
                <w:szCs w:val="20"/>
                <w:color w:val="auto"/>
              </w:rPr>
            </w:pPr>
            <w:r>
              <w:rPr>
                <w:rFonts w:ascii="Arial" w:cs="Arial" w:eastAsia="Arial" w:hAnsi="Arial"/>
                <w:sz w:val="14"/>
                <w:szCs w:val="14"/>
                <w:b w:val="1"/>
                <w:bCs w:val="1"/>
                <w:color w:val="002554"/>
              </w:rPr>
              <w:t>to or 24 Months</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554"/>
              </w:rPr>
              <w:t>Resignation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gridSpan w:val="3"/>
          </w:tcPr>
          <w:p>
            <w:pPr>
              <w:jc w:val="center"/>
              <w:ind w:right="192"/>
              <w:spacing w:after="0" w:line="145" w:lineRule="exact"/>
              <w:rPr>
                <w:sz w:val="20"/>
                <w:szCs w:val="20"/>
                <w:color w:val="auto"/>
              </w:rPr>
            </w:pPr>
            <w:r>
              <w:rPr>
                <w:rFonts w:ascii="Arial" w:cs="Arial" w:eastAsia="Arial" w:hAnsi="Arial"/>
                <w:sz w:val="14"/>
                <w:szCs w:val="14"/>
                <w:b w:val="1"/>
                <w:bCs w:val="1"/>
                <w:color w:val="002554"/>
              </w:rPr>
              <w:t>Without Cause</w:t>
            </w:r>
          </w:p>
        </w:tc>
        <w:tc>
          <w:tcPr>
            <w:tcW w:w="1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002554"/>
              </w:rPr>
              <w:t>Following a</w:t>
            </w:r>
          </w:p>
        </w:tc>
        <w:tc>
          <w:tcPr>
            <w:tcW w:w="34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002554"/>
              </w:rPr>
              <w:t>Non-Renewal by</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554"/>
              </w:rPr>
              <w:t>Following a</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002554"/>
              </w:rPr>
              <w:t>or for Good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002554"/>
              </w:rPr>
              <w:t>Change in</w:t>
            </w:r>
          </w:p>
        </w:tc>
        <w:tc>
          <w:tcPr>
            <w:tcW w:w="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002554"/>
              </w:rPr>
              <w:t>Change in</w:t>
            </w:r>
          </w:p>
        </w:tc>
        <w:tc>
          <w:tcPr>
            <w:tcW w:w="3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without Good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Name</w:t>
            </w:r>
          </w:p>
        </w:tc>
        <w:tc>
          <w:tcPr>
            <w:tcW w:w="820" w:type="dxa"/>
            <w:vAlign w:val="bottom"/>
            <w:tcBorders>
              <w:bottom w:val="single" w:sz="8" w:color="00C389"/>
            </w:tcBorders>
          </w:tcPr>
          <w:p>
            <w:pPr>
              <w:ind w:left="660"/>
              <w:spacing w:after="0"/>
              <w:rPr>
                <w:sz w:val="20"/>
                <w:szCs w:val="20"/>
                <w:color w:val="auto"/>
              </w:rPr>
            </w:pPr>
            <w:r>
              <w:rPr>
                <w:rFonts w:ascii="Arial" w:cs="Arial" w:eastAsia="Arial" w:hAnsi="Arial"/>
                <w:sz w:val="14"/>
                <w:szCs w:val="14"/>
                <w:b w:val="1"/>
                <w:bCs w:val="1"/>
                <w:color w:val="002554"/>
              </w:rPr>
              <w:t>​ ​</w:t>
            </w:r>
          </w:p>
        </w:tc>
        <w:tc>
          <w:tcPr>
            <w:tcW w:w="160" w:type="dxa"/>
            <w:vAlign w:val="bottom"/>
            <w:tcBorders>
              <w:bottom w:val="single" w:sz="8" w:color="00C389"/>
            </w:tcBorders>
          </w:tcPr>
          <w:p>
            <w:pPr>
              <w:spacing w:after="0"/>
              <w:rPr>
                <w:sz w:val="17"/>
                <w:szCs w:val="17"/>
                <w:color w:val="auto"/>
              </w:rPr>
            </w:pPr>
          </w:p>
        </w:tc>
        <w:tc>
          <w:tcPr>
            <w:tcW w:w="7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Reason ($)</w:t>
            </w:r>
          </w:p>
        </w:tc>
        <w:tc>
          <w:tcPr>
            <w:tcW w:w="34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160" w:type="dxa"/>
            <w:vAlign w:val="bottom"/>
            <w:tcBorders>
              <w:bottom w:val="single" w:sz="8" w:color="00C389"/>
            </w:tcBorders>
          </w:tcPr>
          <w:p>
            <w:pPr>
              <w:spacing w:after="0"/>
              <w:rPr>
                <w:sz w:val="17"/>
                <w:szCs w:val="17"/>
                <w:color w:val="auto"/>
              </w:rPr>
            </w:pPr>
          </w:p>
        </w:tc>
        <w:tc>
          <w:tcPr>
            <w:tcW w:w="88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Control ($)</w:t>
            </w:r>
          </w:p>
        </w:tc>
        <w:tc>
          <w:tcPr>
            <w:tcW w:w="1640" w:type="dxa"/>
            <w:vAlign w:val="bottom"/>
            <w:tcBorders>
              <w:bottom w:val="single" w:sz="8" w:color="00C389"/>
            </w:tcBorders>
            <w:gridSpan w:val="4"/>
          </w:tcPr>
          <w:p>
            <w:pPr>
              <w:jc w:val="right"/>
              <w:spacing w:after="0" w:line="202" w:lineRule="exact"/>
              <w:rPr>
                <w:sz w:val="20"/>
                <w:szCs w:val="20"/>
                <w:color w:val="auto"/>
              </w:rPr>
            </w:pPr>
            <w:r>
              <w:rPr>
                <w:rFonts w:ascii="Arial" w:cs="Arial" w:eastAsia="Arial" w:hAnsi="Arial"/>
                <w:sz w:val="23"/>
                <w:szCs w:val="23"/>
                <w:b w:val="1"/>
                <w:bCs w:val="1"/>
                <w:color w:val="002554"/>
                <w:vertAlign w:val="subscript"/>
              </w:rPr>
              <w:t>​ ​</w:t>
            </w:r>
            <w:r>
              <w:rPr>
                <w:rFonts w:ascii="Arial" w:cs="Arial" w:eastAsia="Arial" w:hAnsi="Arial"/>
                <w:sz w:val="13"/>
                <w:szCs w:val="13"/>
                <w:b w:val="1"/>
                <w:bCs w:val="1"/>
                <w:color w:val="002554"/>
              </w:rPr>
              <w:t xml:space="preserve"> the Company ($) </w:t>
            </w:r>
            <w:r>
              <w:rPr>
                <w:rFonts w:ascii="Arial" w:cs="Arial" w:eastAsia="Arial" w:hAnsi="Arial"/>
                <w:sz w:val="23"/>
                <w:szCs w:val="23"/>
                <w:b w:val="1"/>
                <w:bCs w:val="1"/>
                <w:color w:val="002554"/>
                <w:vertAlign w:val="subscript"/>
              </w:rPr>
              <w:t>​</w:t>
            </w:r>
          </w:p>
        </w:tc>
        <w:tc>
          <w:tcPr>
            <w:tcW w:w="60" w:type="dxa"/>
            <w:vAlign w:val="bottom"/>
            <w:tcBorders>
              <w:bottom w:val="single" w:sz="8" w:color="00C389"/>
            </w:tcBorders>
          </w:tcPr>
          <w:p>
            <w:pPr>
              <w:ind w:left="20"/>
              <w:spacing w:after="0"/>
              <w:rPr>
                <w:sz w:val="20"/>
                <w:szCs w:val="20"/>
                <w:color w:val="auto"/>
              </w:rPr>
            </w:pPr>
            <w:r>
              <w:rPr>
                <w:rFonts w:ascii="Arial" w:cs="Arial" w:eastAsia="Arial" w:hAnsi="Arial"/>
                <w:sz w:val="14"/>
                <w:szCs w:val="14"/>
                <w:b w:val="1"/>
                <w:bCs w:val="1"/>
                <w:color w:val="002554"/>
              </w:rPr>
              <w:t>​</w:t>
            </w:r>
          </w:p>
        </w:tc>
        <w:tc>
          <w:tcPr>
            <w:tcW w:w="180" w:type="dxa"/>
            <w:vAlign w:val="bottom"/>
            <w:tcBorders>
              <w:bottom w:val="single" w:sz="8" w:color="00C389"/>
            </w:tcBorders>
          </w:tcPr>
          <w:p>
            <w:pPr>
              <w:spacing w:after="0"/>
              <w:rPr>
                <w:sz w:val="17"/>
                <w:szCs w:val="17"/>
                <w:color w:val="auto"/>
              </w:rPr>
            </w:pPr>
          </w:p>
        </w:tc>
        <w:tc>
          <w:tcPr>
            <w:tcW w:w="82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Control ($)</w:t>
            </w:r>
          </w:p>
        </w:tc>
        <w:tc>
          <w:tcPr>
            <w:tcW w:w="34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960" w:type="dxa"/>
            <w:vAlign w:val="bottom"/>
            <w:tcBorders>
              <w:bottom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Reason</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63"/>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​1,150,000(1)</w:t>
            </w:r>
          </w:p>
        </w:tc>
        <w:tc>
          <w:tcPr>
            <w:tcW w:w="13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​15,300,000(2)</w:t>
            </w:r>
          </w:p>
        </w:tc>
        <w:tc>
          <w:tcPr>
            <w:tcW w:w="13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​1,150,000(1)</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2"/>
              <w:spacing w:after="0" w:line="202" w:lineRule="exact"/>
              <w:rPr>
                <w:sz w:val="20"/>
                <w:szCs w:val="20"/>
                <w:color w:val="auto"/>
              </w:rPr>
            </w:pPr>
            <w:r>
              <w:rPr>
                <w:rFonts w:ascii="Arial" w:cs="Arial" w:eastAsia="Arial" w:hAnsi="Arial"/>
                <w:sz w:val="18"/>
                <w:szCs w:val="18"/>
                <w:color w:val="auto"/>
              </w:rPr>
              <w:t>​15,300,000(2)</w:t>
            </w:r>
          </w:p>
        </w:tc>
        <w:tc>
          <w:tcPr>
            <w:tcW w:w="560" w:type="dxa"/>
            <w:vAlign w:val="bottom"/>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​8,649,000(3)</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8,649,000(3)</w:t>
            </w:r>
          </w:p>
        </w:tc>
        <w:tc>
          <w:tcPr>
            <w:tcW w:w="130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​8,649,000(3)</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8,649,000(3)</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top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Joseph Molluso</w:t>
            </w:r>
          </w:p>
        </w:tc>
        <w:tc>
          <w:tcPr>
            <w:tcW w:w="820" w:type="dxa"/>
            <w:vAlign w:val="bottom"/>
            <w:tcBorders>
              <w:top w:val="single" w:sz="8" w:color="00C389"/>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tcBorders>
              <w:top w:val="single" w:sz="8" w:color="00C389"/>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389"/>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389"/>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389"/>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389"/>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739,384(4)</w:t>
            </w:r>
          </w:p>
        </w:tc>
        <w:tc>
          <w:tcPr>
            <w:tcW w:w="1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3"/>
              <w:spacing w:after="0" w:line="202" w:lineRule="exact"/>
              <w:rPr>
                <w:sz w:val="20"/>
                <w:szCs w:val="20"/>
                <w:color w:val="auto"/>
              </w:rPr>
            </w:pPr>
            <w:r>
              <w:rPr>
                <w:rFonts w:ascii="Arial" w:cs="Arial" w:eastAsia="Arial" w:hAnsi="Arial"/>
                <w:sz w:val="18"/>
                <w:szCs w:val="18"/>
                <w:color w:val="auto"/>
              </w:rPr>
              <w:t>6,075,000(5)</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739,384(4)</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w w:val="99"/>
              </w:rPr>
              <w:t>6,075,000(5)</w:t>
            </w:r>
          </w:p>
        </w:tc>
        <w:tc>
          <w:tcPr>
            <w:tcW w:w="560" w:type="dxa"/>
            <w:vAlign w:val="bottom"/>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​2,883,000(6)</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2,883,000(6)</w:t>
            </w:r>
          </w:p>
        </w:tc>
        <w:tc>
          <w:tcPr>
            <w:tcW w:w="130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​2,883,000(6)</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2,883,000(6)</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60" w:type="dxa"/>
            <w:vAlign w:val="bottom"/>
            <w:tcBorders>
              <w:top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820" w:type="dxa"/>
            <w:vAlign w:val="bottom"/>
            <w:tcBorders>
              <w:top w:val="single" w:sz="8" w:color="00C389"/>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tcBorders>
              <w:top w:val="single" w:sz="8" w:color="00C389"/>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389"/>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389"/>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389"/>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389"/>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​1,153,082(7)</w:t>
            </w:r>
          </w:p>
        </w:tc>
        <w:tc>
          <w:tcPr>
            <w:tcW w:w="1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3"/>
              <w:spacing w:after="0" w:line="202" w:lineRule="exact"/>
              <w:rPr>
                <w:sz w:val="20"/>
                <w:szCs w:val="20"/>
                <w:color w:val="auto"/>
              </w:rPr>
            </w:pPr>
            <w:r>
              <w:rPr>
                <w:rFonts w:ascii="Arial" w:cs="Arial" w:eastAsia="Arial" w:hAnsi="Arial"/>
                <w:sz w:val="18"/>
                <w:szCs w:val="18"/>
                <w:color w:val="auto"/>
              </w:rPr>
              <w:t>6,075,000(8)</w:t>
            </w:r>
          </w:p>
        </w:tc>
        <w:tc>
          <w:tcPr>
            <w:tcW w:w="13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​1,153,082(7)</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w w:val="99"/>
              </w:rPr>
              <w:t>6,075,000(8)</w:t>
            </w:r>
          </w:p>
        </w:tc>
        <w:tc>
          <w:tcPr>
            <w:tcW w:w="560" w:type="dxa"/>
            <w:vAlign w:val="bottom"/>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​2,883,000(9)</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2,883,000(9)</w:t>
            </w:r>
          </w:p>
        </w:tc>
        <w:tc>
          <w:tcPr>
            <w:tcW w:w="130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​2,883,000(9)</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2,883,000(9)</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60" w:type="dxa"/>
            <w:vAlign w:val="bottom"/>
            <w:tcBorders>
              <w:top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820" w:type="dxa"/>
            <w:vAlign w:val="bottom"/>
            <w:tcBorders>
              <w:top w:val="single" w:sz="8" w:color="00C389"/>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tcBorders>
              <w:top w:val="single" w:sz="8" w:color="00C389"/>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389"/>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389"/>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389"/>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389"/>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i w:val="1"/>
                <w:iCs w:val="1"/>
                <w:color w:val="auto"/>
              </w:rPr>
              <w:t>Severance</w:t>
            </w:r>
          </w:p>
        </w:tc>
        <w:tc>
          <w:tcPr>
            <w:tcW w:w="820" w:type="dxa"/>
            <w:vAlign w:val="bottom"/>
            <w:vMerge w:val="restart"/>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653,082(10)</w:t>
            </w:r>
          </w:p>
        </w:tc>
        <w:tc>
          <w:tcPr>
            <w:tcW w:w="1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6,075,000(11)</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653,082(10)</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6,075,000(11)</w:t>
            </w:r>
          </w:p>
        </w:tc>
        <w:tc>
          <w:tcPr>
            <w:tcW w:w="56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Restricted Stock</w:t>
            </w:r>
          </w:p>
        </w:tc>
        <w:tc>
          <w:tcPr>
            <w:tcW w:w="8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​2,883,000(12)</w:t>
            </w:r>
          </w:p>
        </w:tc>
        <w:tc>
          <w:tcPr>
            <w:tcW w:w="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2,883,000(12)</w:t>
            </w:r>
          </w:p>
        </w:tc>
        <w:tc>
          <w:tcPr>
            <w:tcW w:w="130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​2,883,000(12)</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2,883,000(12)</w:t>
            </w:r>
          </w:p>
        </w:tc>
        <w:tc>
          <w:tcPr>
            <w:tcW w:w="56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w:t>
            </w:r>
          </w:p>
        </w:tc>
        <w:tc>
          <w:tcPr>
            <w:tcW w:w="40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6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60" w:type="dxa"/>
            <w:vAlign w:val="bottom"/>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60" w:type="dxa"/>
            <w:vAlign w:val="bottom"/>
            <w:tcBorders>
              <w:top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Sean P. Galvin</w:t>
            </w:r>
          </w:p>
        </w:tc>
        <w:tc>
          <w:tcPr>
            <w:tcW w:w="820" w:type="dxa"/>
            <w:vAlign w:val="bottom"/>
            <w:tcBorders>
              <w:top w:val="single" w:sz="8" w:color="00C389"/>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 ​</w:t>
            </w:r>
          </w:p>
        </w:tc>
        <w:tc>
          <w:tcPr>
            <w:tcW w:w="16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160" w:type="dxa"/>
            <w:vAlign w:val="bottom"/>
            <w:tcBorders>
              <w:top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tcBorders>
              <w:top w:val="single" w:sz="8" w:color="00C389"/>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00C389"/>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00C389"/>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389"/>
            </w:tcBorders>
            <w:shd w:val="clear" w:color="auto" w:fill="CCEEFF"/>
          </w:tcPr>
          <w:p>
            <w:pPr>
              <w:spacing w:after="0"/>
              <w:rPr>
                <w:sz w:val="22"/>
                <w:szCs w:val="22"/>
                <w:color w:val="auto"/>
              </w:rPr>
            </w:pPr>
          </w:p>
        </w:tc>
        <w:tc>
          <w:tcPr>
            <w:tcW w:w="340" w:type="dxa"/>
            <w:vAlign w:val="bottom"/>
            <w:tcBorders>
              <w:top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560" w:type="dxa"/>
            <w:vAlign w:val="bottom"/>
            <w:tcBorders>
              <w:top w:val="single" w:sz="8" w:color="00C389"/>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00C389"/>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820" w:type="dxa"/>
            <w:vAlign w:val="bottom"/>
          </w:tcPr>
          <w:p>
            <w:pPr>
              <w:ind w:left="660"/>
              <w:spacing w:after="0"/>
              <w:rPr>
                <w:sz w:val="20"/>
                <w:szCs w:val="20"/>
                <w:color w:val="auto"/>
              </w:rPr>
            </w:pPr>
            <w:r>
              <w:rPr>
                <w:rFonts w:ascii="Arial" w:cs="Arial" w:eastAsia="Arial" w:hAnsi="Arial"/>
                <w:sz w:val="18"/>
                <w:szCs w:val="18"/>
                <w:color w:val="auto"/>
              </w:rPr>
              <w:t>​ ​</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6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tcBorders>
              <w:bottom w:val="single" w:sz="8" w:color="00C389"/>
            </w:tcBorders>
          </w:tcPr>
          <w:p>
            <w:pPr>
              <w:ind w:left="6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00C389"/>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0C389"/>
            </w:tcBorders>
          </w:tcPr>
          <w:p>
            <w:pPr>
              <w:ind w:left="58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00C389"/>
            </w:tcBorders>
          </w:tcPr>
          <w:p>
            <w:pPr>
              <w:ind w:lef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0C389"/>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0C389"/>
            </w:tcBorders>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00C389"/>
            </w:tcBorders>
          </w:tcPr>
          <w:p>
            <w:pPr>
              <w:ind w:left="3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00C389"/>
            </w:tcBorders>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080" w:right="300" w:hanging="318"/>
        <w:spacing w:after="0" w:line="325"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the greater of (i) base salary continuation and (ii) continued health, dental, vision and life insurance benefits for twelve months.</w:t>
      </w:r>
    </w:p>
    <w:p>
      <w:pPr>
        <w:spacing w:after="0" w:line="36" w:lineRule="exact"/>
        <w:rPr>
          <w:rFonts w:ascii="Arial" w:cs="Arial" w:eastAsia="Arial" w:hAnsi="Arial"/>
          <w:sz w:val="14"/>
          <w:szCs w:val="14"/>
          <w:color w:val="auto"/>
        </w:rPr>
      </w:pPr>
    </w:p>
    <w:p>
      <w:pPr>
        <w:ind w:left="1080" w:right="160" w:hanging="318"/>
        <w:spacing w:after="0" w:line="305"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$5,000,000) and (ii) continued health, dental, vision and life insurance benefits for twelve months.</w:t>
      </w:r>
    </w:p>
    <w:p>
      <w:pPr>
        <w:spacing w:after="0" w:line="63" w:lineRule="exact"/>
        <w:rPr>
          <w:rFonts w:ascii="Arial" w:cs="Arial" w:eastAsia="Arial" w:hAnsi="Arial"/>
          <w:sz w:val="14"/>
          <w:szCs w:val="14"/>
          <w:color w:val="auto"/>
        </w:rPr>
      </w:pPr>
    </w:p>
    <w:p>
      <w:pPr>
        <w:ind w:left="1080" w:right="480" w:hanging="318"/>
        <w:spacing w:after="0" w:line="305"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annual equity grant based on shares earned, which was 150,000, and (ii) a grant of 150,000 shares of Class A common stock.</w:t>
      </w:r>
    </w:p>
    <w:p>
      <w:pPr>
        <w:spacing w:after="0" w:line="49" w:lineRule="exact"/>
        <w:rPr>
          <w:rFonts w:ascii="Arial" w:cs="Arial" w:eastAsia="Arial" w:hAnsi="Arial"/>
          <w:sz w:val="14"/>
          <w:szCs w:val="14"/>
          <w:color w:val="auto"/>
        </w:rPr>
      </w:pPr>
    </w:p>
    <w:p>
      <w:pPr>
        <w:ind w:left="1080" w:right="640" w:hanging="318"/>
        <w:spacing w:after="0" w:line="325"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April 30, 2023).</w:t>
      </w:r>
    </w:p>
    <w:p>
      <w:pPr>
        <w:spacing w:after="0" w:line="36" w:lineRule="exact"/>
        <w:rPr>
          <w:rFonts w:ascii="Arial" w:cs="Arial" w:eastAsia="Arial" w:hAnsi="Arial"/>
          <w:sz w:val="14"/>
          <w:szCs w:val="14"/>
          <w:color w:val="auto"/>
        </w:rPr>
      </w:pPr>
    </w:p>
    <w:p>
      <w:pPr>
        <w:ind w:left="1080" w:right="120" w:hanging="318"/>
        <w:spacing w:after="0" w:line="293"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 times the sum of (a) executive’s base salary and (b) the most recently awarded annual bonus (which was $2,500,000) and (ii) continued health, dental, vision and life insurance benefits through the remainder of the employment term (i.e., April 30, 2023).</w:t>
      </w:r>
    </w:p>
    <w:p>
      <w:pPr>
        <w:spacing w:after="0" w:line="58" w:lineRule="exact"/>
        <w:rPr>
          <w:rFonts w:ascii="Arial" w:cs="Arial" w:eastAsia="Arial" w:hAnsi="Arial"/>
          <w:sz w:val="14"/>
          <w:szCs w:val="14"/>
          <w:color w:val="auto"/>
        </w:rPr>
      </w:pPr>
    </w:p>
    <w:p>
      <w:pPr>
        <w:ind w:left="1080" w:right="100" w:hanging="318"/>
        <w:spacing w:after="0" w:line="305"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the next installment of such award, which totals 50,000 shares of Class A common stock.</w:t>
      </w:r>
    </w:p>
    <w:p>
      <w:pPr>
        <w:spacing w:after="0" w:line="63" w:lineRule="exact"/>
        <w:rPr>
          <w:rFonts w:ascii="Arial" w:cs="Arial" w:eastAsia="Arial" w:hAnsi="Arial"/>
          <w:sz w:val="14"/>
          <w:szCs w:val="14"/>
          <w:color w:val="auto"/>
        </w:rPr>
      </w:pPr>
    </w:p>
    <w:p>
      <w:pPr>
        <w:ind w:left="1080" w:right="640" w:hanging="318"/>
        <w:spacing w:after="0" w:line="305" w:lineRule="auto"/>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140335</wp:posOffset>
            </wp:positionV>
            <wp:extent cx="75438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3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5" w:lineRule="exact"/>
        <w:rPr>
          <w:sz w:val="20"/>
          <w:szCs w:val="20"/>
          <w:color w:val="auto"/>
        </w:rPr>
      </w:pPr>
    </w:p>
    <w:p>
      <w:pPr>
        <w:ind w:left="1080" w:right="120" w:hanging="318"/>
        <w:spacing w:after="0" w:line="293"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 times the sum of (a) executive’s base salary and (b) the most recently awarded annual bonus (which was $2,500,000) and (ii) continued health, dental, vision and life insurance benefits through the remainder of the employment term (i.e., February 26, 2024).</w:t>
      </w:r>
    </w:p>
    <w:p>
      <w:pPr>
        <w:spacing w:after="0" w:line="58" w:lineRule="exact"/>
        <w:rPr>
          <w:rFonts w:ascii="Arial" w:cs="Arial" w:eastAsia="Arial" w:hAnsi="Arial"/>
          <w:sz w:val="14"/>
          <w:szCs w:val="14"/>
          <w:color w:val="auto"/>
        </w:rPr>
      </w:pPr>
    </w:p>
    <w:p>
      <w:pPr>
        <w:ind w:left="1080" w:right="100" w:hanging="318"/>
        <w:spacing w:after="0" w:line="305"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the next installment of such award, which totals 50,000 shares of Class A common stock.</w:t>
      </w:r>
    </w:p>
    <w:p>
      <w:pPr>
        <w:spacing w:after="0" w:line="63" w:lineRule="exact"/>
        <w:rPr>
          <w:rFonts w:ascii="Arial" w:cs="Arial" w:eastAsia="Arial" w:hAnsi="Arial"/>
          <w:sz w:val="14"/>
          <w:szCs w:val="14"/>
          <w:color w:val="auto"/>
        </w:rPr>
      </w:pPr>
    </w:p>
    <w:p>
      <w:pPr>
        <w:ind w:left="1080" w:right="640" w:hanging="318"/>
        <w:spacing w:after="0" w:line="305"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2023).</w:t>
      </w:r>
    </w:p>
    <w:p>
      <w:pPr>
        <w:spacing w:after="0" w:line="49" w:lineRule="exact"/>
        <w:rPr>
          <w:rFonts w:ascii="Arial" w:cs="Arial" w:eastAsia="Arial" w:hAnsi="Arial"/>
          <w:sz w:val="14"/>
          <w:szCs w:val="14"/>
          <w:color w:val="auto"/>
        </w:rPr>
      </w:pPr>
    </w:p>
    <w:p>
      <w:pPr>
        <w:ind w:left="1080" w:right="120" w:hanging="318"/>
        <w:spacing w:after="0" w:line="293"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 times the sum of (a) executive’s base salary and (b) the most recently awarded annual bonus (which was $2,500,000) and (ii) continued health, dental, vision and life insurance benefits through the remainder of the employment term (i.e., February 26, 2023).</w:t>
      </w:r>
    </w:p>
    <w:p>
      <w:pPr>
        <w:spacing w:after="0" w:line="58" w:lineRule="exact"/>
        <w:rPr>
          <w:rFonts w:ascii="Arial" w:cs="Arial" w:eastAsia="Arial" w:hAnsi="Arial"/>
          <w:sz w:val="14"/>
          <w:szCs w:val="14"/>
          <w:color w:val="auto"/>
        </w:rPr>
      </w:pPr>
    </w:p>
    <w:p>
      <w:pPr>
        <w:ind w:left="1080" w:right="100" w:hanging="318"/>
        <w:spacing w:after="0" w:line="325"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the next installment of such award, which totals 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CEO Pay Ratio Disclosure</w:t>
      </w:r>
    </w:p>
    <w:p>
      <w:pPr>
        <w:spacing w:after="0" w:line="146" w:lineRule="exact"/>
        <w:rPr>
          <w:sz w:val="20"/>
          <w:szCs w:val="20"/>
          <w:color w:val="auto"/>
        </w:rPr>
      </w:pPr>
    </w:p>
    <w:p>
      <w:pPr>
        <w:ind w:left="760" w:right="400"/>
        <w:spacing w:after="0" w:line="268" w:lineRule="auto"/>
        <w:rPr>
          <w:sz w:val="20"/>
          <w:szCs w:val="20"/>
          <w:color w:val="auto"/>
        </w:rPr>
      </w:pPr>
      <w:r>
        <w:rPr>
          <w:rFonts w:ascii="Arial" w:cs="Arial" w:eastAsia="Arial" w:hAnsi="Arial"/>
          <w:sz w:val="18"/>
          <w:szCs w:val="18"/>
          <w:color w:val="auto"/>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2021:</w:t>
      </w:r>
    </w:p>
    <w:p>
      <w:pPr>
        <w:spacing w:after="0" w:line="63" w:lineRule="exact"/>
        <w:rPr>
          <w:sz w:val="20"/>
          <w:szCs w:val="20"/>
          <w:color w:val="auto"/>
        </w:rPr>
      </w:pPr>
    </w:p>
    <w:p>
      <w:pPr>
        <w:ind w:left="1340" w:right="720" w:hanging="218"/>
        <w:spacing w:after="0" w:line="287" w:lineRule="auto"/>
        <w:tabs>
          <w:tab w:leader="none" w:pos="1340" w:val="left"/>
        </w:tabs>
        <w:numPr>
          <w:ilvl w:val="0"/>
          <w:numId w:val="16"/>
        </w:numPr>
        <w:rPr>
          <w:rFonts w:ascii="Arial" w:cs="Arial" w:eastAsia="Arial" w:hAnsi="Arial"/>
          <w:sz w:val="18"/>
          <w:szCs w:val="18"/>
          <w:color w:val="002554"/>
        </w:rPr>
      </w:pPr>
      <w:r>
        <w:rPr>
          <w:rFonts w:ascii="Arial" w:cs="Arial" w:eastAsia="Arial" w:hAnsi="Arial"/>
          <w:sz w:val="18"/>
          <w:szCs w:val="18"/>
          <w:color w:val="auto"/>
        </w:rPr>
        <w:t>The median of the annual total compensation of all employees of our Company (other than our Chief Executive Officer) was approximately $235,000;</w:t>
      </w:r>
    </w:p>
    <w:p>
      <w:pPr>
        <w:spacing w:after="0" w:line="44" w:lineRule="exact"/>
        <w:rPr>
          <w:rFonts w:ascii="Arial" w:cs="Arial" w:eastAsia="Arial" w:hAnsi="Arial"/>
          <w:sz w:val="18"/>
          <w:szCs w:val="18"/>
          <w:color w:val="002554"/>
        </w:rPr>
      </w:pPr>
    </w:p>
    <w:p>
      <w:pPr>
        <w:ind w:left="1340" w:right="840" w:hanging="218"/>
        <w:spacing w:after="0" w:line="287" w:lineRule="auto"/>
        <w:tabs>
          <w:tab w:leader="none" w:pos="1340" w:val="left"/>
        </w:tabs>
        <w:numPr>
          <w:ilvl w:val="0"/>
          <w:numId w:val="16"/>
        </w:numPr>
        <w:rPr>
          <w:rFonts w:ascii="Arial" w:cs="Arial" w:eastAsia="Arial" w:hAnsi="Arial"/>
          <w:sz w:val="18"/>
          <w:szCs w:val="18"/>
          <w:color w:val="002554"/>
        </w:rPr>
      </w:pPr>
      <w:r>
        <w:rPr>
          <w:rFonts w:ascii="Arial" w:cs="Arial" w:eastAsia="Arial" w:hAnsi="Arial"/>
          <w:sz w:val="18"/>
          <w:szCs w:val="18"/>
          <w:color w:val="auto"/>
        </w:rPr>
        <w:t>The annual total compensation of our Chief Executive Officer was $10,107,261 (as disclosed in the Summary Compensation Table herein); and</w:t>
      </w:r>
    </w:p>
    <w:p>
      <w:pPr>
        <w:spacing w:after="0" w:line="44" w:lineRule="exact"/>
        <w:rPr>
          <w:rFonts w:ascii="Arial" w:cs="Arial" w:eastAsia="Arial" w:hAnsi="Arial"/>
          <w:sz w:val="18"/>
          <w:szCs w:val="18"/>
          <w:color w:val="002554"/>
        </w:rPr>
      </w:pPr>
    </w:p>
    <w:p>
      <w:pPr>
        <w:ind w:left="1340" w:right="400" w:hanging="218"/>
        <w:spacing w:after="0" w:line="287" w:lineRule="auto"/>
        <w:tabs>
          <w:tab w:leader="none" w:pos="1340" w:val="left"/>
        </w:tabs>
        <w:numPr>
          <w:ilvl w:val="0"/>
          <w:numId w:val="16"/>
        </w:numPr>
        <w:rPr>
          <w:rFonts w:ascii="Arial" w:cs="Arial" w:eastAsia="Arial" w:hAnsi="Arial"/>
          <w:sz w:val="18"/>
          <w:szCs w:val="18"/>
          <w:color w:val="002554"/>
        </w:rPr>
      </w:pPr>
      <w:r>
        <w:rPr>
          <w:rFonts w:ascii="Arial" w:cs="Arial" w:eastAsia="Arial" w:hAnsi="Arial"/>
          <w:sz w:val="18"/>
          <w:szCs w:val="18"/>
          <w:color w:val="auto"/>
        </w:rPr>
        <w:t>Based on this information, the ratio of the annual total compensation of our Chief Executive Officer to the median employee was 43 to 1.</w:t>
      </w:r>
    </w:p>
    <w:p>
      <w:pPr>
        <w:spacing w:after="0" w:line="45" w:lineRule="exact"/>
        <w:rPr>
          <w:sz w:val="20"/>
          <w:szCs w:val="20"/>
          <w:color w:val="auto"/>
        </w:rPr>
      </w:pPr>
    </w:p>
    <w:p>
      <w:pPr>
        <w:ind w:left="760" w:right="280"/>
        <w:spacing w:after="0" w:line="268" w:lineRule="auto"/>
        <w:rPr>
          <w:sz w:val="20"/>
          <w:szCs w:val="20"/>
          <w:color w:val="auto"/>
        </w:rPr>
      </w:pPr>
      <w:r>
        <w:rPr>
          <w:rFonts w:ascii="Arial" w:cs="Arial" w:eastAsia="Arial" w:hAnsi="Arial"/>
          <w:sz w:val="18"/>
          <w:szCs w:val="18"/>
          <w:color w:val="auto"/>
        </w:rPr>
        <w:t>To determine the median of the annual total compensation of all employees of the Company (other than our Chief Executive Officer), we identified our total employee population as of December 31, 2021, which consisted of approximately 977 individuals, 11 of which were temporary employees.</w:t>
      </w:r>
    </w:p>
    <w:p>
      <w:pPr>
        <w:spacing w:after="0" w:line="63"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We determined the median based on each employee’s annual base pay as of December 31, 2021, plus the variable incentive compensation award they received in 2022 for the 2021 performance year. Variable incentive compensation consisted of cash bonuses and/or the fair value of stock awards granted under the Virtu Financial, Inc. Amended and Restated Management Incentive Plan and the Investment Technology Group, Inc. 2007 Omnibus Equity Compensation Plan (which was assumed in connection with the ITG Acquisition) at the grant date. The annual total compensation of the median employee presented above is a reasonable estimate calculated in accordance with the requirements of Item 402(c)(2)(x)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Hedging Policy</w:t>
      </w:r>
    </w:p>
    <w:p>
      <w:pPr>
        <w:spacing w:after="0" w:line="159" w:lineRule="exact"/>
        <w:rPr>
          <w:sz w:val="20"/>
          <w:szCs w:val="20"/>
          <w:color w:val="auto"/>
        </w:rPr>
      </w:pPr>
    </w:p>
    <w:p>
      <w:pPr>
        <w:ind w:left="760" w:right="260"/>
        <w:spacing w:after="0" w:line="262" w:lineRule="auto"/>
        <w:rPr>
          <w:sz w:val="20"/>
          <w:szCs w:val="20"/>
          <w:color w:val="auto"/>
        </w:rPr>
      </w:pPr>
      <w:r>
        <w:rPr>
          <w:rFonts w:ascii="Arial" w:cs="Arial" w:eastAsia="Arial" w:hAnsi="Arial"/>
          <w:sz w:val="18"/>
          <w:szCs w:val="18"/>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2258695</wp:posOffset>
            </wp:positionV>
            <wp:extent cx="75438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Compensation of Directors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payable to our non-employee directors consisted of the following during the year ended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2021:</w:t>
      </w:r>
    </w:p>
    <w:p>
      <w:pPr>
        <w:spacing w:after="0" w:line="99" w:lineRule="exact"/>
        <w:rPr>
          <w:sz w:val="20"/>
          <w:szCs w:val="20"/>
          <w:color w:val="auto"/>
        </w:rPr>
      </w:pPr>
    </w:p>
    <w:p>
      <w:pPr>
        <w:ind w:left="1340" w:right="980" w:hanging="218"/>
        <w:spacing w:after="0" w:line="268" w:lineRule="auto"/>
        <w:tabs>
          <w:tab w:leader="none" w:pos="1340" w:val="left"/>
        </w:tabs>
        <w:numPr>
          <w:ilvl w:val="0"/>
          <w:numId w:val="17"/>
        </w:numPr>
        <w:rPr>
          <w:rFonts w:ascii="Arial" w:cs="Arial" w:eastAsia="Arial" w:hAnsi="Arial"/>
          <w:sz w:val="18"/>
          <w:szCs w:val="18"/>
          <w:color w:val="002554"/>
        </w:rPr>
      </w:pPr>
      <w:r>
        <w:rPr>
          <w:rFonts w:ascii="Arial" w:cs="Arial" w:eastAsia="Arial" w:hAnsi="Arial"/>
          <w:sz w:val="18"/>
          <w:szCs w:val="18"/>
          <w:color w:val="auto"/>
        </w:rPr>
        <w:t>an award of restricted stock units valued at $135,000 at the time of grant upon reelection at each subsequent annual meeting of stockholders. The restricted stock units vest on the one-year anniversary of the date of grant;</w:t>
      </w:r>
    </w:p>
    <w:p>
      <w:pPr>
        <w:spacing w:after="0" w:line="76" w:lineRule="exact"/>
        <w:rPr>
          <w:rFonts w:ascii="Arial" w:cs="Arial" w:eastAsia="Arial" w:hAnsi="Arial"/>
          <w:sz w:val="18"/>
          <w:szCs w:val="18"/>
          <w:color w:val="002554"/>
        </w:rPr>
      </w:pPr>
    </w:p>
    <w:p>
      <w:pPr>
        <w:ind w:left="1340" w:right="1520" w:hanging="218"/>
        <w:spacing w:after="0" w:line="287" w:lineRule="auto"/>
        <w:tabs>
          <w:tab w:leader="none" w:pos="1340" w:val="left"/>
        </w:tabs>
        <w:numPr>
          <w:ilvl w:val="0"/>
          <w:numId w:val="17"/>
        </w:numPr>
        <w:rPr>
          <w:rFonts w:ascii="Arial" w:cs="Arial" w:eastAsia="Arial" w:hAnsi="Arial"/>
          <w:sz w:val="18"/>
          <w:szCs w:val="18"/>
          <w:color w:val="002554"/>
        </w:rPr>
      </w:pPr>
      <w:r>
        <w:rPr>
          <w:rFonts w:ascii="Arial" w:cs="Arial" w:eastAsia="Arial" w:hAnsi="Arial"/>
          <w:sz w:val="18"/>
          <w:szCs w:val="18"/>
          <w:color w:val="auto"/>
        </w:rPr>
        <w:t>an annual cash retainer of $75,000, with no additional fees paid for board of director and committee meetings attended;</w:t>
      </w:r>
    </w:p>
    <w:p>
      <w:pPr>
        <w:spacing w:after="0" w:line="44" w:lineRule="exact"/>
        <w:rPr>
          <w:rFonts w:ascii="Arial" w:cs="Arial" w:eastAsia="Arial" w:hAnsi="Arial"/>
          <w:sz w:val="18"/>
          <w:szCs w:val="18"/>
          <w:color w:val="002554"/>
        </w:rPr>
      </w:pPr>
    </w:p>
    <w:p>
      <w:pPr>
        <w:ind w:left="1340" w:right="1060" w:hanging="218"/>
        <w:spacing w:after="0" w:line="262" w:lineRule="auto"/>
        <w:tabs>
          <w:tab w:leader="none" w:pos="1340" w:val="left"/>
        </w:tabs>
        <w:numPr>
          <w:ilvl w:val="0"/>
          <w:numId w:val="17"/>
        </w:numPr>
        <w:rPr>
          <w:rFonts w:ascii="Arial" w:cs="Arial" w:eastAsia="Arial" w:hAnsi="Arial"/>
          <w:sz w:val="18"/>
          <w:szCs w:val="18"/>
          <w:color w:val="002554"/>
        </w:rPr>
      </w:pPr>
      <w:r>
        <w:rPr>
          <w:rFonts w:ascii="Arial" w:cs="Arial" w:eastAsia="Arial" w:hAnsi="Arial"/>
          <w:sz w:val="18"/>
          <w:szCs w:val="18"/>
          <w:color w:val="auto"/>
        </w:rPr>
        <w:t>an annual cash retainer of $150,000 for the non-executive chairman of the board of directors, $25,000 for the chair of the Audit Committee, $20,000 for the chair of the Compensation Committee, $20,000 for the chair of the Nominating and Corporate Governance Committee and $20,000 for the chair of the Risk Committee; and</w:t>
      </w:r>
    </w:p>
    <w:p>
      <w:pPr>
        <w:spacing w:after="0" w:line="68" w:lineRule="exact"/>
        <w:rPr>
          <w:rFonts w:ascii="Arial" w:cs="Arial" w:eastAsia="Arial" w:hAnsi="Arial"/>
          <w:sz w:val="18"/>
          <w:szCs w:val="18"/>
          <w:color w:val="002554"/>
        </w:rPr>
      </w:pPr>
    </w:p>
    <w:p>
      <w:pPr>
        <w:ind w:left="1340" w:right="980" w:hanging="218"/>
        <w:spacing w:after="0" w:line="268" w:lineRule="auto"/>
        <w:tabs>
          <w:tab w:leader="none" w:pos="1340" w:val="left"/>
        </w:tabs>
        <w:numPr>
          <w:ilvl w:val="0"/>
          <w:numId w:val="17"/>
        </w:numPr>
        <w:rPr>
          <w:rFonts w:ascii="Arial" w:cs="Arial" w:eastAsia="Arial" w:hAnsi="Arial"/>
          <w:sz w:val="18"/>
          <w:szCs w:val="18"/>
          <w:color w:val="002554"/>
        </w:rPr>
      </w:pPr>
      <w:r>
        <w:rPr>
          <w:rFonts w:ascii="Arial" w:cs="Arial" w:eastAsia="Arial" w:hAnsi="Arial"/>
          <w:sz w:val="18"/>
          <w:szCs w:val="18"/>
          <w:color w:val="auto"/>
        </w:rPr>
        <w:t>an annual cash retainer of $10,000 for members of the Audit Committee, $7,500 for members of the Compensation Committee, $7,500 for members of the Nominating and Corporate Governance Committee, and $7,500 for members of the Risk Committee.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January 1, 2022, the compensation payable to our non-employee directors has been updated as following:</w:t>
      </w:r>
    </w:p>
    <w:p>
      <w:pPr>
        <w:spacing w:after="0" w:line="117" w:lineRule="exact"/>
        <w:rPr>
          <w:sz w:val="20"/>
          <w:szCs w:val="20"/>
          <w:color w:val="auto"/>
        </w:rPr>
      </w:pPr>
    </w:p>
    <w:p>
      <w:pPr>
        <w:ind w:left="1340" w:right="980" w:hanging="218"/>
        <w:spacing w:after="0" w:line="268" w:lineRule="auto"/>
        <w:tabs>
          <w:tab w:leader="none" w:pos="1340" w:val="left"/>
        </w:tabs>
        <w:numPr>
          <w:ilvl w:val="0"/>
          <w:numId w:val="18"/>
        </w:numPr>
        <w:rPr>
          <w:rFonts w:ascii="Arial" w:cs="Arial" w:eastAsia="Arial" w:hAnsi="Arial"/>
          <w:sz w:val="18"/>
          <w:szCs w:val="18"/>
          <w:color w:val="002554"/>
        </w:rPr>
      </w:pPr>
      <w:r>
        <w:rPr>
          <w:rFonts w:ascii="Arial" w:cs="Arial" w:eastAsia="Arial" w:hAnsi="Arial"/>
          <w:sz w:val="18"/>
          <w:szCs w:val="18"/>
          <w:color w:val="auto"/>
        </w:rPr>
        <w:t>an award of restricted stock units valued at $150,000 at the time of grant upon reelection at each subsequent annual meeting of stockholders. The restricted stock units vest on the one-year anniversary of the date of grant;</w:t>
      </w:r>
    </w:p>
    <w:p>
      <w:pPr>
        <w:spacing w:after="0" w:line="62" w:lineRule="exact"/>
        <w:rPr>
          <w:rFonts w:ascii="Arial" w:cs="Arial" w:eastAsia="Arial" w:hAnsi="Arial"/>
          <w:sz w:val="18"/>
          <w:szCs w:val="18"/>
          <w:color w:val="002554"/>
        </w:rPr>
      </w:pPr>
    </w:p>
    <w:p>
      <w:pPr>
        <w:ind w:left="1340" w:right="1420" w:hanging="218"/>
        <w:spacing w:after="0" w:line="287" w:lineRule="auto"/>
        <w:tabs>
          <w:tab w:leader="none" w:pos="1340" w:val="left"/>
        </w:tabs>
        <w:numPr>
          <w:ilvl w:val="0"/>
          <w:numId w:val="18"/>
        </w:numPr>
        <w:rPr>
          <w:rFonts w:ascii="Arial" w:cs="Arial" w:eastAsia="Arial" w:hAnsi="Arial"/>
          <w:sz w:val="18"/>
          <w:szCs w:val="18"/>
          <w:color w:val="002554"/>
        </w:rPr>
      </w:pPr>
      <w:r>
        <w:rPr>
          <w:rFonts w:ascii="Arial" w:cs="Arial" w:eastAsia="Arial" w:hAnsi="Arial"/>
          <w:sz w:val="18"/>
          <w:szCs w:val="18"/>
          <w:color w:val="auto"/>
        </w:rPr>
        <w:t>an annual cash retainer of $100,000, with no additional fees paid for board of director and committee meetings attended;</w:t>
      </w:r>
    </w:p>
    <w:p>
      <w:pPr>
        <w:spacing w:after="0" w:line="44" w:lineRule="exact"/>
        <w:rPr>
          <w:rFonts w:ascii="Arial" w:cs="Arial" w:eastAsia="Arial" w:hAnsi="Arial"/>
          <w:sz w:val="18"/>
          <w:szCs w:val="18"/>
          <w:color w:val="002554"/>
        </w:rPr>
      </w:pPr>
    </w:p>
    <w:p>
      <w:pPr>
        <w:ind w:left="1340" w:right="1060" w:hanging="218"/>
        <w:spacing w:after="0" w:line="262" w:lineRule="auto"/>
        <w:tabs>
          <w:tab w:leader="none" w:pos="1340" w:val="left"/>
        </w:tabs>
        <w:numPr>
          <w:ilvl w:val="0"/>
          <w:numId w:val="18"/>
        </w:numPr>
        <w:rPr>
          <w:rFonts w:ascii="Arial" w:cs="Arial" w:eastAsia="Arial" w:hAnsi="Arial"/>
          <w:sz w:val="18"/>
          <w:szCs w:val="18"/>
          <w:color w:val="002554"/>
        </w:rPr>
      </w:pPr>
      <w:r>
        <w:rPr>
          <w:rFonts w:ascii="Arial" w:cs="Arial" w:eastAsia="Arial" w:hAnsi="Arial"/>
          <w:sz w:val="18"/>
          <w:szCs w:val="18"/>
          <w:color w:val="auto"/>
        </w:rPr>
        <w:t>an annual cash retainer of $150,000 for the non-executive chairman of the board of directors, $40,000 for the chair of the Audit Committee, $30,000 for the chair of the Compensation Committee, $30,000 for the chair of the Nominating and Corporate Governance Committee and $30,000 for the chair of the Risk Committee; and</w:t>
      </w:r>
    </w:p>
    <w:p>
      <w:pPr>
        <w:spacing w:after="0" w:line="68" w:lineRule="exact"/>
        <w:rPr>
          <w:rFonts w:ascii="Arial" w:cs="Arial" w:eastAsia="Arial" w:hAnsi="Arial"/>
          <w:sz w:val="18"/>
          <w:szCs w:val="18"/>
          <w:color w:val="002554"/>
        </w:rPr>
      </w:pPr>
    </w:p>
    <w:p>
      <w:pPr>
        <w:ind w:left="1340" w:right="880" w:hanging="218"/>
        <w:spacing w:after="0" w:line="268" w:lineRule="auto"/>
        <w:tabs>
          <w:tab w:leader="none" w:pos="1340" w:val="left"/>
        </w:tabs>
        <w:numPr>
          <w:ilvl w:val="0"/>
          <w:numId w:val="18"/>
        </w:numPr>
        <w:rPr>
          <w:rFonts w:ascii="Arial" w:cs="Arial" w:eastAsia="Arial" w:hAnsi="Arial"/>
          <w:sz w:val="18"/>
          <w:szCs w:val="18"/>
          <w:color w:val="002554"/>
        </w:rPr>
      </w:pPr>
      <w:r>
        <w:rPr>
          <w:rFonts w:ascii="Arial" w:cs="Arial" w:eastAsia="Arial" w:hAnsi="Arial"/>
          <w:sz w:val="18"/>
          <w:szCs w:val="18"/>
          <w:color w:val="auto"/>
        </w:rPr>
        <w:t>an annual cash retainer of $20,000 for members of the Audit Committee, $15,000 for members of the Compensation Committee, $15,000 for members of the Nominating and Corporate Governance Committee, and $15,000 for members of the Risk Committee.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compensation earned by our directors during the year ended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120" w:type="dxa"/>
            <w:vAlign w:val="bottom"/>
            <w:vMerge w:val="restart"/>
          </w:tcPr>
          <w:p>
            <w:pPr>
              <w:spacing w:after="0"/>
              <w:rPr>
                <w:sz w:val="20"/>
                <w:szCs w:val="20"/>
                <w:color w:val="auto"/>
              </w:rPr>
            </w:pPr>
            <w:r>
              <w:rPr>
                <w:rFonts w:ascii="Arial" w:cs="Arial" w:eastAsia="Arial" w:hAnsi="Arial"/>
                <w:sz w:val="14"/>
                <w:szCs w:val="14"/>
                <w:b w:val="1"/>
                <w:bCs w:val="1"/>
                <w:color w:val="002554"/>
              </w:rPr>
              <w:t>Name</w:t>
            </w:r>
          </w:p>
        </w:tc>
        <w:tc>
          <w:tcPr>
            <w:tcW w:w="12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002554"/>
              </w:rPr>
              <w:t>Fees Earned or</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002554"/>
              </w:rPr>
              <w:t>Equity</w:t>
            </w:r>
          </w:p>
        </w:tc>
        <w:tc>
          <w:tcPr>
            <w:tcW w:w="44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002554"/>
              </w:rPr>
              <w:t>All Other</w:t>
            </w:r>
          </w:p>
        </w:tc>
        <w:tc>
          <w:tcPr>
            <w:tcW w:w="46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002554"/>
              </w:rPr>
              <w:t>Total ($) ​</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5460" w:type="dxa"/>
            <w:vAlign w:val="bottom"/>
            <w:gridSpan w:val="9"/>
          </w:tcPr>
          <w:p>
            <w:pPr>
              <w:ind w:left="1060"/>
              <w:spacing w:after="0"/>
              <w:rPr>
                <w:sz w:val="20"/>
                <w:szCs w:val="20"/>
                <w:color w:val="auto"/>
              </w:rPr>
            </w:pPr>
            <w:r>
              <w:rPr>
                <w:rFonts w:ascii="Arial" w:cs="Arial" w:eastAsia="Arial" w:hAnsi="Arial"/>
                <w:sz w:val="14"/>
                <w:szCs w:val="14"/>
                <w:b w:val="1"/>
                <w:bCs w:val="1"/>
                <w:color w:val="002554"/>
              </w:rPr>
              <w:t>​ ​ Paid in Cash ($)(1) ​ ​ Award(s)(2)(3) ​ ​ Compensation ($) ​ ​</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120" w:type="dxa"/>
            <w:vAlign w:val="bottom"/>
            <w:tcBorders>
              <w:top w:val="single" w:sz="8" w:color="00C389"/>
              <w:bottom w:val="single" w:sz="8" w:color="00C389"/>
            </w:tcBorders>
            <w:shd w:val="clear" w:color="auto" w:fill="CCEEFF"/>
          </w:tcPr>
          <w:p>
            <w:pPr>
              <w:spacing w:after="0" w:line="182" w:lineRule="exact"/>
              <w:rPr>
                <w:sz w:val="20"/>
                <w:szCs w:val="20"/>
                <w:color w:val="auto"/>
              </w:rPr>
            </w:pPr>
            <w:r>
              <w:rPr>
                <w:rFonts w:ascii="Arial" w:cs="Arial" w:eastAsia="Arial" w:hAnsi="Arial"/>
                <w:sz w:val="18"/>
                <w:szCs w:val="18"/>
                <w:color w:val="auto"/>
              </w:rPr>
              <w:t>Douglas A. Cifu</w:t>
            </w:r>
          </w:p>
        </w:tc>
        <w:tc>
          <w:tcPr>
            <w:tcW w:w="1280" w:type="dxa"/>
            <w:vAlign w:val="bottom"/>
            <w:tcBorders>
              <w:top w:val="single" w:sz="8" w:color="00C389"/>
              <w:bottom w:val="single" w:sz="8" w:color="00C389"/>
            </w:tcBorders>
            <w:shd w:val="clear" w:color="auto" w:fill="CCEEFF"/>
          </w:tcPr>
          <w:p>
            <w:pPr>
              <w:ind w:left="1060"/>
              <w:spacing w:after="0" w:line="182" w:lineRule="exact"/>
              <w:rPr>
                <w:sz w:val="20"/>
                <w:szCs w:val="20"/>
                <w:color w:val="auto"/>
              </w:rPr>
            </w:pPr>
            <w:r>
              <w:rPr>
                <w:rFonts w:ascii="Arial" w:cs="Arial" w:eastAsia="Arial" w:hAnsi="Arial"/>
                <w:sz w:val="18"/>
                <w:szCs w:val="18"/>
                <w:color w:val="auto"/>
              </w:rPr>
              <w:t>​ ​</w:t>
            </w:r>
          </w:p>
        </w:tc>
        <w:tc>
          <w:tcPr>
            <w:tcW w:w="340" w:type="dxa"/>
            <w:vAlign w:val="bottom"/>
            <w:tcBorders>
              <w:top w:val="single" w:sz="8" w:color="00C389"/>
              <w:bottom w:val="single" w:sz="8" w:color="00C389"/>
            </w:tcBorders>
            <w:shd w:val="clear" w:color="auto" w:fill="CCEEFF"/>
          </w:tcPr>
          <w:p>
            <w:pPr>
              <w:ind w:left="26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00C389"/>
              <w:bottom w:val="single" w:sz="8" w:color="00C389"/>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00C389"/>
              <w:bottom w:val="single" w:sz="8" w:color="00C389"/>
            </w:tcBorders>
            <w:shd w:val="clear" w:color="auto" w:fill="CCEEFF"/>
          </w:tcPr>
          <w:p>
            <w:pPr>
              <w:ind w:left="60"/>
              <w:spacing w:after="0" w:line="182"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00C389"/>
              <w:bottom w:val="single" w:sz="8" w:color="00C389"/>
            </w:tcBorders>
            <w:shd w:val="clear" w:color="auto" w:fill="CCEEFF"/>
          </w:tcPr>
          <w:p>
            <w:pPr>
              <w:ind w:left="80"/>
              <w:spacing w:after="0" w:line="182"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00C389"/>
              <w:bottom w:val="single" w:sz="8" w:color="00C389"/>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00C389"/>
              <w:bottom w:val="single" w:sz="8" w:color="00C389"/>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 ​</w:t>
            </w:r>
          </w:p>
        </w:tc>
        <w:tc>
          <w:tcPr>
            <w:tcW w:w="920" w:type="dxa"/>
            <w:vAlign w:val="bottom"/>
            <w:tcBorders>
              <w:top w:val="single" w:sz="8" w:color="00C389"/>
              <w:bottom w:val="single" w:sz="8" w:color="00C389"/>
            </w:tcBorders>
            <w:shd w:val="clear" w:color="auto" w:fill="CCEEFF"/>
          </w:tcPr>
          <w:p>
            <w:pPr>
              <w:ind w:left="380"/>
              <w:spacing w:after="0" w:line="18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460" w:type="dxa"/>
            <w:vAlign w:val="bottom"/>
            <w:tcBorders>
              <w:top w:val="single" w:sz="8" w:color="00C389"/>
              <w:bottom w:val="single" w:sz="8" w:color="00C389"/>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0" w:type="dxa"/>
            <w:vAlign w:val="bottom"/>
            <w:tcBorders>
              <w:top w:val="single" w:sz="8" w:color="00C389"/>
              <w:bottom w:val="single" w:sz="8" w:color="00C389"/>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120" w:type="dxa"/>
            <w:vAlign w:val="bottom"/>
            <w:tcBorders>
              <w:bottom w:val="single" w:sz="8" w:color="00C389"/>
            </w:tcBorders>
          </w:tcPr>
          <w:p>
            <w:pPr>
              <w:spacing w:after="0" w:line="182" w:lineRule="exact"/>
              <w:rPr>
                <w:sz w:val="20"/>
                <w:szCs w:val="20"/>
                <w:color w:val="auto"/>
              </w:rPr>
            </w:pPr>
            <w:r>
              <w:rPr>
                <w:rFonts w:ascii="Arial" w:cs="Arial" w:eastAsia="Arial" w:hAnsi="Arial"/>
                <w:sz w:val="18"/>
                <w:szCs w:val="18"/>
                <w:color w:val="auto"/>
              </w:rPr>
              <w:t>William F. Cruger, Jr</w:t>
            </w:r>
          </w:p>
        </w:tc>
        <w:tc>
          <w:tcPr>
            <w:tcW w:w="1280" w:type="dxa"/>
            <w:vAlign w:val="bottom"/>
            <w:tcBorders>
              <w:bottom w:val="single" w:sz="8" w:color="00C389"/>
            </w:tcBorders>
          </w:tcPr>
          <w:p>
            <w:pPr>
              <w:ind w:left="1060"/>
              <w:spacing w:after="0" w:line="182"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00C389"/>
            </w:tcBorders>
            <w:gridSpan w:val="2"/>
          </w:tcPr>
          <w:p>
            <w:pPr>
              <w:jc w:val="right"/>
              <w:ind w:right="150"/>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360" w:type="dxa"/>
            <w:vAlign w:val="bottom"/>
            <w:tcBorders>
              <w:bottom w:val="single" w:sz="8" w:color="00C389"/>
            </w:tcBorders>
          </w:tcPr>
          <w:p>
            <w:pPr>
              <w:ind w:left="60"/>
              <w:spacing w:after="0" w:line="182"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tcPr>
          <w:p>
            <w:pPr>
              <w:ind w:left="80"/>
              <w:spacing w:after="0" w:line="182"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tcPr>
          <w:p>
            <w:pPr>
              <w:ind w:left="380"/>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tcPr>
          <w:p>
            <w:pPr>
              <w:jc w:val="right"/>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235,000​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120" w:type="dxa"/>
            <w:vAlign w:val="bottom"/>
            <w:tcBorders>
              <w:bottom w:val="single" w:sz="8" w:color="00C389"/>
            </w:tcBorders>
            <w:shd w:val="clear" w:color="auto" w:fill="CCEEFF"/>
          </w:tcPr>
          <w:p>
            <w:pPr>
              <w:spacing w:after="0" w:line="182" w:lineRule="exact"/>
              <w:rPr>
                <w:sz w:val="20"/>
                <w:szCs w:val="20"/>
                <w:color w:val="auto"/>
              </w:rPr>
            </w:pPr>
            <w:r>
              <w:rPr>
                <w:rFonts w:ascii="Arial" w:cs="Arial" w:eastAsia="Arial" w:hAnsi="Arial"/>
                <w:sz w:val="18"/>
                <w:szCs w:val="18"/>
                <w:color w:val="auto"/>
              </w:rPr>
              <w:t>Virginia Gambale(4)</w:t>
            </w:r>
          </w:p>
        </w:tc>
        <w:tc>
          <w:tcPr>
            <w:tcW w:w="1280" w:type="dxa"/>
            <w:vAlign w:val="bottom"/>
            <w:tcBorders>
              <w:bottom w:val="single" w:sz="8" w:color="00C389"/>
            </w:tcBorders>
            <w:shd w:val="clear" w:color="auto" w:fill="CCEEFF"/>
          </w:tcPr>
          <w:p>
            <w:pPr>
              <w:ind w:left="1060"/>
              <w:spacing w:after="0" w:line="182"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shd w:val="clear" w:color="auto" w:fill="CCEEFF"/>
          </w:tcPr>
          <w:p>
            <w:pPr>
              <w:ind w:left="26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rPr>
              <w:t>84,990</w:t>
            </w:r>
          </w:p>
        </w:tc>
        <w:tc>
          <w:tcPr>
            <w:tcW w:w="360" w:type="dxa"/>
            <w:vAlign w:val="bottom"/>
            <w:tcBorders>
              <w:bottom w:val="single" w:sz="8" w:color="00C389"/>
            </w:tcBorders>
            <w:shd w:val="clear" w:color="auto" w:fill="CCEEFF"/>
          </w:tcPr>
          <w:p>
            <w:pPr>
              <w:ind w:left="60"/>
              <w:spacing w:after="0" w:line="182"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80"/>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219,990​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tcPr>
          <w:p>
            <w:pPr>
              <w:spacing w:after="0" w:line="196" w:lineRule="exact"/>
              <w:rPr>
                <w:sz w:val="20"/>
                <w:szCs w:val="20"/>
                <w:color w:val="auto"/>
              </w:rPr>
            </w:pPr>
            <w:r>
              <w:rPr>
                <w:rFonts w:ascii="Arial" w:cs="Arial" w:eastAsia="Arial" w:hAnsi="Arial"/>
                <w:sz w:val="18"/>
                <w:szCs w:val="18"/>
                <w:color w:val="auto"/>
              </w:rPr>
              <w:t>Joseph J. Grano, Jr.</w:t>
            </w:r>
          </w:p>
        </w:tc>
        <w:tc>
          <w:tcPr>
            <w:tcW w:w="1280" w:type="dxa"/>
            <w:vAlign w:val="bottom"/>
            <w:tcBorders>
              <w:bottom w:val="single" w:sz="8" w:color="00C389"/>
            </w:tcBorders>
          </w:tcPr>
          <w:p>
            <w:pPr>
              <w:ind w:left="1060"/>
              <w:spacing w:after="0" w:line="196"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tcPr>
          <w:p>
            <w:pPr>
              <w:jc w:val="right"/>
              <w:ind w:right="150"/>
              <w:spacing w:after="0" w:line="196" w:lineRule="exact"/>
              <w:rPr>
                <w:sz w:val="20"/>
                <w:szCs w:val="20"/>
                <w:color w:val="auto"/>
              </w:rPr>
            </w:pPr>
            <w:r>
              <w:rPr>
                <w:rFonts w:ascii="Arial" w:cs="Arial" w:eastAsia="Arial" w:hAnsi="Arial"/>
                <w:sz w:val="18"/>
                <w:szCs w:val="18"/>
                <w:color w:val="auto"/>
              </w:rPr>
              <w:t>85,000</w:t>
            </w:r>
          </w:p>
        </w:tc>
        <w:tc>
          <w:tcPr>
            <w:tcW w:w="360" w:type="dxa"/>
            <w:vAlign w:val="bottom"/>
            <w:tcBorders>
              <w:bottom w:val="single" w:sz="8" w:color="00C389"/>
            </w:tcBorders>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220,000​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shd w:val="clear" w:color="auto" w:fill="CCEEFF"/>
          </w:tcPr>
          <w:p>
            <w:pPr>
              <w:spacing w:after="0" w:line="196" w:lineRule="exact"/>
              <w:rPr>
                <w:sz w:val="20"/>
                <w:szCs w:val="20"/>
                <w:color w:val="auto"/>
              </w:rPr>
            </w:pPr>
            <w:r>
              <w:rPr>
                <w:rFonts w:ascii="Arial" w:cs="Arial" w:eastAsia="Arial" w:hAnsi="Arial"/>
                <w:sz w:val="18"/>
                <w:szCs w:val="18"/>
                <w:color w:val="auto"/>
              </w:rPr>
              <w:t>Robert Greifeld</w:t>
            </w:r>
          </w:p>
        </w:tc>
        <w:tc>
          <w:tcPr>
            <w:tcW w:w="1280" w:type="dxa"/>
            <w:vAlign w:val="bottom"/>
            <w:tcBorders>
              <w:bottom w:val="single" w:sz="8" w:color="00C389"/>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00C389"/>
            </w:tcBorders>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240,000</w:t>
            </w:r>
          </w:p>
        </w:tc>
        <w:tc>
          <w:tcPr>
            <w:tcW w:w="360" w:type="dxa"/>
            <w:vAlign w:val="bottom"/>
            <w:tcBorders>
              <w:bottom w:val="single" w:sz="8" w:color="00C389"/>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375,000​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tcPr>
          <w:p>
            <w:pPr>
              <w:spacing w:after="0" w:line="196" w:lineRule="exact"/>
              <w:rPr>
                <w:sz w:val="20"/>
                <w:szCs w:val="20"/>
                <w:color w:val="auto"/>
              </w:rPr>
            </w:pPr>
            <w:r>
              <w:rPr>
                <w:rFonts w:ascii="Arial" w:cs="Arial" w:eastAsia="Arial" w:hAnsi="Arial"/>
                <w:sz w:val="18"/>
                <w:szCs w:val="18"/>
                <w:color w:val="auto"/>
              </w:rPr>
              <w:t>Glenn Hutchins(5)</w:t>
            </w:r>
          </w:p>
        </w:tc>
        <w:tc>
          <w:tcPr>
            <w:tcW w:w="1280" w:type="dxa"/>
            <w:vAlign w:val="bottom"/>
            <w:tcBorders>
              <w:bottom w:val="single" w:sz="8" w:color="00C389"/>
            </w:tcBorders>
          </w:tcPr>
          <w:p>
            <w:pPr>
              <w:ind w:left="1060"/>
              <w:spacing w:after="0" w:line="196"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tcPr>
          <w:p>
            <w:pPr>
              <w:jc w:val="right"/>
              <w:ind w:right="150"/>
              <w:spacing w:after="0" w:line="196" w:lineRule="exact"/>
              <w:rPr>
                <w:sz w:val="20"/>
                <w:szCs w:val="20"/>
                <w:color w:val="auto"/>
              </w:rPr>
            </w:pPr>
            <w:r>
              <w:rPr>
                <w:rFonts w:ascii="Arial" w:cs="Arial" w:eastAsia="Arial" w:hAnsi="Arial"/>
                <w:sz w:val="18"/>
                <w:szCs w:val="18"/>
                <w:color w:val="auto"/>
              </w:rPr>
              <w:t>59,758</w:t>
            </w:r>
          </w:p>
        </w:tc>
        <w:tc>
          <w:tcPr>
            <w:tcW w:w="360" w:type="dxa"/>
            <w:vAlign w:val="bottom"/>
            <w:tcBorders>
              <w:bottom w:val="single" w:sz="8" w:color="00C389"/>
            </w:tcBorders>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194,758​</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shd w:val="clear" w:color="auto" w:fill="CCEEFF"/>
          </w:tcPr>
          <w:p>
            <w:pPr>
              <w:spacing w:after="0" w:line="196" w:lineRule="exact"/>
              <w:rPr>
                <w:sz w:val="20"/>
                <w:szCs w:val="20"/>
                <w:color w:val="auto"/>
              </w:rPr>
            </w:pPr>
            <w:r>
              <w:rPr>
                <w:rFonts w:ascii="Arial" w:cs="Arial" w:eastAsia="Arial" w:hAnsi="Arial"/>
                <w:sz w:val="18"/>
                <w:szCs w:val="18"/>
                <w:color w:val="auto"/>
              </w:rPr>
              <w:t>Joanne M. Minieri(6)</w:t>
            </w:r>
          </w:p>
        </w:tc>
        <w:tc>
          <w:tcPr>
            <w:tcW w:w="1280" w:type="dxa"/>
            <w:vAlign w:val="bottom"/>
            <w:tcBorders>
              <w:bottom w:val="single" w:sz="8" w:color="00C389"/>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56,062</w:t>
            </w:r>
          </w:p>
        </w:tc>
        <w:tc>
          <w:tcPr>
            <w:tcW w:w="360" w:type="dxa"/>
            <w:vAlign w:val="bottom"/>
            <w:tcBorders>
              <w:bottom w:val="single" w:sz="8" w:color="00C389"/>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16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0C389"/>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44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60" w:type="dxa"/>
            <w:vAlign w:val="bottom"/>
            <w:tcBorders>
              <w:bottom w:val="single" w:sz="8" w:color="00C389"/>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0" w:type="dxa"/>
            <w:vAlign w:val="bottom"/>
            <w:tcBorders>
              <w:bottom w:val="single" w:sz="8" w:color="00C389"/>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81,062​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tcPr>
          <w:p>
            <w:pPr>
              <w:spacing w:after="0" w:line="196" w:lineRule="exact"/>
              <w:rPr>
                <w:sz w:val="20"/>
                <w:szCs w:val="20"/>
                <w:color w:val="auto"/>
              </w:rPr>
            </w:pPr>
            <w:r>
              <w:rPr>
                <w:rFonts w:ascii="Arial" w:cs="Arial" w:eastAsia="Arial" w:hAnsi="Arial"/>
                <w:sz w:val="18"/>
                <w:szCs w:val="18"/>
                <w:color w:val="auto"/>
              </w:rPr>
              <w:t>John D. Nixon</w:t>
            </w:r>
          </w:p>
        </w:tc>
        <w:tc>
          <w:tcPr>
            <w:tcW w:w="1280" w:type="dxa"/>
            <w:vAlign w:val="bottom"/>
            <w:tcBorders>
              <w:bottom w:val="single" w:sz="8" w:color="00C389"/>
            </w:tcBorders>
          </w:tcPr>
          <w:p>
            <w:pPr>
              <w:ind w:left="1060"/>
              <w:spacing w:after="0" w:line="196"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00C389"/>
            </w:tcBorders>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147,742</w:t>
            </w:r>
          </w:p>
        </w:tc>
        <w:tc>
          <w:tcPr>
            <w:tcW w:w="360" w:type="dxa"/>
            <w:vAlign w:val="bottom"/>
            <w:tcBorders>
              <w:bottom w:val="single" w:sz="8" w:color="00C389"/>
            </w:tcBorders>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282,742​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shd w:val="clear" w:color="auto" w:fill="CCEEFF"/>
          </w:tcPr>
          <w:p>
            <w:pPr>
              <w:spacing w:after="0" w:line="196" w:lineRule="exact"/>
              <w:rPr>
                <w:sz w:val="20"/>
                <w:szCs w:val="20"/>
                <w:color w:val="auto"/>
              </w:rPr>
            </w:pPr>
            <w:r>
              <w:rPr>
                <w:rFonts w:ascii="Arial" w:cs="Arial" w:eastAsia="Arial" w:hAnsi="Arial"/>
                <w:sz w:val="18"/>
                <w:szCs w:val="18"/>
                <w:color w:val="auto"/>
              </w:rPr>
              <w:t>Christopher C. Quick</w:t>
            </w:r>
          </w:p>
        </w:tc>
        <w:tc>
          <w:tcPr>
            <w:tcW w:w="1280" w:type="dxa"/>
            <w:vAlign w:val="bottom"/>
            <w:tcBorders>
              <w:bottom w:val="single" w:sz="8" w:color="00C389"/>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97,359</w:t>
            </w:r>
          </w:p>
        </w:tc>
        <w:tc>
          <w:tcPr>
            <w:tcW w:w="360" w:type="dxa"/>
            <w:vAlign w:val="bottom"/>
            <w:tcBorders>
              <w:bottom w:val="single" w:sz="8" w:color="00C389"/>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232,359​</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tcPr>
          <w:p>
            <w:pPr>
              <w:spacing w:after="0" w:line="196" w:lineRule="exact"/>
              <w:rPr>
                <w:sz w:val="20"/>
                <w:szCs w:val="20"/>
                <w:color w:val="auto"/>
              </w:rPr>
            </w:pPr>
            <w:r>
              <w:rPr>
                <w:rFonts w:ascii="Arial" w:cs="Arial" w:eastAsia="Arial" w:hAnsi="Arial"/>
                <w:sz w:val="18"/>
                <w:szCs w:val="18"/>
                <w:color w:val="auto"/>
              </w:rPr>
              <w:t>John F. (Jack) Sandner(5)</w:t>
            </w:r>
          </w:p>
        </w:tc>
        <w:tc>
          <w:tcPr>
            <w:tcW w:w="1280" w:type="dxa"/>
            <w:vAlign w:val="bottom"/>
            <w:tcBorders>
              <w:bottom w:val="single" w:sz="8" w:color="00C389"/>
            </w:tcBorders>
          </w:tcPr>
          <w:p>
            <w:pPr>
              <w:ind w:left="1060"/>
              <w:spacing w:after="0" w:line="196"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00C389"/>
            </w:tcBorders>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430,000</w:t>
            </w:r>
          </w:p>
        </w:tc>
        <w:tc>
          <w:tcPr>
            <w:tcW w:w="360" w:type="dxa"/>
            <w:vAlign w:val="bottom"/>
            <w:tcBorders>
              <w:bottom w:val="single" w:sz="8" w:color="00C389"/>
            </w:tcBorders>
          </w:tcPr>
          <w:p>
            <w:pPr>
              <w:ind w:left="60"/>
              <w:spacing w:after="0" w:line="196" w:lineRule="exact"/>
              <w:rPr>
                <w:sz w:val="20"/>
                <w:szCs w:val="20"/>
                <w:color w:val="auto"/>
              </w:rPr>
            </w:pPr>
            <w:r>
              <w:rPr>
                <w:rFonts w:ascii="Arial" w:cs="Arial" w:eastAsia="Arial" w:hAnsi="Arial"/>
                <w:sz w:val="18"/>
                <w:szCs w:val="18"/>
                <w:color w:val="auto"/>
              </w:rPr>
              <w:t>​​ ​</w:t>
            </w:r>
          </w:p>
        </w:tc>
        <w:tc>
          <w:tcPr>
            <w:tcW w:w="160" w:type="dxa"/>
            <w:vAlign w:val="bottom"/>
            <w:tcBorders>
              <w:bottom w:val="single" w:sz="8" w:color="00C389"/>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0C389"/>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0C389"/>
            </w:tcBorders>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60" w:type="dxa"/>
            <w:vAlign w:val="bottom"/>
            <w:tcBorders>
              <w:bottom w:val="single" w:sz="8" w:color="00C389"/>
            </w:tcBorders>
          </w:tcPr>
          <w:p>
            <w:pPr>
              <w:ind w:left="16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0" w:type="dxa"/>
            <w:vAlign w:val="bottom"/>
            <w:tcBorders>
              <w:bottom w:val="single" w:sz="8" w:color="00C389"/>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shd w:val="clear" w:color="auto" w:fill="CCEEFF"/>
          </w:tcPr>
          <w:p>
            <w:pPr>
              <w:spacing w:after="0" w:line="196" w:lineRule="exact"/>
              <w:rPr>
                <w:sz w:val="20"/>
                <w:szCs w:val="20"/>
                <w:color w:val="auto"/>
              </w:rPr>
            </w:pPr>
            <w:r>
              <w:rPr>
                <w:rFonts w:ascii="Arial" w:cs="Arial" w:eastAsia="Arial" w:hAnsi="Arial"/>
                <w:sz w:val="18"/>
                <w:szCs w:val="18"/>
                <w:color w:val="auto"/>
              </w:rPr>
              <w:t>David Urban</w:t>
            </w:r>
          </w:p>
        </w:tc>
        <w:tc>
          <w:tcPr>
            <w:tcW w:w="1280" w:type="dxa"/>
            <w:vAlign w:val="bottom"/>
            <w:tcBorders>
              <w:bottom w:val="single" w:sz="8" w:color="00C389"/>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82,500</w:t>
            </w:r>
          </w:p>
        </w:tc>
        <w:tc>
          <w:tcPr>
            <w:tcW w:w="360" w:type="dxa"/>
            <w:vAlign w:val="bottom"/>
            <w:tcBorders>
              <w:bottom w:val="single" w:sz="8" w:color="00C389"/>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217,500​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tcPr>
          <w:p>
            <w:pPr>
              <w:spacing w:after="0" w:line="196" w:lineRule="exact"/>
              <w:rPr>
                <w:sz w:val="20"/>
                <w:szCs w:val="20"/>
                <w:color w:val="auto"/>
              </w:rPr>
            </w:pPr>
            <w:r>
              <w:rPr>
                <w:rFonts w:ascii="Arial" w:cs="Arial" w:eastAsia="Arial" w:hAnsi="Arial"/>
                <w:sz w:val="18"/>
                <w:szCs w:val="18"/>
                <w:color w:val="auto"/>
              </w:rPr>
              <w:t>Michael T. Viola</w:t>
            </w:r>
          </w:p>
        </w:tc>
        <w:tc>
          <w:tcPr>
            <w:tcW w:w="1280" w:type="dxa"/>
            <w:vAlign w:val="bottom"/>
            <w:tcBorders>
              <w:bottom w:val="single" w:sz="8" w:color="00C389"/>
            </w:tcBorders>
          </w:tcPr>
          <w:p>
            <w:pPr>
              <w:ind w:left="1060"/>
              <w:spacing w:after="0" w:line="196" w:lineRule="exact"/>
              <w:rPr>
                <w:sz w:val="20"/>
                <w:szCs w:val="20"/>
                <w:color w:val="auto"/>
              </w:rPr>
            </w:pPr>
            <w:r>
              <w:rPr>
                <w:rFonts w:ascii="Arial" w:cs="Arial" w:eastAsia="Arial" w:hAnsi="Arial"/>
                <w:sz w:val="18"/>
                <w:szCs w:val="18"/>
                <w:color w:val="auto"/>
              </w:rPr>
              <w:t>​ ​</w:t>
            </w:r>
          </w:p>
        </w:tc>
        <w:tc>
          <w:tcPr>
            <w:tcW w:w="1160" w:type="dxa"/>
            <w:vAlign w:val="bottom"/>
            <w:tcBorders>
              <w:bottom w:val="single" w:sz="8" w:color="00C389"/>
            </w:tcBorders>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115,000</w:t>
            </w:r>
          </w:p>
        </w:tc>
        <w:tc>
          <w:tcPr>
            <w:tcW w:w="360" w:type="dxa"/>
            <w:vAlign w:val="bottom"/>
            <w:tcBorders>
              <w:bottom w:val="single" w:sz="8" w:color="00C389"/>
            </w:tcBorders>
          </w:tcPr>
          <w:p>
            <w:pPr>
              <w:ind w:left="60"/>
              <w:spacing w:after="0" w:line="196" w:lineRule="exact"/>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135,000</w:t>
            </w:r>
          </w:p>
        </w:tc>
        <w:tc>
          <w:tcPr>
            <w:tcW w:w="440" w:type="dxa"/>
            <w:vAlign w:val="bottom"/>
            <w:tcBorders>
              <w:bottom w:val="single" w:sz="8" w:color="00C389"/>
            </w:tcBorders>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60" w:type="dxa"/>
            <w:vAlign w:val="bottom"/>
            <w:tcBorders>
              <w:bottom w:val="single" w:sz="8" w:color="00C389"/>
            </w:tcBorders>
            <w:gridSpan w:val="2"/>
          </w:tcPr>
          <w:p>
            <w:pPr>
              <w:jc w:val="right"/>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250,000​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20" w:type="dxa"/>
            <w:vAlign w:val="bottom"/>
            <w:tcBorders>
              <w:bottom w:val="single" w:sz="8" w:color="00C389"/>
            </w:tcBorders>
            <w:shd w:val="clear" w:color="auto" w:fill="CCEEFF"/>
          </w:tcPr>
          <w:p>
            <w:pPr>
              <w:spacing w:after="0" w:line="196" w:lineRule="exact"/>
              <w:rPr>
                <w:sz w:val="20"/>
                <w:szCs w:val="20"/>
                <w:color w:val="auto"/>
              </w:rPr>
            </w:pPr>
            <w:r>
              <w:rPr>
                <w:rFonts w:ascii="Arial" w:cs="Arial" w:eastAsia="Arial" w:hAnsi="Arial"/>
                <w:sz w:val="18"/>
                <w:szCs w:val="18"/>
                <w:color w:val="auto"/>
              </w:rPr>
              <w:t>Vincent Viola</w:t>
            </w:r>
          </w:p>
        </w:tc>
        <w:tc>
          <w:tcPr>
            <w:tcW w:w="1280" w:type="dxa"/>
            <w:vAlign w:val="bottom"/>
            <w:tcBorders>
              <w:bottom w:val="single" w:sz="8" w:color="00C389"/>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rPr>
              <w:t>​ ​</w:t>
            </w:r>
          </w:p>
        </w:tc>
        <w:tc>
          <w:tcPr>
            <w:tcW w:w="340" w:type="dxa"/>
            <w:vAlign w:val="bottom"/>
            <w:tcBorders>
              <w:bottom w:val="single" w:sz="8" w:color="00C389"/>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0C389"/>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 ​</w:t>
            </w:r>
          </w:p>
        </w:tc>
        <w:tc>
          <w:tcPr>
            <w:tcW w:w="16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0C389"/>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0C389"/>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 ​</w:t>
            </w:r>
          </w:p>
        </w:tc>
        <w:tc>
          <w:tcPr>
            <w:tcW w:w="920" w:type="dxa"/>
            <w:vAlign w:val="bottom"/>
            <w:tcBorders>
              <w:bottom w:val="single" w:sz="8" w:color="00C389"/>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60" w:type="dxa"/>
            <w:vAlign w:val="bottom"/>
            <w:tcBorders>
              <w:bottom w:val="single" w:sz="8" w:color="00C389"/>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0" w:type="dxa"/>
            <w:vAlign w:val="bottom"/>
            <w:tcBorders>
              <w:bottom w:val="single" w:sz="8" w:color="00C389"/>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0"/>
        </w:trPr>
        <w:tc>
          <w:tcPr>
            <w:tcW w:w="7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​40</w:t>
            </w:r>
          </w:p>
        </w:tc>
        <w:tc>
          <w:tcPr>
            <w:tcW w:w="12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gridSpan w:val="4"/>
          </w:tcPr>
          <w:p>
            <w:pPr>
              <w:ind w:left="200"/>
              <w:spacing w:after="0"/>
              <w:rPr>
                <w:sz w:val="20"/>
                <w:szCs w:val="20"/>
                <w:color w:val="auto"/>
              </w:rPr>
            </w:pPr>
            <w:r>
              <w:rPr>
                <w:rFonts w:ascii="Arial" w:cs="Arial" w:eastAsia="Arial" w:hAnsi="Arial"/>
                <w:sz w:val="18"/>
                <w:szCs w:val="18"/>
                <w:color w:val="auto"/>
              </w:rPr>
              <w:t>2022 Proxy Statement​</w:t>
            </w:r>
          </w:p>
        </w:tc>
        <w:tc>
          <w:tcPr>
            <w:tcW w:w="0" w:type="dxa"/>
            <w:vAlign w:val="bottom"/>
          </w:tcPr>
          <w:p>
            <w:pPr>
              <w:spacing w:after="0"/>
              <w:rPr>
                <w:sz w:val="1"/>
                <w:szCs w:val="1"/>
                <w:color w:val="auto"/>
              </w:rPr>
            </w:pPr>
          </w:p>
        </w:tc>
      </w:tr>
      <w:tr>
        <w:trPr>
          <w:trHeight w:val="556"/>
        </w:trPr>
        <w:tc>
          <w:tcPr>
            <w:tcW w:w="7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-608330</wp:posOffset>
            </wp:positionV>
            <wp:extent cx="754380"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COMPENSATION OF DIRECTORS</w:t>
      </w:r>
    </w:p>
    <w:p>
      <w:pPr>
        <w:spacing w:after="0" w:line="235" w:lineRule="exact"/>
        <w:rPr>
          <w:sz w:val="20"/>
          <w:szCs w:val="20"/>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fees allocable to fiscal year 2021.</w:t>
      </w:r>
    </w:p>
    <w:p>
      <w:pPr>
        <w:spacing w:after="0" w:line="122" w:lineRule="exact"/>
        <w:rPr>
          <w:rFonts w:ascii="Arial" w:cs="Arial" w:eastAsia="Arial" w:hAnsi="Arial"/>
          <w:sz w:val="14"/>
          <w:szCs w:val="14"/>
          <w:color w:val="auto"/>
        </w:rPr>
      </w:pPr>
    </w:p>
    <w:p>
      <w:pPr>
        <w:ind w:left="980" w:right="180" w:hanging="218"/>
        <w:spacing w:after="0" w:line="282"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19 of the Company’s audited financial statements for the fiscal year ended December 31, 2021, included in our Annual Report on Form 10-K for the fiscal year ended December 31, 2021.</w:t>
      </w:r>
    </w:p>
    <w:p>
      <w:pPr>
        <w:spacing w:after="0" w:line="80" w:lineRule="exact"/>
        <w:rPr>
          <w:rFonts w:ascii="Arial" w:cs="Arial" w:eastAsia="Arial" w:hAnsi="Arial"/>
          <w:sz w:val="14"/>
          <w:szCs w:val="14"/>
          <w:color w:val="auto"/>
        </w:rPr>
      </w:pPr>
    </w:p>
    <w:p>
      <w:pPr>
        <w:ind w:left="980" w:right="60" w:hanging="218"/>
        <w:spacing w:after="0" w:line="282"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December 31, 2021, Mmes. Gambale and Minieri, and Messrs. Cruger, Grano, Greifeld, Hutchins, Nixon, Quick, Urban, and Michael Viola each held 4,880 unvested restricted stock units of the Company. In addition, as of December 31, 2021, Vincent Viola held 693,750 stock options of the Company, all of which were vested and exercisable. For outstanding equity awards held by Mr. Cifu, please see “Outstanding Equity Awards at End of Fiscal Year 2021” above.</w:t>
      </w:r>
    </w:p>
    <w:p>
      <w:pPr>
        <w:spacing w:after="0" w:line="66" w:lineRule="exact"/>
        <w:rPr>
          <w:rFonts w:ascii="Arial" w:cs="Arial" w:eastAsia="Arial" w:hAnsi="Arial"/>
          <w:sz w:val="14"/>
          <w:szCs w:val="14"/>
          <w:color w:val="auto"/>
        </w:rPr>
      </w:pPr>
    </w:p>
    <w:p>
      <w:pPr>
        <w:ind w:left="980" w:right="46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Gambale was appointed to our board of directors on January 29, 2020 and received a prorated partial year grant of 3,706 restricted stock units for the board year 2019-2020 on January 29, 2020 which vested July 1, 2020.</w:t>
      </w:r>
    </w:p>
    <w:p>
      <w:pPr>
        <w:spacing w:after="0" w:line="63" w:lineRule="exact"/>
        <w:rPr>
          <w:rFonts w:ascii="Arial" w:cs="Arial" w:eastAsia="Arial" w:hAnsi="Arial"/>
          <w:sz w:val="14"/>
          <w:szCs w:val="14"/>
          <w:color w:val="auto"/>
        </w:rPr>
      </w:pPr>
    </w:p>
    <w:p>
      <w:pPr>
        <w:ind w:left="980" w:hanging="218"/>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Messrs. Hutchins and Sandner are no longer on our board of directors.</w:t>
      </w:r>
    </w:p>
    <w:p>
      <w:pPr>
        <w:spacing w:after="0" w:line="122" w:lineRule="exact"/>
        <w:rPr>
          <w:rFonts w:ascii="Arial" w:cs="Arial" w:eastAsia="Arial" w:hAnsi="Arial"/>
          <w:sz w:val="14"/>
          <w:szCs w:val="14"/>
          <w:color w:val="auto"/>
        </w:rPr>
      </w:pPr>
    </w:p>
    <w:p>
      <w:pPr>
        <w:ind w:left="980" w:right="240" w:hanging="218"/>
        <w:spacing w:after="0" w:line="305"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Minieri was appointed to our board of directors on April 26, 2021 and received a prorated partial year grant of 807 restricted stock units for the board year 2020-2021 on April 27, 2021 which vested July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5678170</wp:posOffset>
            </wp:positionV>
            <wp:extent cx="754380"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000"/>
        <w:spacing w:after="0" w:line="247" w:lineRule="auto"/>
        <w:rPr>
          <w:sz w:val="20"/>
          <w:szCs w:val="20"/>
          <w:color w:val="auto"/>
        </w:rPr>
      </w:pPr>
      <w:r>
        <w:rPr>
          <w:rFonts w:ascii="Arial" w:cs="Arial" w:eastAsia="Arial" w:hAnsi="Arial"/>
          <w:sz w:val="53"/>
          <w:szCs w:val="53"/>
          <w:color w:val="002554"/>
        </w:rPr>
        <w:t>Proposal 3: Ratification of Appointment of Independent Registered Public Accounting Firm</w:t>
      </w:r>
    </w:p>
    <w:p>
      <w:pPr>
        <w:spacing w:after="0" w:line="46"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2022. Stockholder ratification of the appointment of PricewaterhouseCoopers LLP is not required by law.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75" w:lineRule="exact"/>
        <w:rPr>
          <w:sz w:val="20"/>
          <w:szCs w:val="20"/>
          <w:color w:val="auto"/>
        </w:rPr>
      </w:pPr>
    </w:p>
    <w:p>
      <w:pPr>
        <w:ind w:left="760" w:right="240"/>
        <w:spacing w:after="0" w:line="268"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318" w:lineRule="auto"/>
        <w:rPr>
          <w:sz w:val="20"/>
          <w:szCs w:val="20"/>
          <w:color w:val="auto"/>
        </w:rPr>
      </w:pPr>
      <w:r>
        <w:rPr>
          <w:rFonts w:ascii="Arial" w:cs="Arial" w:eastAsia="Arial" w:hAnsi="Arial"/>
          <w:sz w:val="17"/>
          <w:szCs w:val="17"/>
          <w:color w:val="auto"/>
        </w:rPr>
        <w:t>The affirmative vote of the holders of a majority of the voting power of the shares represented at the Annual Meeting in person or by proxy is required to approve the ratification of the appointment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257175</wp:posOffset>
            </wp:positionV>
            <wp:extent cx="5829300" cy="4800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554"/>
                <w:w w:val="99"/>
              </w:rPr>
              <w:t>The board of directors recommends that you vote FOR the ratification of PricewaterhouseCoopers LLP</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00" w:type="dxa"/>
            <w:vAlign w:val="bottom"/>
            <w:vMerge w:val="restart"/>
          </w:tcPr>
          <w:p>
            <w:pPr>
              <w:spacing w:after="0"/>
              <w:rPr>
                <w:sz w:val="20"/>
                <w:szCs w:val="20"/>
                <w:color w:val="auto"/>
              </w:rPr>
            </w:pPr>
            <w:r>
              <w:rPr>
                <w:rFonts w:ascii="Arial" w:cs="Arial" w:eastAsia="Arial" w:hAnsi="Arial"/>
                <w:sz w:val="18"/>
                <w:szCs w:val="18"/>
                <w:b w:val="1"/>
                <w:bCs w:val="1"/>
                <w:color w:val="002554"/>
              </w:rPr>
              <w:t>​</w:t>
            </w:r>
          </w:p>
        </w:tc>
        <w:tc>
          <w:tcPr>
            <w:tcW w:w="8900" w:type="dxa"/>
            <w:vAlign w:val="bottom"/>
          </w:tcPr>
          <w:p>
            <w:pPr>
              <w:jc w:val="center"/>
              <w:spacing w:after="0"/>
              <w:rPr>
                <w:sz w:val="20"/>
                <w:szCs w:val="20"/>
                <w:color w:val="auto"/>
              </w:rPr>
            </w:pPr>
            <w:r>
              <w:rPr>
                <w:rFonts w:ascii="Arial" w:cs="Arial" w:eastAsia="Arial" w:hAnsi="Arial"/>
                <w:sz w:val="18"/>
                <w:szCs w:val="18"/>
                <w:b w:val="1"/>
                <w:bCs w:val="1"/>
                <w:color w:val="002554"/>
                <w:w w:val="99"/>
              </w:rPr>
              <w:t>as our independent auditor for the fiscal year ending December 31, 2022.</w:t>
            </w:r>
          </w:p>
        </w:tc>
        <w:tc>
          <w:tcPr>
            <w:tcW w:w="120" w:type="dxa"/>
            <w:vAlign w:val="bottom"/>
            <w:vMerge w:val="restart"/>
          </w:tcPr>
          <w:p>
            <w:pPr>
              <w:ind w:left="60"/>
              <w:spacing w:after="0"/>
              <w:rPr>
                <w:sz w:val="20"/>
                <w:szCs w:val="20"/>
                <w:color w:val="auto"/>
              </w:rPr>
            </w:pPr>
            <w:r>
              <w:rPr>
                <w:rFonts w:ascii="Arial" w:cs="Arial" w:eastAsia="Arial" w:hAnsi="Arial"/>
                <w:sz w:val="18"/>
                <w:szCs w:val="18"/>
                <w:b w:val="1"/>
                <w:bCs w:val="1"/>
                <w:color w:val="002554"/>
              </w:rPr>
              <w: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780"/>
        <w:spacing w:after="0" w:line="262" w:lineRule="auto"/>
        <w:rPr>
          <w:sz w:val="20"/>
          <w:szCs w:val="20"/>
          <w:color w:val="auto"/>
        </w:rPr>
      </w:pPr>
      <w:r>
        <w:rPr>
          <w:rFonts w:ascii="Arial" w:cs="Arial" w:eastAsia="Arial" w:hAnsi="Arial"/>
          <w:sz w:val="53"/>
          <w:szCs w:val="53"/>
          <w:color w:val="002554"/>
        </w:rPr>
        <w:t>Information Regarding Independent Registered Public Accounting Firm</w:t>
      </w:r>
    </w:p>
    <w:p>
      <w:pPr>
        <w:spacing w:after="0" w:line="3" w:lineRule="exact"/>
        <w:rPr>
          <w:sz w:val="20"/>
          <w:szCs w:val="20"/>
          <w:color w:val="auto"/>
        </w:rPr>
      </w:pPr>
    </w:p>
    <w:p>
      <w:pPr>
        <w:ind w:left="760" w:right="320"/>
        <w:spacing w:after="0" w:line="271" w:lineRule="auto"/>
        <w:rPr>
          <w:sz w:val="20"/>
          <w:szCs w:val="20"/>
          <w:color w:val="auto"/>
        </w:rPr>
      </w:pPr>
      <w:r>
        <w:rPr>
          <w:rFonts w:ascii="Arial" w:cs="Arial" w:eastAsia="Arial" w:hAnsi="Arial"/>
          <w:sz w:val="18"/>
          <w:szCs w:val="18"/>
          <w:color w:val="auto"/>
        </w:rPr>
        <w:t>PricewaterhouseCoopers LLP has served as the Company’s independent registered public accounting firm since 2018.</w:t>
      </w:r>
    </w:p>
    <w:p>
      <w:pPr>
        <w:spacing w:after="0" w:line="46" w:lineRule="exact"/>
        <w:rPr>
          <w:sz w:val="20"/>
          <w:szCs w:val="20"/>
          <w:color w:val="auto"/>
        </w:rPr>
      </w:pPr>
    </w:p>
    <w:p>
      <w:pPr>
        <w:ind w:left="760" w:right="220"/>
        <w:spacing w:after="0" w:line="261" w:lineRule="auto"/>
        <w:rPr>
          <w:sz w:val="20"/>
          <w:szCs w:val="20"/>
          <w:color w:val="auto"/>
        </w:rPr>
      </w:pPr>
      <w:r>
        <w:rPr>
          <w:rFonts w:ascii="Arial" w:cs="Arial" w:eastAsia="Arial" w:hAnsi="Arial"/>
          <w:sz w:val="18"/>
          <w:szCs w:val="18"/>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54" w:lineRule="exact"/>
        <w:rPr>
          <w:sz w:val="20"/>
          <w:szCs w:val="20"/>
          <w:color w:val="auto"/>
        </w:rPr>
      </w:pPr>
    </w:p>
    <w:p>
      <w:pPr>
        <w:ind w:left="760" w:right="240"/>
        <w:spacing w:after="0" w:line="261"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80"/>
        <w:spacing w:after="0" w:line="261" w:lineRule="auto"/>
        <w:rPr>
          <w:sz w:val="20"/>
          <w:szCs w:val="20"/>
          <w:color w:val="auto"/>
        </w:rPr>
      </w:pPr>
      <w:r>
        <w:rPr>
          <w:rFonts w:ascii="Arial" w:cs="Arial" w:eastAsia="Arial" w:hAnsi="Arial"/>
          <w:sz w:val="18"/>
          <w:szCs w:val="18"/>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54"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All of the audit related, tax and all other services provided by PricewaterhouseCoopers LLP to us since their appointment in 2018, and by Deloitte &amp; Touche LLP to us subsequent to our initial public offering in 2016 and until their dismissal in 2018, were approved by our Audit Committee, and none of such services were approved pursuant to the exception provided by Rule 2-01(c)(7)(i)(C) under Regulation S X. All non-audit services provided subsequent to our initial public offering in 2016 were reviewed with the Audit Committee, which in each case concluded that the provision of such services by the relevant independent registered public accounting firm was compatible with the maintenance of that firm’s independence in the conduct of its auditing functions.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The following table presents aggregate fees billed to us for services rendered by our current independent registered public accounting firm, PricewaterhouseCoopers LLP, for the fiscal years ended December 31, 2021, and December 31, 2020.</w:t>
      </w:r>
    </w:p>
    <w:p>
      <w:pPr>
        <w:spacing w:after="0" w:line="98"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418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w:t>
            </w:r>
          </w:p>
        </w:tc>
        <w:tc>
          <w:tcPr>
            <w:tcW w:w="3120" w:type="dxa"/>
            <w:vAlign w:val="bottom"/>
            <w:tcBorders>
              <w:bottom w:val="single" w:sz="8" w:color="00C389"/>
            </w:tcBorders>
          </w:tcPr>
          <w:p>
            <w:pPr>
              <w:ind w:left="2760"/>
              <w:spacing w:after="0"/>
              <w:rPr>
                <w:sz w:val="20"/>
                <w:szCs w:val="20"/>
                <w:color w:val="auto"/>
              </w:rPr>
            </w:pPr>
            <w:r>
              <w:rPr>
                <w:rFonts w:ascii="Arial" w:cs="Arial" w:eastAsia="Arial" w:hAnsi="Arial"/>
                <w:sz w:val="14"/>
                <w:szCs w:val="14"/>
                <w:b w:val="1"/>
                <w:bCs w:val="1"/>
                <w:color w:val="002554"/>
              </w:rPr>
              <w:t>​ ​</w:t>
            </w:r>
          </w:p>
        </w:tc>
        <w:tc>
          <w:tcPr>
            <w:tcW w:w="500" w:type="dxa"/>
            <w:vAlign w:val="bottom"/>
            <w:tcBorders>
              <w:bottom w:val="single" w:sz="8" w:color="00C389"/>
            </w:tcBorders>
          </w:tcPr>
          <w:p>
            <w:pPr>
              <w:jc w:val="right"/>
              <w:ind w:right="4"/>
              <w:spacing w:after="0"/>
              <w:rPr>
                <w:sz w:val="20"/>
                <w:szCs w:val="20"/>
                <w:color w:val="auto"/>
              </w:rPr>
            </w:pPr>
            <w:r>
              <w:rPr>
                <w:rFonts w:ascii="Arial" w:cs="Arial" w:eastAsia="Arial" w:hAnsi="Arial"/>
                <w:sz w:val="14"/>
                <w:szCs w:val="14"/>
                <w:b w:val="1"/>
                <w:bCs w:val="1"/>
                <w:color w:val="002554"/>
              </w:rPr>
              <w:t>2021</w:t>
            </w:r>
          </w:p>
        </w:tc>
        <w:tc>
          <w:tcPr>
            <w:tcW w:w="660" w:type="dxa"/>
            <w:vAlign w:val="bottom"/>
            <w:tcBorders>
              <w:bottom w:val="single" w:sz="8" w:color="00C389"/>
            </w:tcBorders>
          </w:tcPr>
          <w:p>
            <w:pPr>
              <w:jc w:val="right"/>
              <w:ind w:right="144"/>
              <w:spacing w:after="0"/>
              <w:rPr>
                <w:sz w:val="20"/>
                <w:szCs w:val="20"/>
                <w:color w:val="auto"/>
              </w:rPr>
            </w:pPr>
            <w:r>
              <w:rPr>
                <w:rFonts w:ascii="Arial" w:cs="Arial" w:eastAsia="Arial" w:hAnsi="Arial"/>
                <w:sz w:val="14"/>
                <w:szCs w:val="14"/>
                <w:b w:val="1"/>
                <w:bCs w:val="1"/>
                <w:color w:val="002554"/>
              </w:rPr>
              <w:t>​ ​</w:t>
            </w:r>
          </w:p>
        </w:tc>
        <w:tc>
          <w:tcPr>
            <w:tcW w:w="48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2020</w:t>
            </w:r>
          </w:p>
        </w:tc>
        <w:tc>
          <w:tcPr>
            <w:tcW w:w="240" w:type="dxa"/>
            <w:vAlign w:val="bottom"/>
            <w:tcBorders>
              <w:bottom w:val="single" w:sz="8" w:color="00C389"/>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r>
      <w:tr>
        <w:trPr>
          <w:trHeight w:val="263"/>
        </w:trPr>
        <w:tc>
          <w:tcPr>
            <w:tcW w:w="418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000" w:type="dxa"/>
            <w:vAlign w:val="bottom"/>
            <w:tcBorders>
              <w:bottom w:val="single" w:sz="8" w:color="00C389"/>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$6,343,035</w:t>
            </w:r>
            <w:r>
              <w:rPr>
                <w:rFonts w:ascii="Arial" w:cs="Arial" w:eastAsia="Arial" w:hAnsi="Arial"/>
                <w:sz w:val="30"/>
                <w:szCs w:val="30"/>
                <w:color w:val="auto"/>
                <w:vertAlign w:val="subscript"/>
              </w:rPr>
              <w:t>​​ ​​</w:t>
            </w:r>
            <w:r>
              <w:rPr>
                <w:rFonts w:ascii="Arial" w:cs="Arial" w:eastAsia="Arial" w:hAnsi="Arial"/>
                <w:sz w:val="16"/>
                <w:szCs w:val="16"/>
                <w:color w:val="auto"/>
              </w:rPr>
              <w:t>$6,482,647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tcPr>
          <w:p>
            <w:pPr>
              <w:spacing w:after="0"/>
              <w:rPr>
                <w:sz w:val="20"/>
                <w:szCs w:val="20"/>
                <w:color w:val="auto"/>
              </w:rPr>
            </w:pPr>
            <w:r>
              <w:rPr>
                <w:rFonts w:ascii="Arial" w:cs="Arial" w:eastAsia="Arial" w:hAnsi="Arial"/>
                <w:sz w:val="18"/>
                <w:szCs w:val="18"/>
                <w:color w:val="auto"/>
              </w:rPr>
              <w:t>Audit-related fees</w:t>
            </w:r>
          </w:p>
        </w:tc>
        <w:tc>
          <w:tcPr>
            <w:tcW w:w="3120" w:type="dxa"/>
            <w:vAlign w:val="bottom"/>
          </w:tcPr>
          <w:p>
            <w:pPr>
              <w:ind w:left="27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160" w:type="dxa"/>
            <w:vAlign w:val="bottom"/>
            <w:gridSpan w:val="2"/>
          </w:tcPr>
          <w:p>
            <w:pPr>
              <w:jc w:val="right"/>
              <w:ind w:right="4"/>
              <w:spacing w:after="0" w:line="264" w:lineRule="exact"/>
              <w:rPr>
                <w:sz w:val="20"/>
                <w:szCs w:val="20"/>
                <w:color w:val="auto"/>
              </w:rPr>
            </w:pPr>
            <w:r>
              <w:rPr>
                <w:rFonts w:ascii="Arial" w:cs="Arial" w:eastAsia="Arial" w:hAnsi="Arial"/>
                <w:sz w:val="16"/>
                <w:szCs w:val="16"/>
                <w:color w:val="auto"/>
              </w:rPr>
              <w:t>129,732</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78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693,833</w:t>
            </w:r>
            <w:r>
              <w:rPr>
                <w:rFonts w:ascii="Arial" w:cs="Arial" w:eastAsia="Arial" w:hAnsi="Arial"/>
                <w:sz w:val="30"/>
                <w:szCs w:val="30"/>
                <w:color w:val="auto"/>
                <w:vertAlign w:val="subscript"/>
              </w:rPr>
              <w:t>​</w:t>
            </w:r>
          </w:p>
        </w:tc>
      </w:tr>
      <w:tr>
        <w:trPr>
          <w:trHeight w:val="264"/>
        </w:trPr>
        <w:tc>
          <w:tcPr>
            <w:tcW w:w="41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5000" w:type="dxa"/>
            <w:vAlign w:val="bottom"/>
            <w:tcBorders>
              <w:top w:val="single" w:sz="8" w:color="00C389"/>
              <w:bottom w:val="single" w:sz="8" w:color="00C389"/>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$2,160,918</w:t>
            </w:r>
            <w:r>
              <w:rPr>
                <w:rFonts w:ascii="Arial" w:cs="Arial" w:eastAsia="Arial" w:hAnsi="Arial"/>
                <w:sz w:val="30"/>
                <w:szCs w:val="30"/>
                <w:color w:val="auto"/>
                <w:vertAlign w:val="subscript"/>
              </w:rPr>
              <w:t>​​ ​​</w:t>
            </w:r>
            <w:r>
              <w:rPr>
                <w:rFonts w:ascii="Arial" w:cs="Arial" w:eastAsia="Arial" w:hAnsi="Arial"/>
                <w:sz w:val="16"/>
                <w:szCs w:val="16"/>
                <w:color w:val="auto"/>
              </w:rPr>
              <w:t>$1,644,556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tcPr>
          <w:p>
            <w:pPr>
              <w:spacing w:after="0"/>
              <w:rPr>
                <w:sz w:val="20"/>
                <w:szCs w:val="20"/>
                <w:color w:val="auto"/>
              </w:rPr>
            </w:pPr>
            <w:r>
              <w:rPr>
                <w:rFonts w:ascii="Arial" w:cs="Arial" w:eastAsia="Arial" w:hAnsi="Arial"/>
                <w:sz w:val="18"/>
                <w:szCs w:val="18"/>
                <w:color w:val="auto"/>
              </w:rPr>
              <w:t>All other fees</w:t>
            </w:r>
          </w:p>
        </w:tc>
        <w:tc>
          <w:tcPr>
            <w:tcW w:w="3120" w:type="dxa"/>
            <w:vAlign w:val="bottom"/>
          </w:tcPr>
          <w:p>
            <w:pPr>
              <w:ind w:left="27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500" w:type="dxa"/>
            <w:vAlign w:val="bottom"/>
          </w:tcPr>
          <w:p>
            <w:pPr>
              <w:spacing w:after="0"/>
              <w:rPr>
                <w:sz w:val="22"/>
                <w:szCs w:val="22"/>
                <w:color w:val="auto"/>
              </w:rPr>
            </w:pPr>
          </w:p>
        </w:tc>
        <w:tc>
          <w:tcPr>
            <w:tcW w:w="660" w:type="dxa"/>
            <w:vAlign w:val="bottom"/>
          </w:tcPr>
          <w:p>
            <w:pPr>
              <w:jc w:val="right"/>
              <w:ind w:right="4"/>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80" w:type="dxa"/>
            <w:vAlign w:val="bottom"/>
          </w:tcPr>
          <w:p>
            <w:pPr>
              <w:spacing w:after="0"/>
              <w:rPr>
                <w:sz w:val="22"/>
                <w:szCs w:val="22"/>
                <w:color w:val="auto"/>
              </w:rPr>
            </w:pPr>
          </w:p>
        </w:tc>
        <w:tc>
          <w:tcPr>
            <w:tcW w:w="3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r>
      <w:tr>
        <w:trPr>
          <w:trHeight w:val="263"/>
        </w:trPr>
        <w:tc>
          <w:tcPr>
            <w:tcW w:w="41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0" w:type="dxa"/>
            <w:vAlign w:val="bottom"/>
            <w:tcBorders>
              <w:top w:val="single" w:sz="8" w:color="00C389"/>
              <w:bottom w:val="single" w:sz="8" w:color="00C389"/>
            </w:tcBorders>
            <w:gridSpan w:val="5"/>
            <w:shd w:val="clear" w:color="auto" w:fill="CCEEFF"/>
          </w:tcPr>
          <w:p>
            <w:pPr>
              <w:ind w:left="276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$8,633,685</w:t>
            </w:r>
            <w:r>
              <w:rPr>
                <w:rFonts w:ascii="Arial" w:cs="Arial" w:eastAsia="Arial" w:hAnsi="Arial"/>
                <w:sz w:val="30"/>
                <w:szCs w:val="30"/>
                <w:color w:val="auto"/>
                <w:vertAlign w:val="subscript"/>
              </w:rPr>
              <w:t>​​ ​​</w:t>
            </w:r>
            <w:r>
              <w:rPr>
                <w:rFonts w:ascii="Arial" w:cs="Arial" w:eastAsia="Arial" w:hAnsi="Arial"/>
                <w:sz w:val="16"/>
                <w:szCs w:val="16"/>
                <w:color w:val="auto"/>
              </w:rPr>
              <w:t>$8,821,037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80"/>
        <w:spacing w:after="0" w:line="251" w:lineRule="auto"/>
        <w:rPr>
          <w:sz w:val="20"/>
          <w:szCs w:val="20"/>
          <w:color w:val="auto"/>
        </w:rPr>
      </w:pPr>
      <w:r>
        <w:rPr>
          <w:rFonts w:ascii="Arial" w:cs="Arial" w:eastAsia="Arial" w:hAnsi="Arial"/>
          <w:sz w:val="18"/>
          <w:szCs w:val="18"/>
          <w:color w:val="auto"/>
        </w:rPr>
        <w:t>This category includes the aggregate fees during 2021 and 2020 for audit services provided by our independent registered public accounting firm for the fiscal years ending December 31, 2021 and December 31, 2020,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520"/>
        <w:spacing w:after="0" w:line="271" w:lineRule="auto"/>
        <w:rPr>
          <w:sz w:val="20"/>
          <w:szCs w:val="20"/>
          <w:color w:val="auto"/>
        </w:rPr>
      </w:pPr>
      <w:r>
        <w:rPr>
          <w:rFonts w:ascii="Arial" w:cs="Arial" w:eastAsia="Arial" w:hAnsi="Arial"/>
          <w:sz w:val="18"/>
          <w:szCs w:val="18"/>
          <w:color w:val="auto"/>
        </w:rPr>
        <w:t>This category includes the aggregate fees during 2021 and 2020 for services related to the performance of the audits and reviews described in the preceding paragraph that are not included in the Audit Fees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REGARDING INDEPENDENT REGISTERED PUBLIC ACCOUNTING FIRM</w:t>
      </w:r>
    </w:p>
    <w:p>
      <w:pPr>
        <w:spacing w:after="0" w:line="225" w:lineRule="exact"/>
        <w:rPr>
          <w:sz w:val="20"/>
          <w:szCs w:val="20"/>
          <w:color w:val="auto"/>
        </w:rPr>
      </w:pPr>
    </w:p>
    <w:p>
      <w:pPr>
        <w:ind w:left="760" w:right="360"/>
        <w:spacing w:after="0" w:line="276" w:lineRule="auto"/>
        <w:rPr>
          <w:sz w:val="20"/>
          <w:szCs w:val="20"/>
          <w:color w:val="auto"/>
        </w:rPr>
      </w:pPr>
      <w:r>
        <w:rPr>
          <w:rFonts w:ascii="Arial" w:cs="Arial" w:eastAsia="Arial" w:hAnsi="Arial"/>
          <w:sz w:val="17"/>
          <w:szCs w:val="17"/>
          <w:color w:val="auto"/>
        </w:rPr>
        <w:t>This category also includes fees associated with (i) accounting consultations and due diligence related to certain transactions, (ii) services rendered in connection with our registration statements and securities offerings,</w:t>
      </w:r>
    </w:p>
    <w:p>
      <w:pPr>
        <w:ind w:left="1040" w:hanging="27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on controls of a service organization, (iv) reports on internal controls with respect to client assets, and</w:t>
      </w:r>
    </w:p>
    <w:p>
      <w:pPr>
        <w:spacing w:after="0" w:line="9" w:lineRule="exact"/>
        <w:rPr>
          <w:rFonts w:ascii="Arial" w:cs="Arial" w:eastAsia="Arial" w:hAnsi="Arial"/>
          <w:sz w:val="18"/>
          <w:szCs w:val="18"/>
          <w:color w:val="auto"/>
        </w:rPr>
      </w:pPr>
    </w:p>
    <w:p>
      <w:pPr>
        <w:ind w:left="1020" w:hanging="25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subscriptions to technical accounting resources.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580"/>
        <w:spacing w:after="0" w:line="318" w:lineRule="auto"/>
        <w:rPr>
          <w:sz w:val="20"/>
          <w:szCs w:val="20"/>
          <w:color w:val="auto"/>
        </w:rPr>
      </w:pPr>
      <w:r>
        <w:rPr>
          <w:rFonts w:ascii="Arial" w:cs="Arial" w:eastAsia="Arial" w:hAnsi="Arial"/>
          <w:sz w:val="17"/>
          <w:szCs w:val="17"/>
          <w:color w:val="auto"/>
        </w:rPr>
        <w:t>This category includes the aggregate fees during 2021 and 2020 for professional tax services provided by the independent registered public accounting firm or its affiliates, including for tax compliance and tax advice.</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other fees during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20"/>
        <w:spacing w:after="0" w:line="244" w:lineRule="auto"/>
        <w:rPr>
          <w:sz w:val="20"/>
          <w:szCs w:val="20"/>
          <w:color w:val="auto"/>
        </w:rPr>
      </w:pPr>
      <w:r>
        <w:rPr>
          <w:rFonts w:ascii="Arial" w:cs="Arial" w:eastAsia="Arial" w:hAnsi="Arial"/>
          <w:sz w:val="53"/>
          <w:szCs w:val="53"/>
          <w:color w:val="002554"/>
        </w:rPr>
        <w:t>Proposal 4: Amendment to the Virtu Financial, Inc. Amended and Restated 2015 Management Incentive Plan</w:t>
      </w:r>
    </w:p>
    <w:p>
      <w:pPr>
        <w:spacing w:after="0" w:line="42"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The Board has previously adopted and our stockholders have previously approved the Virtu Financial Amended and Restated 2015 Management Incentive Plan (as previously amended, the “</w:t>
      </w:r>
      <w:r>
        <w:rPr>
          <w:rFonts w:ascii="Arial" w:cs="Arial" w:eastAsia="Arial" w:hAnsi="Arial"/>
          <w:sz w:val="18"/>
          <w:szCs w:val="18"/>
          <w:b w:val="1"/>
          <w:bCs w:val="1"/>
          <w:color w:val="auto"/>
        </w:rPr>
        <w:t>2015 Incentive Plan</w:t>
      </w:r>
      <w:r>
        <w:rPr>
          <w:rFonts w:ascii="Arial" w:cs="Arial" w:eastAsia="Arial" w:hAnsi="Arial"/>
          <w:sz w:val="18"/>
          <w:szCs w:val="18"/>
          <w:color w:val="auto"/>
        </w:rPr>
        <w:t>”). On April 22, 2020, the Board adopted an amendment to the 2015 Incentive Plan to increase the number of the Company’s Class A common stock available thereunder from 5,000,000 shares to a total of 26,000,000 shares. This amendment was approved by our stockholders at our 2020 annual meeting of stockholders on June 5, 2020.</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approval of our stockholders, the Board on April 22, 2022 adopted an amendment (the</w:t>
      </w:r>
    </w:p>
    <w:p>
      <w:pPr>
        <w:spacing w:after="0" w:line="27" w:lineRule="exact"/>
        <w:rPr>
          <w:sz w:val="20"/>
          <w:szCs w:val="20"/>
          <w:color w:val="auto"/>
        </w:rPr>
      </w:pPr>
    </w:p>
    <w:p>
      <w:pPr>
        <w:ind w:left="760" w:right="3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w:t>
      </w:r>
      <w:r>
        <w:rPr>
          <w:rFonts w:ascii="Arial" w:cs="Arial" w:eastAsia="Arial" w:hAnsi="Arial"/>
          <w:sz w:val="18"/>
          <w:szCs w:val="18"/>
          <w:color w:val="auto"/>
        </w:rPr>
        <w:t>”) to the 2015 Incentive Plan. In this proposal, we are asking our stockholders to approve the 2015 Incentive Plan, as proposed to be amended by the Amendment.</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Amendment makes the following key changes to the 2015 Incentive Plan:</w:t>
      </w:r>
    </w:p>
    <w:p>
      <w:pPr>
        <w:spacing w:after="0" w:line="117" w:lineRule="exact"/>
        <w:rPr>
          <w:sz w:val="20"/>
          <w:szCs w:val="20"/>
          <w:color w:val="auto"/>
        </w:rPr>
      </w:pPr>
    </w:p>
    <w:p>
      <w:pPr>
        <w:ind w:left="1340" w:right="60" w:hanging="218"/>
        <w:spacing w:after="0" w:line="287" w:lineRule="auto"/>
        <w:tabs>
          <w:tab w:leader="none" w:pos="1340" w:val="left"/>
        </w:tabs>
        <w:numPr>
          <w:ilvl w:val="0"/>
          <w:numId w:val="22"/>
        </w:numPr>
        <w:rPr>
          <w:rFonts w:ascii="Arial" w:cs="Arial" w:eastAsia="Arial" w:hAnsi="Arial"/>
          <w:sz w:val="18"/>
          <w:szCs w:val="18"/>
          <w:color w:val="002554"/>
        </w:rPr>
      </w:pPr>
      <w:r>
        <w:rPr>
          <w:rFonts w:ascii="Arial" w:cs="Arial" w:eastAsia="Arial" w:hAnsi="Arial"/>
          <w:sz w:val="18"/>
          <w:szCs w:val="18"/>
          <w:color w:val="auto"/>
        </w:rPr>
        <w:t>Increases the number of shares of the Company’s Class A common stock available for future issuance under the 2015 Incentive Plan by 5,000,000 shares to a total of 26,000,000 shares.</w:t>
      </w:r>
    </w:p>
    <w:p>
      <w:pPr>
        <w:spacing w:after="0" w:line="45"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We expect the 5,000,000 additional shares to be sufficient funding under the 2015 Incentive Plan for approximately three years, based upon the closing stock price of $37.04 on April 7, 2022. Our Board believes that equity compensation plays an important role in our compensation program, for retention purposes and to attract new employees by aligning the interests of the participants in our compensation programs with those of our stockholders, and therefore, it is essential for our Company to have a sufficient number of reserved shares available for issuance under our equity compensation plans, and without the additional shares, our Company would not be in a position to do so. These additional shares are necessary from a strategic and operational perspective in order to attract and retain the talent necessary for our business to be successful.</w:t>
      </w:r>
    </w:p>
    <w:p>
      <w:pPr>
        <w:spacing w:after="0" w:line="85"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Our Board believes that the proposed increase will provide a sufficient number of available shares of our Class A common stock for future granting needs to help our Company achieve the purposes of the 2015 Incentive Plan. Our Board reviewed our historical and prospective usage of equity to determine the number of shares we will most likely require for future compensation purposes for the next three years, subject to market conditions and Company performance. This review took into account shares remaining in the 2015 Incentive Plan, potential shares that may become issuable in the future based on performance, including year-to-date accruals under our current programs, and the effect of new hires as our Company continues to grow. Our Board also considered our prospective equity usage relative to our peers.</w:t>
      </w:r>
    </w:p>
    <w:p>
      <w:pPr>
        <w:spacing w:after="0" w:line="72" w:lineRule="exact"/>
        <w:rPr>
          <w:sz w:val="20"/>
          <w:szCs w:val="20"/>
          <w:color w:val="auto"/>
        </w:rPr>
      </w:pPr>
    </w:p>
    <w:p>
      <w:pPr>
        <w:ind w:left="760" w:right="80"/>
        <w:spacing w:after="0" w:line="261" w:lineRule="auto"/>
        <w:rPr>
          <w:sz w:val="20"/>
          <w:szCs w:val="20"/>
          <w:color w:val="auto"/>
        </w:rPr>
      </w:pPr>
      <w:r>
        <w:rPr>
          <w:rFonts w:ascii="Arial" w:cs="Arial" w:eastAsia="Arial" w:hAnsi="Arial"/>
          <w:sz w:val="18"/>
          <w:szCs w:val="18"/>
          <w:color w:val="auto"/>
        </w:rPr>
        <w:t>If the stockholders do not approve this Proposal 4, the Amendment will not become effective, the proposed additional shares will not become available for issuance under the 2015 Incentive Plan, and the 2015 Incentive Plan will continue as in effect prior to the Amendment, subject to previously authorized share limits.</w:t>
      </w:r>
    </w:p>
    <w:p>
      <w:pPr>
        <w:spacing w:after="0" w:line="65" w:lineRule="exact"/>
        <w:rPr>
          <w:sz w:val="20"/>
          <w:szCs w:val="20"/>
          <w:color w:val="auto"/>
        </w:rPr>
      </w:pPr>
    </w:p>
    <w:p>
      <w:pPr>
        <w:ind w:left="760" w:right="700"/>
        <w:spacing w:after="0" w:line="268" w:lineRule="auto"/>
        <w:rPr>
          <w:sz w:val="20"/>
          <w:szCs w:val="20"/>
          <w:color w:val="auto"/>
        </w:rPr>
      </w:pPr>
      <w:r>
        <w:rPr>
          <w:rFonts w:ascii="Arial" w:cs="Arial" w:eastAsia="Arial" w:hAnsi="Arial"/>
          <w:sz w:val="29"/>
          <w:szCs w:val="29"/>
          <w:b w:val="1"/>
          <w:bCs w:val="1"/>
          <w:color w:val="002554"/>
        </w:rPr>
        <w:t>Summary of Sound Governance Features of the 2015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wp:posOffset>
            </wp:positionV>
            <wp:extent cx="58293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8"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The Board and the Compensation Committee believe the 2015 Incentive Plan, as amended by the Amendment, contains several features that are consistent with the interests of our stockholders and sound corporate governance practices, including the following:</w:t>
      </w:r>
    </w:p>
    <w:p>
      <w:pPr>
        <w:spacing w:after="0" w:line="74" w:lineRule="exact"/>
        <w:rPr>
          <w:sz w:val="20"/>
          <w:szCs w:val="20"/>
          <w:color w:val="auto"/>
        </w:rPr>
      </w:pPr>
    </w:p>
    <w:p>
      <w:pPr>
        <w:ind w:left="1340" w:right="320" w:hanging="218"/>
        <w:spacing w:after="0" w:line="318" w:lineRule="auto"/>
        <w:tabs>
          <w:tab w:leader="none" w:pos="1340" w:val="left"/>
        </w:tabs>
        <w:numPr>
          <w:ilvl w:val="0"/>
          <w:numId w:val="23"/>
        </w:numPr>
        <w:rPr>
          <w:rFonts w:ascii="Arial" w:cs="Arial" w:eastAsia="Arial" w:hAnsi="Arial"/>
          <w:sz w:val="17"/>
          <w:szCs w:val="17"/>
          <w:color w:val="002554"/>
        </w:rPr>
      </w:pPr>
      <w:r>
        <w:rPr>
          <w:rFonts w:ascii="Arial" w:cs="Arial" w:eastAsia="Arial" w:hAnsi="Arial"/>
          <w:sz w:val="17"/>
          <w:szCs w:val="17"/>
          <w:b w:val="1"/>
          <w:bCs w:val="1"/>
          <w:i w:val="1"/>
          <w:iCs w:val="1"/>
          <w:color w:val="auto"/>
        </w:rPr>
        <w:t xml:space="preserve">No “evergreen” provision. </w:t>
      </w:r>
      <w:r>
        <w:rPr>
          <w:rFonts w:ascii="Arial" w:cs="Arial" w:eastAsia="Arial" w:hAnsi="Arial"/>
          <w:sz w:val="17"/>
          <w:szCs w:val="17"/>
          <w:color w:val="auto"/>
        </w:rPr>
        <w:t>The number of shares of our Class A common stock available for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2015 Incentive Plan is fixed and does not adjust based upon the number of shares outstanding.</w:t>
      </w:r>
    </w:p>
    <w:p>
      <w:pPr>
        <w:spacing w:after="0" w:line="8" w:lineRule="exact"/>
        <w:rPr>
          <w:rFonts w:ascii="Arial" w:cs="Arial" w:eastAsia="Arial" w:hAnsi="Arial"/>
          <w:sz w:val="17"/>
          <w:szCs w:val="17"/>
          <w:color w:val="002554"/>
        </w:rPr>
      </w:pPr>
    </w:p>
    <w:p>
      <w:pPr>
        <w:ind w:left="1340" w:right="340" w:hanging="218"/>
        <w:spacing w:after="0" w:line="268" w:lineRule="auto"/>
        <w:tabs>
          <w:tab w:leader="none" w:pos="1340" w:val="left"/>
        </w:tabs>
        <w:numPr>
          <w:ilvl w:val="0"/>
          <w:numId w:val="23"/>
        </w:numPr>
        <w:rPr>
          <w:rFonts w:ascii="Arial" w:cs="Arial" w:eastAsia="Arial" w:hAnsi="Arial"/>
          <w:sz w:val="18"/>
          <w:szCs w:val="18"/>
          <w:color w:val="002554"/>
        </w:rPr>
      </w:pPr>
      <w:r>
        <w:rPr>
          <w:rFonts w:ascii="Arial" w:cs="Arial" w:eastAsia="Arial" w:hAnsi="Arial"/>
          <w:sz w:val="18"/>
          <w:szCs w:val="18"/>
          <w:b w:val="1"/>
          <w:bCs w:val="1"/>
          <w:i w:val="1"/>
          <w:iCs w:val="1"/>
          <w:color w:val="auto"/>
        </w:rPr>
        <w:t xml:space="preserve">Will not be excessively dilutive to our stockholders. </w:t>
      </w:r>
      <w:r>
        <w:rPr>
          <w:rFonts w:ascii="Arial" w:cs="Arial" w:eastAsia="Arial" w:hAnsi="Arial"/>
          <w:sz w:val="18"/>
          <w:szCs w:val="18"/>
          <w:color w:val="auto"/>
        </w:rPr>
        <w:t>Subject to adjustment, the maximum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our Class A common stock authorized and reserved for issuance under the 2015 Incentive Plan will increase from 21,000,000 to 26,000,000.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197485</wp:posOffset>
            </wp:positionV>
            <wp:extent cx="754380"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13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1340" w:right="120" w:hanging="218"/>
        <w:spacing w:after="0" w:line="255" w:lineRule="auto"/>
        <w:tabs>
          <w:tab w:leader="none" w:pos="1340" w:val="left"/>
        </w:tabs>
        <w:numPr>
          <w:ilvl w:val="0"/>
          <w:numId w:val="24"/>
        </w:numPr>
        <w:rPr>
          <w:rFonts w:ascii="Arial" w:cs="Arial" w:eastAsia="Arial" w:hAnsi="Arial"/>
          <w:sz w:val="18"/>
          <w:szCs w:val="18"/>
          <w:color w:val="002554"/>
        </w:rPr>
      </w:pPr>
      <w:r>
        <w:rPr>
          <w:rFonts w:ascii="Arial" w:cs="Arial" w:eastAsia="Arial" w:hAnsi="Arial"/>
          <w:sz w:val="18"/>
          <w:szCs w:val="18"/>
          <w:b w:val="1"/>
          <w:bCs w:val="1"/>
          <w:i w:val="1"/>
          <w:iCs w:val="1"/>
          <w:color w:val="auto"/>
        </w:rPr>
        <w:t xml:space="preserve">No liberal change in control definition. </w:t>
      </w:r>
      <w:r>
        <w:rPr>
          <w:rFonts w:ascii="Arial" w:cs="Arial" w:eastAsia="Arial" w:hAnsi="Arial"/>
          <w:sz w:val="18"/>
          <w:szCs w:val="18"/>
          <w:color w:val="auto"/>
        </w:rPr>
        <w:t>The change in control definition in the 2015 Incentive Plan is not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“liberal” definition and, for example, would not be achieved merely upon stockholder approval of a transaction. A change in control (or the approval of a plan of complete dissolution or liquidation) must actually occur in order for the change in control provisions in the 2015 Incentive Plan to be triggered.</w:t>
      </w:r>
    </w:p>
    <w:p>
      <w:pPr>
        <w:spacing w:after="0" w:line="60" w:lineRule="exact"/>
        <w:rPr>
          <w:rFonts w:ascii="Arial" w:cs="Arial" w:eastAsia="Arial" w:hAnsi="Arial"/>
          <w:sz w:val="18"/>
          <w:szCs w:val="18"/>
          <w:color w:val="002554"/>
        </w:rPr>
      </w:pPr>
    </w:p>
    <w:p>
      <w:pPr>
        <w:ind w:left="1340" w:right="80" w:hanging="218"/>
        <w:spacing w:after="0" w:line="287" w:lineRule="auto"/>
        <w:tabs>
          <w:tab w:leader="none" w:pos="1340" w:val="left"/>
        </w:tabs>
        <w:numPr>
          <w:ilvl w:val="0"/>
          <w:numId w:val="24"/>
        </w:numPr>
        <w:rPr>
          <w:rFonts w:ascii="Arial" w:cs="Arial" w:eastAsia="Arial" w:hAnsi="Arial"/>
          <w:sz w:val="18"/>
          <w:szCs w:val="18"/>
          <w:color w:val="002554"/>
        </w:rPr>
      </w:pPr>
      <w:r>
        <w:rPr>
          <w:rFonts w:ascii="Arial" w:cs="Arial" w:eastAsia="Arial" w:hAnsi="Arial"/>
          <w:sz w:val="18"/>
          <w:szCs w:val="18"/>
          <w:b w:val="1"/>
          <w:bCs w:val="1"/>
          <w:i w:val="1"/>
          <w:iCs w:val="1"/>
          <w:color w:val="auto"/>
        </w:rPr>
        <w:t xml:space="preserve">No repricing without stockholder approval. </w:t>
      </w:r>
      <w:r>
        <w:rPr>
          <w:rFonts w:ascii="Arial" w:cs="Arial" w:eastAsia="Arial" w:hAnsi="Arial"/>
          <w:sz w:val="18"/>
          <w:szCs w:val="18"/>
          <w:color w:val="auto"/>
        </w:rPr>
        <w:t>The 2015 Incentive Plan prohibits the repricing of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or SARs (as defined below) without stockholder approval.</w:t>
      </w:r>
    </w:p>
    <w:p>
      <w:pPr>
        <w:spacing w:after="0" w:line="45" w:lineRule="exact"/>
        <w:rPr>
          <w:sz w:val="20"/>
          <w:szCs w:val="20"/>
          <w:color w:val="auto"/>
        </w:rPr>
      </w:pPr>
    </w:p>
    <w:p>
      <w:pPr>
        <w:ind w:left="760" w:right="120"/>
        <w:spacing w:after="0" w:line="271" w:lineRule="auto"/>
        <w:rPr>
          <w:sz w:val="20"/>
          <w:szCs w:val="20"/>
          <w:color w:val="auto"/>
        </w:rPr>
      </w:pPr>
      <w:r>
        <w:rPr>
          <w:rFonts w:ascii="Arial" w:cs="Arial" w:eastAsia="Arial" w:hAnsi="Arial"/>
          <w:sz w:val="17"/>
          <w:szCs w:val="17"/>
          <w:color w:val="auto"/>
        </w:rPr>
        <w:t>A copy of the Amendment and a full text of the 2015 Incentive Plan is attached as Annex A to this Proxy Statement. Except for the change outlined above, there are no other changes to the terms and provisions of the 2015 Incentive Plan. The 2015 Incentive Plan was amended by our Board on April 22, 2022 and is subject to the approval of our stockholders at the Annual Meeting. The Amendment to the 2015 Incentive Plan was approved by our Board.</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Summary of the 2015 Incentive Plan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8" w:lineRule="exact"/>
        <w:rPr>
          <w:sz w:val="20"/>
          <w:szCs w:val="20"/>
          <w:color w:val="auto"/>
        </w:rPr>
      </w:pPr>
    </w:p>
    <w:p>
      <w:pPr>
        <w:ind w:left="760" w:right="100"/>
        <w:spacing w:after="0" w:line="251" w:lineRule="auto"/>
        <w:rPr>
          <w:sz w:val="20"/>
          <w:szCs w:val="20"/>
          <w:color w:val="auto"/>
        </w:rPr>
      </w:pPr>
      <w:r>
        <w:rPr>
          <w:rFonts w:ascii="Arial" w:cs="Arial" w:eastAsia="Arial" w:hAnsi="Arial"/>
          <w:sz w:val="18"/>
          <w:szCs w:val="18"/>
          <w:i w:val="1"/>
          <w:iCs w:val="1"/>
          <w:color w:val="auto"/>
        </w:rPr>
        <w:t>The following is a summary of the material terms and conditions of the 2015 Incentive Plan assuming that the proposed amendment under the 2015 Incentive Plan is approved by stockholders at the Annual Meeting. Except for the foregoing, there are no other changes to the terms and provisions of the 2015 Incentive Plan. This summary is qualified in its entirety by reference to the 2015 Incentive Plan and the Amendment attached as Annex A to this proxy statement. You are encouraged to read the 2015 Incentive Plan and the Amendment in its entirety.</w:t>
      </w:r>
    </w:p>
    <w:p>
      <w:pPr>
        <w:spacing w:after="0" w:line="63" w:lineRule="exact"/>
        <w:rPr>
          <w:sz w:val="20"/>
          <w:szCs w:val="20"/>
          <w:color w:val="auto"/>
        </w:rPr>
      </w:pPr>
    </w:p>
    <w:p>
      <w:pPr>
        <w:ind w:left="760" w:right="260"/>
        <w:spacing w:after="0" w:line="24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(or subcommittee thereof, if necessary for Section 162(m)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will administer the 2015 Incentive Plan. The Compensation Committee will have the authority to determine the terms and conditions of any agreements evidencing any awards granted under the 2015 Incentive Plan and to adopt, alter and repeal rules, guidelines and practices relating to the 2015 Incentive Plan. The Compensation Committee will have full discretion to administer and interpret the 2015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72" w:lineRule="exact"/>
        <w:rPr>
          <w:sz w:val="20"/>
          <w:szCs w:val="20"/>
          <w:color w:val="auto"/>
        </w:rPr>
      </w:pPr>
    </w:p>
    <w:p>
      <w:pPr>
        <w:ind w:left="760" w:right="180"/>
        <w:spacing w:after="0" w:line="251"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our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will be eligible for awards under the 2015 Incentive Plan, subject to the Compensation Committee’s authority and administration over the 2015 Incentive Plan and grants made thereunder. As of April 7, 2022, we had approximately 962 employees and officers eligible to participate in the 2015 Incentive Plan, as well as 11 non-employee directors.</w:t>
      </w:r>
    </w:p>
    <w:p>
      <w:pPr>
        <w:spacing w:after="0" w:line="65" w:lineRule="exact"/>
        <w:rPr>
          <w:sz w:val="20"/>
          <w:szCs w:val="20"/>
          <w:color w:val="auto"/>
        </w:rPr>
      </w:pPr>
    </w:p>
    <w:p>
      <w:pPr>
        <w:ind w:left="760" w:right="120"/>
        <w:spacing w:after="0" w:line="257" w:lineRule="auto"/>
        <w:rPr>
          <w:sz w:val="20"/>
          <w:szCs w:val="20"/>
          <w:color w:val="auto"/>
        </w:rPr>
      </w:pPr>
      <w:r>
        <w:rPr>
          <w:rFonts w:ascii="Arial" w:cs="Arial" w:eastAsia="Arial" w:hAnsi="Arial"/>
          <w:sz w:val="17"/>
          <w:szCs w:val="17"/>
          <w:i w:val="1"/>
          <w:iCs w:val="1"/>
          <w:color w:val="auto"/>
        </w:rPr>
        <w:t xml:space="preserve">Number of Shares Authorized. </w:t>
      </w:r>
      <w:r>
        <w:rPr>
          <w:rFonts w:ascii="Arial" w:cs="Arial" w:eastAsia="Arial" w:hAnsi="Arial"/>
          <w:sz w:val="17"/>
          <w:szCs w:val="17"/>
          <w:color w:val="auto"/>
        </w:rPr>
        <w:t>The 2015 Incentive Plan provides for an aggregate of 26,000,000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No more than 26,000,000 shares of our Class A common stock may be issued with respect to incentive stock options under the 2015 Incentive Plan. No participant may be granted awards of options and stock appreciation rights with respect to more than 1,000,000 shares of our Class A common stock in any 12-month period. No more than 1,000,000 shares of our Class A common stock may be granted under the 2015 Incentive Plan with respect to any performance compensation awards to any participant during a performance period (or with respect to each year if the performance period is more than one year). The maximum amount payable to any participant under the 2015 Incentive Plan for any single year during a performance period for a cash denominated award is $10,000,000 (with respect to each year if the performance period is more than one year). The maximum amount (based on the grant-date fair market value) of awards that may be granted under the 2015 Incentive Plan in any single fiscal year to any non-employee director is $300,000. This limitation on awards to non-employee directors does not apply in respect of restricted stock units issued to a non-employee director in lieu of payment of cash director compensation or board or committee fees, nor in respect of any one-time initial equity grant upon a non-employee director’s appointment to our board of directors. Shares of our Class A common stock subject to awards are generally unavailable for future grant; provided that in no event shall such shares increase the number of shares of our Class A common stock that may be delivered pursuant to incentive stock options granted under the 2015 Incentive Plan. If any award granted under the 2015 Incentive Plan expires, terminates, is canceled or forfeited without being settled or exercised, or if a stock appreciation right is settled in cash or otherwise without the issuance of shares, shares of our Class A common subject to such award will again be made available for future grant. In addition, if any shares are surrendered or tendered to pay the exercise price of an award or to satisfy withholding taxes owed, such shares will again be available for grant under the 2015 Incentive Plan.</w:t>
      </w:r>
    </w:p>
    <w:p>
      <w:pPr>
        <w:spacing w:after="0" w:line="269" w:lineRule="exact"/>
        <w:rPr>
          <w:sz w:val="20"/>
          <w:szCs w:val="20"/>
          <w:color w:val="auto"/>
        </w:rPr>
      </w:pPr>
    </w:p>
    <w:p>
      <w:pPr>
        <w:jc w:val="both"/>
        <w:ind w:left="760" w:right="240"/>
        <w:spacing w:after="0" w:line="301"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Company’s corporate capitalization in the event of a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cash dividend, recapitalization, stock split, reverse stock split, reorganization, merger, consolidation,</w:t>
      </w:r>
    </w:p>
    <w:p>
      <w:pPr>
        <w:spacing w:after="0" w:line="23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20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760" w:right="180"/>
        <w:spacing w:after="0" w:line="241" w:lineRule="auto"/>
        <w:rPr>
          <w:sz w:val="20"/>
          <w:szCs w:val="20"/>
          <w:color w:val="auto"/>
        </w:rPr>
      </w:pPr>
      <w:r>
        <w:rPr>
          <w:rFonts w:ascii="Arial" w:cs="Arial" w:eastAsia="Arial" w:hAnsi="Arial"/>
          <w:sz w:val="18"/>
          <w:szCs w:val="18"/>
          <w:color w:val="auto"/>
        </w:rPr>
        <w:t>split-up, split-off, spin-off, combination, repurchase or exchange of shares of our Class A common stock or Class B common stock or other relevant change in capitalization or applicable law or circumstances, such that the Compensation Committee determines that an adjustment to the terms of the 2015 Incentive Plan (or awards thereunder) is necessary or appropriate, then the Compensation Committee may make adjustments in a manner that it deems equitable. Such adjustments may be to the number of shares reserved for issuance under the 2015 Incentive Plan, the number of shares covered by awards then outstanding under the 2015 Incentive Plan, the limitations on awards under the 2015 Incentive Plan, the exercise price of outstanding options and such other equitable substitution or adjustments as it may determine appropriate.</w:t>
      </w:r>
    </w:p>
    <w:p>
      <w:pPr>
        <w:spacing w:after="0" w:line="88"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(qualified) stock options, stock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restricted stock awards, restricted stock units, other stock-based awards, performance compensation awards (including cash bonus awards), other cash-based awards or any combination of the foregoing. Awards may be granted under the 2015 Incentive Plan in assumption of, or in substitution for, outstanding awards previously granted by an entity acquired by our Company or with which our Company combines (which are referred to herein as “</w:t>
      </w:r>
      <w:r>
        <w:rPr>
          <w:rFonts w:ascii="Arial" w:cs="Arial" w:eastAsia="Arial" w:hAnsi="Arial"/>
          <w:sz w:val="18"/>
          <w:szCs w:val="18"/>
          <w:b w:val="1"/>
          <w:bCs w:val="1"/>
          <w:color w:val="auto"/>
        </w:rPr>
        <w:t>Substitute Awards</w:t>
      </w:r>
      <w:r>
        <w:rPr>
          <w:rFonts w:ascii="Arial" w:cs="Arial" w:eastAsia="Arial" w:hAnsi="Arial"/>
          <w:sz w:val="18"/>
          <w:szCs w:val="18"/>
          <w:color w:val="auto"/>
        </w:rPr>
        <w:t>”).</w:t>
      </w:r>
    </w:p>
    <w:p>
      <w:pPr>
        <w:spacing w:after="0" w:line="72" w:lineRule="exact"/>
        <w:rPr>
          <w:sz w:val="20"/>
          <w:szCs w:val="20"/>
          <w:color w:val="auto"/>
        </w:rPr>
      </w:pPr>
    </w:p>
    <w:p>
      <w:pPr>
        <w:ind w:left="760" w:right="60"/>
        <w:spacing w:after="0" w:line="241"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Compensation Committee will be authorized to grant options to purchase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that are either “qualified,” meaning they are intended to satisfy the requirements of Section 422 of the Code for incentive stock options, or “non-qualified,” meaning they are not intended to satisfy the requirements of Section 422 of the Code. All options granted under the 2015 Incentive Plan shall be non-qualified unless the applicable award agreement expressly states that the option is intended to be an “incentive stock option.” Options granted under the 2015 Incentive Plan will be subject to the terms and conditions established by the Compensation Committee. Under the terms of the 2015 Incentive Plan, the exercise price of the options will not be less than the fair market value of our Class A common stock at the time of grant (except with respect to Substitute Awards). Options granted under the 2015 Incentive Plan will be subject to such terms, including the exercise price and the conditions and timing of exercise, as may be determined by the Compensation Committee and specified in the applicable award agreement. The maximum term of an option granted under the 2015 Incentive Plan will be ten years from the date of grant (or five years in the case of a qualified option granted to a 10% shareholder), provided that, if the term of a non-qualified option would expire at a time when trading in the shares of our Class A common stock is prohibited by our Company’s insider trading policy, the option’s term shall be automatically extended until the 30th day following the expiration of such prohibition (as long as such extension shall not violate Section 409A of the Code). Payment in respect of the exercise of an option may be made in cash, by check, by cash equivalent and/or shares of our Class A common stock valued at the fair market value at the time the option is exercised (provided that such shares are not subject to any pledge or other security interest), or by such other method as the Compensation Committee may permit in its sole discretion, including: (i) in other property having a fair market value equal to the exercise price and all applicable required withholding taxes, (ii) if there is a public market for the shares of our Class A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Any fractional shares of Class A common stock will be settled in cash.</w:t>
      </w:r>
    </w:p>
    <w:p>
      <w:pPr>
        <w:spacing w:after="0" w:line="74"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will be authorized to award SARs under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SARs will be subject to the terms and conditions established by the Compensation Committee. A SAR is a contractual right that allows a participant to receive, either in the form of cash, shares or any combination of cash and shares, the appreciation, if any, in the value of a share over a certain period of time. An option granted under the 2015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for each SAR shall not be less than 100% of the fair market value of such share, determined as of the date of grant. The remaining terms of the SARs shall be established by the Compensation Committee and reflected in the award agreement.</w:t>
      </w:r>
    </w:p>
    <w:p>
      <w:pPr>
        <w:spacing w:after="0" w:line="75" w:lineRule="exact"/>
        <w:rPr>
          <w:sz w:val="20"/>
          <w:szCs w:val="20"/>
          <w:color w:val="auto"/>
        </w:rPr>
      </w:pPr>
    </w:p>
    <w:p>
      <w:pPr>
        <w:ind w:left="760" w:right="280"/>
        <w:spacing w:after="0" w:line="24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which will be subject to the terms and conditions established by the Compensation Committee. Restricted stock is Class A common stock that generally is non-transferable and is subject to other restrictions determined by the Compensation Committee for a specified period. Any accumulated dividends will be payable at the same time as the underlying restricted stock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201295</wp:posOffset>
            </wp:positionV>
            <wp:extent cx="754380"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13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760" w:right="60"/>
        <w:spacing w:after="0" w:line="241"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The Compensation Committee will be authorized to award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which will be subject to the terms and conditions established by the Compensation Committee. A restricted stock unit award, once vested, may be settled in common shares equal to the number of units earned, or in cash equal to the fair market value of the number of vested shares,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our Company of dividends on shares of our Class A common stock, either in cash or (at the sole discretion of the Compensation Committee) in shares of our Class A common stock having a fair market value equal to the amount of such dividends,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as the underlying restricted stock units are settled.</w:t>
      </w:r>
    </w:p>
    <w:p>
      <w:pPr>
        <w:spacing w:after="0" w:line="74" w:lineRule="exact"/>
        <w:rPr>
          <w:sz w:val="20"/>
          <w:szCs w:val="20"/>
          <w:color w:val="auto"/>
        </w:rPr>
      </w:pPr>
    </w:p>
    <w:p>
      <w:pPr>
        <w:ind w:left="760" w:right="540"/>
        <w:spacing w:after="0" w:line="262"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will be authorized to grant awards of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Class A common stock, rights to receive grants of awards at a future date, or other awards denominated in shares of our Class A common stock under such terms and conditions as the Compensation Committee may determine and as set forth in the applicable award agreement.</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Performance Compensation Awards.  </w:t>
      </w:r>
      <w:r>
        <w:rPr>
          <w:rFonts w:ascii="Arial" w:cs="Arial" w:eastAsia="Arial" w:hAnsi="Arial"/>
          <w:sz w:val="18"/>
          <w:szCs w:val="18"/>
          <w:color w:val="auto"/>
        </w:rPr>
        <w:t>The Compensation Committee may grant any award under the 2015</w:t>
      </w:r>
    </w:p>
    <w:p>
      <w:pPr>
        <w:spacing w:after="0" w:line="27"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Incentive Plan in the form of a “Performance Compensation Award” (including​ cash bonuses) intended to qualify as performance-based compensation for purposes of Section 162(m) of the Code by conditioning the number of shares earned or vested, or any payout, under the award on the satisfaction of certain “Performance Goals.” The Compensation Committee may establish these Performance Goals with reference to one or more of the following:</w:t>
      </w:r>
    </w:p>
    <w:p>
      <w:pPr>
        <w:spacing w:after="0" w:line="74" w:lineRule="exact"/>
        <w:rPr>
          <w:sz w:val="20"/>
          <w:szCs w:val="20"/>
          <w:color w:val="auto"/>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net earnings or net income (before or after taxes);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basic or diluted earnings per share (before or after taxes);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net revenue or net revenue growth;</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gross revenue or gross revenue growth, gross profit or gross profit growth;</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net operating profit (before or after taxes);</w:t>
      </w:r>
    </w:p>
    <w:p>
      <w:pPr>
        <w:spacing w:after="0" w:line="117" w:lineRule="exact"/>
        <w:rPr>
          <w:rFonts w:ascii="Arial" w:cs="Arial" w:eastAsia="Arial" w:hAnsi="Arial"/>
          <w:sz w:val="18"/>
          <w:szCs w:val="18"/>
          <w:color w:val="002554"/>
        </w:rPr>
      </w:pPr>
    </w:p>
    <w:p>
      <w:pPr>
        <w:ind w:left="1200" w:right="380" w:hanging="222"/>
        <w:spacing w:after="0" w:line="287" w:lineRule="auto"/>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return measures (including, but not limited to, return on investment, assets, capital, gross revenue or gross revenue growth, invested capital, equity or sales);</w:t>
      </w:r>
    </w:p>
    <w:p>
      <w:pPr>
        <w:spacing w:after="0" w:line="44" w:lineRule="exact"/>
        <w:rPr>
          <w:rFonts w:ascii="Arial" w:cs="Arial" w:eastAsia="Arial" w:hAnsi="Arial"/>
          <w:sz w:val="18"/>
          <w:szCs w:val="18"/>
          <w:color w:val="002554"/>
        </w:rPr>
      </w:pPr>
    </w:p>
    <w:p>
      <w:pPr>
        <w:ind w:left="1200" w:right="260" w:hanging="222"/>
        <w:spacing w:after="0" w:line="287" w:lineRule="auto"/>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cash flow measures (including, but not limited to, operating cash flow, free cash flow and cash flow return on capital), which may but are not required to be measured on a per-share basis;</w:t>
      </w:r>
    </w:p>
    <w:p>
      <w:pPr>
        <w:spacing w:after="0" w:line="44"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earnings before or after taxes, interest, depreciation, and amortization (including EBIT and EBITDA);</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gross or net operating margins;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productivity ratios;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share price (including, but not limited to, growth measures and total shareholder return);</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expense targets or cost reduction goals, general and administrative expense savings;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operating efficiency;</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objective measures of customer satisfaction;</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working capital targets;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measures of economic value added or other “value creation” metrics;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enterprise value;</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stockholder return;</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client retention;</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5"/>
        </w:numPr>
        <w:rPr>
          <w:rFonts w:ascii="Arial" w:cs="Arial" w:eastAsia="Arial" w:hAnsi="Arial"/>
          <w:sz w:val="18"/>
          <w:szCs w:val="18"/>
          <w:color w:val="002554"/>
        </w:rPr>
      </w:pPr>
      <w:r>
        <w:rPr>
          <w:rFonts w:ascii="Arial" w:cs="Arial" w:eastAsia="Arial" w:hAnsi="Arial"/>
          <w:sz w:val="18"/>
          <w:szCs w:val="18"/>
          <w:color w:val="auto"/>
        </w:rPr>
        <w:t>competitive market metrics;</w:t>
      </w:r>
    </w:p>
    <w:p>
      <w:pPr>
        <w:spacing w:after="0" w:line="331"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20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1200" w:hanging="222"/>
        <w:spacing w:after="0"/>
        <w:tabs>
          <w:tab w:leader="none" w:pos="1200" w:val="left"/>
        </w:tabs>
        <w:numPr>
          <w:ilvl w:val="0"/>
          <w:numId w:val="26"/>
        </w:numPr>
        <w:rPr>
          <w:rFonts w:ascii="Arial" w:cs="Arial" w:eastAsia="Arial" w:hAnsi="Arial"/>
          <w:sz w:val="18"/>
          <w:szCs w:val="18"/>
          <w:color w:val="002554"/>
        </w:rPr>
      </w:pPr>
      <w:r>
        <w:rPr>
          <w:rFonts w:ascii="Arial" w:cs="Arial" w:eastAsia="Arial" w:hAnsi="Arial"/>
          <w:sz w:val="18"/>
          <w:szCs w:val="18"/>
          <w:color w:val="auto"/>
        </w:rPr>
        <w:t>employee retention;</w:t>
      </w:r>
    </w:p>
    <w:p>
      <w:pPr>
        <w:spacing w:after="0" w:line="99" w:lineRule="exact"/>
        <w:rPr>
          <w:rFonts w:ascii="Arial" w:cs="Arial" w:eastAsia="Arial" w:hAnsi="Arial"/>
          <w:sz w:val="18"/>
          <w:szCs w:val="18"/>
          <w:color w:val="002554"/>
        </w:rPr>
      </w:pPr>
    </w:p>
    <w:p>
      <w:pPr>
        <w:ind w:left="1200" w:right="160" w:hanging="222"/>
        <w:spacing w:after="0" w:line="262" w:lineRule="auto"/>
        <w:tabs>
          <w:tab w:leader="none" w:pos="1200" w:val="left"/>
        </w:tabs>
        <w:numPr>
          <w:ilvl w:val="0"/>
          <w:numId w:val="26"/>
        </w:numPr>
        <w:rPr>
          <w:rFonts w:ascii="Arial" w:cs="Arial" w:eastAsia="Arial" w:hAnsi="Arial"/>
          <w:sz w:val="18"/>
          <w:szCs w:val="18"/>
          <w:color w:val="002554"/>
        </w:rPr>
      </w:pPr>
      <w:r>
        <w:rPr>
          <w:rFonts w:ascii="Arial" w:cs="Arial" w:eastAsia="Arial" w:hAnsi="Arial"/>
          <w:sz w:val="18"/>
          <w:szCs w:val="18"/>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w:t>
      </w:r>
    </w:p>
    <w:p>
      <w:pPr>
        <w:spacing w:after="0" w:line="54" w:lineRule="exact"/>
        <w:rPr>
          <w:rFonts w:ascii="Arial" w:cs="Arial" w:eastAsia="Arial" w:hAnsi="Arial"/>
          <w:sz w:val="18"/>
          <w:szCs w:val="18"/>
          <w:color w:val="002554"/>
        </w:rPr>
      </w:pPr>
    </w:p>
    <w:p>
      <w:pPr>
        <w:ind w:left="1200" w:hanging="222"/>
        <w:spacing w:after="0"/>
        <w:tabs>
          <w:tab w:leader="none" w:pos="1200" w:val="left"/>
        </w:tabs>
        <w:numPr>
          <w:ilvl w:val="0"/>
          <w:numId w:val="26"/>
        </w:numPr>
        <w:rPr>
          <w:rFonts w:ascii="Arial" w:cs="Arial" w:eastAsia="Arial" w:hAnsi="Arial"/>
          <w:sz w:val="18"/>
          <w:szCs w:val="18"/>
          <w:color w:val="002554"/>
        </w:rPr>
      </w:pPr>
      <w:r>
        <w:rPr>
          <w:rFonts w:ascii="Arial" w:cs="Arial" w:eastAsia="Arial" w:hAnsi="Arial"/>
          <w:sz w:val="18"/>
          <w:szCs w:val="18"/>
          <w:color w:val="auto"/>
        </w:rPr>
        <w:t>system-wide revenues;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26"/>
        </w:numPr>
        <w:rPr>
          <w:rFonts w:ascii="Arial" w:cs="Arial" w:eastAsia="Arial" w:hAnsi="Arial"/>
          <w:sz w:val="18"/>
          <w:szCs w:val="18"/>
          <w:color w:val="002554"/>
        </w:rPr>
      </w:pPr>
      <w:r>
        <w:rPr>
          <w:rFonts w:ascii="Arial" w:cs="Arial" w:eastAsia="Arial" w:hAnsi="Arial"/>
          <w:sz w:val="18"/>
          <w:szCs w:val="18"/>
          <w:color w:val="auto"/>
        </w:rPr>
        <w:t>cost of capital, debt leverage year-end cash position or book value;</w:t>
      </w:r>
    </w:p>
    <w:p>
      <w:pPr>
        <w:spacing w:after="0" w:line="117" w:lineRule="exact"/>
        <w:rPr>
          <w:rFonts w:ascii="Arial" w:cs="Arial" w:eastAsia="Arial" w:hAnsi="Arial"/>
          <w:sz w:val="18"/>
          <w:szCs w:val="18"/>
          <w:color w:val="002554"/>
        </w:rPr>
      </w:pPr>
    </w:p>
    <w:p>
      <w:pPr>
        <w:ind w:left="1200" w:right="560" w:hanging="222"/>
        <w:spacing w:after="0" w:line="287" w:lineRule="auto"/>
        <w:tabs>
          <w:tab w:leader="none" w:pos="1200" w:val="left"/>
        </w:tabs>
        <w:numPr>
          <w:ilvl w:val="0"/>
          <w:numId w:val="26"/>
        </w:numPr>
        <w:rPr>
          <w:rFonts w:ascii="Arial" w:cs="Arial" w:eastAsia="Arial" w:hAnsi="Arial"/>
          <w:sz w:val="18"/>
          <w:szCs w:val="18"/>
          <w:color w:val="002554"/>
        </w:rPr>
      </w:pPr>
      <w:r>
        <w:rPr>
          <w:rFonts w:ascii="Arial" w:cs="Arial" w:eastAsia="Arial" w:hAnsi="Arial"/>
          <w:sz w:val="18"/>
          <w:szCs w:val="18"/>
          <w:color w:val="auto"/>
        </w:rPr>
        <w:t>strategic objectives, development of new product lines and related revenue, sales and margin targets, or international operations; or</w:t>
      </w:r>
    </w:p>
    <w:p>
      <w:pPr>
        <w:spacing w:after="0" w:line="44" w:lineRule="exact"/>
        <w:rPr>
          <w:rFonts w:ascii="Arial" w:cs="Arial" w:eastAsia="Arial" w:hAnsi="Arial"/>
          <w:sz w:val="18"/>
          <w:szCs w:val="18"/>
          <w:color w:val="002554"/>
        </w:rPr>
      </w:pPr>
    </w:p>
    <w:p>
      <w:pPr>
        <w:ind w:left="1200" w:hanging="222"/>
        <w:spacing w:after="0"/>
        <w:tabs>
          <w:tab w:leader="none" w:pos="1200" w:val="left"/>
        </w:tabs>
        <w:numPr>
          <w:ilvl w:val="0"/>
          <w:numId w:val="26"/>
        </w:numPr>
        <w:rPr>
          <w:rFonts w:ascii="Arial" w:cs="Arial" w:eastAsia="Arial" w:hAnsi="Arial"/>
          <w:sz w:val="18"/>
          <w:szCs w:val="18"/>
          <w:color w:val="002554"/>
        </w:rPr>
      </w:pPr>
      <w:r>
        <w:rPr>
          <w:rFonts w:ascii="Arial" w:cs="Arial" w:eastAsia="Arial" w:hAnsi="Arial"/>
          <w:sz w:val="18"/>
          <w:szCs w:val="18"/>
          <w:color w:val="auto"/>
        </w:rPr>
        <w:t>any combination of the foregoing.</w:t>
      </w:r>
    </w:p>
    <w:p>
      <w:pPr>
        <w:spacing w:after="0" w:line="117"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Any of the above Performance Goal elements can be stated as a percentage of another Performance Goal or used on an absolute, relative or adjusted basis to measure the performance of our Company and/or its affiliates or any divisions, operation or business units, product lines, asset classes, brands, administrative departments or combination thereof, as the Compensation Committee deems appropriate. Performance Goals may be compared to the performance of a group of comparator companies or a published or special index that the Compensation Committee deems appropriate or, stock market indices. The Compensation Committee may provide for accelerated vesting of any award based on the achievement of Performance Goals. Any award that is intended to qualify as “performance-based compensation” under Section 162(m) of the Code will be granted, and Performance Goals for such an award will be established, by the Compensation Committee in writing not later than 90 days after the commencement of the performance period to which the Performance Goals relate, or such other period required under Section 162(m) of the Code. Before any payment is made in connection with any award intended to qualify as performance-based compensation under Section 162(m) of the Code, the Compensation Committee must certify in writing that the Performance Goals established with respect to such award have been achieved. In determining the actual amount of an individual participant’s Performance Compensation Award for a performance period, the Compensation Committee may reduce or eliminate the amount of the Performance Compensation Award earned consistent with Section 162(m) of the Code.</w:t>
      </w:r>
    </w:p>
    <w:p>
      <w:pPr>
        <w:spacing w:after="0" w:line="76" w:lineRule="exact"/>
        <w:rPr>
          <w:sz w:val="20"/>
          <w:szCs w:val="20"/>
          <w:color w:val="auto"/>
        </w:rPr>
      </w:pPr>
    </w:p>
    <w:p>
      <w:pPr>
        <w:jc w:val="both"/>
        <w:ind w:left="760" w:right="340"/>
        <w:spacing w:after="0" w:line="261" w:lineRule="auto"/>
        <w:rPr>
          <w:sz w:val="20"/>
          <w:szCs w:val="20"/>
          <w:color w:val="auto"/>
        </w:rPr>
      </w:pPr>
      <w:r>
        <w:rPr>
          <w:rFonts w:ascii="Arial" w:cs="Arial" w:eastAsia="Arial" w:hAnsi="Arial"/>
          <w:sz w:val="17"/>
          <w:szCs w:val="17"/>
          <w:color w:val="auto"/>
        </w:rPr>
        <w:t>The Compensation Committee may also specify adjustments or modifications (to the extent it would not result in adverse results under Section 162(m) of the Code) to be made to the calculation of a Performance Goal for such performance period, based on and in order to appropriately reflect the following events: (i) asset write-downs;</w:t>
      </w:r>
    </w:p>
    <w:p>
      <w:pPr>
        <w:spacing w:after="0" w:line="1" w:lineRule="exact"/>
        <w:rPr>
          <w:sz w:val="20"/>
          <w:szCs w:val="20"/>
          <w:color w:val="auto"/>
        </w:rPr>
      </w:pPr>
    </w:p>
    <w:p>
      <w:pPr>
        <w:ind w:left="760" w:right="200" w:firstLine="2"/>
        <w:spacing w:after="0" w:line="234" w:lineRule="auto"/>
        <w:tabs>
          <w:tab w:leader="none" w:pos="10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claim judgments or settlements; (iii) the effect of changes in tax laws, accounting principles, or other laws or regulatory rules affecting reported results; (iv) any reorganization and restructuring programs;</w:t>
      </w:r>
    </w:p>
    <w:p>
      <w:pPr>
        <w:spacing w:after="0" w:line="1" w:lineRule="exact"/>
        <w:rPr>
          <w:rFonts w:ascii="Arial" w:cs="Arial" w:eastAsia="Arial" w:hAnsi="Arial"/>
          <w:sz w:val="18"/>
          <w:szCs w:val="18"/>
          <w:color w:val="auto"/>
        </w:rPr>
      </w:pPr>
    </w:p>
    <w:p>
      <w:pPr>
        <w:ind w:left="760" w:right="480" w:firstLine="2"/>
        <w:spacing w:after="0" w:line="242" w:lineRule="auto"/>
        <w:tabs>
          <w:tab w:leader="none" w:pos="10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extraordinary nonrecurring items and/or in management’s discussion and analysis of financial condition and results of operations appearing in our Company’s annual report to shareholders for the applicable year;</w:t>
      </w:r>
    </w:p>
    <w:p>
      <w:pPr>
        <w:spacing w:after="0" w:line="1" w:lineRule="exact"/>
        <w:rPr>
          <w:rFonts w:ascii="Arial" w:cs="Arial" w:eastAsia="Arial" w:hAnsi="Arial"/>
          <w:sz w:val="18"/>
          <w:szCs w:val="18"/>
          <w:color w:val="auto"/>
        </w:rPr>
      </w:pPr>
    </w:p>
    <w:p>
      <w:pPr>
        <w:ind w:left="760" w:right="220" w:firstLine="2"/>
        <w:spacing w:after="0" w:line="250" w:lineRule="auto"/>
        <w:tabs>
          <w:tab w:leader="none" w:pos="10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 or divestitures; (vii) any other specific, unusual or nonrecurring events, or objectively determinable category thereof; (viii) foreign exchange gains and losses; (ix) discontinued operations and nonrecurring charges; and (x) a change in our Company’s fiscal year.</w:t>
      </w:r>
    </w:p>
    <w:p>
      <w:pPr>
        <w:spacing w:after="0" w:line="64"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Unless otherwise provided in the applicable award agreement, a participant shall be eligible to receive payment in respect of a performance compensation award only to the extent that (i) the Performance Goals for such period are achieved; and (ii) all or some of the portion of such participant’s performance compensation award has been earned for the performance period based on the application of the “Performance Formula” ​(as defined in the 2015 Incentive Plan) to such Performance Goals.</w:t>
      </w:r>
    </w:p>
    <w:p>
      <w:pPr>
        <w:spacing w:after="0" w:line="82" w:lineRule="exact"/>
        <w:rPr>
          <w:sz w:val="20"/>
          <w:szCs w:val="20"/>
          <w:color w:val="auto"/>
        </w:rPr>
      </w:pPr>
    </w:p>
    <w:p>
      <w:pPr>
        <w:ind w:left="760" w:right="100"/>
        <w:spacing w:after="0" w:line="260" w:lineRule="auto"/>
        <w:rPr>
          <w:sz w:val="20"/>
          <w:szCs w:val="20"/>
          <w:color w:val="auto"/>
        </w:rPr>
      </w:pPr>
      <w:r>
        <w:rPr>
          <w:rFonts w:ascii="Arial" w:cs="Arial" w:eastAsia="Arial" w:hAnsi="Arial"/>
          <w:sz w:val="17"/>
          <w:szCs w:val="17"/>
          <w:i w:val="1"/>
          <w:iCs w:val="1"/>
          <w:color w:val="auto"/>
        </w:rPr>
        <w:t xml:space="preserve">Effect of a Change in Control. </w:t>
      </w:r>
      <w:r>
        <w:rPr>
          <w:rFonts w:ascii="Arial" w:cs="Arial" w:eastAsia="Arial" w:hAnsi="Arial"/>
          <w:sz w:val="17"/>
          <w:szCs w:val="17"/>
          <w:color w:val="auto"/>
        </w:rPr>
        <w:t>Unless otherwise provided in an award agreement, or any applicable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change in control, severance or other agreement between a participant and our Company, in the event of a change of control, if a participant’s employment or service is terminated by our Company other than for cause (and other than due to death or disability) within the 12-month period following a change in control, then the Compensation Committee may provide that (i) all then-outstanding options and SARs will become immediately exercisable as of such participant’s date of termination with respect to all of the shares subject to such option or SAR; and/or (ii) the restricted period shall expire as of such participant’s date of termination with respect to all of the then-outstanding shares of restricted stock or restricted stock units (including, without limitation, a waiver of any applicable Performance Goals); provided that any award whose vesting or exercisability is otherwise subject to the achievement of performance conditions, the portion of such award that shall become fully vested and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184785</wp:posOffset>
            </wp:positionV>
            <wp:extent cx="75438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40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13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760" w:right="200"/>
        <w:spacing w:after="0" w:line="241" w:lineRule="auto"/>
        <w:rPr>
          <w:sz w:val="20"/>
          <w:szCs w:val="20"/>
          <w:color w:val="auto"/>
        </w:rPr>
      </w:pPr>
      <w:r>
        <w:rPr>
          <w:rFonts w:ascii="Arial" w:cs="Arial" w:eastAsia="Arial" w:hAnsi="Arial"/>
          <w:sz w:val="18"/>
          <w:szCs w:val="18"/>
          <w:color w:val="auto"/>
        </w:rPr>
        <w:t>exercisable shall be based on the assumed achievement of target performance as determined by the Compensation Committee and prorated for the number of days elapsed from the grant date of such award through the date of termination. In addition, the Compensation Committee may in its discretion and upon at least 10 days’ notice to the affected persons, cancel any outstanding award and pay the holders, in cash, securities or other property (including of the acquiring or successor company), or any combination thereof, the value of such awards based upon the price per share of the Company’s common stock received or to be received by other shareholders of the Company in the event. Notwithstanding the above, the Compensation Committee shall exercise such discretion over any award subject to Section 409A of the Code at the time such award is granted.</w:t>
      </w:r>
    </w:p>
    <w:p>
      <w:pPr>
        <w:spacing w:after="0" w:line="88" w:lineRule="exact"/>
        <w:rPr>
          <w:sz w:val="20"/>
          <w:szCs w:val="20"/>
          <w:color w:val="auto"/>
        </w:rPr>
      </w:pPr>
    </w:p>
    <w:p>
      <w:pPr>
        <w:ind w:left="760" w:right="180"/>
        <w:spacing w:after="0" w:line="24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2015 Incentive Plan).</w:t>
      </w:r>
    </w:p>
    <w:p>
      <w:pPr>
        <w:spacing w:after="0" w:line="69" w:lineRule="exact"/>
        <w:rPr>
          <w:sz w:val="20"/>
          <w:szCs w:val="20"/>
          <w:color w:val="auto"/>
        </w:rPr>
      </w:pPr>
    </w:p>
    <w:p>
      <w:pPr>
        <w:ind w:left="760" w:right="100"/>
        <w:spacing w:after="0" w:line="241"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2015 Incentive Plan will have a term of 10 years. The board of directors may amend,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2015 Incentive Plan at any time, subject to stockholder approval if necessary to comply with any tax, NASDAQ or other applicable regulatory requirement. No amendment, suspension or termination will materially and adversely affect the rights of any participant or recipient of any award without the consent of the participant or recipient. 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or any holder or beneficiary of any option theretofore granted will not to that extent be effective without the consent of the affected participant, holder or beneficiary; and provided further that, without stockholder approval, (i) no amendment or modification may reduce the option price of any option or the strike price of any SAR, (ii) the Compensation Committee may not cancel any outstanding option and replace it with a new option (with a lower exercise price) or cancel any SAR and replace it with a new SAR (with a lower strike price) or other award or cash in a manner that would be treated as a repricing (for compensation disclosure or accounting purposes), and (iii) the Compensation Committee may not take any other action considered a repricing for purposes of the shareholder approval rules of the applicable securities exchange on which our common shares are listed. However, stockholder approval is not required with respect to clauses (i), (ii), and (iii) above with respect to certain adjustments on changes in capitalization. In addition, none of the requirements described in the preceding clauses (i), (ii), and (iii) can be amended without the approval of our stockholders.</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100"/>
        <w:spacing w:after="0" w:line="246" w:lineRule="auto"/>
        <w:rPr>
          <w:sz w:val="20"/>
          <w:szCs w:val="20"/>
          <w:color w:val="auto"/>
        </w:rPr>
      </w:pPr>
      <w:r>
        <w:rPr>
          <w:rFonts w:ascii="Arial" w:cs="Arial" w:eastAsia="Arial" w:hAnsi="Arial"/>
          <w:sz w:val="18"/>
          <w:szCs w:val="18"/>
          <w:color w:val="auto"/>
        </w:rPr>
        <w:t>The following is a general summary of the material U.S. federal income tax consequences of the grant and exercise and vesting of awards under the 2015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67" w:lineRule="exact"/>
        <w:rPr>
          <w:sz w:val="20"/>
          <w:szCs w:val="20"/>
          <w:color w:val="auto"/>
        </w:rPr>
      </w:pPr>
    </w:p>
    <w:p>
      <w:pPr>
        <w:ind w:left="760" w:right="220"/>
        <w:spacing w:after="0" w:line="267"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Code requires that, for treatment of an option as an incentive stock option,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acquired through the exercise of an incentive stock option cannot be disposed of before the later of</w:t>
      </w:r>
    </w:p>
    <w:p>
      <w:pPr>
        <w:spacing w:after="0" w:line="2" w:lineRule="exact"/>
        <w:rPr>
          <w:sz w:val="20"/>
          <w:szCs w:val="20"/>
          <w:color w:val="auto"/>
        </w:rPr>
      </w:pPr>
    </w:p>
    <w:p>
      <w:pPr>
        <w:ind w:left="760" w:right="60" w:firstLine="2"/>
        <w:spacing w:after="0" w:line="252" w:lineRule="auto"/>
        <w:tabs>
          <w:tab w:leader="none" w:pos="9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w:t>
      </w:r>
    </w:p>
    <w:p>
      <w:pPr>
        <w:spacing w:after="0" w:line="2" w:lineRule="exact"/>
        <w:rPr>
          <w:rFonts w:ascii="Arial" w:cs="Arial" w:eastAsia="Arial" w:hAnsi="Arial"/>
          <w:sz w:val="17"/>
          <w:szCs w:val="17"/>
          <w:color w:val="auto"/>
        </w:rPr>
      </w:pPr>
    </w:p>
    <w:p>
      <w:pPr>
        <w:ind w:left="760" w:right="240"/>
        <w:spacing w:after="0" w:line="242" w:lineRule="auto"/>
        <w:rPr>
          <w:rFonts w:ascii="Arial" w:cs="Arial" w:eastAsia="Arial" w:hAnsi="Arial"/>
          <w:sz w:val="17"/>
          <w:szCs w:val="17"/>
          <w:color w:val="auto"/>
        </w:rPr>
      </w:pPr>
      <w:r>
        <w:rPr>
          <w:rFonts w:ascii="Arial" w:cs="Arial" w:eastAsia="Arial" w:hAnsi="Arial"/>
          <w:sz w:val="18"/>
          <w:szCs w:val="18"/>
          <w:color w:val="auto"/>
        </w:rPr>
        <w:t>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w:t>
      </w:r>
    </w:p>
    <w:p>
      <w:pPr>
        <w:spacing w:after="0" w:line="27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344805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20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760" w:right="60"/>
        <w:spacing w:after="0" w:line="251" w:lineRule="auto"/>
        <w:rPr>
          <w:sz w:val="20"/>
          <w:szCs w:val="20"/>
          <w:color w:val="auto"/>
        </w:rPr>
      </w:pPr>
      <w:r>
        <w:rPr>
          <w:rFonts w:ascii="Arial" w:cs="Arial" w:eastAsia="Arial" w:hAnsi="Arial"/>
          <w:sz w:val="18"/>
          <w:szCs w:val="18"/>
          <w:color w:val="auto"/>
        </w:rPr>
        <w:t>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82" w:lineRule="exact"/>
        <w:rPr>
          <w:sz w:val="20"/>
          <w:szCs w:val="20"/>
          <w:color w:val="auto"/>
        </w:rPr>
      </w:pPr>
    </w:p>
    <w:p>
      <w:pPr>
        <w:ind w:left="760" w:right="120"/>
        <w:spacing w:after="0" w:line="259" w:lineRule="auto"/>
        <w:rPr>
          <w:sz w:val="20"/>
          <w:szCs w:val="20"/>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No income will be realized by a participant upon grant of a SAR. Upon the exercise of a SAR,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71"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A participant will not be subject to tax upon the grant of an award of restricted stock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The Company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77" w:lineRule="exact"/>
        <w:rPr>
          <w:sz w:val="20"/>
          <w:szCs w:val="20"/>
          <w:color w:val="auto"/>
        </w:rPr>
      </w:pPr>
    </w:p>
    <w:p>
      <w:pPr>
        <w:ind w:left="760" w:right="120"/>
        <w:spacing w:after="0" w:line="26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of a restricted stock unit award.</w:t>
      </w:r>
      <w:r>
        <w:rPr>
          <w:rFonts w:ascii="Arial" w:cs="Arial" w:eastAsia="Arial" w:hAnsi="Arial"/>
          <w:sz w:val="18"/>
          <w:szCs w:val="18"/>
          <w:i w:val="1"/>
          <w:iCs w:val="1"/>
          <w:color w:val="auto"/>
        </w:rPr>
        <w:t xml:space="preserve"> </w:t>
      </w:r>
      <w:r>
        <w:rPr>
          <w:rFonts w:ascii="Arial" w:cs="Arial" w:eastAsia="Arial" w:hAnsi="Arial"/>
          <w:sz w:val="18"/>
          <w:szCs w:val="18"/>
          <w:color w:val="auto"/>
        </w:rPr>
        <w:t>Rather, upon the delivery of shares or cash pursuant to a restricted stock unit award, the participant will have taxable compensation equal to the fair market value of the number of shares (or the amount of cash) the participant actually receives with respect to the award.</w:t>
      </w:r>
    </w:p>
    <w:p>
      <w:pPr>
        <w:spacing w:after="0" w:line="68"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Company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63" w:lineRule="exact"/>
        <w:rPr>
          <w:sz w:val="20"/>
          <w:szCs w:val="20"/>
          <w:color w:val="auto"/>
        </w:rPr>
      </w:pPr>
    </w:p>
    <w:p>
      <w:pPr>
        <w:ind w:left="760" w:right="240"/>
        <w:spacing w:after="0" w:line="254"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The Tax Cuts and Jobs Act of 2017 (“</w:t>
      </w:r>
      <w:r>
        <w:rPr>
          <w:rFonts w:ascii="Arial" w:cs="Arial" w:eastAsia="Arial" w:hAnsi="Arial"/>
          <w:sz w:val="18"/>
          <w:szCs w:val="18"/>
          <w:b w:val="1"/>
          <w:bCs w:val="1"/>
          <w:color w:val="auto"/>
        </w:rPr>
        <w:t>Tax Act</w:t>
      </w:r>
      <w:r>
        <w:rPr>
          <w:rFonts w:ascii="Arial" w:cs="Arial" w:eastAsia="Arial" w:hAnsi="Arial"/>
          <w:sz w:val="18"/>
          <w:szCs w:val="18"/>
          <w:color w:val="auto"/>
        </w:rPr>
        <w:t>”) generally eliminated the ability to deduct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qualifying for the “performance-based compensation” exception under Code Section 162(m) for tax years commencing after December 31, 2017. Code Section 162(m) imposes a $1 million limit on the amount that a public company may deduct for compensation paid to “covered employees” ​(as determined under Code Section 162(m)). For 2017 and prior taxable years, an exception to this deduction limit applied to “performance-based compensation,” such as stock options and other equity awards that satisfied certain criteria. Under the Tax Act, the performance-based pay exception to Code Section 162(m) was eliminated, but a transition rule may allow the exception to continue to apply to certain performance-based compensation payable under written binding contracts that were in effect on November 2, 2017. The Amendment is not intended to affect the ability of awards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198120</wp:posOffset>
            </wp:positionV>
            <wp:extent cx="75438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right="1320"/>
        <w:spacing w:after="0" w:line="260"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2" w:lineRule="exact"/>
        <w:rPr>
          <w:sz w:val="20"/>
          <w:szCs w:val="20"/>
          <w:color w:val="auto"/>
        </w:rPr>
      </w:pPr>
    </w:p>
    <w:p>
      <w:pPr>
        <w:ind w:left="760" w:right="160"/>
        <w:spacing w:after="0" w:line="312" w:lineRule="auto"/>
        <w:rPr>
          <w:sz w:val="20"/>
          <w:szCs w:val="20"/>
          <w:color w:val="auto"/>
        </w:rPr>
      </w:pPr>
      <w:r>
        <w:rPr>
          <w:rFonts w:ascii="Arial" w:cs="Arial" w:eastAsia="Arial" w:hAnsi="Arial"/>
          <w:sz w:val="17"/>
          <w:szCs w:val="17"/>
          <w:color w:val="auto"/>
        </w:rPr>
        <w:t>granted under the 2015 Incentive Plan to qualify for grandfathered status under the Code Section 162(m) transition rules if they otherwise would. However, no assurance can be given that such awards will, in fact, be exempt.</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58293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80"/>
        <w:spacing w:after="0" w:line="267" w:lineRule="auto"/>
        <w:rPr>
          <w:sz w:val="20"/>
          <w:szCs w:val="20"/>
          <w:color w:val="auto"/>
        </w:rPr>
      </w:pPr>
      <w:r>
        <w:rPr>
          <w:rFonts w:ascii="Arial" w:cs="Arial" w:eastAsia="Arial" w:hAnsi="Arial"/>
          <w:sz w:val="18"/>
          <w:szCs w:val="18"/>
          <w:color w:val="auto"/>
        </w:rPr>
        <w:t>The Company has not approved any awards that are conditioned upon stockholder approval of the 2015 Incentive Plan. Other than with respect to annual restricted stock unit awards to our non-employee directors, awards under the 2015 Incentive Plan will be determined by our board of directors (or committee thereof) in its discretion. It is, therefore, not possible to predict the awards that will be made to particular officers in the future under the 2015 Incentive Plan. For information regarding grants made in 2021 to our named executive officers under the 2015 Plan, see the Summary Compensation Table above.</w:t>
      </w:r>
    </w:p>
    <w:p>
      <w:pPr>
        <w:spacing w:after="0" w:line="76" w:lineRule="exact"/>
        <w:rPr>
          <w:sz w:val="20"/>
          <w:szCs w:val="20"/>
          <w:color w:val="auto"/>
        </w:rPr>
      </w:pPr>
    </w:p>
    <w:p>
      <w:pPr>
        <w:ind w:left="760" w:right="240"/>
        <w:spacing w:after="0" w:line="262" w:lineRule="auto"/>
        <w:rPr>
          <w:sz w:val="20"/>
          <w:szCs w:val="20"/>
          <w:color w:val="auto"/>
        </w:rPr>
      </w:pPr>
      <w:r>
        <w:rPr>
          <w:rFonts w:ascii="Arial" w:cs="Arial" w:eastAsia="Arial" w:hAnsi="Arial"/>
          <w:sz w:val="18"/>
          <w:szCs w:val="18"/>
          <w:i w:val="1"/>
          <w:iCs w:val="1"/>
          <w:color w:val="auto"/>
        </w:rPr>
        <w:t xml:space="preserve">Non-Employee Directors. </w:t>
      </w:r>
      <w:r>
        <w:rPr>
          <w:rFonts w:ascii="Arial" w:cs="Arial" w:eastAsia="Arial" w:hAnsi="Arial"/>
          <w:sz w:val="18"/>
          <w:szCs w:val="18"/>
          <w:color w:val="auto"/>
        </w:rPr>
        <w:t>The 2015 Incentive Plan authorizes the grant of equity-based awards to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pursuant to our director compensation program as in effect from time to time, as described under the heading “Compensation of Directors”. Historically, our non-employee directors have received annual equity grants under the 2015 Incentive Plan in accordance with our director compensation program. The table below sets forth the aggregate grant date fair value of annual equity-based awards that all non-employee directors as a group are expected to receive in fiscal 2022 pursuant to our director compensation program as currently in effect.</w:t>
      </w:r>
    </w:p>
    <w:p>
      <w:pPr>
        <w:spacing w:after="0" w:line="4" w:lineRule="exact"/>
        <w:rPr>
          <w:sz w:val="20"/>
          <w:szCs w:val="20"/>
          <w:color w:val="auto"/>
        </w:rPr>
      </w:pPr>
    </w:p>
    <w:tbl>
      <w:tblPr>
        <w:tblLayout w:type="fixed"/>
        <w:tblInd w:w="760" w:type="dxa"/>
        <w:tblCellMar>
          <w:top w:w="0" w:type="dxa"/>
          <w:left w:w="0" w:type="dxa"/>
          <w:bottom w:w="0" w:type="dxa"/>
          <w:right w:w="0" w:type="dxa"/>
        </w:tblCellMar>
      </w:tblPr>
      <w:tr>
        <w:trPr>
          <w:trHeight w:val="333"/>
        </w:trPr>
        <w:tc>
          <w:tcPr>
            <w:tcW w:w="5580" w:type="dxa"/>
            <w:vAlign w:val="bottom"/>
          </w:tcPr>
          <w:p>
            <w:pPr>
              <w:spacing w:after="0"/>
              <w:rPr>
                <w:sz w:val="20"/>
                <w:szCs w:val="20"/>
                <w:color w:val="auto"/>
              </w:rPr>
            </w:pPr>
            <w:r>
              <w:rPr>
                <w:rFonts w:ascii="Arial" w:cs="Arial" w:eastAsia="Arial" w:hAnsi="Arial"/>
                <w:sz w:val="14"/>
                <w:szCs w:val="14"/>
                <w:b w:val="1"/>
                <w:bCs w:val="1"/>
                <w:color w:val="002554"/>
              </w:rPr>
              <w:t>Name and Position</w:t>
            </w:r>
          </w:p>
        </w:tc>
        <w:tc>
          <w:tcPr>
            <w:tcW w:w="3660" w:type="dxa"/>
            <w:vAlign w:val="bottom"/>
            <w:gridSpan w:val="3"/>
          </w:tcPr>
          <w:p>
            <w:pPr>
              <w:ind w:left="1220"/>
              <w:spacing w:after="0"/>
              <w:rPr>
                <w:sz w:val="20"/>
                <w:szCs w:val="20"/>
                <w:color w:val="auto"/>
              </w:rPr>
            </w:pPr>
            <w:r>
              <w:rPr>
                <w:rFonts w:ascii="Arial" w:cs="Arial" w:eastAsia="Arial" w:hAnsi="Arial"/>
                <w:sz w:val="28"/>
                <w:szCs w:val="28"/>
                <w:b w:val="1"/>
                <w:bCs w:val="1"/>
                <w:color w:val="002554"/>
                <w:vertAlign w:val="subscript"/>
              </w:rPr>
              <w:t>​ ​</w:t>
            </w:r>
            <w:r>
              <w:rPr>
                <w:rFonts w:ascii="Arial" w:cs="Arial" w:eastAsia="Arial" w:hAnsi="Arial"/>
                <w:sz w:val="14"/>
                <w:szCs w:val="14"/>
                <w:b w:val="1"/>
                <w:bCs w:val="1"/>
                <w:color w:val="002554"/>
              </w:rPr>
              <w:t xml:space="preserve"> Dollar Value </w:t>
            </w:r>
            <w:r>
              <w:rPr>
                <w:rFonts w:ascii="Arial" w:cs="Arial" w:eastAsia="Arial" w:hAnsi="Arial"/>
                <w:sz w:val="28"/>
                <w:szCs w:val="28"/>
                <w:b w:val="1"/>
                <w:bCs w:val="1"/>
                <w:color w:val="002554"/>
                <w:vertAlign w:val="subscript"/>
              </w:rPr>
              <w:t>​ ​</w:t>
            </w:r>
            <w:r>
              <w:rPr>
                <w:rFonts w:ascii="Arial" w:cs="Arial" w:eastAsia="Arial" w:hAnsi="Arial"/>
                <w:sz w:val="14"/>
                <w:szCs w:val="14"/>
                <w:b w:val="1"/>
                <w:bCs w:val="1"/>
                <w:color w:val="002554"/>
              </w:rPr>
              <w:t xml:space="preserve"> Number of Units </w:t>
            </w:r>
            <w:r>
              <w:rPr>
                <w:rFonts w:ascii="Arial" w:cs="Arial" w:eastAsia="Arial" w:hAnsi="Arial"/>
                <w:sz w:val="28"/>
                <w:szCs w:val="28"/>
                <w:b w:val="1"/>
                <w:bCs w:val="1"/>
                <w:color w:val="002554"/>
                <w:vertAlign w:val="subscript"/>
              </w:rPr>
              <w:t>​</w:t>
            </w:r>
          </w:p>
        </w:tc>
      </w:tr>
      <w:tr>
        <w:trPr>
          <w:trHeight w:val="263"/>
        </w:trPr>
        <w:tc>
          <w:tcPr>
            <w:tcW w:w="55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All current non-executive officer directors as a group(1)</w:t>
            </w:r>
          </w:p>
        </w:tc>
        <w:tc>
          <w:tcPr>
            <w:tcW w:w="2680" w:type="dxa"/>
            <w:vAlign w:val="bottom"/>
            <w:tcBorders>
              <w:top w:val="single" w:sz="8" w:color="00C389"/>
              <w:bottom w:val="single" w:sz="8" w:color="00C389"/>
            </w:tcBorders>
            <w:shd w:val="clear" w:color="auto" w:fill="CCEEFF"/>
          </w:tcPr>
          <w:p>
            <w:pPr>
              <w:ind w:left="122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$150,000 </w:t>
            </w:r>
            <w:r>
              <w:rPr>
                <w:rFonts w:ascii="Arial" w:cs="Arial" w:eastAsia="Arial" w:hAnsi="Arial"/>
                <w:sz w:val="30"/>
                <w:szCs w:val="30"/>
                <w:color w:val="auto"/>
                <w:vertAlign w:val="subscript"/>
              </w:rPr>
              <w:t>​​ ​</w:t>
            </w:r>
          </w:p>
        </w:tc>
        <w:tc>
          <w:tcPr>
            <w:tcW w:w="920" w:type="dxa"/>
            <w:vAlign w:val="bottom"/>
            <w:tcBorders>
              <w:top w:val="single" w:sz="8" w:color="00C389"/>
              <w:bottom w:val="single" w:sz="8" w:color="00C389"/>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72" w:lineRule="exact"/>
        <w:rPr>
          <w:sz w:val="20"/>
          <w:szCs w:val="20"/>
          <w:color w:val="auto"/>
        </w:rPr>
      </w:pPr>
    </w:p>
    <w:p>
      <w:pPr>
        <w:ind w:left="980" w:right="200" w:hanging="218"/>
        <w:spacing w:after="0" w:line="305" w:lineRule="auto"/>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number of RSUs granted to non-executive director nominees on the 2022 Annual Meeting date cannot be determined at this time since the grant value will be converted to a number of RSUs using our closing stock price on the 2022 Annual Meeting Date.</w:t>
      </w:r>
    </w:p>
    <w:p>
      <w:pPr>
        <w:spacing w:after="0" w:line="54" w:lineRule="exact"/>
        <w:rPr>
          <w:sz w:val="20"/>
          <w:szCs w:val="20"/>
          <w:color w:val="auto"/>
        </w:rPr>
      </w:pPr>
    </w:p>
    <w:p>
      <w:pPr>
        <w:ind w:left="760" w:right="60"/>
        <w:spacing w:after="0" w:line="267" w:lineRule="auto"/>
        <w:rPr>
          <w:sz w:val="20"/>
          <w:szCs w:val="20"/>
          <w:color w:val="auto"/>
        </w:rPr>
      </w:pPr>
      <w:r>
        <w:rPr>
          <w:rFonts w:ascii="Arial" w:cs="Arial" w:eastAsia="Arial" w:hAnsi="Arial"/>
          <w:sz w:val="18"/>
          <w:szCs w:val="18"/>
          <w:color w:val="auto"/>
        </w:rPr>
        <w:t>In accordance with SEC rules, the table below indicates the aggregate number of stock options granted under the 2015 Incentive Plan since its adoption to each named executive officer, all current executive officers as a group, all current directors (other than executive officers) as a group, and all current employees (other than executive officers) as a group. No stock options have been granted since 2015. As of April 7, 2022, there were 1,543,776 shares of our Class A common stock subject to stock options under the 2015 Incentive Plan, with a weighted average exercise price of $19.00 and a weighted average remaining term of 5.0 years. As of April 7, 2022, the closing price of our common stock was $37.04 per share.</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002554"/>
              </w:rPr>
              <w:t>Name</w:t>
            </w:r>
          </w:p>
        </w:tc>
        <w:tc>
          <w:tcPr>
            <w:tcW w:w="2120" w:type="dxa"/>
            <w:vAlign w:val="bottom"/>
          </w:tcPr>
          <w:p>
            <w:pPr>
              <w:spacing w:after="0"/>
              <w:rPr>
                <w:sz w:val="14"/>
                <w:szCs w:val="14"/>
                <w:color w:val="auto"/>
              </w:rPr>
            </w:pPr>
          </w:p>
        </w:tc>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002554"/>
              </w:rPr>
              <w:t>Title</w:t>
            </w:r>
          </w:p>
        </w:tc>
        <w:tc>
          <w:tcPr>
            <w:tcW w:w="88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002554"/>
              </w:rPr>
              <w:t>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00C389"/>
            </w:tcBorders>
            <w:vMerge w:val="continue"/>
          </w:tcPr>
          <w:p>
            <w:pPr>
              <w:spacing w:after="0"/>
              <w:rPr>
                <w:sz w:val="16"/>
                <w:szCs w:val="16"/>
                <w:color w:val="auto"/>
              </w:rPr>
            </w:pPr>
          </w:p>
        </w:tc>
        <w:tc>
          <w:tcPr>
            <w:tcW w:w="2120" w:type="dxa"/>
            <w:vAlign w:val="bottom"/>
            <w:tcBorders>
              <w:bottom w:val="single" w:sz="8" w:color="00C389"/>
            </w:tcBorders>
          </w:tcPr>
          <w:p>
            <w:pPr>
              <w:ind w:left="120"/>
              <w:spacing w:after="0"/>
              <w:rPr>
                <w:sz w:val="20"/>
                <w:szCs w:val="20"/>
                <w:color w:val="auto"/>
              </w:rPr>
            </w:pPr>
            <w:r>
              <w:rPr>
                <w:rFonts w:ascii="Arial" w:cs="Arial" w:eastAsia="Arial" w:hAnsi="Arial"/>
                <w:sz w:val="14"/>
                <w:szCs w:val="14"/>
                <w:b w:val="1"/>
                <w:bCs w:val="1"/>
                <w:color w:val="002554"/>
              </w:rPr>
              <w:t>​ ​</w:t>
            </w:r>
          </w:p>
        </w:tc>
        <w:tc>
          <w:tcPr>
            <w:tcW w:w="1520" w:type="dxa"/>
            <w:vAlign w:val="bottom"/>
            <w:tcBorders>
              <w:bottom w:val="single" w:sz="8" w:color="00C389"/>
            </w:tcBorders>
            <w:vMerge w:val="continue"/>
          </w:tcPr>
          <w:p>
            <w:pPr>
              <w:spacing w:after="0"/>
              <w:rPr>
                <w:sz w:val="16"/>
                <w:szCs w:val="16"/>
                <w:color w:val="auto"/>
              </w:rPr>
            </w:pPr>
          </w:p>
        </w:tc>
        <w:tc>
          <w:tcPr>
            <w:tcW w:w="880" w:type="dxa"/>
            <w:vAlign w:val="bottom"/>
            <w:tcBorders>
              <w:bottom w:val="single" w:sz="8" w:color="00C389"/>
            </w:tcBorders>
          </w:tcPr>
          <w:p>
            <w:pPr>
              <w:ind w:left="700"/>
              <w:spacing w:after="0"/>
              <w:rPr>
                <w:sz w:val="20"/>
                <w:szCs w:val="20"/>
                <w:color w:val="auto"/>
              </w:rPr>
            </w:pPr>
            <w:r>
              <w:rPr>
                <w:rFonts w:ascii="Arial" w:cs="Arial" w:eastAsia="Arial" w:hAnsi="Arial"/>
                <w:sz w:val="14"/>
                <w:szCs w:val="14"/>
                <w:b w:val="1"/>
                <w:bCs w:val="1"/>
                <w:color w:val="002554"/>
              </w:rPr>
              <w:t>​ ​</w:t>
            </w:r>
          </w:p>
        </w:tc>
        <w:tc>
          <w:tcPr>
            <w:tcW w:w="840" w:type="dxa"/>
            <w:vAlign w:val="bottom"/>
            <w:tcBorders>
              <w:bottom w:val="single" w:sz="8" w:color="00C389"/>
            </w:tcBorders>
          </w:tcPr>
          <w:p>
            <w:pPr>
              <w:jc w:val="right"/>
              <w:ind w:right="74"/>
              <w:spacing w:after="0"/>
              <w:rPr>
                <w:sz w:val="20"/>
                <w:szCs w:val="20"/>
                <w:color w:val="auto"/>
              </w:rPr>
            </w:pPr>
            <w:r>
              <w:rPr>
                <w:rFonts w:ascii="Arial" w:cs="Arial" w:eastAsia="Arial" w:hAnsi="Arial"/>
                <w:sz w:val="14"/>
                <w:szCs w:val="14"/>
                <w:b w:val="1"/>
                <w:bCs w:val="1"/>
                <w:color w:val="002554"/>
              </w:rPr>
              <w:t>Options</w:t>
            </w:r>
          </w:p>
        </w:tc>
        <w:tc>
          <w:tcPr>
            <w:tcW w:w="60" w:type="dxa"/>
            <w:vAlign w:val="bottom"/>
          </w:tcPr>
          <w:p>
            <w:pPr>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64"/>
        </w:trPr>
        <w:tc>
          <w:tcPr>
            <w:tcW w:w="382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Named Executive Officers</w:t>
            </w:r>
          </w:p>
        </w:tc>
        <w:tc>
          <w:tcPr>
            <w:tcW w:w="2120" w:type="dxa"/>
            <w:vAlign w:val="bottom"/>
            <w:tcBorders>
              <w:bottom w:val="single" w:sz="8" w:color="00C389"/>
            </w:tcBorders>
          </w:tcPr>
          <w:p>
            <w:pPr>
              <w:ind w:left="80"/>
              <w:spacing w:after="0"/>
              <w:rPr>
                <w:sz w:val="20"/>
                <w:szCs w:val="20"/>
                <w:color w:val="auto"/>
              </w:rPr>
            </w:pPr>
            <w:r>
              <w:rPr>
                <w:rFonts w:ascii="Arial" w:cs="Arial" w:eastAsia="Arial" w:hAnsi="Arial"/>
                <w:sz w:val="18"/>
                <w:szCs w:val="18"/>
                <w:b w:val="1"/>
                <w:bCs w:val="1"/>
                <w:color w:val="auto"/>
              </w:rPr>
              <w:t>​ ​ ​</w:t>
            </w:r>
          </w:p>
        </w:tc>
        <w:tc>
          <w:tcPr>
            <w:tcW w:w="1520" w:type="dxa"/>
            <w:vAlign w:val="bottom"/>
            <w:tcBorders>
              <w:bottom w:val="single" w:sz="8" w:color="00C389"/>
            </w:tcBorders>
          </w:tcPr>
          <w:p>
            <w:pPr>
              <w:spacing w:after="0"/>
              <w:rPr>
                <w:sz w:val="22"/>
                <w:szCs w:val="22"/>
                <w:color w:val="auto"/>
              </w:rPr>
            </w:pPr>
          </w:p>
        </w:tc>
        <w:tc>
          <w:tcPr>
            <w:tcW w:w="880" w:type="dxa"/>
            <w:vAlign w:val="bottom"/>
            <w:tcBorders>
              <w:bottom w:val="single" w:sz="8" w:color="00C389"/>
            </w:tcBorders>
          </w:tcPr>
          <w:p>
            <w:pPr>
              <w:ind w:left="640"/>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00C389"/>
            </w:tcBorders>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82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Douglas A. Cifu</w:t>
            </w:r>
          </w:p>
        </w:tc>
        <w:tc>
          <w:tcPr>
            <w:tcW w:w="2120" w:type="dxa"/>
            <w:vAlign w:val="bottom"/>
            <w:tcBorders>
              <w:bottom w:val="single" w:sz="8" w:color="00C389"/>
            </w:tcBorders>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Executive Officer</w:t>
            </w:r>
          </w:p>
        </w:tc>
        <w:tc>
          <w:tcPr>
            <w:tcW w:w="1520" w:type="dxa"/>
            <w:vAlign w:val="bottom"/>
            <w:tcBorders>
              <w:bottom w:val="single" w:sz="8" w:color="00C389"/>
            </w:tcBorders>
          </w:tcPr>
          <w:p>
            <w:pPr>
              <w:spacing w:after="0"/>
              <w:rPr>
                <w:sz w:val="23"/>
                <w:szCs w:val="23"/>
                <w:color w:val="auto"/>
              </w:rPr>
            </w:pPr>
          </w:p>
        </w:tc>
        <w:tc>
          <w:tcPr>
            <w:tcW w:w="880" w:type="dxa"/>
            <w:vAlign w:val="bottom"/>
            <w:tcBorders>
              <w:bottom w:val="single" w:sz="8" w:color="00C389"/>
            </w:tcBorders>
          </w:tcPr>
          <w:p>
            <w:pPr>
              <w:ind w:left="64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8"/>
                <w:szCs w:val="18"/>
                <w:color w:val="auto"/>
              </w:rPr>
              <w:t>Joseph Molluso</w:t>
            </w:r>
          </w:p>
        </w:tc>
        <w:tc>
          <w:tcPr>
            <w:tcW w:w="2120" w:type="dxa"/>
            <w:vAlign w:val="bottom"/>
          </w:tcPr>
          <w:p>
            <w:pPr>
              <w:ind w:left="80"/>
              <w:spacing w:after="0"/>
              <w:rPr>
                <w:sz w:val="20"/>
                <w:szCs w:val="20"/>
                <w:color w:val="auto"/>
              </w:rPr>
            </w:pPr>
            <w:r>
              <w:rPr>
                <w:rFonts w:ascii="Arial" w:cs="Arial" w:eastAsia="Arial" w:hAnsi="Arial"/>
                <w:sz w:val="18"/>
                <w:szCs w:val="18"/>
                <w:color w:val="auto"/>
              </w:rPr>
              <w:t>​ ​ Co-President and</w:t>
            </w:r>
          </w:p>
        </w:tc>
        <w:tc>
          <w:tcPr>
            <w:tcW w:w="15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Co-Chief Operating Officer</w:t>
            </w: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20" w:type="dxa"/>
            <w:vAlign w:val="bottom"/>
            <w:tcBorders>
              <w:bottom w:val="single" w:sz="8" w:color="00C389"/>
            </w:tcBorders>
          </w:tcPr>
          <w:p>
            <w:pPr>
              <w:spacing w:after="0"/>
              <w:rPr>
                <w:sz w:val="2"/>
                <w:szCs w:val="2"/>
                <w:color w:val="auto"/>
              </w:rPr>
            </w:pPr>
          </w:p>
        </w:tc>
        <w:tc>
          <w:tcPr>
            <w:tcW w:w="2120" w:type="dxa"/>
            <w:vAlign w:val="bottom"/>
            <w:tcBorders>
              <w:bottom w:val="single" w:sz="8" w:color="00C389"/>
            </w:tcBorders>
          </w:tcPr>
          <w:p>
            <w:pPr>
              <w:spacing w:after="0"/>
              <w:rPr>
                <w:sz w:val="2"/>
                <w:szCs w:val="2"/>
                <w:color w:val="auto"/>
              </w:rPr>
            </w:pPr>
          </w:p>
        </w:tc>
        <w:tc>
          <w:tcPr>
            <w:tcW w:w="152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840" w:type="dxa"/>
            <w:vAlign w:val="bottom"/>
            <w:tcBorders>
              <w:bottom w:val="single" w:sz="8" w:color="00C389"/>
            </w:tcBorders>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8"/>
                <w:szCs w:val="18"/>
                <w:color w:val="auto"/>
              </w:rPr>
              <w:t>Brett Fairclough</w:t>
            </w:r>
          </w:p>
        </w:tc>
        <w:tc>
          <w:tcPr>
            <w:tcW w:w="2120" w:type="dxa"/>
            <w:vAlign w:val="bottom"/>
          </w:tcPr>
          <w:p>
            <w:pPr>
              <w:ind w:left="80"/>
              <w:spacing w:after="0"/>
              <w:rPr>
                <w:sz w:val="20"/>
                <w:szCs w:val="20"/>
                <w:color w:val="auto"/>
              </w:rPr>
            </w:pPr>
            <w:r>
              <w:rPr>
                <w:rFonts w:ascii="Arial" w:cs="Arial" w:eastAsia="Arial" w:hAnsi="Arial"/>
                <w:sz w:val="18"/>
                <w:szCs w:val="18"/>
                <w:color w:val="auto"/>
              </w:rPr>
              <w:t>​ ​ Co-President and</w:t>
            </w:r>
          </w:p>
        </w:tc>
        <w:tc>
          <w:tcPr>
            <w:tcW w:w="15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Co-Chief Operating Officer</w:t>
            </w: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20" w:type="dxa"/>
            <w:vAlign w:val="bottom"/>
            <w:tcBorders>
              <w:bottom w:val="single" w:sz="8" w:color="00C389"/>
            </w:tcBorders>
          </w:tcPr>
          <w:p>
            <w:pPr>
              <w:spacing w:after="0"/>
              <w:rPr>
                <w:sz w:val="2"/>
                <w:szCs w:val="2"/>
                <w:color w:val="auto"/>
              </w:rPr>
            </w:pPr>
          </w:p>
        </w:tc>
        <w:tc>
          <w:tcPr>
            <w:tcW w:w="3640" w:type="dxa"/>
            <w:vAlign w:val="bottom"/>
            <w:tcBorders>
              <w:bottom w:val="single" w:sz="8" w:color="00C389"/>
            </w:tcBorders>
            <w:gridSpan w:val="2"/>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840" w:type="dxa"/>
            <w:vAlign w:val="bottom"/>
            <w:tcBorders>
              <w:bottom w:val="single" w:sz="8" w:color="00C389"/>
            </w:tcBorders>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82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Stephen Cavoli</w:t>
            </w:r>
          </w:p>
        </w:tc>
        <w:tc>
          <w:tcPr>
            <w:tcW w:w="3640" w:type="dxa"/>
            <w:vAlign w:val="bottom"/>
            <w:tcBorders>
              <w:bottom w:val="single" w:sz="8" w:color="00C389"/>
            </w:tcBorders>
            <w:gridSpan w:val="2"/>
          </w:tcPr>
          <w:p>
            <w:pPr>
              <w:ind w:left="80"/>
              <w:spacing w:after="0" w:line="264"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 xml:space="preserve"> Executive Vice President, Markets</w:t>
            </w:r>
          </w:p>
        </w:tc>
        <w:tc>
          <w:tcPr>
            <w:tcW w:w="880" w:type="dxa"/>
            <w:vAlign w:val="bottom"/>
            <w:tcBorders>
              <w:bottom w:val="single" w:sz="8" w:color="00C389"/>
            </w:tcBorders>
          </w:tcPr>
          <w:p>
            <w:pPr>
              <w:ind w:left="64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8"/>
                <w:szCs w:val="18"/>
                <w:color w:val="auto"/>
              </w:rPr>
              <w:t>Sean P. Galvin</w:t>
            </w: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 ​ Executive Vice President and</w:t>
            </w: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p>
        </w:tc>
        <w:tc>
          <w:tcPr>
            <w:tcW w:w="212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20" w:type="dxa"/>
            <w:vAlign w:val="bottom"/>
            <w:tcBorders>
              <w:bottom w:val="single" w:sz="8" w:color="00C389"/>
            </w:tcBorders>
          </w:tcPr>
          <w:p>
            <w:pPr>
              <w:spacing w:after="0"/>
              <w:rPr>
                <w:sz w:val="2"/>
                <w:szCs w:val="2"/>
                <w:color w:val="auto"/>
              </w:rPr>
            </w:pPr>
          </w:p>
        </w:tc>
        <w:tc>
          <w:tcPr>
            <w:tcW w:w="2120" w:type="dxa"/>
            <w:vAlign w:val="bottom"/>
            <w:tcBorders>
              <w:bottom w:val="single" w:sz="8" w:color="00C389"/>
            </w:tcBorders>
          </w:tcPr>
          <w:p>
            <w:pPr>
              <w:spacing w:after="0"/>
              <w:rPr>
                <w:sz w:val="2"/>
                <w:szCs w:val="2"/>
                <w:color w:val="auto"/>
              </w:rPr>
            </w:pPr>
          </w:p>
        </w:tc>
        <w:tc>
          <w:tcPr>
            <w:tcW w:w="152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840" w:type="dxa"/>
            <w:vAlign w:val="bottom"/>
            <w:tcBorders>
              <w:bottom w:val="single" w:sz="8" w:color="00C389"/>
            </w:tcBorders>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All executive officers as a group (5 persons)</w:t>
            </w:r>
          </w:p>
        </w:tc>
        <w:tc>
          <w:tcPr>
            <w:tcW w:w="212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 ​ ​</w:t>
            </w:r>
          </w:p>
        </w:tc>
        <w:tc>
          <w:tcPr>
            <w:tcW w:w="1520" w:type="dxa"/>
            <w:vAlign w:val="bottom"/>
            <w:tcBorders>
              <w:bottom w:val="single" w:sz="8" w:color="00C389"/>
            </w:tcBorders>
          </w:tcPr>
          <w:p>
            <w:pPr>
              <w:spacing w:after="0"/>
              <w:rPr>
                <w:sz w:val="22"/>
                <w:szCs w:val="22"/>
                <w:color w:val="auto"/>
              </w:rPr>
            </w:pPr>
          </w:p>
        </w:tc>
        <w:tc>
          <w:tcPr>
            <w:tcW w:w="880" w:type="dxa"/>
            <w:vAlign w:val="bottom"/>
            <w:tcBorders>
              <w:bottom w:val="single" w:sz="8" w:color="00C389"/>
            </w:tcBorders>
          </w:tcPr>
          <w:p>
            <w:pPr>
              <w:ind w:left="64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545,000</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All directors (other than executive officers)</w:t>
            </w:r>
          </w:p>
        </w:tc>
        <w:tc>
          <w:tcPr>
            <w:tcW w:w="2120" w:type="dxa"/>
            <w:vAlign w:val="bottom"/>
          </w:tcPr>
          <w:p>
            <w:pPr>
              <w:ind w:left="80"/>
              <w:spacing w:after="0"/>
              <w:rPr>
                <w:sz w:val="20"/>
                <w:szCs w:val="20"/>
                <w:color w:val="auto"/>
              </w:rPr>
            </w:pPr>
            <w:r>
              <w:rPr>
                <w:rFonts w:ascii="Arial" w:cs="Arial" w:eastAsia="Arial" w:hAnsi="Arial"/>
                <w:sz w:val="18"/>
                <w:szCs w:val="18"/>
                <w:color w:val="auto"/>
              </w:rPr>
              <w:t>​ ​ ​</w:t>
            </w:r>
          </w:p>
        </w:tc>
        <w:tc>
          <w:tcPr>
            <w:tcW w:w="152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2,835,000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r>
              <w:rPr>
                <w:rFonts w:ascii="Arial" w:cs="Arial" w:eastAsia="Arial" w:hAnsi="Arial"/>
                <w:sz w:val="18"/>
                <w:szCs w:val="18"/>
                <w:color w:val="auto"/>
              </w:rPr>
              <w:t>as a group (11 persons)</w:t>
            </w:r>
          </w:p>
        </w:tc>
        <w:tc>
          <w:tcPr>
            <w:tcW w:w="2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20" w:type="dxa"/>
            <w:vAlign w:val="bottom"/>
            <w:tcBorders>
              <w:bottom w:val="single" w:sz="8" w:color="00C389"/>
            </w:tcBorders>
          </w:tcPr>
          <w:p>
            <w:pPr>
              <w:spacing w:after="0"/>
              <w:rPr>
                <w:sz w:val="2"/>
                <w:szCs w:val="2"/>
                <w:color w:val="auto"/>
              </w:rPr>
            </w:pPr>
          </w:p>
        </w:tc>
        <w:tc>
          <w:tcPr>
            <w:tcW w:w="2120" w:type="dxa"/>
            <w:vAlign w:val="bottom"/>
            <w:tcBorders>
              <w:bottom w:val="single" w:sz="8" w:color="00C389"/>
            </w:tcBorders>
          </w:tcPr>
          <w:p>
            <w:pPr>
              <w:spacing w:after="0"/>
              <w:rPr>
                <w:sz w:val="2"/>
                <w:szCs w:val="2"/>
                <w:color w:val="auto"/>
              </w:rPr>
            </w:pPr>
          </w:p>
        </w:tc>
        <w:tc>
          <w:tcPr>
            <w:tcW w:w="152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840" w:type="dxa"/>
            <w:vAlign w:val="bottom"/>
            <w:tcBorders>
              <w:bottom w:val="single" w:sz="8" w:color="00C389"/>
            </w:tcBorders>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820" w:type="dxa"/>
            <w:vAlign w:val="bottom"/>
          </w:tcPr>
          <w:p>
            <w:pPr>
              <w:spacing w:after="0"/>
              <w:rPr>
                <w:sz w:val="20"/>
                <w:szCs w:val="20"/>
                <w:color w:val="auto"/>
              </w:rPr>
            </w:pPr>
            <w:r>
              <w:rPr>
                <w:rFonts w:ascii="Arial" w:cs="Arial" w:eastAsia="Arial" w:hAnsi="Arial"/>
                <w:sz w:val="18"/>
                <w:szCs w:val="18"/>
                <w:color w:val="auto"/>
              </w:rPr>
              <w:t>All employees (other than executive officers) as</w:t>
            </w:r>
          </w:p>
        </w:tc>
        <w:tc>
          <w:tcPr>
            <w:tcW w:w="2120" w:type="dxa"/>
            <w:vAlign w:val="bottom"/>
          </w:tcPr>
          <w:p>
            <w:pPr>
              <w:ind w:left="80"/>
              <w:spacing w:after="0"/>
              <w:rPr>
                <w:sz w:val="20"/>
                <w:szCs w:val="20"/>
                <w:color w:val="auto"/>
              </w:rPr>
            </w:pPr>
            <w:r>
              <w:rPr>
                <w:rFonts w:ascii="Arial" w:cs="Arial" w:eastAsia="Arial" w:hAnsi="Arial"/>
                <w:sz w:val="18"/>
                <w:szCs w:val="18"/>
                <w:color w:val="auto"/>
              </w:rPr>
              <w:t>​ ​ ​</w:t>
            </w:r>
          </w:p>
        </w:tc>
        <w:tc>
          <w:tcPr>
            <w:tcW w:w="15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5,848,000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r>
              <w:rPr>
                <w:rFonts w:ascii="Arial" w:cs="Arial" w:eastAsia="Arial" w:hAnsi="Arial"/>
                <w:sz w:val="18"/>
                <w:szCs w:val="18"/>
                <w:color w:val="auto"/>
              </w:rPr>
              <w:t>a group (140 persons)</w:t>
            </w:r>
          </w:p>
        </w:tc>
        <w:tc>
          <w:tcPr>
            <w:tcW w:w="2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20" w:type="dxa"/>
            <w:vAlign w:val="bottom"/>
            <w:tcBorders>
              <w:bottom w:val="single" w:sz="8" w:color="00C389"/>
            </w:tcBorders>
          </w:tcPr>
          <w:p>
            <w:pPr>
              <w:spacing w:after="0"/>
              <w:rPr>
                <w:sz w:val="2"/>
                <w:szCs w:val="2"/>
                <w:color w:val="auto"/>
              </w:rPr>
            </w:pPr>
          </w:p>
        </w:tc>
        <w:tc>
          <w:tcPr>
            <w:tcW w:w="2120" w:type="dxa"/>
            <w:vAlign w:val="bottom"/>
            <w:tcBorders>
              <w:bottom w:val="single" w:sz="8" w:color="00C389"/>
            </w:tcBorders>
          </w:tcPr>
          <w:p>
            <w:pPr>
              <w:spacing w:after="0"/>
              <w:rPr>
                <w:sz w:val="2"/>
                <w:szCs w:val="2"/>
                <w:color w:val="auto"/>
              </w:rPr>
            </w:pPr>
          </w:p>
        </w:tc>
        <w:tc>
          <w:tcPr>
            <w:tcW w:w="152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840" w:type="dxa"/>
            <w:vAlign w:val="bottom"/>
            <w:tcBorders>
              <w:bottom w:val="single" w:sz="8" w:color="00C389"/>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jc w:val="right"/>
        <w:ind w:left="2020"/>
        <w:spacing w:after="0" w:line="256" w:lineRule="auto"/>
        <w:rPr>
          <w:sz w:val="20"/>
          <w:szCs w:val="20"/>
          <w:color w:val="auto"/>
        </w:rPr>
      </w:pPr>
      <w:r>
        <w:rPr>
          <w:rFonts w:ascii="Arial" w:cs="Arial" w:eastAsia="Arial" w:hAnsi="Arial"/>
          <w:sz w:val="18"/>
          <w:szCs w:val="18"/>
          <w:color w:val="auto"/>
        </w:rPr>
        <w:t>PROPOSAL 4: AMENDMENT TO THE VIRTU FINANCIAL, INC. AMENDED AND RESTATED 2015​ MANAGEMENT INCENTIVE PLAN​</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98"/>
        </w:trPr>
        <w:tc>
          <w:tcPr>
            <w:tcW w:w="4920" w:type="dxa"/>
            <w:vAlign w:val="bottom"/>
          </w:tcPr>
          <w:p>
            <w:pPr>
              <w:spacing w:after="0"/>
              <w:rPr>
                <w:sz w:val="20"/>
                <w:szCs w:val="20"/>
                <w:color w:val="auto"/>
              </w:rPr>
            </w:pPr>
            <w:r>
              <w:rPr>
                <w:rFonts w:ascii="Arial" w:cs="Arial" w:eastAsia="Arial" w:hAnsi="Arial"/>
                <w:sz w:val="14"/>
                <w:szCs w:val="14"/>
                <w:b w:val="1"/>
                <w:bCs w:val="1"/>
                <w:color w:val="002554"/>
              </w:rPr>
              <w:t>​</w:t>
            </w:r>
          </w:p>
        </w:tc>
        <w:tc>
          <w:tcPr>
            <w:tcW w:w="320" w:type="dxa"/>
            <w:vAlign w:val="bottom"/>
            <w:gridSpan w:val="2"/>
          </w:tcPr>
          <w:p>
            <w:pPr>
              <w:ind w:left="140"/>
              <w:spacing w:after="0"/>
              <w:rPr>
                <w:sz w:val="20"/>
                <w:szCs w:val="20"/>
                <w:color w:val="auto"/>
              </w:rPr>
            </w:pPr>
            <w:r>
              <w:rPr>
                <w:rFonts w:ascii="Arial" w:cs="Arial" w:eastAsia="Arial" w:hAnsi="Arial"/>
                <w:sz w:val="14"/>
                <w:szCs w:val="14"/>
                <w:b w:val="1"/>
                <w:bCs w:val="1"/>
                <w:color w:val="002554"/>
              </w:rPr>
              <w:t>​ ​</w:t>
            </w:r>
          </w:p>
        </w:tc>
        <w:tc>
          <w:tcPr>
            <w:tcW w:w="180" w:type="dxa"/>
            <w:vAlign w:val="bottom"/>
          </w:tcPr>
          <w:p>
            <w:pPr>
              <w:spacing w:after="0"/>
              <w:rPr>
                <w:sz w:val="17"/>
                <w:szCs w:val="17"/>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002554"/>
              </w:rPr>
              <w:t>(a)</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554"/>
              </w:rPr>
              <w:t>​ ​</w:t>
            </w:r>
          </w:p>
        </w:tc>
        <w:tc>
          <w:tcPr>
            <w:tcW w:w="520" w:type="dxa"/>
            <w:vAlign w:val="bottom"/>
          </w:tcPr>
          <w:p>
            <w:pPr>
              <w:spacing w:after="0"/>
              <w:rPr>
                <w:sz w:val="17"/>
                <w:szCs w:val="17"/>
                <w:color w:val="auto"/>
              </w:rPr>
            </w:pPr>
          </w:p>
        </w:tc>
        <w:tc>
          <w:tcPr>
            <w:tcW w:w="740" w:type="dxa"/>
            <w:vAlign w:val="bottom"/>
          </w:tcPr>
          <w:p>
            <w:pPr>
              <w:jc w:val="center"/>
              <w:ind w:right="396"/>
              <w:spacing w:after="0"/>
              <w:rPr>
                <w:sz w:val="20"/>
                <w:szCs w:val="20"/>
                <w:color w:val="auto"/>
              </w:rPr>
            </w:pPr>
            <w:r>
              <w:rPr>
                <w:rFonts w:ascii="Arial" w:cs="Arial" w:eastAsia="Arial" w:hAnsi="Arial"/>
                <w:sz w:val="14"/>
                <w:szCs w:val="14"/>
                <w:b w:val="1"/>
                <w:bCs w:val="1"/>
                <w:color w:val="002554"/>
              </w:rPr>
              <w:t>(b)</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002554"/>
              </w:rPr>
              <w:t>​ ​</w:t>
            </w:r>
          </w:p>
        </w:tc>
        <w:tc>
          <w:tcPr>
            <w:tcW w:w="240" w:type="dxa"/>
            <w:vAlign w:val="bottom"/>
          </w:tcPr>
          <w:p>
            <w:pPr>
              <w:spacing w:after="0"/>
              <w:rPr>
                <w:sz w:val="17"/>
                <w:szCs w:val="17"/>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b w:val="1"/>
                <w:bCs w:val="1"/>
                <w:color w:val="002554"/>
                <w:w w:val="93"/>
              </w:rPr>
              <w:t>(c)</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00C389"/>
            </w:tcBorders>
          </w:tcPr>
          <w:p>
            <w:pPr>
              <w:spacing w:after="0"/>
              <w:rPr>
                <w:sz w:val="15"/>
                <w:szCs w:val="15"/>
                <w:color w:val="auto"/>
              </w:rPr>
            </w:pPr>
          </w:p>
        </w:tc>
        <w:tc>
          <w:tcPr>
            <w:tcW w:w="180" w:type="dxa"/>
            <w:vAlign w:val="bottom"/>
            <w:tcBorders>
              <w:top w:val="single" w:sz="8" w:color="00C389"/>
            </w:tcBorders>
          </w:tcPr>
          <w:p>
            <w:pPr>
              <w:spacing w:after="0"/>
              <w:rPr>
                <w:sz w:val="15"/>
                <w:szCs w:val="15"/>
                <w:color w:val="auto"/>
              </w:rPr>
            </w:pPr>
          </w:p>
        </w:tc>
        <w:tc>
          <w:tcPr>
            <w:tcW w:w="860" w:type="dxa"/>
            <w:vAlign w:val="bottom"/>
            <w:tcBorders>
              <w:top w:val="single" w:sz="8" w:color="00C389"/>
            </w:tcBorders>
          </w:tcPr>
          <w:p>
            <w:pPr>
              <w:spacing w:after="0"/>
              <w:rPr>
                <w:sz w:val="15"/>
                <w:szCs w:val="15"/>
                <w:color w:val="auto"/>
              </w:rPr>
            </w:pPr>
          </w:p>
        </w:tc>
        <w:tc>
          <w:tcPr>
            <w:tcW w:w="220" w:type="dxa"/>
            <w:vAlign w:val="bottom"/>
            <w:tcBorders>
              <w:top w:val="single" w:sz="8" w:color="00C389"/>
            </w:tcBorders>
          </w:tcPr>
          <w:p>
            <w:pPr>
              <w:spacing w:after="0"/>
              <w:rPr>
                <w:sz w:val="15"/>
                <w:szCs w:val="15"/>
                <w:color w:val="auto"/>
              </w:rPr>
            </w:pPr>
          </w:p>
        </w:tc>
        <w:tc>
          <w:tcPr>
            <w:tcW w:w="520" w:type="dxa"/>
            <w:vAlign w:val="bottom"/>
            <w:tcBorders>
              <w:top w:val="single" w:sz="8" w:color="00C389"/>
            </w:tcBorders>
          </w:tcPr>
          <w:p>
            <w:pPr>
              <w:spacing w:after="0"/>
              <w:rPr>
                <w:sz w:val="15"/>
                <w:szCs w:val="15"/>
                <w:color w:val="auto"/>
              </w:rPr>
            </w:pPr>
          </w:p>
        </w:tc>
        <w:tc>
          <w:tcPr>
            <w:tcW w:w="740" w:type="dxa"/>
            <w:vAlign w:val="bottom"/>
            <w:tcBorders>
              <w:top w:val="single" w:sz="8" w:color="00C389"/>
            </w:tcBorders>
          </w:tcPr>
          <w:p>
            <w:pPr>
              <w:spacing w:after="0"/>
              <w:rPr>
                <w:sz w:val="15"/>
                <w:szCs w:val="15"/>
                <w:color w:val="auto"/>
              </w:rPr>
            </w:pPr>
          </w:p>
        </w:tc>
        <w:tc>
          <w:tcPr>
            <w:tcW w:w="220" w:type="dxa"/>
            <w:vAlign w:val="bottom"/>
            <w:tcBorders>
              <w:top w:val="single" w:sz="8" w:color="00C389"/>
            </w:tcBorders>
          </w:tcPr>
          <w:p>
            <w:pPr>
              <w:spacing w:after="0"/>
              <w:rPr>
                <w:sz w:val="15"/>
                <w:szCs w:val="15"/>
                <w:color w:val="auto"/>
              </w:rPr>
            </w:pPr>
          </w:p>
        </w:tc>
        <w:tc>
          <w:tcPr>
            <w:tcW w:w="1200" w:type="dxa"/>
            <w:vAlign w:val="bottom"/>
            <w:tcBorders>
              <w:top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Number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201"/>
              <w:spacing w:after="0" w:line="145" w:lineRule="exact"/>
              <w:rPr>
                <w:sz w:val="20"/>
                <w:szCs w:val="20"/>
                <w:color w:val="auto"/>
              </w:rPr>
            </w:pPr>
            <w:r>
              <w:rPr>
                <w:rFonts w:ascii="Arial" w:cs="Arial" w:eastAsia="Arial" w:hAnsi="Arial"/>
                <w:sz w:val="14"/>
                <w:szCs w:val="14"/>
                <w:b w:val="1"/>
                <w:bCs w:val="1"/>
                <w:color w:val="002554"/>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554"/>
              </w:rPr>
              <w:t>Number of</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002554"/>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554"/>
              </w:rPr>
              <w:t>Weighted-Average</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w w:val="99"/>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554"/>
              </w:rPr>
              <w:t>Securities to</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002554"/>
              </w:rPr>
              <w:t>Future 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center"/>
              <w:ind w:left="8"/>
              <w:spacing w:after="0" w:line="135" w:lineRule="exact"/>
              <w:rPr>
                <w:sz w:val="20"/>
                <w:szCs w:val="20"/>
                <w:color w:val="auto"/>
              </w:rPr>
            </w:pPr>
            <w:r>
              <w:rPr>
                <w:rFonts w:ascii="Arial" w:cs="Arial" w:eastAsia="Arial" w:hAnsi="Arial"/>
                <w:sz w:val="14"/>
                <w:szCs w:val="14"/>
                <w:b w:val="1"/>
                <w:bCs w:val="1"/>
                <w:color w:val="002554"/>
              </w:rPr>
              <w:t>be Issued Upon</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Exercise</w:t>
            </w:r>
          </w:p>
        </w:tc>
        <w:tc>
          <w:tcPr>
            <w:tcW w:w="22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Under 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Exercise of</w:t>
            </w: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Price of</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Outstanding</w:t>
            </w: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Outstanding</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Plans (Excluding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002554"/>
              </w:rPr>
              <w:t>Options,</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Options,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002554"/>
              </w:rPr>
              <w:t>Securities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Warrants and</w:t>
            </w:r>
          </w:p>
        </w:tc>
        <w:tc>
          <w:tcPr>
            <w:tcW w:w="2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Warrants and</w:t>
            </w: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002554"/>
              </w:rPr>
              <w:t>Reflected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w:t>
            </w:r>
          </w:p>
        </w:tc>
        <w:tc>
          <w:tcPr>
            <w:tcW w:w="320" w:type="dxa"/>
            <w:vAlign w:val="bottom"/>
            <w:tcBorders>
              <w:bottom w:val="single" w:sz="8" w:color="00C389"/>
            </w:tcBorders>
            <w:gridSpan w:val="2"/>
          </w:tcPr>
          <w:p>
            <w:pPr>
              <w:ind w:left="140"/>
              <w:spacing w:after="0"/>
              <w:rPr>
                <w:sz w:val="20"/>
                <w:szCs w:val="20"/>
                <w:color w:val="auto"/>
              </w:rPr>
            </w:pPr>
            <w:r>
              <w:rPr>
                <w:rFonts w:ascii="Arial" w:cs="Arial" w:eastAsia="Arial" w:hAnsi="Arial"/>
                <w:sz w:val="14"/>
                <w:szCs w:val="14"/>
                <w:b w:val="1"/>
                <w:bCs w:val="1"/>
                <w:color w:val="002554"/>
              </w:rPr>
              <w:t>​ ​</w:t>
            </w:r>
          </w:p>
        </w:tc>
        <w:tc>
          <w:tcPr>
            <w:tcW w:w="180" w:type="dxa"/>
            <w:vAlign w:val="bottom"/>
            <w:tcBorders>
              <w:bottom w:val="single" w:sz="8" w:color="00C389"/>
            </w:tcBorders>
          </w:tcPr>
          <w:p>
            <w:pPr>
              <w:spacing w:after="0"/>
              <w:rPr>
                <w:sz w:val="17"/>
                <w:szCs w:val="17"/>
                <w:color w:val="auto"/>
              </w:rPr>
            </w:pPr>
          </w:p>
        </w:tc>
        <w:tc>
          <w:tcPr>
            <w:tcW w:w="860" w:type="dxa"/>
            <w:vAlign w:val="bottom"/>
            <w:tcBorders>
              <w:bottom w:val="single" w:sz="8" w:color="00C389"/>
            </w:tcBorders>
          </w:tcPr>
          <w:p>
            <w:pPr>
              <w:jc w:val="center"/>
              <w:ind w:right="101"/>
              <w:spacing w:after="0"/>
              <w:rPr>
                <w:sz w:val="20"/>
                <w:szCs w:val="20"/>
                <w:color w:val="auto"/>
              </w:rPr>
            </w:pPr>
            <w:r>
              <w:rPr>
                <w:rFonts w:ascii="Arial" w:cs="Arial" w:eastAsia="Arial" w:hAnsi="Arial"/>
                <w:sz w:val="14"/>
                <w:szCs w:val="14"/>
                <w:b w:val="1"/>
                <w:bCs w:val="1"/>
                <w:color w:val="002554"/>
              </w:rPr>
              <w:t>Rights</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1260" w:type="dxa"/>
            <w:vAlign w:val="bottom"/>
            <w:tcBorders>
              <w:bottom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Rights ($)</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 ​</w:t>
            </w:r>
          </w:p>
        </w:tc>
        <w:tc>
          <w:tcPr>
            <w:tcW w:w="1200" w:type="dxa"/>
            <w:vAlign w:val="bottom"/>
            <w:tcBorders>
              <w:bottom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Column (a))</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Plan Category</w:t>
            </w:r>
          </w:p>
        </w:tc>
        <w:tc>
          <w:tcPr>
            <w:tcW w:w="320" w:type="dxa"/>
            <w:vAlign w:val="bottom"/>
            <w:tcBorders>
              <w:bottom w:val="single" w:sz="8" w:color="00C389"/>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18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0C389"/>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520" w:type="dxa"/>
            <w:vAlign w:val="bottom"/>
            <w:tcBorders>
              <w:bottom w:val="single" w:sz="8" w:color="00C389"/>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 ​</w:t>
            </w:r>
          </w:p>
        </w:tc>
        <w:tc>
          <w:tcPr>
            <w:tcW w:w="740" w:type="dxa"/>
            <w:vAlign w:val="bottom"/>
            <w:tcBorders>
              <w:bottom w:val="single" w:sz="8" w:color="00C389"/>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40" w:type="dxa"/>
            <w:vAlign w:val="bottom"/>
            <w:tcBorders>
              <w:bottom w:val="single" w:sz="8" w:color="00C389"/>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00C389"/>
              <w:right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​1,543,776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2"/>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$ 19.00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​2,519,444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2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320" w:type="dxa"/>
            <w:vAlign w:val="bottom"/>
            <w:tcBorders>
              <w:top w:val="single" w:sz="8" w:color="00C389"/>
              <w:bottom w:val="single" w:sz="8" w:color="00C389"/>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00C389"/>
              <w:bottom w:val="single" w:sz="8" w:color="00C389"/>
            </w:tcBorders>
            <w:shd w:val="clear" w:color="auto" w:fill="CCEEFF"/>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60" w:type="dxa"/>
            <w:vAlign w:val="bottom"/>
            <w:tcBorders>
              <w:top w:val="single" w:sz="8" w:color="00C389"/>
              <w:bottom w:val="single" w:sz="8" w:color="00C389"/>
            </w:tcBorders>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00C389"/>
              <w:bottom w:val="single" w:sz="8" w:color="00C389"/>
            </w:tcBorders>
            <w:shd w:val="clear" w:color="auto" w:fill="CCEEFF"/>
          </w:tcPr>
          <w:p>
            <w:pPr>
              <w:ind w:left="34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740" w:type="dxa"/>
            <w:vAlign w:val="bottom"/>
            <w:tcBorders>
              <w:top w:val="single" w:sz="8" w:color="00C389"/>
              <w:bottom w:val="single" w:sz="8" w:color="00C389"/>
            </w:tcBorders>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389"/>
              <w:bottom w:val="single" w:sz="8" w:color="00C389"/>
            </w:tcBorders>
            <w:shd w:val="clear" w:color="auto" w:fill="CCEEFF"/>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60" w:type="dxa"/>
            <w:vAlign w:val="bottom"/>
            <w:tcBorders>
              <w:top w:val="single" w:sz="8" w:color="00C389"/>
              <w:bottom w:val="single" w:sz="8" w:color="00C389"/>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00C389"/>
            </w:tcBorders>
            <w:gridSpan w:val="2"/>
          </w:tcPr>
          <w:p>
            <w:pPr>
              <w:ind w:left="1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00C389"/>
            </w:tcBorders>
            <w:gridSpan w:val="2"/>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​1,543,776</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00C389"/>
            </w:tcBorders>
            <w:gridSpan w:val="2"/>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$ 19.00</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00C389"/>
            </w:tcBorders>
            <w:gridSpan w:val="2"/>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​2,519,444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69" w:lineRule="exact"/>
        <w:rPr>
          <w:sz w:val="20"/>
          <w:szCs w:val="20"/>
          <w:color w:val="auto"/>
        </w:rPr>
      </w:pPr>
    </w:p>
    <w:p>
      <w:pPr>
        <w:ind w:left="760" w:right="80"/>
        <w:spacing w:after="0" w:line="287" w:lineRule="auto"/>
        <w:rPr>
          <w:sz w:val="20"/>
          <w:szCs w:val="20"/>
          <w:color w:val="auto"/>
        </w:rPr>
      </w:pPr>
      <w:r>
        <w:rPr>
          <w:rFonts w:ascii="Arial" w:cs="Arial" w:eastAsia="Arial" w:hAnsi="Arial"/>
          <w:sz w:val="18"/>
          <w:szCs w:val="18"/>
          <w:color w:val="auto"/>
        </w:rPr>
        <w:t>The affirmative vote of the holders of a majority of the voting power of the shares represented at the Annual Meeting in person or by proxy is required to approve the Amended and Restated 2015 Incentive Plan.</w:t>
      </w:r>
    </w:p>
    <w:p>
      <w:pPr>
        <w:spacing w:after="0" w:line="200" w:lineRule="exact"/>
        <w:rPr>
          <w:sz w:val="20"/>
          <w:szCs w:val="20"/>
          <w:color w:val="auto"/>
        </w:rPr>
      </w:pP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467"/>
        </w:trPr>
        <w:tc>
          <w:tcPr>
            <w:tcW w:w="120" w:type="dxa"/>
            <w:vAlign w:val="bottom"/>
            <w:shd w:val="clear" w:color="auto" w:fill="00C389"/>
          </w:tcPr>
          <w:p>
            <w:pPr>
              <w:spacing w:after="0"/>
              <w:rPr>
                <w:sz w:val="24"/>
                <w:szCs w:val="24"/>
                <w:color w:val="auto"/>
              </w:rPr>
            </w:pPr>
          </w:p>
        </w:tc>
        <w:tc>
          <w:tcPr>
            <w:tcW w:w="8980" w:type="dxa"/>
            <w:vAlign w:val="bottom"/>
            <w:shd w:val="clear" w:color="auto" w:fill="00C389"/>
          </w:tcPr>
          <w:p>
            <w:pPr>
              <w:jc w:val="center"/>
              <w:spacing w:after="0"/>
              <w:rPr>
                <w:sz w:val="20"/>
                <w:szCs w:val="20"/>
                <w:color w:val="auto"/>
              </w:rPr>
            </w:pPr>
            <w:r>
              <w:rPr>
                <w:rFonts w:ascii="Arial" w:cs="Arial" w:eastAsia="Arial" w:hAnsi="Arial"/>
                <w:sz w:val="18"/>
                <w:szCs w:val="18"/>
                <w:b w:val="1"/>
                <w:bCs w:val="1"/>
                <w:color w:val="002554"/>
                <w:w w:val="99"/>
              </w:rPr>
              <w:t>Our board of directors recommends that you vote “FOR” the amendment to the Virtu Financial, Inc.</w:t>
            </w:r>
          </w:p>
        </w:tc>
        <w:tc>
          <w:tcPr>
            <w:tcW w:w="80" w:type="dxa"/>
            <w:vAlign w:val="bottom"/>
            <w:shd w:val="clear" w:color="auto" w:fill="00C389"/>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00C389"/>
          </w:tcPr>
          <w:p>
            <w:pPr>
              <w:spacing w:after="0"/>
              <w:rPr>
                <w:sz w:val="18"/>
                <w:szCs w:val="18"/>
                <w:color w:val="auto"/>
              </w:rPr>
            </w:pPr>
          </w:p>
        </w:tc>
        <w:tc>
          <w:tcPr>
            <w:tcW w:w="8980" w:type="dxa"/>
            <w:vAlign w:val="bottom"/>
            <w:shd w:val="clear" w:color="auto" w:fill="00C389"/>
          </w:tcPr>
          <w:p>
            <w:pPr>
              <w:jc w:val="center"/>
              <w:spacing w:after="0"/>
              <w:rPr>
                <w:sz w:val="20"/>
                <w:szCs w:val="20"/>
                <w:color w:val="auto"/>
              </w:rPr>
            </w:pPr>
            <w:r>
              <w:rPr>
                <w:rFonts w:ascii="Arial" w:cs="Arial" w:eastAsia="Arial" w:hAnsi="Arial"/>
                <w:sz w:val="18"/>
                <w:szCs w:val="18"/>
                <w:b w:val="1"/>
                <w:bCs w:val="1"/>
                <w:color w:val="002554"/>
                <w:w w:val="99"/>
              </w:rPr>
              <w:t>Amended and Restated 2015 Management Incentive Plan to increase the number of shares authorized for</w:t>
            </w:r>
          </w:p>
        </w:tc>
        <w:tc>
          <w:tcPr>
            <w:tcW w:w="80" w:type="dxa"/>
            <w:vAlign w:val="bottom"/>
            <w:shd w:val="clear" w:color="auto" w:fill="00C389"/>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20" w:type="dxa"/>
            <w:vAlign w:val="bottom"/>
            <w:vMerge w:val="restart"/>
            <w:shd w:val="clear" w:color="auto" w:fill="00C389"/>
          </w:tcPr>
          <w:p>
            <w:pPr>
              <w:ind w:left="60"/>
              <w:spacing w:after="0"/>
              <w:rPr>
                <w:sz w:val="20"/>
                <w:szCs w:val="20"/>
                <w:color w:val="auto"/>
              </w:rPr>
            </w:pPr>
            <w:r>
              <w:rPr>
                <w:rFonts w:ascii="Arial" w:cs="Arial" w:eastAsia="Arial" w:hAnsi="Arial"/>
                <w:sz w:val="18"/>
                <w:szCs w:val="18"/>
                <w:b w:val="1"/>
                <w:bCs w:val="1"/>
                <w:color w:val="002554"/>
              </w:rPr>
              <w:t>​</w:t>
            </w:r>
          </w:p>
        </w:tc>
        <w:tc>
          <w:tcPr>
            <w:tcW w:w="8980" w:type="dxa"/>
            <w:vAlign w:val="bottom"/>
            <w:shd w:val="clear" w:color="auto" w:fill="00C389"/>
          </w:tcPr>
          <w:p>
            <w:pPr>
              <w:jc w:val="center"/>
              <w:spacing w:after="0"/>
              <w:rPr>
                <w:sz w:val="20"/>
                <w:szCs w:val="20"/>
                <w:color w:val="auto"/>
              </w:rPr>
            </w:pPr>
            <w:r>
              <w:rPr>
                <w:rFonts w:ascii="Arial" w:cs="Arial" w:eastAsia="Arial" w:hAnsi="Arial"/>
                <w:sz w:val="18"/>
                <w:szCs w:val="18"/>
                <w:b w:val="1"/>
                <w:bCs w:val="1"/>
                <w:color w:val="002554"/>
                <w:w w:val="98"/>
              </w:rPr>
              <w:t>issuance thereunder.</w:t>
            </w:r>
          </w:p>
        </w:tc>
        <w:tc>
          <w:tcPr>
            <w:tcW w:w="80" w:type="dxa"/>
            <w:vAlign w:val="bottom"/>
            <w:vMerge w:val="restart"/>
            <w:shd w:val="clear" w:color="auto" w:fill="00C389"/>
          </w:tcPr>
          <w:p>
            <w:pPr>
              <w:ind w:left="20"/>
              <w:spacing w:after="0"/>
              <w:rPr>
                <w:sz w:val="20"/>
                <w:szCs w:val="20"/>
                <w:color w:val="auto"/>
              </w:rPr>
            </w:pPr>
            <w:r>
              <w:rPr>
                <w:rFonts w:ascii="Arial" w:cs="Arial" w:eastAsia="Arial" w:hAnsi="Arial"/>
                <w:sz w:val="18"/>
                <w:szCs w:val="18"/>
                <w:b w:val="1"/>
                <w:bCs w:val="1"/>
                <w:color w:val="002554"/>
              </w:rPr>
              <w:t>​</w:t>
            </w:r>
          </w:p>
        </w:tc>
        <w:tc>
          <w:tcPr>
            <w:tcW w:w="0" w:type="dxa"/>
            <w:vAlign w:val="bottom"/>
          </w:tcPr>
          <w:p>
            <w:pPr>
              <w:spacing w:after="0"/>
              <w:rPr>
                <w:sz w:val="1"/>
                <w:szCs w:val="1"/>
                <w:color w:val="auto"/>
              </w:rPr>
            </w:pPr>
          </w:p>
        </w:tc>
      </w:tr>
      <w:tr>
        <w:trPr>
          <w:trHeight w:val="42"/>
        </w:trPr>
        <w:tc>
          <w:tcPr>
            <w:tcW w:w="120" w:type="dxa"/>
            <w:vAlign w:val="bottom"/>
            <w:vMerge w:val="continue"/>
            <w:shd w:val="clear" w:color="auto" w:fill="00C389"/>
          </w:tcPr>
          <w:p>
            <w:pPr>
              <w:spacing w:after="0"/>
              <w:rPr>
                <w:sz w:val="3"/>
                <w:szCs w:val="3"/>
                <w:color w:val="auto"/>
              </w:rPr>
            </w:pPr>
          </w:p>
        </w:tc>
        <w:tc>
          <w:tcPr>
            <w:tcW w:w="8980" w:type="dxa"/>
            <w:vAlign w:val="bottom"/>
            <w:shd w:val="clear" w:color="auto" w:fill="00C389"/>
          </w:tcPr>
          <w:p>
            <w:pPr>
              <w:spacing w:after="0"/>
              <w:rPr>
                <w:sz w:val="3"/>
                <w:szCs w:val="3"/>
                <w:color w:val="auto"/>
              </w:rPr>
            </w:pPr>
          </w:p>
        </w:tc>
        <w:tc>
          <w:tcPr>
            <w:tcW w:w="80" w:type="dxa"/>
            <w:vAlign w:val="bottom"/>
            <w:vMerge w:val="continue"/>
            <w:shd w:val="clear" w:color="auto" w:fill="00C389"/>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4029075</wp:posOffset>
            </wp:positionV>
            <wp:extent cx="754380" cy="2400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Audit Committee Report</w:t>
      </w:r>
    </w:p>
    <w:p>
      <w:pPr>
        <w:spacing w:after="0" w:line="146" w:lineRule="exact"/>
        <w:rPr>
          <w:sz w:val="20"/>
          <w:szCs w:val="20"/>
          <w:color w:val="auto"/>
        </w:rPr>
      </w:pPr>
    </w:p>
    <w:p>
      <w:pPr>
        <w:ind w:left="760" w:right="220"/>
        <w:spacing w:after="0" w:line="257" w:lineRule="auto"/>
        <w:rPr>
          <w:sz w:val="20"/>
          <w:szCs w:val="20"/>
          <w:color w:val="auto"/>
        </w:rPr>
      </w:pPr>
      <w:r>
        <w:rPr>
          <w:rFonts w:ascii="Arial" w:cs="Arial" w:eastAsia="Arial" w:hAnsi="Arial"/>
          <w:sz w:val="18"/>
          <w:szCs w:val="18"/>
          <w:i w:val="1"/>
          <w:iCs w:val="1"/>
          <w:color w:val="auto"/>
        </w:rPr>
        <w:t>The following is the report of the Audit Committee of Virtu Financial, Inc. (the “</w:t>
      </w:r>
      <w:r>
        <w:rPr>
          <w:rFonts w:ascii="Arial" w:cs="Arial" w:eastAsia="Arial" w:hAnsi="Arial"/>
          <w:sz w:val="18"/>
          <w:szCs w:val="18"/>
          <w:b w:val="1"/>
          <w:bCs w:val="1"/>
          <w:color w:val="auto"/>
        </w:rPr>
        <w:t>Company</w:t>
      </w:r>
      <w:r>
        <w:rPr>
          <w:rFonts w:ascii="Arial" w:cs="Arial" w:eastAsia="Arial" w:hAnsi="Arial"/>
          <w:sz w:val="18"/>
          <w:szCs w:val="18"/>
          <w:i w:val="1"/>
          <w:iCs w:val="1"/>
          <w:color w:val="auto"/>
        </w:rPr>
        <w:t>”) with respect to our audited financial statements for the year ended December 31, 2021. The information contained in this report shall not be deemed “soliciting material” or otherwise considered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i w:val="1"/>
          <w:iCs w:val="1"/>
          <w:color w:val="auto"/>
        </w:rPr>
        <w:t>”), and such information shall not be incorporated by reference into any future filing under the Securities Exchange Act of 1934, as amended, except to the extent that we specifically incorporate such information by reference in such filing.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hereby reports as follows:</w:t>
      </w:r>
    </w:p>
    <w:p>
      <w:pPr>
        <w:spacing w:after="0" w:line="117" w:lineRule="exact"/>
        <w:rPr>
          <w:sz w:val="20"/>
          <w:szCs w:val="20"/>
          <w:color w:val="auto"/>
        </w:rPr>
      </w:pPr>
    </w:p>
    <w:p>
      <w:pPr>
        <w:ind w:left="980" w:right="340" w:hanging="2"/>
        <w:spacing w:after="0" w:line="268" w:lineRule="auto"/>
        <w:tabs>
          <w:tab w:leader="none" w:pos="11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62" w:lineRule="exact"/>
        <w:rPr>
          <w:rFonts w:ascii="Arial" w:cs="Arial" w:eastAsia="Arial" w:hAnsi="Arial"/>
          <w:sz w:val="18"/>
          <w:szCs w:val="18"/>
          <w:color w:val="auto"/>
        </w:rPr>
      </w:pPr>
    </w:p>
    <w:p>
      <w:pPr>
        <w:ind w:left="980" w:right="220" w:hanging="2"/>
        <w:spacing w:after="0" w:line="262" w:lineRule="auto"/>
        <w:tabs>
          <w:tab w:leader="none" w:pos="11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68" w:lineRule="exact"/>
        <w:rPr>
          <w:sz w:val="20"/>
          <w:szCs w:val="20"/>
          <w:color w:val="auto"/>
        </w:rPr>
      </w:pPr>
    </w:p>
    <w:p>
      <w:pPr>
        <w:ind w:left="980" w:right="260"/>
        <w:spacing w:after="0" w:line="257" w:lineRule="auto"/>
        <w:rPr>
          <w:sz w:val="20"/>
          <w:szCs w:val="20"/>
          <w:color w:val="auto"/>
        </w:rPr>
      </w:pPr>
      <w:r>
        <w:rPr>
          <w:rFonts w:ascii="Arial" w:cs="Arial" w:eastAsia="Arial" w:hAnsi="Arial"/>
          <w:sz w:val="18"/>
          <w:szCs w:val="18"/>
          <w:color w:val="auto"/>
        </w:rPr>
        <w:t>3.The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74" w:lineRule="exact"/>
        <w:rPr>
          <w:sz w:val="20"/>
          <w:szCs w:val="20"/>
          <w:color w:val="auto"/>
        </w:rPr>
      </w:pPr>
    </w:p>
    <w:p>
      <w:pPr>
        <w:ind w:left="980" w:right="280" w:hanging="2"/>
        <w:spacing w:after="0" w:line="287" w:lineRule="auto"/>
        <w:tabs>
          <w:tab w:leader="none" w:pos="11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Audit Committee has an established charter outlining the practices it follows. The charter is available on the Company’s website at: http://ir.virtu.com/corporate-governance.cfm.</w:t>
      </w:r>
    </w:p>
    <w:p>
      <w:pPr>
        <w:spacing w:after="0" w:line="44" w:lineRule="exact"/>
        <w:rPr>
          <w:rFonts w:ascii="Arial" w:cs="Arial" w:eastAsia="Arial" w:hAnsi="Arial"/>
          <w:sz w:val="18"/>
          <w:szCs w:val="18"/>
          <w:color w:val="auto"/>
        </w:rPr>
      </w:pPr>
    </w:p>
    <w:p>
      <w:pPr>
        <w:ind w:left="980" w:right="280" w:hanging="2"/>
        <w:spacing w:after="0" w:line="262" w:lineRule="auto"/>
        <w:tabs>
          <w:tab w:leader="none" w:pos="11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paragraphs (1) through (3) above, the Audit Committee recommended to the Company’s board of directors, and the board has approved, that the audited financial statements be included in the Company’s Annual Report on Form 10-K for the fiscal year ended December 31, 2021, for filing with the SEC.</w:t>
      </w:r>
    </w:p>
    <w:p>
      <w:pPr>
        <w:spacing w:after="0" w:line="286"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William F. Cruger, Jr.</w:t>
      </w:r>
    </w:p>
    <w:p>
      <w:pPr>
        <w:spacing w:after="0" w:line="25"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Joanne M. Minieri</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i w:val="1"/>
          <w:iCs w:val="1"/>
          <w:color w:val="auto"/>
        </w:rPr>
        <w:t>John D. Nixon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220"/>
        <w:spacing w:after="0" w:line="260" w:lineRule="auto"/>
        <w:rPr>
          <w:sz w:val="20"/>
          <w:szCs w:val="20"/>
          <w:color w:val="auto"/>
        </w:rPr>
      </w:pPr>
      <w:r>
        <w:rPr>
          <w:rFonts w:ascii="Arial" w:cs="Arial" w:eastAsia="Arial" w:hAnsi="Arial"/>
          <w:sz w:val="54"/>
          <w:szCs w:val="54"/>
          <w:color w:val="002554"/>
        </w:rPr>
        <w:t>Stock Ownership of Certain Beneficial Owners and Management</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set forth information with respect to the beneficial ownership of our Class A common stock and</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by:</w:t>
      </w:r>
    </w:p>
    <w:p>
      <w:pPr>
        <w:spacing w:after="0" w:line="99" w:lineRule="exact"/>
        <w:rPr>
          <w:sz w:val="20"/>
          <w:szCs w:val="20"/>
          <w:color w:val="auto"/>
        </w:rPr>
      </w:pPr>
    </w:p>
    <w:p>
      <w:pPr>
        <w:ind w:left="1340" w:hanging="218"/>
        <w:spacing w:after="0"/>
        <w:tabs>
          <w:tab w:leader="none" w:pos="1340" w:val="left"/>
        </w:tabs>
        <w:numPr>
          <w:ilvl w:val="0"/>
          <w:numId w:val="33"/>
        </w:numPr>
        <w:rPr>
          <w:rFonts w:ascii="Arial" w:cs="Arial" w:eastAsia="Arial" w:hAnsi="Arial"/>
          <w:sz w:val="18"/>
          <w:szCs w:val="18"/>
          <w:color w:val="002554"/>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002554"/>
        </w:rPr>
      </w:pPr>
    </w:p>
    <w:p>
      <w:pPr>
        <w:ind w:left="1340" w:right="520" w:hanging="218"/>
        <w:spacing w:after="0" w:line="287" w:lineRule="auto"/>
        <w:tabs>
          <w:tab w:leader="none" w:pos="1340" w:val="left"/>
        </w:tabs>
        <w:numPr>
          <w:ilvl w:val="0"/>
          <w:numId w:val="33"/>
        </w:numPr>
        <w:rPr>
          <w:rFonts w:ascii="Arial" w:cs="Arial" w:eastAsia="Arial" w:hAnsi="Arial"/>
          <w:sz w:val="18"/>
          <w:szCs w:val="18"/>
          <w:color w:val="002554"/>
        </w:rPr>
      </w:pPr>
      <w:r>
        <w:rPr>
          <w:rFonts w:ascii="Arial" w:cs="Arial" w:eastAsia="Arial" w:hAnsi="Arial"/>
          <w:sz w:val="18"/>
          <w:szCs w:val="18"/>
          <w:color w:val="auto"/>
        </w:rPr>
        <w:t>Each person who is known to be the beneficial owner of more than 5% of the outstanding shares of our Class A common stock and Class B common stock; and</w:t>
      </w:r>
    </w:p>
    <w:p>
      <w:pPr>
        <w:spacing w:after="0" w:line="44" w:lineRule="exact"/>
        <w:rPr>
          <w:rFonts w:ascii="Arial" w:cs="Arial" w:eastAsia="Arial" w:hAnsi="Arial"/>
          <w:sz w:val="18"/>
          <w:szCs w:val="18"/>
          <w:color w:val="002554"/>
        </w:rPr>
      </w:pPr>
    </w:p>
    <w:p>
      <w:pPr>
        <w:ind w:left="1340" w:hanging="218"/>
        <w:spacing w:after="0"/>
        <w:tabs>
          <w:tab w:leader="none" w:pos="1340" w:val="left"/>
        </w:tabs>
        <w:numPr>
          <w:ilvl w:val="0"/>
          <w:numId w:val="33"/>
        </w:numPr>
        <w:rPr>
          <w:rFonts w:ascii="Arial" w:cs="Arial" w:eastAsia="Arial" w:hAnsi="Arial"/>
          <w:sz w:val="18"/>
          <w:szCs w:val="18"/>
          <w:color w:val="002554"/>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jc w:val="both"/>
        <w:ind w:left="760" w:right="440"/>
        <w:spacing w:after="0" w:line="262" w:lineRule="auto"/>
        <w:rPr>
          <w:sz w:val="20"/>
          <w:szCs w:val="20"/>
          <w:color w:val="auto"/>
        </w:rPr>
      </w:pPr>
      <w:r>
        <w:rPr>
          <w:rFonts w:ascii="Arial" w:cs="Arial" w:eastAsia="Arial" w:hAnsi="Arial"/>
          <w:sz w:val="18"/>
          <w:szCs w:val="18"/>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68"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 holders of Virtu Financial acquired shares of our Class A common stock and (iii) certain direct or indirect equity holders of Virtu Financial had their interests reclassified into Virtu Financial Units and acquired shares of our Class C common stock or, in the case of the Founder Member only, shares of our Class D common stock (collectively, the “</w:t>
      </w:r>
      <w:r>
        <w:rPr>
          <w:rFonts w:ascii="Arial" w:cs="Arial" w:eastAsia="Arial" w:hAnsi="Arial"/>
          <w:sz w:val="18"/>
          <w:szCs w:val="18"/>
          <w:b w:val="1"/>
          <w:bCs w:val="1"/>
          <w:color w:val="auto"/>
        </w:rPr>
        <w:t>Virtu Members</w:t>
      </w:r>
      <w:r>
        <w:rPr>
          <w:rFonts w:ascii="Arial" w:cs="Arial" w:eastAsia="Arial" w:hAnsi="Arial"/>
          <w:sz w:val="18"/>
          <w:szCs w:val="18"/>
          <w:color w:val="auto"/>
        </w:rPr>
        <w:t>”). Subject to certain restrictions, each Virtu Member, other than the Founder Member, has the right at any time to exchange any vested Virtu Financial Units (together with a corresponding number of shares of Class C common stock) for shares of Class A common stock on a one for one basis. Subject to certain restrictions, the Founder Member has the right at any time to exchange any Virtu Financial Units (together with a corresponding number of shares of Class D common stock) for shares of Class B common stock on a one for one basis. Shares of Class B common stock may be converted into shares of Class A common stock on a one for one basis.</w:t>
      </w:r>
    </w:p>
    <w:p>
      <w:pPr>
        <w:spacing w:after="0" w:line="79" w:lineRule="exact"/>
        <w:rPr>
          <w:sz w:val="20"/>
          <w:szCs w:val="20"/>
          <w:color w:val="auto"/>
        </w:rPr>
      </w:pPr>
    </w:p>
    <w:p>
      <w:pPr>
        <w:ind w:left="760" w:right="200"/>
        <w:spacing w:after="0" w:line="268" w:lineRule="auto"/>
        <w:rPr>
          <w:sz w:val="20"/>
          <w:szCs w:val="20"/>
          <w:color w:val="auto"/>
        </w:rPr>
      </w:pPr>
      <w:r>
        <w:rPr>
          <w:rFonts w:ascii="Arial" w:cs="Arial" w:eastAsia="Arial" w:hAnsi="Arial"/>
          <w:sz w:val="17"/>
          <w:szCs w:val="17"/>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w:t>
      </w:r>
    </w:p>
    <w:p>
      <w:pPr>
        <w:spacing w:after="0" w:line="4"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75" w:lineRule="exact"/>
        <w:rPr>
          <w:sz w:val="20"/>
          <w:szCs w:val="20"/>
          <w:color w:val="auto"/>
        </w:rPr>
      </w:pPr>
    </w:p>
    <w:p>
      <w:pPr>
        <w:ind w:left="760" w:right="60"/>
        <w:spacing w:after="0" w:line="262" w:lineRule="auto"/>
        <w:rPr>
          <w:sz w:val="20"/>
          <w:szCs w:val="20"/>
          <w:color w:val="auto"/>
        </w:rPr>
      </w:pPr>
      <w:r>
        <w:rPr>
          <w:rFonts w:ascii="Arial" w:cs="Arial" w:eastAsia="Arial" w:hAnsi="Arial"/>
          <w:sz w:val="18"/>
          <w:szCs w:val="18"/>
          <w:color w:val="auto"/>
        </w:rPr>
        <w:t>Except as set forth in the footnotes below, the percentages included in the following table are based on 105,592,879 shares of Class A common stock outstanding, 9,053,155 Virtu Financial Units and related shares of Class C common stock and 60,091,740 Virtu Financial Units and related shares of Class D common stock outstanding as of April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843915</wp:posOffset>
            </wp:positionV>
            <wp:extent cx="754380" cy="2400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25" w:lineRule="exact"/>
        <w:rPr>
          <w:sz w:val="20"/>
          <w:szCs w:val="20"/>
          <w:color w:val="auto"/>
        </w:rPr>
      </w:pPr>
    </w:p>
    <w:p>
      <w:pPr>
        <w:ind w:left="760" w:right="480"/>
        <w:spacing w:after="0" w:line="287" w:lineRule="auto"/>
        <w:rPr>
          <w:sz w:val="20"/>
          <w:szCs w:val="20"/>
          <w:color w:val="auto"/>
        </w:rPr>
      </w:pPr>
      <w:r>
        <w:rPr>
          <w:rFonts w:ascii="Arial" w:cs="Arial" w:eastAsia="Arial" w:hAnsi="Arial"/>
          <w:sz w:val="18"/>
          <w:szCs w:val="18"/>
          <w:color w:val="auto"/>
        </w:rPr>
        <w:t>Unless otherwise indicated, the address for each beneficial owner listed below is: c/o Virtu Financial, Inc., 1633 Broadway, New York, New York 10019.</w:t>
      </w:r>
    </w:p>
    <w:p>
      <w:pPr>
        <w:spacing w:after="0" w:line="6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002554"/>
              </w:rPr>
              <w:t>Class A 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002554"/>
              </w:rPr>
              <w:t>Class B Common Stock</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002554"/>
              </w:rPr>
              <w:t>Combined</w:t>
            </w:r>
          </w:p>
        </w:tc>
        <w:tc>
          <w:tcPr>
            <w:tcW w:w="60" w:type="dxa"/>
            <w:vAlign w:val="bottom"/>
          </w:tcPr>
          <w:p>
            <w:pPr>
              <w:spacing w:after="0"/>
              <w:rPr>
                <w:sz w:val="14"/>
                <w:szCs w:val="14"/>
                <w:color w:val="auto"/>
              </w:rPr>
            </w:pPr>
          </w:p>
        </w:tc>
      </w:tr>
      <w:tr>
        <w:trPr>
          <w:trHeight w:val="139"/>
        </w:trPr>
        <w:tc>
          <w:tcPr>
            <w:tcW w:w="4140" w:type="dxa"/>
            <w:vAlign w:val="bottom"/>
          </w:tcPr>
          <w:p>
            <w:pPr>
              <w:spacing w:after="0"/>
              <w:rPr>
                <w:sz w:val="12"/>
                <w:szCs w:val="12"/>
                <w:color w:val="auto"/>
              </w:rPr>
            </w:pPr>
          </w:p>
        </w:tc>
        <w:tc>
          <w:tcPr>
            <w:tcW w:w="188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002554"/>
              </w:rPr>
              <w:t>(on a fully exchanged and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3"/>
          </w:tcPr>
          <w:p>
            <w:pPr>
              <w:jc w:val="right"/>
              <w:ind w:right="30"/>
              <w:spacing w:after="0" w:line="139" w:lineRule="exact"/>
              <w:rPr>
                <w:sz w:val="20"/>
                <w:szCs w:val="20"/>
                <w:color w:val="auto"/>
              </w:rPr>
            </w:pPr>
            <w:r>
              <w:rPr>
                <w:rFonts w:ascii="Arial" w:cs="Arial" w:eastAsia="Arial" w:hAnsi="Arial"/>
                <w:sz w:val="14"/>
                <w:szCs w:val="14"/>
                <w:b w:val="1"/>
                <w:bCs w:val="1"/>
                <w:color w:val="002554"/>
              </w:rPr>
              <w:t>(on a fully exchanged and</w:t>
            </w:r>
          </w:p>
        </w:tc>
        <w:tc>
          <w:tcPr>
            <w:tcW w:w="18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002554"/>
              </w:rPr>
              <w:t>Voting</w:t>
            </w:r>
          </w:p>
        </w:tc>
        <w:tc>
          <w:tcPr>
            <w:tcW w:w="60" w:type="dxa"/>
            <w:vAlign w:val="bottom"/>
          </w:tcPr>
          <w:p>
            <w:pPr>
              <w:spacing w:after="0"/>
              <w:rPr>
                <w:sz w:val="12"/>
                <w:szCs w:val="12"/>
                <w:color w:val="auto"/>
              </w:rPr>
            </w:pPr>
          </w:p>
        </w:tc>
      </w:tr>
      <w:tr>
        <w:trPr>
          <w:trHeight w:val="198"/>
        </w:trPr>
        <w:tc>
          <w:tcPr>
            <w:tcW w:w="4140" w:type="dxa"/>
            <w:vAlign w:val="bottom"/>
          </w:tcPr>
          <w:p>
            <w:pPr>
              <w:spacing w:after="0"/>
              <w:rPr>
                <w:sz w:val="20"/>
                <w:szCs w:val="20"/>
                <w:color w:val="auto"/>
              </w:rPr>
            </w:pPr>
            <w:r>
              <w:rPr>
                <w:rFonts w:ascii="Arial" w:cs="Arial" w:eastAsia="Arial" w:hAnsi="Arial"/>
                <w:sz w:val="14"/>
                <w:szCs w:val="14"/>
                <w:b w:val="1"/>
                <w:bCs w:val="1"/>
                <w:color w:val="002554"/>
              </w:rPr>
              <w:t>​</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w:t>
            </w:r>
          </w:p>
        </w:tc>
        <w:tc>
          <w:tcPr>
            <w:tcW w:w="1480" w:type="dxa"/>
            <w:vAlign w:val="bottom"/>
            <w:tcBorders>
              <w:bottom w:val="single" w:sz="8" w:color="00C389"/>
            </w:tcBorders>
            <w:gridSpan w:val="2"/>
          </w:tcPr>
          <w:p>
            <w:pPr>
              <w:jc w:val="center"/>
              <w:ind w:left="134"/>
              <w:spacing w:after="0"/>
              <w:rPr>
                <w:sz w:val="20"/>
                <w:szCs w:val="20"/>
                <w:color w:val="auto"/>
              </w:rPr>
            </w:pPr>
            <w:r>
              <w:rPr>
                <w:rFonts w:ascii="Arial" w:cs="Arial" w:eastAsia="Arial" w:hAnsi="Arial"/>
                <w:sz w:val="14"/>
                <w:szCs w:val="14"/>
                <w:b w:val="1"/>
                <w:bCs w:val="1"/>
                <w:color w:val="002554"/>
              </w:rPr>
              <w:t>converted basis)</w:t>
            </w:r>
          </w:p>
        </w:tc>
        <w:tc>
          <w:tcPr>
            <w:tcW w:w="300" w:type="dxa"/>
            <w:vAlign w:val="bottom"/>
            <w:tcBorders>
              <w:bottom w:val="single" w:sz="8" w:color="00C389"/>
            </w:tcBorders>
          </w:tcPr>
          <w:p>
            <w:pPr>
              <w:spacing w:after="0"/>
              <w:rPr>
                <w:sz w:val="17"/>
                <w:szCs w:val="17"/>
                <w:color w:val="auto"/>
              </w:rPr>
            </w:pPr>
          </w:p>
        </w:tc>
        <w:tc>
          <w:tcPr>
            <w:tcW w:w="20" w:type="dxa"/>
            <w:vAlign w:val="bottom"/>
            <w:tcBorders>
              <w:bottom w:val="single" w:sz="8" w:color="00C389"/>
            </w:tcBorders>
          </w:tcPr>
          <w:p>
            <w:pPr>
              <w:spacing w:after="0"/>
              <w:rPr>
                <w:sz w:val="17"/>
                <w:szCs w:val="17"/>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002554"/>
              </w:rPr>
              <w:t>​ ​</w:t>
            </w:r>
          </w:p>
        </w:tc>
        <w:tc>
          <w:tcPr>
            <w:tcW w:w="120" w:type="dxa"/>
            <w:vAlign w:val="bottom"/>
            <w:tcBorders>
              <w:bottom w:val="single" w:sz="8" w:color="00C389"/>
            </w:tcBorders>
          </w:tcPr>
          <w:p>
            <w:pPr>
              <w:spacing w:after="0"/>
              <w:rPr>
                <w:sz w:val="17"/>
                <w:szCs w:val="17"/>
                <w:color w:val="auto"/>
              </w:rPr>
            </w:pPr>
          </w:p>
        </w:tc>
        <w:tc>
          <w:tcPr>
            <w:tcW w:w="1940" w:type="dxa"/>
            <w:vAlign w:val="bottom"/>
            <w:tcBorders>
              <w:bottom w:val="single" w:sz="8" w:color="00C389"/>
            </w:tcBorders>
            <w:gridSpan w:val="3"/>
          </w:tcPr>
          <w:p>
            <w:pPr>
              <w:jc w:val="right"/>
              <w:ind w:right="250"/>
              <w:spacing w:after="0"/>
              <w:rPr>
                <w:sz w:val="20"/>
                <w:szCs w:val="20"/>
                <w:color w:val="auto"/>
              </w:rPr>
            </w:pPr>
            <w:r>
              <w:rPr>
                <w:rFonts w:ascii="Arial" w:cs="Arial" w:eastAsia="Arial" w:hAnsi="Arial"/>
                <w:sz w:val="14"/>
                <w:szCs w:val="14"/>
                <w:b w:val="1"/>
                <w:bCs w:val="1"/>
                <w:color w:val="002554"/>
              </w:rPr>
              <w:t>converted basis)(1)</w:t>
            </w:r>
          </w:p>
        </w:tc>
        <w:tc>
          <w:tcPr>
            <w:tcW w:w="860" w:type="dxa"/>
            <w:vAlign w:val="bottom"/>
            <w:tcBorders>
              <w:bottom w:val="single" w:sz="8" w:color="00C389"/>
            </w:tcBorders>
            <w:gridSpan w:val="3"/>
          </w:tcPr>
          <w:p>
            <w:pPr>
              <w:ind w:left="80"/>
              <w:spacing w:after="0" w:line="199" w:lineRule="exact"/>
              <w:rPr>
                <w:sz w:val="20"/>
                <w:szCs w:val="20"/>
                <w:color w:val="auto"/>
              </w:rPr>
            </w:pPr>
            <w:r>
              <w:rPr>
                <w:rFonts w:ascii="Arial" w:cs="Arial" w:eastAsia="Arial" w:hAnsi="Arial"/>
                <w:sz w:val="22"/>
                <w:szCs w:val="22"/>
                <w:b w:val="1"/>
                <w:bCs w:val="1"/>
                <w:color w:val="002554"/>
                <w:vertAlign w:val="subscript"/>
              </w:rPr>
              <w:t>​</w:t>
            </w:r>
            <w:r>
              <w:rPr>
                <w:rFonts w:ascii="Arial" w:cs="Arial" w:eastAsia="Arial" w:hAnsi="Arial"/>
                <w:sz w:val="12"/>
                <w:szCs w:val="12"/>
                <w:b w:val="1"/>
                <w:bCs w:val="1"/>
                <w:color w:val="002554"/>
              </w:rPr>
              <w:t xml:space="preserve"> Power(2)</w:t>
            </w:r>
          </w:p>
        </w:tc>
        <w:tc>
          <w:tcPr>
            <w:tcW w:w="60" w:type="dxa"/>
            <w:vAlign w:val="bottom"/>
          </w:tcPr>
          <w:p>
            <w:pPr>
              <w:spacing w:after="0"/>
              <w:rPr>
                <w:sz w:val="20"/>
                <w:szCs w:val="20"/>
                <w:color w:val="auto"/>
              </w:rPr>
            </w:pPr>
            <w:r>
              <w:rPr>
                <w:rFonts w:ascii="Arial" w:cs="Arial" w:eastAsia="Arial" w:hAnsi="Arial"/>
                <w:sz w:val="14"/>
                <w:szCs w:val="14"/>
                <w:b w:val="1"/>
                <w:bCs w:val="1"/>
                <w:color w:val="002554"/>
              </w:rPr>
              <w:t>​</w:t>
            </w:r>
          </w:p>
        </w:tc>
      </w:tr>
      <w:tr>
        <w:trPr>
          <w:trHeight w:val="210"/>
        </w:trPr>
        <w:tc>
          <w:tcPr>
            <w:tcW w:w="4140" w:type="dxa"/>
            <w:vAlign w:val="bottom"/>
          </w:tcPr>
          <w:p>
            <w:pPr>
              <w:spacing w:after="0"/>
              <w:rPr>
                <w:sz w:val="20"/>
                <w:szCs w:val="20"/>
                <w:color w:val="auto"/>
              </w:rPr>
            </w:pPr>
            <w:r>
              <w:rPr>
                <w:rFonts w:ascii="Arial" w:cs="Arial" w:eastAsia="Arial" w:hAnsi="Arial"/>
                <w:sz w:val="14"/>
                <w:szCs w:val="14"/>
                <w:b w:val="1"/>
                <w:bCs w:val="1"/>
                <w:color w:val="002554"/>
              </w:rPr>
              <w:t>​</w:t>
            </w:r>
          </w:p>
        </w:tc>
        <w:tc>
          <w:tcPr>
            <w:tcW w:w="100" w:type="dxa"/>
            <w:vAlign w:val="bottom"/>
          </w:tcPr>
          <w:p>
            <w:pPr>
              <w:spacing w:after="0"/>
              <w:rPr>
                <w:sz w:val="20"/>
                <w:szCs w:val="20"/>
                <w:color w:val="auto"/>
              </w:rPr>
            </w:pPr>
            <w:r>
              <w:rPr>
                <w:rFonts w:ascii="Arial" w:cs="Arial" w:eastAsia="Arial" w:hAnsi="Arial"/>
                <w:sz w:val="14"/>
                <w:szCs w:val="14"/>
                <w:b w:val="1"/>
                <w:bCs w:val="1"/>
                <w:color w:val="002554"/>
              </w:rPr>
              <w:t>​</w:t>
            </w:r>
          </w:p>
        </w:tc>
        <w:tc>
          <w:tcPr>
            <w:tcW w:w="2140" w:type="dxa"/>
            <w:vAlign w:val="bottom"/>
            <w:gridSpan w:val="6"/>
          </w:tcPr>
          <w:p>
            <w:pPr>
              <w:ind w:left="80"/>
              <w:spacing w:after="0" w:line="210" w:lineRule="exact"/>
              <w:rPr>
                <w:sz w:val="20"/>
                <w:szCs w:val="20"/>
                <w:color w:val="auto"/>
              </w:rPr>
            </w:pPr>
            <w:r>
              <w:rPr>
                <w:rFonts w:ascii="Arial" w:cs="Arial" w:eastAsia="Arial" w:hAnsi="Arial"/>
                <w:sz w:val="13"/>
                <w:szCs w:val="13"/>
                <w:b w:val="1"/>
                <w:bCs w:val="1"/>
                <w:color w:val="002554"/>
              </w:rPr>
              <w:t xml:space="preserve">Number   </w:t>
            </w:r>
            <w:r>
              <w:rPr>
                <w:rFonts w:ascii="Arial" w:cs="Arial" w:eastAsia="Arial" w:hAnsi="Arial"/>
                <w:sz w:val="24"/>
                <w:szCs w:val="24"/>
                <w:b w:val="1"/>
                <w:bCs w:val="1"/>
                <w:color w:val="002554"/>
                <w:vertAlign w:val="subscript"/>
              </w:rPr>
              <w:t>​ ​</w:t>
            </w:r>
            <w:r>
              <w:rPr>
                <w:rFonts w:ascii="Arial" w:cs="Arial" w:eastAsia="Arial" w:hAnsi="Arial"/>
                <w:sz w:val="13"/>
                <w:szCs w:val="13"/>
                <w:b w:val="1"/>
                <w:bCs w:val="1"/>
                <w:color w:val="002554"/>
              </w:rPr>
              <w:t xml:space="preserve"> Percentage </w:t>
            </w:r>
            <w:r>
              <w:rPr>
                <w:rFonts w:ascii="Arial" w:cs="Arial" w:eastAsia="Arial" w:hAnsi="Arial"/>
                <w:sz w:val="24"/>
                <w:szCs w:val="24"/>
                <w:b w:val="1"/>
                <w:bCs w:val="1"/>
                <w:color w:val="002554"/>
                <w:vertAlign w:val="subscript"/>
              </w:rPr>
              <w:t>​ ​</w:t>
            </w:r>
          </w:p>
        </w:tc>
        <w:tc>
          <w:tcPr>
            <w:tcW w:w="1000" w:type="dxa"/>
            <w:vAlign w:val="bottom"/>
          </w:tcPr>
          <w:p>
            <w:pPr>
              <w:jc w:val="right"/>
              <w:spacing w:after="0" w:line="210" w:lineRule="exact"/>
              <w:rPr>
                <w:sz w:val="20"/>
                <w:szCs w:val="20"/>
                <w:color w:val="auto"/>
              </w:rPr>
            </w:pPr>
            <w:r>
              <w:rPr>
                <w:rFonts w:ascii="Arial" w:cs="Arial" w:eastAsia="Arial" w:hAnsi="Arial"/>
                <w:sz w:val="13"/>
                <w:szCs w:val="13"/>
                <w:b w:val="1"/>
                <w:bCs w:val="1"/>
                <w:color w:val="002554"/>
              </w:rPr>
              <w:t xml:space="preserve">Number   </w:t>
            </w:r>
            <w:r>
              <w:rPr>
                <w:rFonts w:ascii="Arial" w:cs="Arial" w:eastAsia="Arial" w:hAnsi="Arial"/>
                <w:sz w:val="24"/>
                <w:szCs w:val="24"/>
                <w:b w:val="1"/>
                <w:bCs w:val="1"/>
                <w:color w:val="002554"/>
                <w:vertAlign w:val="subscript"/>
              </w:rPr>
              <w:t>​​</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002554"/>
              </w:rPr>
              <w:t>Percentage</w:t>
            </w:r>
          </w:p>
        </w:tc>
        <w:tc>
          <w:tcPr>
            <w:tcW w:w="920" w:type="dxa"/>
            <w:vAlign w:val="bottom"/>
            <w:gridSpan w:val="4"/>
          </w:tcPr>
          <w:p>
            <w:pPr>
              <w:ind w:left="80"/>
              <w:spacing w:after="0" w:line="210" w:lineRule="exact"/>
              <w:rPr>
                <w:sz w:val="20"/>
                <w:szCs w:val="20"/>
                <w:color w:val="auto"/>
              </w:rPr>
            </w:pPr>
            <w:r>
              <w:rPr>
                <w:rFonts w:ascii="Arial" w:cs="Arial" w:eastAsia="Arial" w:hAnsi="Arial"/>
                <w:sz w:val="24"/>
                <w:szCs w:val="24"/>
                <w:b w:val="1"/>
                <w:bCs w:val="1"/>
                <w:color w:val="002554"/>
                <w:vertAlign w:val="subscript"/>
              </w:rPr>
              <w:t>​</w:t>
            </w:r>
            <w:r>
              <w:rPr>
                <w:rFonts w:ascii="Arial" w:cs="Arial" w:eastAsia="Arial" w:hAnsi="Arial"/>
                <w:sz w:val="13"/>
                <w:szCs w:val="13"/>
                <w:b w:val="1"/>
                <w:bCs w:val="1"/>
                <w:color w:val="002554"/>
              </w:rPr>
              <w:t>Percentage</w:t>
            </w:r>
            <w:r>
              <w:rPr>
                <w:rFonts w:ascii="Arial" w:cs="Arial" w:eastAsia="Arial" w:hAnsi="Arial"/>
                <w:sz w:val="24"/>
                <w:szCs w:val="24"/>
                <w:b w:val="1"/>
                <w:bCs w:val="1"/>
                <w:color w:val="002554"/>
                <w:vertAlign w:val="subscript"/>
              </w:rPr>
              <w:t>​</w:t>
            </w:r>
          </w:p>
        </w:tc>
      </w:tr>
      <w:tr>
        <w:trPr>
          <w:trHeight w:val="209"/>
        </w:trPr>
        <w:tc>
          <w:tcPr>
            <w:tcW w:w="414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w:t>
            </w:r>
          </w:p>
        </w:tc>
        <w:tc>
          <w:tcPr>
            <w:tcW w:w="100" w:type="dxa"/>
            <w:vAlign w:val="bottom"/>
            <w:tcBorders>
              <w:top w:val="single" w:sz="8" w:color="00C389"/>
              <w:bottom w:val="single" w:sz="8" w:color="00C389"/>
            </w:tcBorders>
          </w:tcPr>
          <w:p>
            <w:pPr>
              <w:spacing w:after="0"/>
              <w:rPr>
                <w:sz w:val="20"/>
                <w:szCs w:val="20"/>
                <w:color w:val="auto"/>
              </w:rPr>
            </w:pPr>
            <w:r>
              <w:rPr>
                <w:rFonts w:ascii="Arial" w:cs="Arial" w:eastAsia="Arial" w:hAnsi="Arial"/>
                <w:sz w:val="14"/>
                <w:szCs w:val="14"/>
                <w:b w:val="1"/>
                <w:bCs w:val="1"/>
                <w:color w:val="002554"/>
              </w:rPr>
              <w:t>​</w:t>
            </w:r>
          </w:p>
        </w:tc>
        <w:tc>
          <w:tcPr>
            <w:tcW w:w="4940" w:type="dxa"/>
            <w:vAlign w:val="bottom"/>
            <w:tcBorders>
              <w:top w:val="single" w:sz="8" w:color="00C389"/>
              <w:bottom w:val="single" w:sz="8" w:color="00C389"/>
            </w:tcBorders>
            <w:gridSpan w:val="12"/>
          </w:tcPr>
          <w:p>
            <w:pPr>
              <w:jc w:val="right"/>
              <w:ind w:right="150"/>
              <w:spacing w:after="0"/>
              <w:rPr>
                <w:sz w:val="20"/>
                <w:szCs w:val="20"/>
                <w:color w:val="auto"/>
              </w:rPr>
            </w:pPr>
            <w:r>
              <w:rPr>
                <w:rFonts w:ascii="Arial" w:cs="Arial" w:eastAsia="Arial" w:hAnsi="Arial"/>
                <w:sz w:val="14"/>
                <w:szCs w:val="14"/>
                <w:b w:val="1"/>
                <w:bCs w:val="1"/>
                <w:color w:val="002554"/>
              </w:rPr>
              <w:t>As of April 7, 2022 (unless otherwise stated in the footnotes below)</w:t>
            </w:r>
          </w:p>
        </w:tc>
        <w:tc>
          <w:tcPr>
            <w:tcW w:w="60" w:type="dxa"/>
            <w:vAlign w:val="bottom"/>
          </w:tcPr>
          <w:p>
            <w:pPr>
              <w:spacing w:after="0"/>
              <w:rPr>
                <w:sz w:val="20"/>
                <w:szCs w:val="20"/>
                <w:color w:val="auto"/>
              </w:rPr>
            </w:pPr>
            <w:r>
              <w:rPr>
                <w:rFonts w:ascii="Arial" w:cs="Arial" w:eastAsia="Arial" w:hAnsi="Arial"/>
                <w:sz w:val="14"/>
                <w:szCs w:val="14"/>
                <w:b w:val="1"/>
                <w:bCs w:val="1"/>
                <w:color w:val="002554"/>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5% Equity holders</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TJMT Holdings LLC(3)</w:t>
            </w:r>
          </w:p>
        </w:tc>
        <w:tc>
          <w:tcPr>
            <w:tcW w:w="1240" w:type="dxa"/>
            <w:vAlign w:val="bottom"/>
            <w:tcBorders>
              <w:bottom w:val="single" w:sz="8" w:color="00C389"/>
            </w:tcBorders>
            <w:gridSpan w:val="2"/>
            <w:shd w:val="clear" w:color="auto" w:fill="CCEEFF"/>
          </w:tcPr>
          <w:p>
            <w:pPr>
              <w:spacing w:after="0"/>
              <w:rPr>
                <w:sz w:val="20"/>
                <w:szCs w:val="20"/>
                <w:color w:val="auto"/>
              </w:rPr>
            </w:pPr>
            <w:r>
              <w:rPr>
                <w:rFonts w:ascii="Arial" w:cs="Arial" w:eastAsia="Arial" w:hAnsi="Arial"/>
                <w:sz w:val="18"/>
                <w:szCs w:val="18"/>
                <w:color w:val="auto"/>
              </w:rPr>
              <w:t>​68,423,697​​ ​</w:t>
            </w:r>
          </w:p>
        </w:tc>
        <w:tc>
          <w:tcPr>
            <w:tcW w:w="640" w:type="dxa"/>
            <w:vAlign w:val="bottom"/>
            <w:tcBorders>
              <w:bottom w:val="single" w:sz="8" w:color="00C389"/>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38.8%</w:t>
            </w:r>
          </w:p>
        </w:tc>
        <w:tc>
          <w:tcPr>
            <w:tcW w:w="1360" w:type="dxa"/>
            <w:vAlign w:val="bottom"/>
            <w:tcBorders>
              <w:bottom w:val="single" w:sz="8" w:color="00C389"/>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389"/>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389"/>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84.8%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Virtu Employee Holdco LLC(4)</w:t>
            </w:r>
          </w:p>
        </w:tc>
        <w:tc>
          <w:tcPr>
            <w:tcW w:w="124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 4,327,104​​ ​</w:t>
            </w:r>
          </w:p>
        </w:tc>
        <w:tc>
          <w:tcPr>
            <w:tcW w:w="640" w:type="dxa"/>
            <w:vAlign w:val="bottom"/>
            <w:tcBorders>
              <w:bottom w:val="single" w:sz="8" w:color="00C389"/>
            </w:tcBorders>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2.5%</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4"/>
        </w:trPr>
        <w:tc>
          <w:tcPr>
            <w:tcW w:w="41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Funds affiliated with Havelock Fund Investments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4140" w:type="dxa"/>
            <w:vAlign w:val="bottom"/>
            <w:tcBorders>
              <w:bottom w:val="single" w:sz="8" w:color="00C389"/>
            </w:tcBorders>
            <w:shd w:val="clear" w:color="auto" w:fill="CCEEFF"/>
          </w:tcPr>
          <w:p>
            <w:pPr>
              <w:ind w:left="180"/>
              <w:spacing w:after="0"/>
              <w:rPr>
                <w:sz w:val="20"/>
                <w:szCs w:val="20"/>
                <w:color w:val="auto"/>
              </w:rPr>
            </w:pPr>
            <w:r>
              <w:rPr>
                <w:rFonts w:ascii="Arial" w:cs="Arial" w:eastAsia="Arial" w:hAnsi="Arial"/>
                <w:sz w:val="18"/>
                <w:szCs w:val="18"/>
                <w:color w:val="auto"/>
              </w:rPr>
              <w:t>Pte Ltd.(5)</w:t>
            </w:r>
          </w:p>
        </w:tc>
        <w:tc>
          <w:tcPr>
            <w:tcW w:w="1240" w:type="dxa"/>
            <w:vAlign w:val="bottom"/>
            <w:tcBorders>
              <w:bottom w:val="single" w:sz="8" w:color="00C389"/>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6,380,503​​ ​</w:t>
            </w:r>
          </w:p>
        </w:tc>
        <w:tc>
          <w:tcPr>
            <w:tcW w:w="640" w:type="dxa"/>
            <w:vAlign w:val="bottom"/>
            <w:tcBorders>
              <w:bottom w:val="single" w:sz="8" w:color="00C389"/>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The Vanguard Group(6)</w:t>
            </w:r>
          </w:p>
        </w:tc>
        <w:tc>
          <w:tcPr>
            <w:tcW w:w="1240" w:type="dxa"/>
            <w:vAlign w:val="bottom"/>
            <w:gridSpan w:val="2"/>
          </w:tcPr>
          <w:p>
            <w:pPr>
              <w:spacing w:after="0"/>
              <w:rPr>
                <w:sz w:val="20"/>
                <w:szCs w:val="20"/>
                <w:color w:val="auto"/>
              </w:rPr>
            </w:pPr>
            <w:r>
              <w:rPr>
                <w:rFonts w:ascii="Arial" w:cs="Arial" w:eastAsia="Arial" w:hAnsi="Arial"/>
                <w:sz w:val="18"/>
                <w:szCs w:val="18"/>
                <w:color w:val="auto"/>
              </w:rPr>
              <w:t>​11,304,070​​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6.4%</w:t>
            </w:r>
          </w:p>
        </w:tc>
        <w:tc>
          <w:tcPr>
            <w:tcW w:w="360" w:type="dxa"/>
            <w:vAlign w:val="bottom"/>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1.6%</w:t>
            </w:r>
            <w:r>
              <w:rPr>
                <w:rFonts w:ascii="Arial" w:cs="Arial" w:eastAsia="Arial" w:hAnsi="Arial"/>
                <w:sz w:val="18"/>
                <w:szCs w:val="18"/>
                <w:b w:val="1"/>
                <w:bCs w:val="1"/>
                <w:color w:val="auto"/>
              </w:rPr>
              <w:t xml:space="preserve"> ​</w:t>
            </w:r>
          </w:p>
        </w:tc>
      </w:tr>
      <w:tr>
        <w:trPr>
          <w:trHeight w:val="237"/>
        </w:trPr>
        <w:tc>
          <w:tcPr>
            <w:tcW w:w="414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William Blair Investment Management, LLC(7)</w:t>
            </w:r>
          </w:p>
        </w:tc>
        <w:tc>
          <w:tcPr>
            <w:tcW w:w="1240" w:type="dxa"/>
            <w:vAlign w:val="bottom"/>
            <w:tcBorders>
              <w:top w:val="single" w:sz="8" w:color="00C389"/>
              <w:bottom w:val="single" w:sz="8" w:color="00C389"/>
            </w:tcBorders>
            <w:gridSpan w:val="2"/>
            <w:shd w:val="clear" w:color="auto" w:fill="CCEEFF"/>
          </w:tcPr>
          <w:p>
            <w:pPr>
              <w:spacing w:after="0"/>
              <w:rPr>
                <w:sz w:val="20"/>
                <w:szCs w:val="20"/>
                <w:color w:val="auto"/>
              </w:rPr>
            </w:pPr>
            <w:r>
              <w:rPr>
                <w:rFonts w:ascii="Arial" w:cs="Arial" w:eastAsia="Arial" w:hAnsi="Arial"/>
                <w:sz w:val="18"/>
                <w:szCs w:val="18"/>
                <w:color w:val="auto"/>
              </w:rPr>
              <w:t>​ 9,742,120​​ ​</w:t>
            </w:r>
          </w:p>
        </w:tc>
        <w:tc>
          <w:tcPr>
            <w:tcW w:w="640" w:type="dxa"/>
            <w:vAlign w:val="bottom"/>
            <w:tcBorders>
              <w:top w:val="single" w:sz="8" w:color="00C389"/>
              <w:bottom w:val="single" w:sz="8" w:color="00C389"/>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5.5%</w:t>
            </w:r>
          </w:p>
        </w:tc>
        <w:tc>
          <w:tcPr>
            <w:tcW w:w="360" w:type="dxa"/>
            <w:vAlign w:val="bottom"/>
            <w:tcBorders>
              <w:top w:val="single" w:sz="8" w:color="00C389"/>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00C389"/>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C389"/>
              <w:bottom w:val="single" w:sz="8" w:color="00C389"/>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Vincent Viola(3)</w:t>
            </w:r>
          </w:p>
        </w:tc>
        <w:tc>
          <w:tcPr>
            <w:tcW w:w="1240" w:type="dxa"/>
            <w:vAlign w:val="bottom"/>
            <w:tcBorders>
              <w:bottom w:val="single" w:sz="8" w:color="00C389"/>
            </w:tcBorders>
            <w:gridSpan w:val="2"/>
            <w:shd w:val="clear" w:color="auto" w:fill="CCEEFF"/>
          </w:tcPr>
          <w:p>
            <w:pPr>
              <w:spacing w:after="0"/>
              <w:rPr>
                <w:sz w:val="20"/>
                <w:szCs w:val="20"/>
                <w:color w:val="auto"/>
              </w:rPr>
            </w:pPr>
            <w:r>
              <w:rPr>
                <w:rFonts w:ascii="Arial" w:cs="Arial" w:eastAsia="Arial" w:hAnsi="Arial"/>
                <w:sz w:val="18"/>
                <w:szCs w:val="18"/>
                <w:color w:val="auto"/>
              </w:rPr>
              <w:t>​68,423,697​​ ​</w:t>
            </w:r>
          </w:p>
        </w:tc>
        <w:tc>
          <w:tcPr>
            <w:tcW w:w="640" w:type="dxa"/>
            <w:vAlign w:val="bottom"/>
            <w:tcBorders>
              <w:bottom w:val="single" w:sz="8" w:color="00C389"/>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38.8%</w:t>
            </w:r>
          </w:p>
        </w:tc>
        <w:tc>
          <w:tcPr>
            <w:tcW w:w="1360" w:type="dxa"/>
            <w:vAlign w:val="bottom"/>
            <w:tcBorders>
              <w:bottom w:val="single" w:sz="8" w:color="00C389"/>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389"/>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389"/>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84.8%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Douglas A. Cifu(8)</w:t>
            </w:r>
          </w:p>
        </w:tc>
        <w:tc>
          <w:tcPr>
            <w:tcW w:w="124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 4,418,041​​ ​</w:t>
            </w:r>
          </w:p>
        </w:tc>
        <w:tc>
          <w:tcPr>
            <w:tcW w:w="640" w:type="dxa"/>
            <w:vAlign w:val="bottom"/>
            <w:tcBorders>
              <w:bottom w:val="single" w:sz="8" w:color="00C389"/>
            </w:tcBorders>
            <w:gridSpan w:val="2"/>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2.5%</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Stephen Cavoli</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color w:val="auto"/>
              </w:rPr>
              <w:t>213,277​​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Sean P. Galvin</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color w:val="auto"/>
              </w:rPr>
              <w:t>7,407​​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Brett Fairclough(9)</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color w:val="auto"/>
              </w:rPr>
              <w:t>138,418​​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Joseph Molluso</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color w:val="auto"/>
              </w:rPr>
              <w:t>329,854​​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William F. Cruger, Jr.(9)</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color w:val="auto"/>
              </w:rPr>
              <w:t>44,086​​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Virginia Gambale</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color w:val="auto"/>
              </w:rPr>
              <w:t>9,517​​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Joseph J. Grano, Jr.</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color w:val="auto"/>
              </w:rPr>
              <w:t>12,136​​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Robert Greifeld(10)</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color w:val="auto"/>
              </w:rPr>
              <w:t>605,341​​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Joanne M. Minieri</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color w:val="auto"/>
              </w:rPr>
              <w:t>3,307​​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John D. Nixon</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color w:val="auto"/>
              </w:rPr>
              <w:t>30,703​​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shd w:val="clear" w:color="auto" w:fill="CCEEFF"/>
          </w:tcPr>
          <w:p>
            <w:pPr>
              <w:jc w:val="right"/>
              <w:ind w:right="34"/>
              <w:spacing w:after="0"/>
              <w:rPr>
                <w:sz w:val="20"/>
                <w:szCs w:val="20"/>
                <w:color w:val="auto"/>
              </w:rPr>
            </w:pPr>
            <w:r>
              <w:rPr>
                <w:rFonts w:ascii="Arial" w:cs="Arial" w:eastAsia="Arial" w:hAnsi="Arial"/>
                <w:sz w:val="18"/>
                <w:szCs w:val="18"/>
                <w:color w:val="auto"/>
              </w:rPr>
              <w:t>31,118​​ ​</w:t>
            </w:r>
          </w:p>
        </w:tc>
        <w:tc>
          <w:tcPr>
            <w:tcW w:w="340" w:type="dxa"/>
            <w:vAlign w:val="bottom"/>
            <w:tcBorders>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6"/>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David J. Urban</w:t>
            </w:r>
          </w:p>
        </w:tc>
        <w:tc>
          <w:tcPr>
            <w:tcW w:w="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00C389"/>
            </w:tcBorders>
          </w:tcPr>
          <w:p>
            <w:pPr>
              <w:jc w:val="right"/>
              <w:ind w:right="34"/>
              <w:spacing w:after="0"/>
              <w:rPr>
                <w:sz w:val="20"/>
                <w:szCs w:val="20"/>
                <w:color w:val="auto"/>
              </w:rPr>
            </w:pPr>
            <w:r>
              <w:rPr>
                <w:rFonts w:ascii="Arial" w:cs="Arial" w:eastAsia="Arial" w:hAnsi="Arial"/>
                <w:sz w:val="18"/>
                <w:szCs w:val="18"/>
                <w:color w:val="auto"/>
              </w:rPr>
              <w:t>14,961​​ ​</w:t>
            </w:r>
          </w:p>
        </w:tc>
        <w:tc>
          <w:tcPr>
            <w:tcW w:w="340" w:type="dxa"/>
            <w:vAlign w:val="bottom"/>
            <w:tcBorders>
              <w:bottom w:val="single" w:sz="8" w:color="00C389"/>
            </w:tcBorders>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C389"/>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C389"/>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0C389"/>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ind w:left="1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00C389"/>
            </w:tcBorders>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Michael T. Viola(3)</w:t>
            </w:r>
          </w:p>
        </w:tc>
        <w:tc>
          <w:tcPr>
            <w:tcW w:w="1240" w:type="dxa"/>
            <w:vAlign w:val="bottom"/>
            <w:tcBorders>
              <w:bottom w:val="single" w:sz="8" w:color="00C389"/>
            </w:tcBorders>
            <w:gridSpan w:val="2"/>
            <w:shd w:val="clear" w:color="auto" w:fill="CCEEFF"/>
          </w:tcPr>
          <w:p>
            <w:pPr>
              <w:spacing w:after="0"/>
              <w:rPr>
                <w:sz w:val="20"/>
                <w:szCs w:val="20"/>
                <w:color w:val="auto"/>
              </w:rPr>
            </w:pPr>
            <w:r>
              <w:rPr>
                <w:rFonts w:ascii="Arial" w:cs="Arial" w:eastAsia="Arial" w:hAnsi="Arial"/>
                <w:sz w:val="18"/>
                <w:szCs w:val="18"/>
                <w:color w:val="auto"/>
              </w:rPr>
              <w:t>​68,423,697​​ ​</w:t>
            </w:r>
          </w:p>
        </w:tc>
        <w:tc>
          <w:tcPr>
            <w:tcW w:w="640" w:type="dxa"/>
            <w:vAlign w:val="bottom"/>
            <w:tcBorders>
              <w:bottom w:val="single" w:sz="8" w:color="00C389"/>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38.8%</w:t>
            </w:r>
          </w:p>
        </w:tc>
        <w:tc>
          <w:tcPr>
            <w:tcW w:w="1360" w:type="dxa"/>
            <w:vAlign w:val="bottom"/>
            <w:tcBorders>
              <w:bottom w:val="single" w:sz="8" w:color="00C389"/>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tcBorders>
              <w:bottom w:val="single" w:sz="8" w:color="00C389"/>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0C389"/>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84.8%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4"/>
        </w:trPr>
        <w:tc>
          <w:tcPr>
            <w:tcW w:w="4140" w:type="dxa"/>
            <w:vAlign w:val="bottom"/>
          </w:tcPr>
          <w:p>
            <w:pPr>
              <w:spacing w:after="0" w:line="204"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2"/>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(15 persons)</w:t>
            </w:r>
          </w:p>
        </w:tc>
        <w:tc>
          <w:tcPr>
            <w:tcW w:w="1240" w:type="dxa"/>
            <w:vAlign w:val="bottom"/>
            <w:gridSpan w:val="2"/>
          </w:tcPr>
          <w:p>
            <w:pPr>
              <w:spacing w:after="0"/>
              <w:rPr>
                <w:sz w:val="20"/>
                <w:szCs w:val="20"/>
                <w:color w:val="auto"/>
              </w:rPr>
            </w:pPr>
            <w:r>
              <w:rPr>
                <w:rFonts w:ascii="Arial" w:cs="Arial" w:eastAsia="Arial" w:hAnsi="Arial"/>
                <w:sz w:val="18"/>
                <w:szCs w:val="18"/>
                <w:color w:val="auto"/>
              </w:rPr>
              <w:t>​74,281,863​​ ​</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42.1%</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​​60,091,740​​​</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85.7%</w:t>
            </w:r>
            <w:r>
              <w:rPr>
                <w:rFonts w:ascii="Arial" w:cs="Arial" w:eastAsia="Arial" w:hAnsi="Arial"/>
                <w:sz w:val="18"/>
                <w:szCs w:val="18"/>
                <w:b w:val="1"/>
                <w:bCs w:val="1"/>
                <w:color w:val="auto"/>
              </w:rPr>
              <w:t xml:space="preserve"> ​</w:t>
            </w:r>
          </w:p>
        </w:tc>
      </w:tr>
      <w:tr>
        <w:trPr>
          <w:trHeight w:val="20"/>
        </w:trPr>
        <w:tc>
          <w:tcPr>
            <w:tcW w:w="4140" w:type="dxa"/>
            <w:vAlign w:val="bottom"/>
            <w:shd w:val="clear" w:color="auto" w:fill="00C389"/>
          </w:tcPr>
          <w:p>
            <w:pPr>
              <w:spacing w:after="0" w:line="20" w:lineRule="exact"/>
              <w:rPr>
                <w:sz w:val="1"/>
                <w:szCs w:val="1"/>
                <w:color w:val="auto"/>
              </w:rPr>
            </w:pPr>
          </w:p>
        </w:tc>
        <w:tc>
          <w:tcPr>
            <w:tcW w:w="100" w:type="dxa"/>
            <w:vAlign w:val="bottom"/>
            <w:shd w:val="clear" w:color="auto" w:fill="00C389"/>
          </w:tcPr>
          <w:p>
            <w:pPr>
              <w:spacing w:after="0" w:line="20" w:lineRule="exact"/>
              <w:rPr>
                <w:sz w:val="1"/>
                <w:szCs w:val="1"/>
                <w:color w:val="auto"/>
              </w:rPr>
            </w:pPr>
          </w:p>
        </w:tc>
        <w:tc>
          <w:tcPr>
            <w:tcW w:w="1140" w:type="dxa"/>
            <w:vAlign w:val="bottom"/>
            <w:shd w:val="clear" w:color="auto" w:fill="00C389"/>
          </w:tcPr>
          <w:p>
            <w:pPr>
              <w:spacing w:after="0" w:line="20" w:lineRule="exact"/>
              <w:rPr>
                <w:sz w:val="1"/>
                <w:szCs w:val="1"/>
                <w:color w:val="auto"/>
              </w:rPr>
            </w:pPr>
          </w:p>
        </w:tc>
        <w:tc>
          <w:tcPr>
            <w:tcW w:w="340" w:type="dxa"/>
            <w:vAlign w:val="bottom"/>
            <w:shd w:val="clear" w:color="auto" w:fill="00C389"/>
          </w:tcPr>
          <w:p>
            <w:pPr>
              <w:spacing w:after="0" w:line="20" w:lineRule="exact"/>
              <w:rPr>
                <w:sz w:val="1"/>
                <w:szCs w:val="1"/>
                <w:color w:val="auto"/>
              </w:rPr>
            </w:pPr>
          </w:p>
        </w:tc>
        <w:tc>
          <w:tcPr>
            <w:tcW w:w="300" w:type="dxa"/>
            <w:vAlign w:val="bottom"/>
            <w:shd w:val="clear" w:color="auto" w:fill="00C389"/>
          </w:tcPr>
          <w:p>
            <w:pPr>
              <w:spacing w:after="0" w:line="20" w:lineRule="exact"/>
              <w:rPr>
                <w:sz w:val="1"/>
                <w:szCs w:val="1"/>
                <w:color w:val="auto"/>
              </w:rPr>
            </w:pPr>
          </w:p>
        </w:tc>
        <w:tc>
          <w:tcPr>
            <w:tcW w:w="20" w:type="dxa"/>
            <w:vAlign w:val="bottom"/>
            <w:shd w:val="clear" w:color="auto" w:fill="00C389"/>
          </w:tcPr>
          <w:p>
            <w:pPr>
              <w:spacing w:after="0" w:line="20" w:lineRule="exact"/>
              <w:rPr>
                <w:sz w:val="1"/>
                <w:szCs w:val="1"/>
                <w:color w:val="auto"/>
              </w:rPr>
            </w:pPr>
          </w:p>
        </w:tc>
        <w:tc>
          <w:tcPr>
            <w:tcW w:w="220" w:type="dxa"/>
            <w:vAlign w:val="bottom"/>
            <w:shd w:val="clear" w:color="auto" w:fill="00C389"/>
          </w:tcPr>
          <w:p>
            <w:pPr>
              <w:spacing w:after="0" w:line="20" w:lineRule="exact"/>
              <w:rPr>
                <w:sz w:val="1"/>
                <w:szCs w:val="1"/>
                <w:color w:val="auto"/>
              </w:rPr>
            </w:pPr>
          </w:p>
        </w:tc>
        <w:tc>
          <w:tcPr>
            <w:tcW w:w="120" w:type="dxa"/>
            <w:vAlign w:val="bottom"/>
            <w:shd w:val="clear" w:color="auto" w:fill="00C389"/>
          </w:tcPr>
          <w:p>
            <w:pPr>
              <w:spacing w:after="0" w:line="20" w:lineRule="exact"/>
              <w:rPr>
                <w:sz w:val="1"/>
                <w:szCs w:val="1"/>
                <w:color w:val="auto"/>
              </w:rPr>
            </w:pPr>
          </w:p>
        </w:tc>
        <w:tc>
          <w:tcPr>
            <w:tcW w:w="1000" w:type="dxa"/>
            <w:vAlign w:val="bottom"/>
            <w:shd w:val="clear" w:color="auto" w:fill="00C389"/>
          </w:tcPr>
          <w:p>
            <w:pPr>
              <w:spacing w:after="0" w:line="20" w:lineRule="exact"/>
              <w:rPr>
                <w:sz w:val="1"/>
                <w:szCs w:val="1"/>
                <w:color w:val="auto"/>
              </w:rPr>
            </w:pPr>
          </w:p>
        </w:tc>
        <w:tc>
          <w:tcPr>
            <w:tcW w:w="400" w:type="dxa"/>
            <w:vAlign w:val="bottom"/>
            <w:shd w:val="clear" w:color="auto" w:fill="00C389"/>
          </w:tcPr>
          <w:p>
            <w:pPr>
              <w:spacing w:after="0" w:line="20" w:lineRule="exact"/>
              <w:rPr>
                <w:sz w:val="1"/>
                <w:szCs w:val="1"/>
                <w:color w:val="auto"/>
              </w:rPr>
            </w:pPr>
          </w:p>
        </w:tc>
        <w:tc>
          <w:tcPr>
            <w:tcW w:w="540" w:type="dxa"/>
            <w:vAlign w:val="bottom"/>
            <w:shd w:val="clear" w:color="auto" w:fill="00C389"/>
          </w:tcPr>
          <w:p>
            <w:pPr>
              <w:spacing w:after="0" w:line="20" w:lineRule="exact"/>
              <w:rPr>
                <w:sz w:val="1"/>
                <w:szCs w:val="1"/>
                <w:color w:val="auto"/>
              </w:rPr>
            </w:pPr>
          </w:p>
        </w:tc>
        <w:tc>
          <w:tcPr>
            <w:tcW w:w="180" w:type="dxa"/>
            <w:vAlign w:val="bottom"/>
            <w:shd w:val="clear" w:color="auto" w:fill="00C389"/>
          </w:tcPr>
          <w:p>
            <w:pPr>
              <w:spacing w:after="0" w:line="20" w:lineRule="exact"/>
              <w:rPr>
                <w:sz w:val="1"/>
                <w:szCs w:val="1"/>
                <w:color w:val="auto"/>
              </w:rPr>
            </w:pPr>
          </w:p>
        </w:tc>
        <w:tc>
          <w:tcPr>
            <w:tcW w:w="280" w:type="dxa"/>
            <w:vAlign w:val="bottom"/>
            <w:shd w:val="clear" w:color="auto" w:fill="00C389"/>
          </w:tcPr>
          <w:p>
            <w:pPr>
              <w:spacing w:after="0" w:line="20" w:lineRule="exact"/>
              <w:rPr>
                <w:sz w:val="1"/>
                <w:szCs w:val="1"/>
                <w:color w:val="auto"/>
              </w:rPr>
            </w:pPr>
          </w:p>
        </w:tc>
        <w:tc>
          <w:tcPr>
            <w:tcW w:w="400" w:type="dxa"/>
            <w:vAlign w:val="bottom"/>
            <w:shd w:val="clear" w:color="auto" w:fill="00C3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1080" w:hanging="318"/>
        <w:spacing w:after="0"/>
        <w:tabs>
          <w:tab w:leader="none" w:pos="10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6" w:lineRule="exact"/>
        <w:rPr>
          <w:sz w:val="20"/>
          <w:szCs w:val="20"/>
          <w:color w:val="auto"/>
        </w:rPr>
      </w:pPr>
    </w:p>
    <w:p>
      <w:pPr>
        <w:ind w:left="1080" w:right="440" w:hanging="318"/>
        <w:spacing w:after="0" w:line="293"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58" w:lineRule="exact"/>
        <w:rPr>
          <w:rFonts w:ascii="Arial" w:cs="Arial" w:eastAsia="Arial" w:hAnsi="Arial"/>
          <w:sz w:val="14"/>
          <w:szCs w:val="14"/>
          <w:color w:val="auto"/>
        </w:rPr>
      </w:pPr>
    </w:p>
    <w:p>
      <w:pPr>
        <w:ind w:left="1080" w:right="120" w:hanging="318"/>
        <w:spacing w:after="0" w:line="278" w:lineRule="auto"/>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69" w:lineRule="exact"/>
        <w:rPr>
          <w:rFonts w:ascii="Arial" w:cs="Arial" w:eastAsia="Arial" w:hAnsi="Arial"/>
          <w:sz w:val="14"/>
          <w:szCs w:val="14"/>
          <w:color w:val="auto"/>
        </w:rPr>
      </w:pPr>
    </w:p>
    <w:p>
      <w:pPr>
        <w:ind w:left="1080" w:hanging="318"/>
        <w:spacing w:after="0"/>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Founder Member is owned by trusts for the benefit of family members of Vincent Viola and Teresa Viola, Vincent Viola’s wife. Teresa</w:t>
      </w:r>
    </w:p>
    <w:p>
      <w:pPr>
        <w:spacing w:after="0" w:line="29" w:lineRule="exact"/>
        <w:rPr>
          <w:sz w:val="20"/>
          <w:szCs w:val="20"/>
          <w:color w:val="auto"/>
        </w:rPr>
      </w:pPr>
    </w:p>
    <w:p>
      <w:pPr>
        <w:ind w:left="1080" w:right="80"/>
        <w:spacing w:after="0" w:line="271" w:lineRule="auto"/>
        <w:rPr>
          <w:sz w:val="20"/>
          <w:szCs w:val="20"/>
          <w:color w:val="auto"/>
        </w:rPr>
      </w:pPr>
      <w:r>
        <w:rPr>
          <w:rFonts w:ascii="Arial" w:cs="Arial" w:eastAsia="Arial" w:hAnsi="Arial"/>
          <w:sz w:val="14"/>
          <w:szCs w:val="14"/>
          <w:color w:val="auto"/>
        </w:rPr>
        <w:t>Viola and Michael T. Viola, Vincent Viola’s son and one of our directors, share dispositive control and voting control over the shares held by the Founder Member. As a result of these relationships, Teresa Viola, Michael T. Viola and Vincent Viola may be deemed to beneficially own</w:t>
      </w:r>
    </w:p>
    <w:p>
      <w:pPr>
        <w:ind w:left="1080" w:right="100" w:firstLine="6"/>
        <w:spacing w:after="0" w:line="274" w:lineRule="auto"/>
        <w:tabs>
          <w:tab w:leader="none" w:pos="12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60,091,740 shares of Class A common stock issuable to the Founder Member upon the exchange of Virtu Financial Units and an equal number of shares of Class D common stock held by the Founder Member, (ii) 216,680 shares of Class A common stock issuable to the Founder Member upon the exchange of Virtu Financial Units and an equal number of shares of Class C common stock held by the Founder Member, (iii) 3,000,000 shares of Class A common stock held by the Founder Member as a result of the exercise of the Warrant (as defined below), (iv) 4,327,104 shares of Class A common stock issuable to the Founder Member upon the exchange of Virtu Financial Units and an equal number of shares of Class C common stock through Virtu Employee Holdco, (v) 94,423 shares of Class A common</w:t>
      </w:r>
    </w:p>
    <w:p>
      <w:pPr>
        <w:spacing w:after="0" w:line="276"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35" w:lineRule="exact"/>
        <w:rPr>
          <w:sz w:val="20"/>
          <w:szCs w:val="20"/>
          <w:color w:val="auto"/>
        </w:rPr>
      </w:pPr>
    </w:p>
    <w:p>
      <w:pPr>
        <w:ind w:left="1080" w:right="160"/>
        <w:spacing w:after="0" w:line="305" w:lineRule="auto"/>
        <w:rPr>
          <w:sz w:val="20"/>
          <w:szCs w:val="20"/>
          <w:color w:val="auto"/>
        </w:rPr>
      </w:pPr>
      <w:r>
        <w:rPr>
          <w:rFonts w:ascii="Arial" w:cs="Arial" w:eastAsia="Arial" w:hAnsi="Arial"/>
          <w:sz w:val="14"/>
          <w:szCs w:val="14"/>
          <w:color w:val="auto"/>
        </w:rPr>
        <w:t>stock held directly by Michael T. Viola, and (vi) 693,750 shares of Class A common stock issuable to Mr. Vincent Viola upon the exercise of stock options that have vested or will vest within the next 60 days.</w:t>
      </w:r>
    </w:p>
    <w:p>
      <w:pPr>
        <w:spacing w:after="0" w:line="63" w:lineRule="exact"/>
        <w:rPr>
          <w:sz w:val="20"/>
          <w:szCs w:val="20"/>
          <w:color w:val="auto"/>
        </w:rPr>
      </w:pPr>
    </w:p>
    <w:p>
      <w:pPr>
        <w:ind w:left="1080" w:right="320" w:hanging="318"/>
        <w:spacing w:after="0" w:line="274"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4,327,104 shares of Class A common stock issuable upon the exchange of Virtu Financial Units and corresponding shares of Class C common stock held by Virtu Employee Holdco (including both vested and unvested Virtu Financial Units and corresponding shares of Class C common stock), which represents 2.5% of the shares of Class A common stock issued and outstanding as of April 7, 2022. Mr. Viola disclaims beneficial ownership in such shares except to the extent of his pecuniary interest therein.</w:t>
      </w:r>
    </w:p>
    <w:p>
      <w:pPr>
        <w:spacing w:after="0" w:line="85" w:lineRule="exact"/>
        <w:rPr>
          <w:rFonts w:ascii="Arial" w:cs="Arial" w:eastAsia="Arial" w:hAnsi="Arial"/>
          <w:sz w:val="14"/>
          <w:szCs w:val="14"/>
          <w:color w:val="auto"/>
        </w:rPr>
      </w:pPr>
    </w:p>
    <w:p>
      <w:pPr>
        <w:ind w:left="1080" w:right="100" w:hanging="318"/>
        <w:spacing w:after="0" w:line="273"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Temasek Holdings (Private) Limited (“</w:t>
      </w:r>
      <w:r>
        <w:rPr>
          <w:rFonts w:ascii="Arial" w:cs="Arial" w:eastAsia="Arial" w:hAnsi="Arial"/>
          <w:sz w:val="14"/>
          <w:szCs w:val="14"/>
          <w:b w:val="1"/>
          <w:bCs w:val="1"/>
          <w:color w:val="auto"/>
        </w:rPr>
        <w:t>Temasek</w:t>
      </w:r>
      <w:r>
        <w:rPr>
          <w:rFonts w:ascii="Arial" w:cs="Arial" w:eastAsia="Arial" w:hAnsi="Arial"/>
          <w:sz w:val="14"/>
          <w:szCs w:val="14"/>
          <w:color w:val="auto"/>
        </w:rPr>
        <w:t>”), Fullerton Fund Investments Pte Ltd (“</w:t>
      </w:r>
      <w:r>
        <w:rPr>
          <w:rFonts w:ascii="Arial" w:cs="Arial" w:eastAsia="Arial" w:hAnsi="Arial"/>
          <w:sz w:val="14"/>
          <w:szCs w:val="14"/>
          <w:b w:val="1"/>
          <w:bCs w:val="1"/>
          <w:color w:val="auto"/>
        </w:rPr>
        <w:t>Fullerton</w:t>
      </w:r>
      <w:r>
        <w:rPr>
          <w:rFonts w:ascii="Arial" w:cs="Arial" w:eastAsia="Arial" w:hAnsi="Arial"/>
          <w:sz w:val="14"/>
          <w:szCs w:val="14"/>
          <w:color w:val="auto"/>
        </w:rPr>
        <w:t>”), and Havelock Fund Investments Pte Ltd (“</w:t>
      </w:r>
      <w:r>
        <w:rPr>
          <w:rFonts w:ascii="Arial" w:cs="Arial" w:eastAsia="Arial" w:hAnsi="Arial"/>
          <w:sz w:val="14"/>
          <w:szCs w:val="14"/>
          <w:b w:val="1"/>
          <w:bCs w:val="1"/>
          <w:color w:val="auto"/>
        </w:rPr>
        <w:t>Havelock</w:t>
      </w:r>
      <w:r>
        <w:rPr>
          <w:rFonts w:ascii="Arial" w:cs="Arial" w:eastAsia="Arial" w:hAnsi="Arial"/>
          <w:sz w:val="14"/>
          <w:szCs w:val="14"/>
          <w:color w:val="auto"/>
        </w:rPr>
        <w:t>” and, together with Temasek and Fullerton, the “</w:t>
      </w:r>
      <w:r>
        <w:rPr>
          <w:rFonts w:ascii="Arial" w:cs="Arial" w:eastAsia="Arial" w:hAnsi="Arial"/>
          <w:sz w:val="14"/>
          <w:szCs w:val="14"/>
          <w:b w:val="1"/>
          <w:bCs w:val="1"/>
          <w:color w:val="auto"/>
        </w:rPr>
        <w:t>Temasek Reporting</w:t>
      </w:r>
      <w:r>
        <w:rPr>
          <w:rFonts w:ascii="Arial" w:cs="Arial" w:eastAsia="Arial" w:hAnsi="Arial"/>
          <w:sz w:val="14"/>
          <w:szCs w:val="14"/>
          <w:color w:val="auto"/>
        </w:rPr>
        <w:t xml:space="preserve"> </w:t>
      </w:r>
      <w:r>
        <w:rPr>
          <w:rFonts w:ascii="Arial" w:cs="Arial" w:eastAsia="Arial" w:hAnsi="Arial"/>
          <w:sz w:val="14"/>
          <w:szCs w:val="14"/>
          <w:b w:val="1"/>
          <w:bCs w:val="1"/>
          <w:color w:val="auto"/>
        </w:rPr>
        <w:t>Persons</w:t>
      </w:r>
      <w:r>
        <w:rPr>
          <w:rFonts w:ascii="Arial" w:cs="Arial" w:eastAsia="Arial" w:hAnsi="Arial"/>
          <w:sz w:val="14"/>
          <w:szCs w:val="14"/>
          <w:color w:val="auto"/>
        </w:rPr>
        <w:t>”) on February 14, 2022. Havelock is wholly owned by Fullerton, which in turn is wholly owned by Temasek. Accordingly, Temasek</w:t>
      </w:r>
      <w:r>
        <w:rPr>
          <w:rFonts w:ascii="Arial" w:cs="Arial" w:eastAsia="Arial" w:hAnsi="Arial"/>
          <w:sz w:val="14"/>
          <w:szCs w:val="14"/>
          <w:b w:val="1"/>
          <w:bCs w:val="1"/>
          <w:color w:val="auto"/>
        </w:rPr>
        <w:t xml:space="preserve"> </w:t>
      </w:r>
      <w:r>
        <w:rPr>
          <w:rFonts w:ascii="Arial" w:cs="Arial" w:eastAsia="Arial" w:hAnsi="Arial"/>
          <w:sz w:val="14"/>
          <w:szCs w:val="14"/>
          <w:color w:val="auto"/>
        </w:rPr>
        <w:t>and Fullerton may be deemed to beneficially own the shares of Class A common stock owned by Havelock. The Temasek Reporting Persons have shared voting and dispositive power over 6,380,503 shares of Class A common stock. The aggregate amount of Class A common stock beneficially owned by the Temasek Reporting Persons represents 3.6% of the shares of Class A common stock issued and outstanding as of April 7, 2022. The address of the Temasek Reporting Persons is 60B Orchard Road, #06 18 Tower 2, The Atrium@Orchard, Singapore 238891.</w:t>
      </w:r>
    </w:p>
    <w:p>
      <w:pPr>
        <w:spacing w:after="0" w:line="73" w:lineRule="exact"/>
        <w:rPr>
          <w:rFonts w:ascii="Arial" w:cs="Arial" w:eastAsia="Arial" w:hAnsi="Arial"/>
          <w:sz w:val="14"/>
          <w:szCs w:val="14"/>
          <w:color w:val="auto"/>
        </w:rPr>
      </w:pPr>
    </w:p>
    <w:p>
      <w:pPr>
        <w:ind w:left="1080" w:right="280" w:hanging="318"/>
        <w:spacing w:after="0" w:line="282"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The Vanguard Group (“</w:t>
      </w:r>
      <w:r>
        <w:rPr>
          <w:rFonts w:ascii="Arial" w:cs="Arial" w:eastAsia="Arial" w:hAnsi="Arial"/>
          <w:sz w:val="14"/>
          <w:szCs w:val="14"/>
          <w:b w:val="1"/>
          <w:bCs w:val="1"/>
          <w:color w:val="auto"/>
        </w:rPr>
        <w:t>Vanguard</w:t>
      </w:r>
      <w:r>
        <w:rPr>
          <w:rFonts w:ascii="Arial" w:cs="Arial" w:eastAsia="Arial" w:hAnsi="Arial"/>
          <w:sz w:val="14"/>
          <w:szCs w:val="14"/>
          <w:color w:val="auto"/>
        </w:rPr>
        <w:t>”) on March 9, 2022. Vanguard has (i) shared voting power over 41,138 shares of Class A common stock; (ii) sole dispositive power over 11,304,070 shares of Class A common stock; and (iii) shared dispositive power over 118,913 shares of Class A common stock. The aggregate amount of Class A common stock beneficially owned by Vanguard represents 6.4% of the shares of Class A common stock issued and outstanding as of April 7, 2022. The address of Vanguard is 100 Vanguard Blvd., Malvern, PA 19355.</w:t>
      </w:r>
    </w:p>
    <w:p>
      <w:pPr>
        <w:spacing w:after="0" w:line="66" w:lineRule="exact"/>
        <w:rPr>
          <w:rFonts w:ascii="Arial" w:cs="Arial" w:eastAsia="Arial" w:hAnsi="Arial"/>
          <w:sz w:val="14"/>
          <w:szCs w:val="14"/>
          <w:color w:val="auto"/>
        </w:rPr>
      </w:pPr>
    </w:p>
    <w:p>
      <w:pPr>
        <w:ind w:left="1080" w:right="160" w:hanging="318"/>
        <w:spacing w:after="0" w:line="277"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William Blair Investment Management, LLC (“</w:t>
      </w:r>
      <w:r>
        <w:rPr>
          <w:rFonts w:ascii="Arial" w:cs="Arial" w:eastAsia="Arial" w:hAnsi="Arial"/>
          <w:sz w:val="14"/>
          <w:szCs w:val="14"/>
          <w:b w:val="1"/>
          <w:bCs w:val="1"/>
          <w:color w:val="auto"/>
        </w:rPr>
        <w:t>William Blair</w:t>
      </w:r>
      <w:r>
        <w:rPr>
          <w:rFonts w:ascii="Arial" w:cs="Arial" w:eastAsia="Arial" w:hAnsi="Arial"/>
          <w:sz w:val="14"/>
          <w:szCs w:val="14"/>
          <w:color w:val="auto"/>
        </w:rPr>
        <w:t>”) on February 10, 2022. William Blair has (i) sole voting power over 8,508,460 shares of Class A common stock; and (ii) sole dispositive power over 9,742,120 shares of Class A common stock. The aggregate amount of Class A common stock beneficially owned by William Blair represents 5.5% of the shares of Class A common stock issued and outstanding as of April 7, 2022. The address of William Blair is 150 North Riverside Plaza, Chicago, IL 60606.</w:t>
      </w:r>
    </w:p>
    <w:p>
      <w:pPr>
        <w:spacing w:after="0" w:line="83" w:lineRule="exact"/>
        <w:rPr>
          <w:rFonts w:ascii="Arial" w:cs="Arial" w:eastAsia="Arial" w:hAnsi="Arial"/>
          <w:sz w:val="14"/>
          <w:szCs w:val="14"/>
          <w:color w:val="auto"/>
        </w:rPr>
      </w:pPr>
    </w:p>
    <w:p>
      <w:pPr>
        <w:jc w:val="both"/>
        <w:ind w:left="1080" w:right="220" w:hanging="318"/>
        <w:spacing w:after="0" w:line="268"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Class A common stock owned by Mr. Cifu is comprised of (i) 2,830,742 shares of Class A common stock issuable upon the exchange of Virtu Financial Units and corresponding shares of Class C common stock held by DAC Investment LLC, owned by Mr. Cifu and Melissa B. Lautenberg, Mr. Cifu’s wife; (ii) 819,804 shares of Class A common stock issuable upon the exchange of Virtu Financial Units and</w:t>
      </w:r>
    </w:p>
    <w:p>
      <w:pPr>
        <w:spacing w:after="0" w:line="2" w:lineRule="exact"/>
        <w:rPr>
          <w:sz w:val="20"/>
          <w:szCs w:val="20"/>
          <w:color w:val="auto"/>
        </w:rPr>
      </w:pPr>
    </w:p>
    <w:p>
      <w:pPr>
        <w:ind w:left="1080" w:right="60"/>
        <w:spacing w:after="0" w:line="274" w:lineRule="auto"/>
        <w:rPr>
          <w:sz w:val="20"/>
          <w:szCs w:val="20"/>
          <w:color w:val="auto"/>
        </w:rPr>
      </w:pPr>
      <w:r>
        <w:rPr>
          <w:rFonts w:ascii="Arial" w:cs="Arial" w:eastAsia="Arial" w:hAnsi="Arial"/>
          <w:sz w:val="14"/>
          <w:szCs w:val="14"/>
          <w:color w:val="auto"/>
        </w:rPr>
        <w:t>corresponding shares of Class C common stock held by a trust for the benefit of the Cifu Family (the “</w:t>
      </w:r>
      <w:r>
        <w:rPr>
          <w:rFonts w:ascii="Arial" w:cs="Arial" w:eastAsia="Arial" w:hAnsi="Arial"/>
          <w:sz w:val="14"/>
          <w:szCs w:val="14"/>
          <w:b w:val="1"/>
          <w:bCs w:val="1"/>
          <w:color w:val="auto"/>
        </w:rPr>
        <w:t>2011 Cifu Family Trust</w:t>
      </w:r>
      <w:r>
        <w:rPr>
          <w:rFonts w:ascii="Arial" w:cs="Arial" w:eastAsia="Arial" w:hAnsi="Arial"/>
          <w:sz w:val="14"/>
          <w:szCs w:val="14"/>
          <w:color w:val="auto"/>
        </w:rPr>
        <w:t>”), (iii) 374,740 shares of Class A common stock held by Mr. Cifu directly; and (iv) 392,755 shares of Class A common stock held by a trust for the benefit of the Cifu Family (the “</w:t>
      </w:r>
      <w:r>
        <w:rPr>
          <w:rFonts w:ascii="Arial" w:cs="Arial" w:eastAsia="Arial" w:hAnsi="Arial"/>
          <w:sz w:val="14"/>
          <w:szCs w:val="14"/>
          <w:b w:val="1"/>
          <w:bCs w:val="1"/>
          <w:color w:val="auto"/>
        </w:rPr>
        <w:t>2020 Cifu Family Trust</w:t>
      </w:r>
      <w:r>
        <w:rPr>
          <w:rFonts w:ascii="Arial" w:cs="Arial" w:eastAsia="Arial" w:hAnsi="Arial"/>
          <w:sz w:val="14"/>
          <w:szCs w:val="14"/>
          <w:color w:val="auto"/>
        </w:rPr>
        <w:t>”). Ms. Lautenberg, and Dr. Mitchel A. Lautenberg, Ms. Lautenberg’s brother, share dispositive control and voting control over the shares held by the 2011 Cifu Family Trust and Ms. Lautenberg holds sole dispositive control and voting control over the shares held by the 2020 Cifu Family Trust. Mr. Cifu may be deemed to beneficially own the shares held by the 2020 Cifu Family Trust and the 2021 Cifu Family Trust by virtue of his relationship with Ms. Lautenberg.</w:t>
      </w:r>
    </w:p>
    <w:p>
      <w:pPr>
        <w:spacing w:after="0" w:line="70" w:lineRule="exact"/>
        <w:rPr>
          <w:sz w:val="20"/>
          <w:szCs w:val="20"/>
          <w:color w:val="auto"/>
        </w:rPr>
      </w:pPr>
    </w:p>
    <w:p>
      <w:pPr>
        <w:ind w:left="1080" w:right="120" w:hanging="318"/>
        <w:spacing w:after="0" w:line="325" w:lineRule="auto"/>
        <w:tabs>
          <w:tab w:leader="none" w:pos="10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Virtu Financial Units and corresponding shares of Class C common stock held by Virtu Employee Holdco on behalf of such person that have vested or will vest within the next 60 days.</w:t>
      </w:r>
    </w:p>
    <w:p>
      <w:pPr>
        <w:spacing w:after="0" w:line="36" w:lineRule="exact"/>
        <w:rPr>
          <w:rFonts w:ascii="Arial" w:cs="Arial" w:eastAsia="Arial" w:hAnsi="Arial"/>
          <w:sz w:val="14"/>
          <w:szCs w:val="14"/>
          <w:color w:val="auto"/>
        </w:rPr>
      </w:pPr>
    </w:p>
    <w:p>
      <w:pPr>
        <w:jc w:val="both"/>
        <w:ind w:left="1080" w:right="80" w:hanging="318"/>
        <w:spacing w:after="0" w:line="305" w:lineRule="auto"/>
        <w:tabs>
          <w:tab w:leader="none" w:pos="10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Class A common stock owned by Mr. Greifeld is comprised of (i) 314,661 shares of Class A common stock held by Mr. Greifeld directly; and (ii) 290,680 shares of Class A common stock held by West Meadow Group LLC. West Meadow Group LLC is controlled by Mr.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2686685</wp:posOffset>
            </wp:positionV>
            <wp:extent cx="75438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right="1080"/>
        <w:spacing w:after="0" w:line="256" w:lineRule="auto"/>
        <w:rPr>
          <w:sz w:val="20"/>
          <w:szCs w:val="20"/>
          <w:color w:val="auto"/>
        </w:rPr>
      </w:pPr>
      <w:r>
        <w:rPr>
          <w:rFonts w:ascii="Arial" w:cs="Arial" w:eastAsia="Arial" w:hAnsi="Arial"/>
          <w:sz w:val="54"/>
          <w:szCs w:val="54"/>
          <w:color w:val="002554"/>
        </w:rPr>
        <w:t>Certain Relationships and Related Party Transactions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58420</wp:posOffset>
            </wp:positionV>
            <wp:extent cx="5829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280"/>
        <w:spacing w:after="0" w:line="252" w:lineRule="auto"/>
        <w:rPr>
          <w:sz w:val="20"/>
          <w:szCs w:val="20"/>
          <w:color w:val="auto"/>
        </w:rPr>
      </w:pPr>
      <w:r>
        <w:rPr>
          <w:rFonts w:ascii="Arial" w:cs="Arial" w:eastAsia="Arial" w:hAnsi="Arial"/>
          <w:sz w:val="18"/>
          <w:szCs w:val="18"/>
          <w:color w:val="auto"/>
        </w:rPr>
        <w:t>Upon the consummation of our initial public offering, we adopted a written Related Person Transaction Policy (the “</w:t>
      </w:r>
      <w:r>
        <w:rPr>
          <w:rFonts w:ascii="Arial" w:cs="Arial" w:eastAsia="Arial" w:hAnsi="Arial"/>
          <w:sz w:val="18"/>
          <w:szCs w:val="18"/>
          <w:b w:val="1"/>
          <w:bCs w:val="1"/>
          <w:color w:val="auto"/>
        </w:rPr>
        <w:t>Policy</w:t>
      </w:r>
      <w:r>
        <w:rPr>
          <w:rFonts w:ascii="Arial" w:cs="Arial" w:eastAsia="Arial" w:hAnsi="Arial"/>
          <w:sz w:val="18"/>
          <w:szCs w:val="18"/>
          <w:color w:val="auto"/>
        </w:rPr>
        <w:t>”),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62"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67"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71" w:lineRule="exact"/>
        <w:rPr>
          <w:sz w:val="20"/>
          <w:szCs w:val="20"/>
          <w:color w:val="auto"/>
        </w:rPr>
      </w:pPr>
    </w:p>
    <w:p>
      <w:pPr>
        <w:ind w:left="760" w:right="140"/>
        <w:spacing w:after="0" w:line="247" w:lineRule="auto"/>
        <w:rPr>
          <w:sz w:val="20"/>
          <w:szCs w:val="20"/>
          <w:color w:val="auto"/>
        </w:rPr>
      </w:pPr>
      <w:r>
        <w:rPr>
          <w:rFonts w:ascii="Arial" w:cs="Arial" w:eastAsia="Arial" w:hAnsi="Arial"/>
          <w:sz w:val="18"/>
          <w:szCs w:val="18"/>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81" w:lineRule="exact"/>
        <w:rPr>
          <w:sz w:val="20"/>
          <w:szCs w:val="20"/>
          <w:color w:val="auto"/>
        </w:rPr>
      </w:pPr>
    </w:p>
    <w:p>
      <w:pPr>
        <w:ind w:left="760" w:right="360"/>
        <w:spacing w:after="0" w:line="278" w:lineRule="auto"/>
        <w:rPr>
          <w:sz w:val="20"/>
          <w:szCs w:val="20"/>
          <w:color w:val="auto"/>
        </w:rPr>
      </w:pPr>
      <w:r>
        <w:rPr>
          <w:rFonts w:ascii="Arial" w:cs="Arial" w:eastAsia="Arial" w:hAnsi="Arial"/>
          <w:sz w:val="29"/>
          <w:szCs w:val="29"/>
          <w:b w:val="1"/>
          <w:bCs w:val="1"/>
          <w:color w:val="002554"/>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-13970</wp:posOffset>
            </wp:positionV>
            <wp:extent cx="5829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reorganization transactions preceding our initial public offering (which we refer to as the</w:t>
      </w:r>
    </w:p>
    <w:p>
      <w:pPr>
        <w:spacing w:after="0" w:line="14" w:lineRule="exact"/>
        <w:rPr>
          <w:sz w:val="20"/>
          <w:szCs w:val="20"/>
          <w:color w:val="auto"/>
        </w:rPr>
      </w:pPr>
    </w:p>
    <w:p>
      <w:pPr>
        <w:ind w:left="760" w:right="8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transactions</w:t>
      </w:r>
      <w:r>
        <w:rPr>
          <w:rFonts w:ascii="Arial" w:cs="Arial" w:eastAsia="Arial" w:hAnsi="Arial"/>
          <w:sz w:val="18"/>
          <w:szCs w:val="18"/>
          <w:color w:val="auto"/>
        </w:rPr>
        <w:t>”),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64" w:lineRule="exact"/>
        <w:rPr>
          <w:sz w:val="20"/>
          <w:szCs w:val="20"/>
          <w:color w:val="auto"/>
        </w:rPr>
      </w:pPr>
    </w:p>
    <w:p>
      <w:pPr>
        <w:ind w:left="760" w:right="140"/>
        <w:spacing w:after="0" w:line="242" w:lineRule="auto"/>
        <w:rPr>
          <w:sz w:val="20"/>
          <w:szCs w:val="20"/>
          <w:color w:val="auto"/>
        </w:rPr>
      </w:pPr>
      <w:r>
        <w:rPr>
          <w:rFonts w:ascii="Arial" w:cs="Arial" w:eastAsia="Arial" w:hAnsi="Arial"/>
          <w:sz w:val="18"/>
          <w:szCs w:val="18"/>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 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28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 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p>
    <w:p>
      <w:pPr>
        <w:spacing w:after="0" w:line="82"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81" w:lineRule="exact"/>
        <w:rPr>
          <w:sz w:val="20"/>
          <w:szCs w:val="20"/>
          <w:color w:val="auto"/>
        </w:rPr>
      </w:pPr>
    </w:p>
    <w:p>
      <w:pPr>
        <w:ind w:left="760" w:right="100"/>
        <w:spacing w:after="0" w:line="259" w:lineRule="auto"/>
        <w:rPr>
          <w:sz w:val="20"/>
          <w:szCs w:val="20"/>
          <w:color w:val="auto"/>
        </w:rPr>
      </w:pPr>
      <w:r>
        <w:rPr>
          <w:rFonts w:ascii="Arial" w:cs="Arial" w:eastAsia="Arial" w:hAnsi="Arial"/>
          <w:sz w:val="18"/>
          <w:szCs w:val="18"/>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71"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68" w:lineRule="exact"/>
        <w:rPr>
          <w:sz w:val="20"/>
          <w:szCs w:val="20"/>
          <w:color w:val="auto"/>
        </w:rPr>
      </w:pPr>
    </w:p>
    <w:p>
      <w:pPr>
        <w:ind w:left="760" w:right="180"/>
        <w:spacing w:after="0" w:line="256" w:lineRule="auto"/>
        <w:rPr>
          <w:sz w:val="20"/>
          <w:szCs w:val="20"/>
          <w:color w:val="auto"/>
        </w:rPr>
      </w:pPr>
      <w:r>
        <w:rPr>
          <w:rFonts w:ascii="Arial" w:cs="Arial" w:eastAsia="Arial" w:hAnsi="Arial"/>
          <w:sz w:val="18"/>
          <w:szCs w:val="18"/>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75" w:lineRule="exact"/>
        <w:rPr>
          <w:sz w:val="20"/>
          <w:szCs w:val="20"/>
          <w:color w:val="auto"/>
        </w:rPr>
      </w:pPr>
    </w:p>
    <w:p>
      <w:pPr>
        <w:ind w:left="760" w:right="80"/>
        <w:spacing w:after="0" w:line="291" w:lineRule="auto"/>
        <w:rPr>
          <w:sz w:val="20"/>
          <w:szCs w:val="20"/>
          <w:color w:val="auto"/>
        </w:rPr>
      </w:pPr>
      <w:r>
        <w:rPr>
          <w:rFonts w:ascii="Arial" w:cs="Arial" w:eastAsia="Arial" w:hAnsi="Arial"/>
          <w:sz w:val="17"/>
          <w:szCs w:val="17"/>
          <w:color w:val="auto"/>
        </w:rPr>
        <w:t>Historically, Virtu Financial has regularly declared and paid distributions on its equity interests to its members, including the Company. During the year ended December 31, 2021, Virtu Financial declared and paid $995.6 million in cash distributions to its members (including our Founder Member, Employee Holdco,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177800</wp:posOffset>
            </wp:positionV>
            <wp:extent cx="754380" cy="2400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In connection with the reorganization transactions, we acquired equity interests in Virtu Financial from certain affiliates of Silver Lake Partners and Temasek, as a result of a series of transactions (the “</w:t>
      </w:r>
      <w:r>
        <w:rPr>
          <w:rFonts w:ascii="Arial" w:cs="Arial" w:eastAsia="Arial" w:hAnsi="Arial"/>
          <w:sz w:val="18"/>
          <w:szCs w:val="18"/>
          <w:b w:val="1"/>
          <w:bCs w:val="1"/>
          <w:color w:val="auto"/>
        </w:rPr>
        <w:t>Mergers</w:t>
      </w:r>
      <w:r>
        <w:rPr>
          <w:rFonts w:ascii="Arial" w:cs="Arial" w:eastAsia="Arial" w:hAnsi="Arial"/>
          <w:sz w:val="18"/>
          <w:szCs w:val="18"/>
          <w:color w:val="auto"/>
        </w:rPr>
        <w:t>”).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77"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We entered into three tax receivable agreements with certain direct or indirect equity holders of Virtu Financial (one with the Founder Member, Virtu Employee Holdco, the Employee Trust, certain management members and other post 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an affiliate of Temasek, and another affiliate of Temasek (the “</w:t>
      </w:r>
      <w:r>
        <w:rPr>
          <w:rFonts w:ascii="Arial" w:cs="Arial" w:eastAsia="Arial" w:hAnsi="Arial"/>
          <w:sz w:val="18"/>
          <w:szCs w:val="18"/>
          <w:b w:val="1"/>
          <w:bCs w:val="1"/>
          <w:color w:val="auto"/>
        </w:rPr>
        <w:t>Temasek Member</w:t>
      </w:r>
      <w:r>
        <w:rPr>
          <w:rFonts w:ascii="Arial" w:cs="Arial" w:eastAsia="Arial" w:hAnsi="Arial"/>
          <w:sz w:val="18"/>
          <w:szCs w:val="18"/>
          <w:color w:val="auto"/>
        </w:rPr>
        <w:t>”)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w:t>
      </w:r>
    </w:p>
    <w:p>
      <w:pPr>
        <w:spacing w:after="0" w:line="14" w:lineRule="exact"/>
        <w:rPr>
          <w:sz w:val="20"/>
          <w:szCs w:val="20"/>
          <w:color w:val="auto"/>
        </w:rPr>
      </w:pPr>
    </w:p>
    <w:p>
      <w:pPr>
        <w:ind w:left="760" w:right="100" w:firstLine="2"/>
        <w:spacing w:after="0" w:line="250" w:lineRule="auto"/>
        <w:tabs>
          <w:tab w:leader="none" w:pos="10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64" w:lineRule="exact"/>
        <w:rPr>
          <w:sz w:val="20"/>
          <w:szCs w:val="20"/>
          <w:color w:val="auto"/>
        </w:rPr>
      </w:pPr>
    </w:p>
    <w:p>
      <w:pPr>
        <w:ind w:left="760" w:right="100"/>
        <w:spacing w:after="0" w:line="266"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64"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$0.4 million to $22.0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69" w:lineRule="exact"/>
        <w:rPr>
          <w:sz w:val="20"/>
          <w:szCs w:val="20"/>
          <w:color w:val="auto"/>
        </w:rPr>
      </w:pPr>
    </w:p>
    <w:p>
      <w:pPr>
        <w:ind w:left="760" w:right="60"/>
        <w:spacing w:after="0" w:line="248" w:lineRule="auto"/>
        <w:rPr>
          <w:sz w:val="20"/>
          <w:szCs w:val="20"/>
          <w:color w:val="auto"/>
        </w:rPr>
      </w:pPr>
      <w:r>
        <w:rPr>
          <w:rFonts w:ascii="Arial" w:cs="Arial" w:eastAsia="Arial" w:hAnsi="Arial"/>
          <w:sz w:val="18"/>
          <w:szCs w:val="18"/>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w:t>
      </w:r>
    </w:p>
    <w:p>
      <w:pPr>
        <w:spacing w:after="0" w:line="26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62"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81" w:lineRule="exact"/>
        <w:rPr>
          <w:sz w:val="20"/>
          <w:szCs w:val="20"/>
          <w:color w:val="auto"/>
        </w:rPr>
      </w:pPr>
    </w:p>
    <w:p>
      <w:pPr>
        <w:ind w:left="760" w:right="100"/>
        <w:spacing w:after="0" w:line="243" w:lineRule="auto"/>
        <w:rPr>
          <w:sz w:val="20"/>
          <w:szCs w:val="20"/>
          <w:color w:val="auto"/>
        </w:rPr>
      </w:pPr>
      <w:r>
        <w:rPr>
          <w:rFonts w:ascii="Arial" w:cs="Arial" w:eastAsia="Arial" w:hAnsi="Arial"/>
          <w:sz w:val="18"/>
          <w:szCs w:val="18"/>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 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70" w:lineRule="exact"/>
        <w:rPr>
          <w:sz w:val="20"/>
          <w:szCs w:val="20"/>
          <w:color w:val="auto"/>
        </w:rPr>
      </w:pPr>
    </w:p>
    <w:p>
      <w:pPr>
        <w:ind w:left="760" w:right="240"/>
        <w:spacing w:after="0" w:line="266"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made our first payment of $7.0 million in February 2017, our second payment of $12.4 million in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September 2018, our third payment of $13.3 million in March 2020, our fourth payment of $16.5 million in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2021, and our fifth payment of $21.3 million in March 2022. During the year ended December 31, 2021, 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affiliate of Temasek received $3.6 million, the Founder Member received $4.3 million, and members and former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members of Virtu Employee Holdco LLC received $2.3 million. Through April 15, 2022, during the year ended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2022, an affiliate of Temasek received $4.5 million, the Founder Member received $7.8 million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members and former members of Virtu Employee Holdco LLC received $3.1 million.</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right="120"/>
        <w:spacing w:after="0" w:line="268" w:lineRule="auto"/>
        <w:rPr>
          <w:sz w:val="20"/>
          <w:szCs w:val="20"/>
          <w:color w:val="auto"/>
        </w:rPr>
      </w:pPr>
      <w:r>
        <w:rPr>
          <w:rFonts w:ascii="Arial" w:cs="Arial" w:eastAsia="Arial" w:hAnsi="Arial"/>
          <w:sz w:val="18"/>
          <w:szCs w:val="18"/>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Loan Agreement and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20, 2020, Virtu Americas LLC (the “</w:t>
      </w:r>
      <w:r>
        <w:rPr>
          <w:rFonts w:ascii="Arial" w:cs="Arial" w:eastAsia="Arial" w:hAnsi="Arial"/>
          <w:sz w:val="18"/>
          <w:szCs w:val="18"/>
          <w:b w:val="1"/>
          <w:bCs w:val="1"/>
          <w:color w:val="auto"/>
        </w:rPr>
        <w:t>Borrower</w:t>
      </w:r>
      <w:r>
        <w:rPr>
          <w:rFonts w:ascii="Arial" w:cs="Arial" w:eastAsia="Arial" w:hAnsi="Arial"/>
          <w:sz w:val="18"/>
          <w:szCs w:val="18"/>
          <w:color w:val="auto"/>
        </w:rPr>
        <w:t>”), an indirect subsidiary of the Company, entered into a</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with the Founder Member (as the “</w:t>
      </w:r>
      <w:r>
        <w:rPr>
          <w:rFonts w:ascii="Arial" w:cs="Arial" w:eastAsia="Arial" w:hAnsi="Arial"/>
          <w:sz w:val="18"/>
          <w:szCs w:val="18"/>
          <w:b w:val="1"/>
          <w:bCs w:val="1"/>
          <w:color w:val="auto"/>
        </w:rPr>
        <w:t>Lender</w:t>
      </w:r>
      <w:r>
        <w:rPr>
          <w:rFonts w:ascii="Arial" w:cs="Arial" w:eastAsia="Arial" w:hAnsi="Arial"/>
          <w:sz w:val="18"/>
          <w:szCs w:val="18"/>
          <w:color w:val="auto"/>
        </w:rPr>
        <w:t>”), as lender and administrative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agent, providing for unsecured term loans from time to time (the “</w:t>
      </w:r>
      <w:r>
        <w:rPr>
          <w:rFonts w:ascii="Arial" w:cs="Arial" w:eastAsia="Arial" w:hAnsi="Arial"/>
          <w:sz w:val="18"/>
          <w:szCs w:val="18"/>
          <w:b w:val="1"/>
          <w:bCs w:val="1"/>
          <w:color w:val="auto"/>
        </w:rPr>
        <w:t>Loans</w:t>
      </w:r>
      <w:r>
        <w:rPr>
          <w:rFonts w:ascii="Arial" w:cs="Arial" w:eastAsia="Arial" w:hAnsi="Arial"/>
          <w:sz w:val="18"/>
          <w:szCs w:val="18"/>
          <w:color w:val="auto"/>
        </w:rPr>
        <w:t>”) in an aggregate original principal amount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to exceed $300 million. The Loans were available to be borrowed in one or more borrowings on or after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March 20, 2020, and prior to September 20, 2020 solely to finance the purchase and settlement of securities and to</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fund margin deposits with the National Securities Clearing Corporation and Options Clearing Corporation. Upon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execution of and in consideration for the Lender’s commitments under the Loan Agreement, the Borrower delivered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the Lender a warrant (the “</w:t>
      </w:r>
      <w:r>
        <w:rPr>
          <w:rFonts w:ascii="Arial" w:cs="Arial" w:eastAsia="Arial" w:hAnsi="Arial"/>
          <w:sz w:val="18"/>
          <w:szCs w:val="18"/>
          <w:b w:val="1"/>
          <w:bCs w:val="1"/>
          <w:color w:val="auto"/>
        </w:rPr>
        <w:t>Warrant</w:t>
      </w:r>
      <w:r>
        <w:rPr>
          <w:rFonts w:ascii="Arial" w:cs="Arial" w:eastAsia="Arial" w:hAnsi="Arial"/>
          <w:sz w:val="18"/>
          <w:szCs w:val="18"/>
          <w:color w:val="auto"/>
        </w:rPr>
        <w:t>”) to purchase shares of Class A common stock. Pursuant to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212090</wp:posOffset>
            </wp:positionV>
            <wp:extent cx="754380" cy="2400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the Lender may purchase up to 3,000,000 shares of Class A common stock, which number of shares would have been increased to 10,000,000 if, at any time during the term of the Loan Agreement, Loans equal to or greater than $100 million had been drawn and remained outstanding for a certain period of time specified in the Warrant. However, no Loans were drawn under the Loan Agreement and therefore the number of shares available to be purchased by the Lender under the Warrant was not increased. The exercise price per share of the Class A common stock issuable pursuant to the Warrant is $22.98, the average of the volume weighted average prices of the Class A common stock for the ten (10) trading days following the date on which the Company publicly announced its earnings results for the first quarter of 2020. On December 17, 2021, the Founder Member delivered to the Company a notice of exercise in full of its Warrant, for a cash payment of the exercise price of $22.98 per share issuable to the Founder Member pursuant to such exercise. The Warrant was offered, and the shares of Class A common stock issuable pursuant thereto was issued and sold, in reliance on the exemption from the registration requirements of the Securities Act, set forth under Section 4(a)(2) of the Securities Act relating to sales by an issuer not involving any public offering.</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300"/>
        <w:spacing w:after="0" w:line="287"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December 31, 2021, the Company had a net receivable from its affiliates of $2.2 million.</w:t>
      </w:r>
    </w:p>
    <w:p>
      <w:pPr>
        <w:spacing w:after="0" w:line="45" w:lineRule="exact"/>
        <w:rPr>
          <w:sz w:val="20"/>
          <w:szCs w:val="20"/>
          <w:color w:val="auto"/>
        </w:rPr>
      </w:pPr>
    </w:p>
    <w:p>
      <w:pPr>
        <w:jc w:val="both"/>
        <w:ind w:left="760" w:right="100"/>
        <w:spacing w:after="0" w:line="268" w:lineRule="auto"/>
        <w:rPr>
          <w:sz w:val="20"/>
          <w:szCs w:val="20"/>
          <w:color w:val="auto"/>
        </w:rPr>
      </w:pPr>
      <w:r>
        <w:rPr>
          <w:rFonts w:ascii="Arial" w:cs="Arial" w:eastAsia="Arial" w:hAnsi="Arial"/>
          <w:sz w:val="18"/>
          <w:szCs w:val="18"/>
          <w:color w:val="auto"/>
        </w:rPr>
        <w:t>The Company has held a minority interest in Japannext Co., Ltd. (“</w:t>
      </w:r>
      <w:r>
        <w:rPr>
          <w:rFonts w:ascii="Arial" w:cs="Arial" w:eastAsia="Arial" w:hAnsi="Arial"/>
          <w:sz w:val="18"/>
          <w:szCs w:val="18"/>
          <w:b w:val="1"/>
          <w:bCs w:val="1"/>
          <w:color w:val="auto"/>
        </w:rPr>
        <w:t>JNX</w:t>
      </w:r>
      <w:r>
        <w:rPr>
          <w:rFonts w:ascii="Arial" w:cs="Arial" w:eastAsia="Arial" w:hAnsi="Arial"/>
          <w:sz w:val="18"/>
          <w:szCs w:val="18"/>
          <w:color w:val="auto"/>
        </w:rPr>
        <w:t>”) since 2016. The Company pays exchange fees to JNX for the trading activities conducted on its proprietary trading system. For the year ended December 31, 2021, the Company paid $12.5 million to JNX for these trading activities.</w:t>
      </w:r>
    </w:p>
    <w:p>
      <w:pPr>
        <w:spacing w:after="0" w:line="63" w:lineRule="exact"/>
        <w:rPr>
          <w:sz w:val="20"/>
          <w:szCs w:val="20"/>
          <w:color w:val="auto"/>
        </w:rPr>
      </w:pPr>
    </w:p>
    <w:p>
      <w:pPr>
        <w:ind w:left="760" w:right="180"/>
        <w:spacing w:after="0" w:line="268" w:lineRule="auto"/>
        <w:rPr>
          <w:sz w:val="20"/>
          <w:szCs w:val="20"/>
          <w:color w:val="auto"/>
        </w:rPr>
      </w:pPr>
      <w:r>
        <w:rPr>
          <w:rFonts w:ascii="Arial" w:cs="Arial" w:eastAsia="Arial" w:hAnsi="Arial"/>
          <w:sz w:val="18"/>
          <w:szCs w:val="18"/>
          <w:color w:val="auto"/>
        </w:rPr>
        <w:t>The Company makes payments to two joint ventures (“</w:t>
      </w:r>
      <w:r>
        <w:rPr>
          <w:rFonts w:ascii="Arial" w:cs="Arial" w:eastAsia="Arial" w:hAnsi="Arial"/>
          <w:sz w:val="18"/>
          <w:szCs w:val="18"/>
          <w:b w:val="1"/>
          <w:bCs w:val="1"/>
          <w:color w:val="auto"/>
        </w:rPr>
        <w:t>JVs</w:t>
      </w:r>
      <w:r>
        <w:rPr>
          <w:rFonts w:ascii="Arial" w:cs="Arial" w:eastAsia="Arial" w:hAnsi="Arial"/>
          <w:sz w:val="18"/>
          <w:szCs w:val="18"/>
          <w:color w:val="auto"/>
        </w:rPr>
        <w:t>”) to fund the construction of the microwave communication networks, and to purchase microwave communication networks. For the year ended December 31, 2021, the Company paid $25.3 million to the JVs.</w:t>
      </w:r>
    </w:p>
    <w:p>
      <w:pPr>
        <w:spacing w:after="0" w:line="63"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The Company purchases network connections services from affiliates of Level 3 Communications (“</w:t>
      </w:r>
      <w:r>
        <w:rPr>
          <w:rFonts w:ascii="Arial" w:cs="Arial" w:eastAsia="Arial" w:hAnsi="Arial"/>
          <w:sz w:val="18"/>
          <w:szCs w:val="18"/>
          <w:b w:val="1"/>
          <w:bCs w:val="1"/>
          <w:color w:val="auto"/>
        </w:rPr>
        <w:t>Level 3</w:t>
      </w:r>
      <w:r>
        <w:rPr>
          <w:rFonts w:ascii="Arial" w:cs="Arial" w:eastAsia="Arial" w:hAnsi="Arial"/>
          <w:sz w:val="18"/>
          <w:szCs w:val="18"/>
          <w:color w:val="auto"/>
        </w:rPr>
        <w:t>”). Temasek and its affiliates has a significant ownership interest in Level 3. For the year ended December 31, 2021, the Company paid $1.5 million to Level 3 for these services.</w:t>
      </w:r>
    </w:p>
    <w:p>
      <w:pPr>
        <w:spacing w:after="0" w:line="63" w:lineRule="exact"/>
        <w:rPr>
          <w:sz w:val="20"/>
          <w:szCs w:val="20"/>
          <w:color w:val="auto"/>
        </w:rPr>
      </w:pPr>
    </w:p>
    <w:p>
      <w:pPr>
        <w:ind w:left="760" w:right="80"/>
        <w:spacing w:after="0" w:line="262" w:lineRule="auto"/>
        <w:rPr>
          <w:sz w:val="20"/>
          <w:szCs w:val="20"/>
          <w:color w:val="auto"/>
        </w:rPr>
      </w:pPr>
      <w:r>
        <w:rPr>
          <w:rFonts w:ascii="Arial" w:cs="Arial" w:eastAsia="Arial" w:hAnsi="Arial"/>
          <w:sz w:val="18"/>
          <w:szCs w:val="18"/>
          <w:color w:val="auto"/>
        </w:rPr>
        <w:t>Subsequent to the Company’s acquisition of Investment Technology Group, Inc., the Company makes commission-sharing arrangement (“</w:t>
      </w:r>
      <w:r>
        <w:rPr>
          <w:rFonts w:ascii="Arial" w:cs="Arial" w:eastAsia="Arial" w:hAnsi="Arial"/>
          <w:sz w:val="18"/>
          <w:szCs w:val="18"/>
          <w:b w:val="1"/>
          <w:bCs w:val="1"/>
          <w:color w:val="auto"/>
        </w:rPr>
        <w:t>CSA</w:t>
      </w:r>
      <w:r>
        <w:rPr>
          <w:rFonts w:ascii="Arial" w:cs="Arial" w:eastAsia="Arial" w:hAnsi="Arial"/>
          <w:sz w:val="18"/>
          <w:szCs w:val="18"/>
          <w:color w:val="auto"/>
        </w:rPr>
        <w:t>”) payments to affiliates of DBS Group Holdings (“</w:t>
      </w:r>
      <w:r>
        <w:rPr>
          <w:rFonts w:ascii="Arial" w:cs="Arial" w:eastAsia="Arial" w:hAnsi="Arial"/>
          <w:sz w:val="18"/>
          <w:szCs w:val="18"/>
          <w:b w:val="1"/>
          <w:bCs w:val="1"/>
          <w:color w:val="auto"/>
        </w:rPr>
        <w:t>DBS</w:t>
      </w:r>
      <w:r>
        <w:rPr>
          <w:rFonts w:ascii="Arial" w:cs="Arial" w:eastAsia="Arial" w:hAnsi="Arial"/>
          <w:sz w:val="18"/>
          <w:szCs w:val="18"/>
          <w:color w:val="auto"/>
        </w:rPr>
        <w:t>”). Temasek and its affiliates have a significant ownership interest in DBS. For the year ended December 31, 2021, the Company paid $0.2 million to DBS.</w:t>
      </w:r>
    </w:p>
    <w:p>
      <w:pPr>
        <w:spacing w:after="0" w:line="68" w:lineRule="exact"/>
        <w:rPr>
          <w:sz w:val="20"/>
          <w:szCs w:val="20"/>
          <w:color w:val="auto"/>
        </w:rPr>
      </w:pPr>
    </w:p>
    <w:p>
      <w:pPr>
        <w:ind w:left="760" w:right="120"/>
        <w:spacing w:after="0" w:line="287" w:lineRule="auto"/>
        <w:rPr>
          <w:sz w:val="20"/>
          <w:szCs w:val="20"/>
          <w:color w:val="auto"/>
        </w:rPr>
      </w:pPr>
      <w:r>
        <w:rPr>
          <w:rFonts w:ascii="Arial" w:cs="Arial" w:eastAsia="Arial" w:hAnsi="Arial"/>
          <w:sz w:val="18"/>
          <w:szCs w:val="18"/>
          <w:color w:val="auto"/>
        </w:rPr>
        <w:t>The Company incurs consulting fees from American Continental Group, an affiliate of a director. For the year ended December 31, 2021, the Company paid $0.1 million to American Continental Group.</w:t>
      </w:r>
    </w:p>
    <w:p>
      <w:pPr>
        <w:spacing w:after="0" w:line="45" w:lineRule="exact"/>
        <w:rPr>
          <w:sz w:val="20"/>
          <w:szCs w:val="20"/>
          <w:color w:val="auto"/>
        </w:rPr>
      </w:pPr>
    </w:p>
    <w:p>
      <w:pPr>
        <w:ind w:left="760" w:right="420"/>
        <w:spacing w:after="0" w:line="268" w:lineRule="auto"/>
        <w:rPr>
          <w:sz w:val="20"/>
          <w:szCs w:val="20"/>
          <w:color w:val="auto"/>
        </w:rPr>
      </w:pPr>
      <w:r>
        <w:rPr>
          <w:rFonts w:ascii="Arial" w:cs="Arial" w:eastAsia="Arial" w:hAnsi="Arial"/>
          <w:sz w:val="18"/>
          <w:szCs w:val="18"/>
          <w:color w:val="auto"/>
        </w:rPr>
        <w:t>The Company has an interest in Members Exchange, a member-owned equities exchange. The Company pays regulatory and transaction fees and receives rebates from trading activities. For the year ended December 31, 2021, the Company received $3.6 million from Members Exchange.</w:t>
      </w:r>
    </w:p>
    <w:p>
      <w:pPr>
        <w:spacing w:after="0" w:line="63" w:lineRule="exact"/>
        <w:rPr>
          <w:sz w:val="20"/>
          <w:szCs w:val="20"/>
          <w:color w:val="auto"/>
        </w:rPr>
      </w:pPr>
    </w:p>
    <w:p>
      <w:pPr>
        <w:ind w:left="760" w:right="300"/>
        <w:spacing w:after="0" w:line="268" w:lineRule="auto"/>
        <w:rPr>
          <w:sz w:val="20"/>
          <w:szCs w:val="20"/>
          <w:color w:val="auto"/>
        </w:rPr>
      </w:pPr>
      <w:r>
        <w:rPr>
          <w:rFonts w:ascii="Arial" w:cs="Arial" w:eastAsia="Arial" w:hAnsi="Arial"/>
          <w:sz w:val="18"/>
          <w:szCs w:val="18"/>
          <w:color w:val="auto"/>
        </w:rPr>
        <w:t>On August 12, 2021, the Company entered into a Purchase Agreement with Ordinal Holdings I, LP to repurchase 1.5 million shares of the Company’s Class A common stock for $39.2 million in accordance with the Company’s previously disclosed share repurchase program.</w:t>
      </w:r>
    </w:p>
    <w:p>
      <w:pPr>
        <w:spacing w:after="0" w:line="63" w:lineRule="exact"/>
        <w:rPr>
          <w:sz w:val="20"/>
          <w:szCs w:val="20"/>
          <w:color w:val="auto"/>
        </w:rPr>
      </w:pPr>
    </w:p>
    <w:p>
      <w:pPr>
        <w:ind w:left="760" w:right="260"/>
        <w:spacing w:after="0" w:line="259" w:lineRule="auto"/>
        <w:rPr>
          <w:sz w:val="20"/>
          <w:szCs w:val="20"/>
          <w:color w:val="auto"/>
        </w:rPr>
      </w:pPr>
      <w:r>
        <w:rPr>
          <w:rFonts w:ascii="Arial" w:cs="Arial" w:eastAsia="Arial" w:hAnsi="Arial"/>
          <w:sz w:val="18"/>
          <w:szCs w:val="18"/>
          <w:color w:val="auto"/>
        </w:rPr>
        <w:t>The Company provides brokerage and related services to The Vanguard Group, Inc. (“</w:t>
      </w:r>
      <w:r>
        <w:rPr>
          <w:rFonts w:ascii="Arial" w:cs="Arial" w:eastAsia="Arial" w:hAnsi="Arial"/>
          <w:sz w:val="18"/>
          <w:szCs w:val="18"/>
          <w:b w:val="1"/>
          <w:bCs w:val="1"/>
          <w:color w:val="auto"/>
        </w:rPr>
        <w:t>Vanguard</w:t>
      </w:r>
      <w:r>
        <w:rPr>
          <w:rFonts w:ascii="Arial" w:cs="Arial" w:eastAsia="Arial" w:hAnsi="Arial"/>
          <w:sz w:val="18"/>
          <w:szCs w:val="18"/>
          <w:color w:val="auto"/>
        </w:rPr>
        <w:t>”). As noted in footnote 6 to the beneficial ownership table on page 57 of this proxy statement, according to the Schedule 13G/A filed by Vanguard on March 9, 2022, Vanguard may have been deemed to have shared voting and dispositive power over more than 5% of the Company’s issued and outstanding Class A common shares. For the year ended December 31, 2021, the Company received $1.9 million from Vanguard for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335915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Board Diversity</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198"/>
        </w:trPr>
        <w:tc>
          <w:tcPr>
            <w:tcW w:w="568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Board Diversity Matrix (as of April 7, 2022)</w:t>
            </w:r>
          </w:p>
        </w:tc>
        <w:tc>
          <w:tcPr>
            <w:tcW w:w="120" w:type="dxa"/>
            <w:vAlign w:val="bottom"/>
            <w:tcBorders>
              <w:bottom w:val="single" w:sz="8" w:color="00C389"/>
            </w:tcBorders>
          </w:tcPr>
          <w:p>
            <w:pPr>
              <w:spacing w:after="0"/>
              <w:rPr>
                <w:sz w:val="17"/>
                <w:szCs w:val="17"/>
                <w:color w:val="auto"/>
              </w:rPr>
            </w:pPr>
          </w:p>
        </w:tc>
        <w:tc>
          <w:tcPr>
            <w:tcW w:w="40" w:type="dxa"/>
            <w:vAlign w:val="bottom"/>
            <w:tcBorders>
              <w:bottom w:val="single" w:sz="8" w:color="00C389"/>
            </w:tcBorders>
          </w:tcPr>
          <w:p>
            <w:pPr>
              <w:spacing w:after="0"/>
              <w:rPr>
                <w:sz w:val="17"/>
                <w:szCs w:val="17"/>
                <w:color w:val="auto"/>
              </w:rPr>
            </w:pPr>
          </w:p>
        </w:tc>
        <w:tc>
          <w:tcPr>
            <w:tcW w:w="160" w:type="dxa"/>
            <w:vAlign w:val="bottom"/>
            <w:tcBorders>
              <w:bottom w:val="single" w:sz="8" w:color="00C389"/>
            </w:tcBorders>
          </w:tcPr>
          <w:p>
            <w:pPr>
              <w:spacing w:after="0"/>
              <w:rPr>
                <w:sz w:val="17"/>
                <w:szCs w:val="17"/>
                <w:color w:val="auto"/>
              </w:rPr>
            </w:pPr>
          </w:p>
        </w:tc>
        <w:tc>
          <w:tcPr>
            <w:tcW w:w="340" w:type="dxa"/>
            <w:vAlign w:val="bottom"/>
            <w:tcBorders>
              <w:bottom w:val="single" w:sz="8" w:color="00C389"/>
            </w:tcBorders>
          </w:tcPr>
          <w:p>
            <w:pPr>
              <w:spacing w:after="0"/>
              <w:rPr>
                <w:sz w:val="17"/>
                <w:szCs w:val="17"/>
                <w:color w:val="auto"/>
              </w:rPr>
            </w:pPr>
          </w:p>
        </w:tc>
        <w:tc>
          <w:tcPr>
            <w:tcW w:w="340" w:type="dxa"/>
            <w:vAlign w:val="bottom"/>
            <w:tcBorders>
              <w:bottom w:val="single" w:sz="8" w:color="00C389"/>
            </w:tcBorders>
          </w:tcPr>
          <w:p>
            <w:pPr>
              <w:spacing w:after="0"/>
              <w:rPr>
                <w:sz w:val="17"/>
                <w:szCs w:val="17"/>
                <w:color w:val="auto"/>
              </w:rPr>
            </w:pPr>
          </w:p>
        </w:tc>
        <w:tc>
          <w:tcPr>
            <w:tcW w:w="240" w:type="dxa"/>
            <w:vAlign w:val="bottom"/>
            <w:tcBorders>
              <w:bottom w:val="single" w:sz="8" w:color="00C389"/>
            </w:tcBorders>
          </w:tcPr>
          <w:p>
            <w:pPr>
              <w:spacing w:after="0"/>
              <w:rPr>
                <w:sz w:val="17"/>
                <w:szCs w:val="17"/>
                <w:color w:val="auto"/>
              </w:rPr>
            </w:pPr>
          </w:p>
        </w:tc>
        <w:tc>
          <w:tcPr>
            <w:tcW w:w="360" w:type="dxa"/>
            <w:vAlign w:val="bottom"/>
            <w:tcBorders>
              <w:bottom w:val="single" w:sz="8" w:color="00C389"/>
            </w:tcBorders>
          </w:tcPr>
          <w:p>
            <w:pPr>
              <w:spacing w:after="0"/>
              <w:rPr>
                <w:sz w:val="17"/>
                <w:szCs w:val="17"/>
                <w:color w:val="auto"/>
              </w:rPr>
            </w:pPr>
          </w:p>
        </w:tc>
        <w:tc>
          <w:tcPr>
            <w:tcW w:w="460" w:type="dxa"/>
            <w:vAlign w:val="bottom"/>
            <w:tcBorders>
              <w:bottom w:val="single" w:sz="8" w:color="00C389"/>
            </w:tcBorders>
          </w:tcPr>
          <w:p>
            <w:pPr>
              <w:spacing w:after="0"/>
              <w:rPr>
                <w:sz w:val="17"/>
                <w:szCs w:val="17"/>
                <w:color w:val="auto"/>
              </w:rPr>
            </w:pPr>
          </w:p>
        </w:tc>
        <w:tc>
          <w:tcPr>
            <w:tcW w:w="440" w:type="dxa"/>
            <w:vAlign w:val="bottom"/>
            <w:tcBorders>
              <w:bottom w:val="single" w:sz="8" w:color="00C389"/>
            </w:tcBorders>
          </w:tcPr>
          <w:p>
            <w:pPr>
              <w:spacing w:after="0"/>
              <w:rPr>
                <w:sz w:val="17"/>
                <w:szCs w:val="17"/>
                <w:color w:val="auto"/>
              </w:rPr>
            </w:pPr>
          </w:p>
        </w:tc>
        <w:tc>
          <w:tcPr>
            <w:tcW w:w="360" w:type="dxa"/>
            <w:vAlign w:val="bottom"/>
            <w:tcBorders>
              <w:bottom w:val="single" w:sz="8" w:color="00C389"/>
            </w:tcBorders>
          </w:tcPr>
          <w:p>
            <w:pPr>
              <w:spacing w:after="0"/>
              <w:rPr>
                <w:sz w:val="17"/>
                <w:szCs w:val="17"/>
                <w:color w:val="auto"/>
              </w:rPr>
            </w:pPr>
          </w:p>
        </w:tc>
        <w:tc>
          <w:tcPr>
            <w:tcW w:w="640" w:type="dxa"/>
            <w:vAlign w:val="bottom"/>
            <w:tcBorders>
              <w:bottom w:val="single" w:sz="8" w:color="00C389"/>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4"/>
                <w:szCs w:val="14"/>
                <w:b w:val="1"/>
                <w:bCs w:val="1"/>
                <w:color w:val="002554"/>
              </w:rPr>
              <w:t>Total Number of Directors</w:t>
            </w:r>
          </w:p>
        </w:tc>
        <w:tc>
          <w:tcPr>
            <w:tcW w:w="160" w:type="dxa"/>
            <w:vAlign w:val="bottom"/>
            <w:gridSpan w:val="2"/>
          </w:tcPr>
          <w:p>
            <w:pPr>
              <w:spacing w:after="0"/>
              <w:rPr>
                <w:sz w:val="20"/>
                <w:szCs w:val="20"/>
                <w:color w:val="auto"/>
              </w:rPr>
            </w:pPr>
            <w:r>
              <w:rPr>
                <w:rFonts w:ascii="Arial" w:cs="Arial" w:eastAsia="Arial" w:hAnsi="Arial"/>
                <w:sz w:val="14"/>
                <w:szCs w:val="14"/>
                <w:b w:val="1"/>
                <w:bCs w:val="1"/>
                <w:color w:val="002554"/>
              </w:rPr>
              <w:t>​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002554"/>
              </w:rPr>
              <w:t>11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60"/>
        </w:trPr>
        <w:tc>
          <w:tcPr>
            <w:tcW w:w="5680" w:type="dxa"/>
            <w:vAlign w:val="bottom"/>
            <w:tcBorders>
              <w:top w:val="single" w:sz="8" w:color="00C389"/>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00C389"/>
            </w:tcBorders>
          </w:tcPr>
          <w:p>
            <w:pPr>
              <w:spacing w:after="0"/>
              <w:rPr>
                <w:sz w:val="13"/>
                <w:szCs w:val="13"/>
                <w:color w:val="auto"/>
              </w:rPr>
            </w:pPr>
          </w:p>
        </w:tc>
        <w:tc>
          <w:tcPr>
            <w:tcW w:w="160" w:type="dxa"/>
            <w:vAlign w:val="bottom"/>
            <w:tcBorders>
              <w:top w:val="single" w:sz="8" w:color="00C389"/>
            </w:tcBorders>
          </w:tcPr>
          <w:p>
            <w:pPr>
              <w:spacing w:after="0"/>
              <w:rPr>
                <w:sz w:val="13"/>
                <w:szCs w:val="13"/>
                <w:color w:val="auto"/>
              </w:rPr>
            </w:pPr>
          </w:p>
        </w:tc>
        <w:tc>
          <w:tcPr>
            <w:tcW w:w="340" w:type="dxa"/>
            <w:vAlign w:val="bottom"/>
            <w:tcBorders>
              <w:top w:val="single" w:sz="8" w:color="00C389"/>
            </w:tcBorders>
          </w:tcPr>
          <w:p>
            <w:pPr>
              <w:spacing w:after="0"/>
              <w:rPr>
                <w:sz w:val="13"/>
                <w:szCs w:val="13"/>
                <w:color w:val="auto"/>
              </w:rPr>
            </w:pPr>
          </w:p>
        </w:tc>
        <w:tc>
          <w:tcPr>
            <w:tcW w:w="340" w:type="dxa"/>
            <w:vAlign w:val="bottom"/>
            <w:tcBorders>
              <w:top w:val="single" w:sz="8" w:color="00C389"/>
            </w:tcBorders>
          </w:tcPr>
          <w:p>
            <w:pPr>
              <w:spacing w:after="0"/>
              <w:rPr>
                <w:sz w:val="13"/>
                <w:szCs w:val="13"/>
                <w:color w:val="auto"/>
              </w:rPr>
            </w:pPr>
          </w:p>
        </w:tc>
        <w:tc>
          <w:tcPr>
            <w:tcW w:w="240" w:type="dxa"/>
            <w:vAlign w:val="bottom"/>
            <w:tcBorders>
              <w:top w:val="single" w:sz="8" w:color="00C389"/>
            </w:tcBorders>
          </w:tcPr>
          <w:p>
            <w:pPr>
              <w:spacing w:after="0"/>
              <w:rPr>
                <w:sz w:val="13"/>
                <w:szCs w:val="13"/>
                <w:color w:val="auto"/>
              </w:rPr>
            </w:pPr>
          </w:p>
        </w:tc>
        <w:tc>
          <w:tcPr>
            <w:tcW w:w="360" w:type="dxa"/>
            <w:vAlign w:val="bottom"/>
            <w:tcBorders>
              <w:top w:val="single" w:sz="8" w:color="00C389"/>
            </w:tcBorders>
          </w:tcPr>
          <w:p>
            <w:pPr>
              <w:spacing w:after="0"/>
              <w:rPr>
                <w:sz w:val="13"/>
                <w:szCs w:val="13"/>
                <w:color w:val="auto"/>
              </w:rPr>
            </w:pPr>
          </w:p>
        </w:tc>
        <w:tc>
          <w:tcPr>
            <w:tcW w:w="460" w:type="dxa"/>
            <w:vAlign w:val="bottom"/>
            <w:tcBorders>
              <w:top w:val="single" w:sz="8" w:color="00C389"/>
            </w:tcBorders>
          </w:tcPr>
          <w:p>
            <w:pPr>
              <w:spacing w:after="0"/>
              <w:rPr>
                <w:sz w:val="13"/>
                <w:szCs w:val="13"/>
                <w:color w:val="auto"/>
              </w:rPr>
            </w:pPr>
          </w:p>
        </w:tc>
        <w:tc>
          <w:tcPr>
            <w:tcW w:w="440" w:type="dxa"/>
            <w:vAlign w:val="bottom"/>
            <w:tcBorders>
              <w:top w:val="single" w:sz="8" w:color="00C389"/>
            </w:tcBorders>
          </w:tcPr>
          <w:p>
            <w:pPr>
              <w:spacing w:after="0"/>
              <w:rPr>
                <w:sz w:val="13"/>
                <w:szCs w:val="13"/>
                <w:color w:val="auto"/>
              </w:rPr>
            </w:pPr>
          </w:p>
        </w:tc>
        <w:tc>
          <w:tcPr>
            <w:tcW w:w="360" w:type="dxa"/>
            <w:vAlign w:val="bottom"/>
            <w:tcBorders>
              <w:top w:val="single" w:sz="8" w:color="00C389"/>
            </w:tcBorders>
          </w:tcPr>
          <w:p>
            <w:pPr>
              <w:spacing w:after="0"/>
              <w:rPr>
                <w:sz w:val="13"/>
                <w:szCs w:val="13"/>
                <w:color w:val="auto"/>
              </w:rPr>
            </w:pPr>
          </w:p>
        </w:tc>
        <w:tc>
          <w:tcPr>
            <w:tcW w:w="640" w:type="dxa"/>
            <w:vAlign w:val="bottom"/>
            <w:tcBorders>
              <w:top w:val="single" w:sz="8" w:color="00C389"/>
            </w:tcBorders>
          </w:tcPr>
          <w:p>
            <w:pPr>
              <w:ind w:left="60"/>
              <w:spacing w:after="0" w:line="160" w:lineRule="exact"/>
              <w:rPr>
                <w:sz w:val="20"/>
                <w:szCs w:val="20"/>
                <w:color w:val="auto"/>
              </w:rPr>
            </w:pPr>
            <w:r>
              <w:rPr>
                <w:rFonts w:ascii="Arial" w:cs="Arial" w:eastAsia="Arial" w:hAnsi="Arial"/>
                <w:sz w:val="14"/>
                <w:szCs w:val="14"/>
                <w:b w:val="1"/>
                <w:bCs w:val="1"/>
                <w:color w:val="002554"/>
              </w:rPr>
              <w:t>Did Not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5"/>
            <w:vMerge w:val="restart"/>
          </w:tcPr>
          <w:p>
            <w:pPr>
              <w:spacing w:after="0"/>
              <w:rPr>
                <w:sz w:val="20"/>
                <w:szCs w:val="20"/>
                <w:color w:val="auto"/>
              </w:rPr>
            </w:pPr>
            <w:r>
              <w:rPr>
                <w:rFonts w:ascii="Arial" w:cs="Arial" w:eastAsia="Arial" w:hAnsi="Arial"/>
                <w:sz w:val="28"/>
                <w:szCs w:val="28"/>
                <w:b w:val="1"/>
                <w:bCs w:val="1"/>
                <w:color w:val="002554"/>
                <w:vertAlign w:val="subscript"/>
              </w:rPr>
              <w:t>​</w:t>
            </w:r>
            <w:r>
              <w:rPr>
                <w:rFonts w:ascii="Arial" w:cs="Arial" w:eastAsia="Arial" w:hAnsi="Arial"/>
                <w:sz w:val="14"/>
                <w:szCs w:val="14"/>
                <w:b w:val="1"/>
                <w:bCs w:val="1"/>
                <w:color w:val="002554"/>
              </w:rPr>
              <w:t xml:space="preserve"> Female </w:t>
            </w:r>
            <w:r>
              <w:rPr>
                <w:rFonts w:ascii="Arial" w:cs="Arial" w:eastAsia="Arial" w:hAnsi="Arial"/>
                <w:sz w:val="28"/>
                <w:szCs w:val="28"/>
                <w:b w:val="1"/>
                <w:bCs w:val="1"/>
                <w:color w:val="002554"/>
                <w:vertAlign w:val="subscript"/>
              </w:rPr>
              <w:t>​ ​</w:t>
            </w:r>
            <w:r>
              <w:rPr>
                <w:rFonts w:ascii="Arial" w:cs="Arial" w:eastAsia="Arial" w:hAnsi="Arial"/>
                <w:sz w:val="14"/>
                <w:szCs w:val="14"/>
                <w:b w:val="1"/>
                <w:bCs w:val="1"/>
                <w:color w:val="002554"/>
              </w:rPr>
              <w:t xml:space="preserve"> Male </w:t>
            </w:r>
            <w:r>
              <w:rPr>
                <w:rFonts w:ascii="Arial" w:cs="Arial" w:eastAsia="Arial" w:hAnsi="Arial"/>
                <w:sz w:val="28"/>
                <w:szCs w:val="28"/>
                <w:b w:val="1"/>
                <w:bCs w:val="1"/>
                <w:color w:val="002554"/>
                <w:vertAlign w:val="subscript"/>
              </w:rPr>
              <w:t>​ ​</w:t>
            </w:r>
            <w:r>
              <w:rPr>
                <w:rFonts w:ascii="Arial" w:cs="Arial" w:eastAsia="Arial" w:hAnsi="Arial"/>
                <w:sz w:val="14"/>
                <w:szCs w:val="14"/>
                <w:b w:val="1"/>
                <w:bCs w:val="1"/>
                <w:color w:val="002554"/>
              </w:rPr>
              <w:t>​</w:t>
            </w: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2554"/>
              </w:rPr>
              <w:t>​</w:t>
            </w:r>
            <w:r>
              <w:rPr>
                <w:rFonts w:ascii="Arial" w:cs="Arial" w:eastAsia="Arial" w:hAnsi="Arial"/>
                <w:sz w:val="28"/>
                <w:szCs w:val="28"/>
                <w:b w:val="1"/>
                <w:bCs w:val="1"/>
                <w:color w:val="002554"/>
                <w:vertAlign w:val="subscript"/>
              </w:rPr>
              <w:t>​ ​</w:t>
            </w:r>
            <w:r>
              <w:rPr>
                <w:rFonts w:ascii="Arial" w:cs="Arial" w:eastAsia="Arial" w:hAnsi="Arial"/>
                <w:sz w:val="14"/>
                <w:szCs w:val="14"/>
                <w:b w:val="1"/>
                <w:bCs w:val="1"/>
                <w:color w:val="002554"/>
              </w:rPr>
              <w:t xml:space="preserve"> Non-Binary </w:t>
            </w:r>
            <w:r>
              <w:rPr>
                <w:rFonts w:ascii="Arial" w:cs="Arial" w:eastAsia="Arial" w:hAnsi="Arial"/>
                <w:sz w:val="28"/>
                <w:szCs w:val="28"/>
                <w:b w:val="1"/>
                <w:bCs w:val="1"/>
                <w:color w:val="002554"/>
                <w:vertAlign w:val="subscript"/>
              </w:rPr>
              <w:t>​ ​</w:t>
            </w:r>
          </w:p>
        </w:tc>
        <w:tc>
          <w:tcPr>
            <w:tcW w:w="640" w:type="dxa"/>
            <w:vAlign w:val="bottom"/>
          </w:tcPr>
          <w:p>
            <w:pPr>
              <w:ind w:left="20"/>
              <w:spacing w:after="0" w:line="145" w:lineRule="exact"/>
              <w:rPr>
                <w:sz w:val="20"/>
                <w:szCs w:val="20"/>
                <w:color w:val="auto"/>
              </w:rPr>
            </w:pPr>
            <w:r>
              <w:rPr>
                <w:rFonts w:ascii="Arial" w:cs="Arial" w:eastAsia="Arial" w:hAnsi="Arial"/>
                <w:sz w:val="14"/>
                <w:szCs w:val="14"/>
                <w:b w:val="1"/>
                <w:bCs w:val="1"/>
                <w:color w:val="002554"/>
              </w:rPr>
              <w:t>Disclose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20"/>
                <w:szCs w:val="20"/>
                <w:color w:val="auto"/>
              </w:rPr>
            </w:pPr>
            <w:r>
              <w:rPr>
                <w:rFonts w:ascii="Arial" w:cs="Arial" w:eastAsia="Arial" w:hAnsi="Arial"/>
                <w:sz w:val="14"/>
                <w:szCs w:val="14"/>
                <w:b w:val="1"/>
                <w:bCs w:val="1"/>
                <w:color w:val="002554"/>
              </w:rPr>
              <w:t>​</w:t>
            </w: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002554"/>
              </w:rPr>
              <w:t>​</w:t>
            </w:r>
          </w:p>
        </w:tc>
        <w:tc>
          <w:tcPr>
            <w:tcW w:w="1440" w:type="dxa"/>
            <w:vAlign w:val="bottom"/>
            <w:gridSpan w:val="5"/>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2"/>
                <w:szCs w:val="12"/>
                <w:b w:val="1"/>
                <w:bCs w:val="1"/>
                <w:color w:val="002554"/>
              </w:rPr>
              <w:t xml:space="preserve">Gender </w:t>
            </w:r>
            <w:r>
              <w:rPr>
                <w:rFonts w:ascii="Arial" w:cs="Arial" w:eastAsia="Arial" w:hAnsi="Arial"/>
                <w:sz w:val="21"/>
                <w:szCs w:val="21"/>
                <w:b w:val="1"/>
                <w:bCs w:val="1"/>
                <w:color w:val="002554"/>
                <w:vertAlign w:val="subscript"/>
              </w:rPr>
              <w:t>​</w:t>
            </w:r>
          </w:p>
        </w:tc>
        <w:tc>
          <w:tcPr>
            <w:tcW w:w="0" w:type="dxa"/>
            <w:vAlign w:val="bottom"/>
          </w:tcPr>
          <w:p>
            <w:pPr>
              <w:spacing w:after="0"/>
              <w:rPr>
                <w:sz w:val="1"/>
                <w:szCs w:val="1"/>
                <w:color w:val="auto"/>
              </w:rPr>
            </w:pPr>
          </w:p>
        </w:tc>
      </w:tr>
      <w:tr>
        <w:trPr>
          <w:trHeight w:val="237"/>
        </w:trPr>
        <w:tc>
          <w:tcPr>
            <w:tcW w:w="56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Part I: Gender Identity</w:t>
            </w:r>
          </w:p>
        </w:tc>
        <w:tc>
          <w:tcPr>
            <w:tcW w:w="16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00C389"/>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 ​</w:t>
            </w:r>
          </w:p>
        </w:tc>
        <w:tc>
          <w:tcPr>
            <w:tcW w:w="60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 ​ ​​ ​​</w:t>
            </w:r>
          </w:p>
        </w:tc>
        <w:tc>
          <w:tcPr>
            <w:tcW w:w="460" w:type="dxa"/>
            <w:vAlign w:val="bottom"/>
            <w:tcBorders>
              <w:top w:val="single" w:sz="8" w:color="00C389"/>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w:t>
            </w:r>
          </w:p>
        </w:tc>
        <w:tc>
          <w:tcPr>
            <w:tcW w:w="3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640" w:type="dxa"/>
            <w:vAlign w:val="bottom"/>
            <w:tcBorders>
              <w:top w:val="single" w:sz="8" w:color="00C389"/>
              <w:bottom w:val="single" w:sz="8" w:color="00C389"/>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5680" w:type="dxa"/>
            <w:vAlign w:val="bottom"/>
          </w:tcPr>
          <w:p>
            <w:pPr>
              <w:spacing w:after="0"/>
              <w:rPr>
                <w:sz w:val="20"/>
                <w:szCs w:val="20"/>
                <w:color w:val="auto"/>
              </w:rPr>
            </w:pPr>
            <w:r>
              <w:rPr>
                <w:rFonts w:ascii="Arial" w:cs="Arial" w:eastAsia="Arial" w:hAnsi="Arial"/>
                <w:sz w:val="18"/>
                <w:szCs w:val="18"/>
                <w:color w:val="auto"/>
              </w:rPr>
              <w:t>Directors</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240" w:type="dxa"/>
            <w:vAlign w:val="bottom"/>
          </w:tcPr>
          <w:p>
            <w:pPr>
              <w:ind w:left="60"/>
              <w:spacing w:after="0"/>
              <w:rPr>
                <w:sz w:val="20"/>
                <w:szCs w:val="20"/>
                <w:color w:val="auto"/>
              </w:rPr>
            </w:pPr>
            <w:r>
              <w:rPr>
                <w:rFonts w:ascii="Arial" w:cs="Arial" w:eastAsia="Arial" w:hAnsi="Arial"/>
                <w:sz w:val="18"/>
                <w:szCs w:val="18"/>
                <w:color w:val="auto"/>
              </w:rPr>
              <w:t>​9</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Pr>
          <w:p>
            <w:pPr>
              <w:ind w:left="12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16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00C389"/>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 ​</w:t>
            </w:r>
          </w:p>
        </w:tc>
        <w:tc>
          <w:tcPr>
            <w:tcW w:w="60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 ​ ​​ ​​</w:t>
            </w:r>
          </w:p>
        </w:tc>
        <w:tc>
          <w:tcPr>
            <w:tcW w:w="460" w:type="dxa"/>
            <w:vAlign w:val="bottom"/>
            <w:tcBorders>
              <w:top w:val="single" w:sz="8" w:color="00C389"/>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w:t>
            </w:r>
          </w:p>
        </w:tc>
        <w:tc>
          <w:tcPr>
            <w:tcW w:w="3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640" w:type="dxa"/>
            <w:vAlign w:val="bottom"/>
            <w:tcBorders>
              <w:top w:val="single" w:sz="8" w:color="00C389"/>
              <w:bottom w:val="single" w:sz="8" w:color="00C389"/>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240" w:type="dxa"/>
            <w:vAlign w:val="bottom"/>
          </w:tcPr>
          <w:p>
            <w:pPr>
              <w:ind w:left="60"/>
              <w:spacing w:after="0"/>
              <w:rPr>
                <w:sz w:val="20"/>
                <w:szCs w:val="20"/>
                <w:color w:val="auto"/>
              </w:rPr>
            </w:pPr>
            <w:r>
              <w:rPr>
                <w:rFonts w:ascii="Arial" w:cs="Arial" w:eastAsia="Arial" w:hAnsi="Arial"/>
                <w:sz w:val="18"/>
                <w:szCs w:val="18"/>
                <w:color w:val="auto"/>
              </w:rPr>
              <w:t>​0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Pr>
          <w:p>
            <w:pPr>
              <w:ind w:left="12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Alaskan Native or Native American</w:t>
            </w:r>
          </w:p>
        </w:tc>
        <w:tc>
          <w:tcPr>
            <w:tcW w:w="16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389"/>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389"/>
              <w:bottom w:val="single" w:sz="8" w:color="00C389"/>
            </w:tcBorders>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389"/>
              <w:bottom w:val="single" w:sz="8" w:color="00C389"/>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00C389"/>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389"/>
              <w:bottom w:val="single" w:sz="8" w:color="00C389"/>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680" w:type="dxa"/>
            <w:vAlign w:val="bottom"/>
          </w:tcPr>
          <w:p>
            <w:pPr>
              <w:spacing w:after="0"/>
              <w:rPr>
                <w:sz w:val="20"/>
                <w:szCs w:val="20"/>
                <w:color w:val="auto"/>
              </w:rPr>
            </w:pPr>
            <w:r>
              <w:rPr>
                <w:rFonts w:ascii="Arial" w:cs="Arial" w:eastAsia="Arial" w:hAnsi="Arial"/>
                <w:sz w:val="18"/>
                <w:szCs w:val="18"/>
                <w:color w:val="auto"/>
              </w:rPr>
              <w:t>Asian</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240" w:type="dxa"/>
            <w:vAlign w:val="bottom"/>
          </w:tcPr>
          <w:p>
            <w:pPr>
              <w:ind w:left="60"/>
              <w:spacing w:after="0"/>
              <w:rPr>
                <w:sz w:val="20"/>
                <w:szCs w:val="20"/>
                <w:color w:val="auto"/>
              </w:rPr>
            </w:pPr>
            <w:r>
              <w:rPr>
                <w:rFonts w:ascii="Arial" w:cs="Arial" w:eastAsia="Arial" w:hAnsi="Arial"/>
                <w:sz w:val="18"/>
                <w:szCs w:val="18"/>
                <w:color w:val="auto"/>
              </w:rPr>
              <w:t>​0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Pr>
          <w:p>
            <w:pPr>
              <w:ind w:left="12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Hispanic or Latinx</w:t>
            </w:r>
          </w:p>
        </w:tc>
        <w:tc>
          <w:tcPr>
            <w:tcW w:w="16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389"/>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389"/>
              <w:bottom w:val="single" w:sz="8" w:color="00C389"/>
            </w:tcBorders>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389"/>
              <w:bottom w:val="single" w:sz="8" w:color="00C389"/>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00C389"/>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389"/>
              <w:bottom w:val="single" w:sz="8" w:color="00C389"/>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Native Hawaiian or Pacific Islander</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240" w:type="dxa"/>
            <w:vAlign w:val="bottom"/>
          </w:tcPr>
          <w:p>
            <w:pPr>
              <w:ind w:left="60"/>
              <w:spacing w:after="0"/>
              <w:rPr>
                <w:sz w:val="20"/>
                <w:szCs w:val="20"/>
                <w:color w:val="auto"/>
              </w:rPr>
            </w:pPr>
            <w:r>
              <w:rPr>
                <w:rFonts w:ascii="Arial" w:cs="Arial" w:eastAsia="Arial" w:hAnsi="Arial"/>
                <w:sz w:val="18"/>
                <w:szCs w:val="18"/>
                <w:color w:val="auto"/>
              </w:rPr>
              <w:t>​0</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Pr>
          <w:p>
            <w:pPr>
              <w:ind w:left="12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White</w:t>
            </w:r>
          </w:p>
        </w:tc>
        <w:tc>
          <w:tcPr>
            <w:tcW w:w="16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389"/>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w:t>
            </w:r>
          </w:p>
        </w:tc>
        <w:tc>
          <w:tcPr>
            <w:tcW w:w="34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00C389"/>
              <w:bottom w:val="single" w:sz="8" w:color="00C389"/>
            </w:tcBorders>
            <w:shd w:val="clear" w:color="auto" w:fill="CCEEFF"/>
          </w:tcPr>
          <w:p>
            <w:pPr>
              <w:ind w:left="60"/>
              <w:spacing w:after="0"/>
              <w:rPr>
                <w:sz w:val="20"/>
                <w:szCs w:val="20"/>
                <w:color w:val="auto"/>
              </w:rPr>
            </w:pPr>
            <w:r>
              <w:rPr>
                <w:rFonts w:ascii="Arial" w:cs="Arial" w:eastAsia="Arial" w:hAnsi="Arial"/>
                <w:sz w:val="18"/>
                <w:szCs w:val="18"/>
                <w:color w:val="auto"/>
              </w:rPr>
              <w:t>​9</w:t>
            </w:r>
          </w:p>
        </w:tc>
        <w:tc>
          <w:tcPr>
            <w:tcW w:w="360" w:type="dxa"/>
            <w:vAlign w:val="bottom"/>
            <w:tcBorders>
              <w:top w:val="single" w:sz="8" w:color="00C389"/>
              <w:bottom w:val="single" w:sz="8" w:color="00C389"/>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00C389"/>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389"/>
              <w:bottom w:val="single" w:sz="8" w:color="00C389"/>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c>
          <w:tcPr>
            <w:tcW w:w="240" w:type="dxa"/>
            <w:vAlign w:val="bottom"/>
          </w:tcPr>
          <w:p>
            <w:pPr>
              <w:ind w:left="6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33"/>
              <w:spacing w:after="0"/>
              <w:rPr>
                <w:sz w:val="20"/>
                <w:szCs w:val="20"/>
                <w:color w:val="auto"/>
              </w:rPr>
            </w:pPr>
            <w:r>
              <w:rPr>
                <w:rFonts w:ascii="Arial" w:cs="Arial" w:eastAsia="Arial" w:hAnsi="Arial"/>
                <w:sz w:val="18"/>
                <w:szCs w:val="18"/>
                <w:color w:val="auto"/>
              </w:rPr>
              <w:t>​​ ​​ ​​ ​</w:t>
            </w:r>
          </w:p>
        </w:tc>
        <w:tc>
          <w:tcPr>
            <w:tcW w:w="440" w:type="dxa"/>
            <w:vAlign w:val="bottom"/>
          </w:tcPr>
          <w:p>
            <w:pPr>
              <w:ind w:left="120"/>
              <w:spacing w:after="0"/>
              <w:rPr>
                <w:sz w:val="20"/>
                <w:szCs w:val="20"/>
                <w:color w:val="auto"/>
              </w:rPr>
            </w:pPr>
            <w:r>
              <w:rPr>
                <w:rFonts w:ascii="Arial" w:cs="Arial" w:eastAsia="Arial" w:hAnsi="Arial"/>
                <w:sz w:val="18"/>
                <w:szCs w:val="18"/>
                <w:color w:val="auto"/>
              </w:rPr>
              <w:t>​0</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260"/>
              <w:spacing w:after="0"/>
              <w:rPr>
                <w:sz w:val="20"/>
                <w:szCs w:val="20"/>
                <w:color w:val="auto"/>
              </w:rPr>
            </w:pPr>
            <w:r>
              <w:rPr>
                <w:rFonts w:ascii="Arial" w:cs="Arial" w:eastAsia="Arial" w:hAnsi="Arial"/>
                <w:sz w:val="18"/>
                <w:szCs w:val="18"/>
                <w:color w:val="auto"/>
              </w:rPr>
              <w:t>​0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68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LGBTQ+</w:t>
            </w:r>
          </w:p>
        </w:tc>
        <w:tc>
          <w:tcPr>
            <w:tcW w:w="160" w:type="dxa"/>
            <w:vAlign w:val="bottom"/>
            <w:tcBorders>
              <w:top w:val="single" w:sz="8" w:color="00C389"/>
              <w:bottom w:val="single" w:sz="8" w:color="00C389"/>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00C389"/>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00C389"/>
              <w:bottom w:val="single" w:sz="8" w:color="00C389"/>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40" w:type="dxa"/>
            <w:vAlign w:val="bottom"/>
            <w:tcBorders>
              <w:top w:val="single" w:sz="8" w:color="00C389"/>
              <w:bottom w:val="single" w:sz="8" w:color="00C389"/>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60" w:type="dxa"/>
            <w:vAlign w:val="bottom"/>
            <w:tcBorders>
              <w:top w:val="single" w:sz="8" w:color="00C389"/>
              <w:bottom w:val="single" w:sz="8" w:color="00C389"/>
            </w:tcBorders>
            <w:gridSpan w:val="3"/>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r>
              <w:rPr>
                <w:rFonts w:ascii="Arial" w:cs="Arial" w:eastAsia="Arial" w:hAnsi="Arial"/>
                <w:sz w:val="18"/>
                <w:szCs w:val="18"/>
                <w:b w:val="1"/>
                <w:bCs w:val="1"/>
                <w:color w:val="auto"/>
              </w:rPr>
              <w:t>​</w:t>
            </w:r>
            <w:r>
              <w:rPr>
                <w:rFonts w:ascii="Arial" w:cs="Arial" w:eastAsia="Arial" w:hAnsi="Arial"/>
                <w:sz w:val="18"/>
                <w:szCs w:val="18"/>
                <w:color w:val="auto"/>
              </w:rPr>
              <w:t>1​​ ​</w:t>
            </w:r>
          </w:p>
        </w:tc>
        <w:tc>
          <w:tcPr>
            <w:tcW w:w="440" w:type="dxa"/>
            <w:vAlign w:val="bottom"/>
            <w:tcBorders>
              <w:top w:val="single" w:sz="8" w:color="00C389"/>
              <w:bottom w:val="single" w:sz="8" w:color="00C389"/>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00C389"/>
              <w:bottom w:val="single" w:sz="8" w:color="00C389"/>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Did Not Disclose Demographic Background</w:t>
            </w:r>
          </w:p>
        </w:tc>
        <w:tc>
          <w:tcPr>
            <w:tcW w:w="160" w:type="dxa"/>
            <w:vAlign w:val="bottom"/>
            <w:tcBorders>
              <w:bottom w:val="single" w:sz="8" w:color="00C389"/>
            </w:tcBorders>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00C389"/>
            </w:tcBorders>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w:t>
            </w:r>
          </w:p>
        </w:tc>
        <w:tc>
          <w:tcPr>
            <w:tcW w:w="340" w:type="dxa"/>
            <w:vAlign w:val="bottom"/>
            <w:tcBorders>
              <w:bottom w:val="single" w:sz="8" w:color="00C389"/>
            </w:tcBorders>
          </w:tcPr>
          <w:p>
            <w:pPr>
              <w:ind w:left="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00C389"/>
            </w:tcBorders>
            <w:gridSpan w:val="3"/>
          </w:tcPr>
          <w:p>
            <w:pPr>
              <w:jc w:val="right"/>
              <w:ind w:right="133"/>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 ​</w:t>
            </w: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0​​ ​</w:t>
            </w:r>
          </w:p>
        </w:tc>
        <w:tc>
          <w:tcPr>
            <w:tcW w:w="440" w:type="dxa"/>
            <w:vAlign w:val="bottom"/>
            <w:tcBorders>
              <w:bottom w:val="single" w:sz="8" w:color="00C389"/>
            </w:tcBorders>
          </w:tcPr>
          <w:p>
            <w:pPr>
              <w:ind w:left="1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w:t>
            </w:r>
          </w:p>
        </w:tc>
        <w:tc>
          <w:tcPr>
            <w:tcW w:w="3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00C389"/>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4620260</wp:posOffset>
            </wp:positionV>
            <wp:extent cx="754380" cy="240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Delinquent Section 16(a) Reports</w:t>
      </w:r>
    </w:p>
    <w:p>
      <w:pPr>
        <w:spacing w:after="0" w:line="146" w:lineRule="exact"/>
        <w:rPr>
          <w:sz w:val="20"/>
          <w:szCs w:val="20"/>
          <w:color w:val="auto"/>
        </w:rPr>
      </w:pPr>
    </w:p>
    <w:p>
      <w:pPr>
        <w:ind w:left="760" w:right="100"/>
        <w:spacing w:after="0" w:line="267" w:lineRule="auto"/>
        <w:rPr>
          <w:sz w:val="20"/>
          <w:szCs w:val="20"/>
          <w:color w:val="auto"/>
        </w:rPr>
      </w:pPr>
      <w:r>
        <w:rPr>
          <w:rFonts w:ascii="Arial" w:cs="Arial" w:eastAsia="Arial" w:hAnsi="Arial"/>
          <w:sz w:val="17"/>
          <w:szCs w:val="17"/>
          <w:color w:val="auto"/>
        </w:rPr>
        <w:t>Section 16(a) of the Exchange Act requires our directors, executive officers and persons who own more than 10% of a registered class of the Company’s equity securities (collectively, the “</w:t>
      </w:r>
      <w:r>
        <w:rPr>
          <w:rFonts w:ascii="Arial" w:cs="Arial" w:eastAsia="Arial" w:hAnsi="Arial"/>
          <w:sz w:val="17"/>
          <w:szCs w:val="17"/>
          <w:b w:val="1"/>
          <w:bCs w:val="1"/>
          <w:color w:val="auto"/>
        </w:rPr>
        <w:t>Reporting Persons</w:t>
      </w:r>
      <w:r>
        <w:rPr>
          <w:rFonts w:ascii="Arial" w:cs="Arial" w:eastAsia="Arial" w:hAnsi="Arial"/>
          <w:sz w:val="17"/>
          <w:szCs w:val="17"/>
          <w:color w:val="auto"/>
        </w:rPr>
        <w:t>”),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2021, except that, due to administrative oversight, (i) one Form 4 of Mr. Grano reporting the acquisition of 5,811 shares of Class A common stock under the correct CIK and CCC numbers was filed on July 1, 2021, as Mr. Grano’s prior</w:t>
      </w:r>
    </w:p>
    <w:p>
      <w:pPr>
        <w:spacing w:after="0" w:line="5" w:lineRule="exact"/>
        <w:rPr>
          <w:sz w:val="20"/>
          <w:szCs w:val="20"/>
          <w:color w:val="auto"/>
        </w:rPr>
      </w:pPr>
    </w:p>
    <w:p>
      <w:pPr>
        <w:ind w:left="760" w:right="260"/>
        <w:spacing w:after="0" w:line="254" w:lineRule="auto"/>
        <w:rPr>
          <w:sz w:val="20"/>
          <w:szCs w:val="20"/>
          <w:color w:val="auto"/>
        </w:rPr>
      </w:pPr>
      <w:r>
        <w:rPr>
          <w:rFonts w:ascii="Arial" w:cs="Arial" w:eastAsia="Arial" w:hAnsi="Arial"/>
          <w:sz w:val="18"/>
          <w:szCs w:val="18"/>
          <w:color w:val="auto"/>
        </w:rPr>
        <w:t>Section 16(a) forms had been filed using incorrect CIK and CCC numbers, (ii) two Form 4s of Mr. Galvin reporting the acquisition of 4,412 shares Class A common stock and 45,000 restricted stock units was filed late on February 3, 2022 and April 15, 2022, respectively, and (iii) two Form 4s of Virtu Employee Holdco reporting the disposition of 32,310 and 326,071 shares of Class C common stock and corresponding Virtu Financial Units were filed late on November 10, 2021 and February 15,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Additional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40"/>
        <w:spacing w:after="0" w:line="255" w:lineRule="auto"/>
        <w:rPr>
          <w:sz w:val="20"/>
          <w:szCs w:val="20"/>
          <w:color w:val="auto"/>
        </w:rPr>
      </w:pPr>
      <w:r>
        <w:rPr>
          <w:rFonts w:ascii="Arial" w:cs="Arial" w:eastAsia="Arial" w:hAnsi="Arial"/>
          <w:sz w:val="18"/>
          <w:szCs w:val="18"/>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1633 Broadway, New York, New York 10019. If, as a result of the coronavirus pandemic or otherwise, our offices are not generally open during the ten days prior to the Annual Meeting, stockholders of record may request a list of stockholders of record as of the Record Date for any purpose germane to the Annual Meeting by contacting us by mail sent to the attention of the Secretary of the Company at our principal executive offices located at 1633 Broadway, New York, New York 10019, or by calling us at (212) 418-0100. A list of stockholders of record will be available for inspection during the Annual Meeting through the meeting website.</w:t>
      </w:r>
    </w:p>
    <w:p>
      <w:pPr>
        <w:spacing w:after="0" w:line="98" w:lineRule="exact"/>
        <w:rPr>
          <w:sz w:val="20"/>
          <w:szCs w:val="20"/>
          <w:color w:val="auto"/>
        </w:rPr>
      </w:pPr>
    </w:p>
    <w:p>
      <w:pPr>
        <w:ind w:left="760" w:right="1040"/>
        <w:spacing w:after="0" w:line="278" w:lineRule="auto"/>
        <w:rPr>
          <w:sz w:val="20"/>
          <w:szCs w:val="20"/>
          <w:color w:val="auto"/>
        </w:rPr>
      </w:pPr>
      <w:r>
        <w:rPr>
          <w:rFonts w:ascii="Arial" w:cs="Arial" w:eastAsia="Arial" w:hAnsi="Arial"/>
          <w:sz w:val="29"/>
          <w:szCs w:val="29"/>
          <w:b w:val="1"/>
          <w:bCs w:val="1"/>
          <w:color w:val="002554"/>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-5080</wp:posOffset>
            </wp:positionV>
            <wp:extent cx="5829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1"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color w:val="auto"/>
        </w:rPr>
        <w:t>To be considered for inclusion in next year’s proxy statement and form of proxy, stockholder proposals for the 2023 Annual Meeting of Stockholders must be received at our principal executive offices no later than December 23, 2022, unless the date of the 2023 Annual Meeting of Stockholders is more than 30 days before or after June 2, 2022, in which case the stockholder proposal must be received a reasonable time before we begin to print and mail our proxy materials.</w:t>
      </w:r>
    </w:p>
    <w:p>
      <w:pPr>
        <w:spacing w:after="0" w:line="71" w:lineRule="exact"/>
        <w:rPr>
          <w:sz w:val="20"/>
          <w:szCs w:val="20"/>
          <w:color w:val="auto"/>
        </w:rPr>
      </w:pPr>
    </w:p>
    <w:p>
      <w:pPr>
        <w:ind w:left="760" w:right="60"/>
        <w:spacing w:after="0" w:line="267" w:lineRule="auto"/>
        <w:rPr>
          <w:sz w:val="20"/>
          <w:szCs w:val="20"/>
          <w:color w:val="auto"/>
        </w:rPr>
      </w:pPr>
      <w:r>
        <w:rPr>
          <w:rFonts w:ascii="Arial" w:cs="Arial" w:eastAsia="Arial" w:hAnsi="Arial"/>
          <w:sz w:val="17"/>
          <w:szCs w:val="17"/>
          <w:color w:val="auto"/>
        </w:rPr>
        <w:t>For any stockholder proposal or director nomination that is not submitted for inclusion in next year’s proxy statement pursuant to the process set forth above but is instead sought to be presented directly at the 2023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2, 2023, and March 4, 2023, for the 2023 Annual Meeting of Stockholders. In the event that the 2023 Annual Meeting of Stockholders is convened more than 30 days prior to or delayed by more than</w:t>
      </w:r>
    </w:p>
    <w:p>
      <w:pPr>
        <w:spacing w:after="0" w:line="6" w:lineRule="exact"/>
        <w:rPr>
          <w:sz w:val="20"/>
          <w:szCs w:val="20"/>
          <w:color w:val="auto"/>
        </w:rPr>
      </w:pPr>
    </w:p>
    <w:p>
      <w:pPr>
        <w:ind w:left="760" w:right="200"/>
        <w:spacing w:after="0" w:line="255" w:lineRule="auto"/>
        <w:rPr>
          <w:sz w:val="20"/>
          <w:szCs w:val="20"/>
          <w:color w:val="auto"/>
        </w:rPr>
      </w:pPr>
      <w:r>
        <w:rPr>
          <w:rFonts w:ascii="Arial" w:cs="Arial" w:eastAsia="Arial" w:hAnsi="Arial"/>
          <w:sz w:val="18"/>
          <w:szCs w:val="18"/>
          <w:color w:val="auto"/>
        </w:rPr>
        <w:t>60 days after June 2, 2023, notice by the stockholder, to be timely, must be received no earlier than the 120th day prior to the 2023 Annual Meeting of Stockholders and no later than the later of (1) the 90th day prior to the 2023 Annual Meeting of stockholders and (2) the tenth day following the day on which we notify stockholders of the date of the 2023 Annual Meeting of Stockholders, either by mail or other public disclosure.</w:t>
      </w:r>
    </w:p>
    <w:p>
      <w:pPr>
        <w:spacing w:after="0" w:line="74"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Additionally, to comply with the SEC’s universal proxy rules (once effective), stockholders who intend to solicit proxies in support of director nominees other than the Company’s nominees must provide notice that sets forth the information required by Rule 14a-19 under the Exchange Act no later than April 3, 2023.</w:t>
      </w:r>
    </w:p>
    <w:p>
      <w:pPr>
        <w:spacing w:after="0" w:line="63" w:lineRule="exact"/>
        <w:rPr>
          <w:sz w:val="20"/>
          <w:szCs w:val="20"/>
          <w:color w:val="auto"/>
        </w:rPr>
      </w:pPr>
    </w:p>
    <w:p>
      <w:pPr>
        <w:ind w:left="760" w:right="300"/>
        <w:spacing w:after="0" w:line="287" w:lineRule="auto"/>
        <w:rPr>
          <w:sz w:val="20"/>
          <w:szCs w:val="20"/>
          <w:color w:val="auto"/>
        </w:rPr>
      </w:pPr>
      <w:r>
        <w:rPr>
          <w:rFonts w:ascii="Arial" w:cs="Arial" w:eastAsia="Arial" w:hAnsi="Arial"/>
          <w:sz w:val="18"/>
          <w:szCs w:val="18"/>
          <w:color w:val="auto"/>
        </w:rPr>
        <w:t>All stockholder proposals should be sent to our principal executive offices at Virtu Financial, Inc., 1633 Broadway, New York, New York 10019, Attn: Secretary.</w:t>
      </w:r>
    </w:p>
    <w:p>
      <w:pPr>
        <w:spacing w:after="0" w:line="45" w:lineRule="exact"/>
        <w:rPr>
          <w:sz w:val="20"/>
          <w:szCs w:val="20"/>
          <w:color w:val="auto"/>
        </w:rPr>
      </w:pPr>
    </w:p>
    <w:p>
      <w:pPr>
        <w:jc w:val="both"/>
        <w:ind w:left="760" w:right="80"/>
        <w:spacing w:after="0" w:line="268" w:lineRule="auto"/>
        <w:rPr>
          <w:sz w:val="20"/>
          <w:szCs w:val="20"/>
          <w:color w:val="auto"/>
        </w:rPr>
      </w:pPr>
      <w:r>
        <w:rPr>
          <w:rFonts w:ascii="Arial" w:cs="Arial" w:eastAsia="Arial" w:hAnsi="Arial"/>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Consideration of Stockholder 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140"/>
        <w:spacing w:after="0" w:line="262" w:lineRule="auto"/>
        <w:rPr>
          <w:sz w:val="20"/>
          <w:szCs w:val="20"/>
          <w:color w:val="auto"/>
        </w:rPr>
      </w:pPr>
      <w:r>
        <w:rPr>
          <w:rFonts w:ascii="Arial" w:cs="Arial" w:eastAsia="Arial" w:hAnsi="Arial"/>
          <w:sz w:val="18"/>
          <w:szCs w:val="18"/>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 1633 Broadway, New York, New York 10019, Attn: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209550</wp:posOffset>
            </wp:positionV>
            <wp:extent cx="75438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left="760" w:right="100"/>
        <w:spacing w:after="0" w:line="255" w:lineRule="auto"/>
        <w:rPr>
          <w:sz w:val="20"/>
          <w:szCs w:val="20"/>
          <w:color w:val="auto"/>
        </w:rPr>
      </w:pPr>
      <w:r>
        <w:rPr>
          <w:rFonts w:ascii="Arial" w:cs="Arial" w:eastAsia="Arial" w:hAnsi="Arial"/>
          <w:sz w:val="18"/>
          <w:szCs w:val="18"/>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 Governance Committee. In the event of any stockholder recommendations, the Nominating and Corporate Governance Committee will evaluate the persons recommended in the same manner as other candidates.</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67310</wp:posOffset>
            </wp:positionV>
            <wp:extent cx="58293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6" w:lineRule="exact"/>
        <w:rPr>
          <w:sz w:val="20"/>
          <w:szCs w:val="20"/>
          <w:color w:val="auto"/>
        </w:rPr>
      </w:pPr>
    </w:p>
    <w:p>
      <w:pPr>
        <w:ind w:left="760" w:right="80"/>
        <w:spacing w:after="0" w:line="268" w:lineRule="auto"/>
        <w:rPr>
          <w:sz w:val="20"/>
          <w:szCs w:val="20"/>
          <w:color w:val="auto"/>
        </w:rPr>
      </w:pPr>
      <w:r>
        <w:rPr>
          <w:rFonts w:ascii="Arial" w:cs="Arial" w:eastAsia="Arial" w:hAnsi="Arial"/>
          <w:sz w:val="18"/>
          <w:szCs w:val="18"/>
          <w:color w:val="auto"/>
        </w:rPr>
        <w:t>Any stockholder or other interested party may contact our board of directors as a group, our non-employee directors as a group, or any individual director by sending written correspondence to the following address: Virtu Financial, Inc., 1633 Broadway, New York, New York 10019, Attn: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General Information</w:t>
      </w:r>
    </w:p>
    <w:p>
      <w:pPr>
        <w:spacing w:after="0" w:line="146" w:lineRule="exact"/>
        <w:rPr>
          <w:sz w:val="20"/>
          <w:szCs w:val="20"/>
          <w:color w:val="auto"/>
        </w:rPr>
      </w:pPr>
    </w:p>
    <w:p>
      <w:pPr>
        <w:ind w:left="760" w:right="80"/>
        <w:spacing w:after="0" w:line="257" w:lineRule="auto"/>
        <w:rPr>
          <w:sz w:val="20"/>
          <w:szCs w:val="20"/>
          <w:color w:val="auto"/>
        </w:rPr>
      </w:pPr>
      <w:r>
        <w:rPr>
          <w:rFonts w:ascii="Arial" w:cs="Arial" w:eastAsia="Arial" w:hAnsi="Arial"/>
          <w:sz w:val="18"/>
          <w:szCs w:val="18"/>
          <w:color w:val="auto"/>
        </w:rPr>
        <w:t>We are making this proxy statement available to our stockholders on or about April 22, 2022 in connection with the solicitation of proxies by our board of directors for the Annual Meeting, which will be held on Thursday, June 2, 2022 at 9:00 a.m. (Eastern Time) via webcast through the provided link. As a stockholder of Virtu, you are invited to attend the Virtual Annual Meeting and are entitled and encouraged to vote on the proposals described in this proxy statement. Below are answers to common questions stockholders may have about the Annual Meeting. Our fiscal year ends on December 31.</w:t>
      </w:r>
    </w:p>
    <w:p>
      <w:pPr>
        <w:spacing w:after="0" w:line="74" w:lineRule="exact"/>
        <w:rPr>
          <w:sz w:val="20"/>
          <w:szCs w:val="20"/>
          <w:color w:val="auto"/>
        </w:rPr>
      </w:pPr>
    </w:p>
    <w:p>
      <w:pPr>
        <w:jc w:val="both"/>
        <w:ind w:left="760" w:right="440"/>
        <w:spacing w:after="0" w:line="262" w:lineRule="auto"/>
        <w:rPr>
          <w:sz w:val="20"/>
          <w:szCs w:val="20"/>
          <w:color w:val="auto"/>
        </w:rPr>
      </w:pPr>
      <w:r>
        <w:rPr>
          <w:rFonts w:ascii="Arial" w:cs="Arial" w:eastAsia="Arial" w:hAnsi="Arial"/>
          <w:sz w:val="18"/>
          <w:szCs w:val="18"/>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68" w:lineRule="exact"/>
        <w:rPr>
          <w:sz w:val="20"/>
          <w:szCs w:val="20"/>
          <w:color w:val="auto"/>
        </w:rPr>
      </w:pPr>
    </w:p>
    <w:p>
      <w:pPr>
        <w:ind w:left="760" w:right="60"/>
        <w:spacing w:after="0" w:line="257" w:lineRule="auto"/>
        <w:rPr>
          <w:sz w:val="20"/>
          <w:szCs w:val="20"/>
          <w:color w:val="auto"/>
        </w:rPr>
      </w:pPr>
      <w:r>
        <w:rPr>
          <w:rFonts w:ascii="Arial" w:cs="Arial" w:eastAsia="Arial" w:hAnsi="Arial"/>
          <w:sz w:val="18"/>
          <w:szCs w:val="18"/>
          <w:color w:val="auto"/>
        </w:rPr>
        <w:t>The Founder Member, an affiliate of Mr. Vincent Viola, our founder and Chairman Emeritus, and other members of the Viola family, holds all of our issued and outstanding Class D common stock and controls approximately 85%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information is included in this proxy statement?</w:t>
      </w:r>
    </w:p>
    <w:p>
      <w:pPr>
        <w:spacing w:after="0" w:line="115" w:lineRule="exact"/>
        <w:rPr>
          <w:sz w:val="20"/>
          <w:szCs w:val="20"/>
          <w:color w:val="auto"/>
        </w:rPr>
      </w:pPr>
    </w:p>
    <w:p>
      <w:pPr>
        <w:ind w:left="760" w:right="200"/>
        <w:spacing w:after="0" w:line="268"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2021, and other information.</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are the Proxy Materials?</w:t>
      </w:r>
    </w:p>
    <w:p>
      <w:pPr>
        <w:spacing w:after="0" w:line="115" w:lineRule="exact"/>
        <w:rPr>
          <w:sz w:val="20"/>
          <w:szCs w:val="20"/>
          <w:color w:val="auto"/>
        </w:rPr>
      </w:pPr>
    </w:p>
    <w:p>
      <w:pPr>
        <w:ind w:left="760" w:right="380"/>
        <w:spacing w:after="0" w:line="287" w:lineRule="auto"/>
        <w:rPr>
          <w:sz w:val="20"/>
          <w:szCs w:val="20"/>
          <w:color w:val="auto"/>
        </w:rPr>
      </w:pPr>
      <w:r>
        <w:rPr>
          <w:rFonts w:ascii="Arial" w:cs="Arial" w:eastAsia="Arial" w:hAnsi="Arial"/>
          <w:sz w:val="18"/>
          <w:szCs w:val="18"/>
          <w:color w:val="auto"/>
        </w:rPr>
        <w:t>The “Proxy Materials” are this proxy statement and our annual report to stockholders, which includes the Annual Report on Form 10-K for the fiscal year ended December 31, 2021.</w:t>
      </w:r>
    </w:p>
    <w:p>
      <w:pPr>
        <w:spacing w:after="0" w:line="47" w:lineRule="exact"/>
        <w:rPr>
          <w:sz w:val="20"/>
          <w:szCs w:val="20"/>
          <w:color w:val="auto"/>
        </w:rPr>
      </w:pPr>
    </w:p>
    <w:p>
      <w:pPr>
        <w:ind w:left="760" w:right="440"/>
        <w:spacing w:after="0" w:line="294" w:lineRule="auto"/>
        <w:rPr>
          <w:sz w:val="20"/>
          <w:szCs w:val="20"/>
          <w:color w:val="auto"/>
        </w:rPr>
      </w:pPr>
      <w:r>
        <w:rPr>
          <w:rFonts w:ascii="Arial" w:cs="Arial" w:eastAsia="Arial" w:hAnsi="Arial"/>
          <w:sz w:val="18"/>
          <w:szCs w:val="18"/>
          <w:b w:val="1"/>
          <w:bCs w:val="1"/>
          <w:i w:val="1"/>
          <w:iCs w:val="1"/>
          <w:color w:val="00C389"/>
        </w:rPr>
        <w:t>Why did I receive a one-page notice in the mail regarding the Internet availability of the Proxy Materials instead of a full set of the Proxy Materials?</w:t>
      </w:r>
    </w:p>
    <w:p>
      <w:pPr>
        <w:spacing w:after="0" w:line="31"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77" w:lineRule="exact"/>
        <w:rPr>
          <w:sz w:val="20"/>
          <w:szCs w:val="20"/>
          <w:color w:val="auto"/>
        </w:rPr>
      </w:pPr>
    </w:p>
    <w:p>
      <w:pPr>
        <w:ind w:left="760" w:right="260"/>
        <w:spacing w:after="0" w:line="294" w:lineRule="auto"/>
        <w:rPr>
          <w:sz w:val="20"/>
          <w:szCs w:val="20"/>
          <w:color w:val="auto"/>
        </w:rPr>
      </w:pPr>
      <w:r>
        <w:rPr>
          <w:rFonts w:ascii="Arial" w:cs="Arial" w:eastAsia="Arial" w:hAnsi="Arial"/>
          <w:sz w:val="18"/>
          <w:szCs w:val="18"/>
          <w:b w:val="1"/>
          <w:bCs w:val="1"/>
          <w:i w:val="1"/>
          <w:iCs w:val="1"/>
          <w:color w:val="00C389"/>
        </w:rPr>
        <w:t>What items will be voted on at the Annual Meeting and how does the board of directors recommend that I vote?</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four proposals to be voted on at the Annual Meeting:</w:t>
      </w:r>
    </w:p>
    <w:p>
      <w:pPr>
        <w:spacing w:after="0" w:line="117" w:lineRule="exact"/>
        <w:rPr>
          <w:sz w:val="20"/>
          <w:szCs w:val="20"/>
          <w:color w:val="auto"/>
        </w:rPr>
      </w:pPr>
    </w:p>
    <w:p>
      <w:pPr>
        <w:ind w:left="1340" w:right="180" w:hanging="218"/>
        <w:spacing w:after="0" w:line="268" w:lineRule="auto"/>
        <w:tabs>
          <w:tab w:leader="none" w:pos="1340" w:val="left"/>
        </w:tabs>
        <w:numPr>
          <w:ilvl w:val="0"/>
          <w:numId w:val="40"/>
        </w:numPr>
        <w:rPr>
          <w:rFonts w:ascii="Arial" w:cs="Arial" w:eastAsia="Arial" w:hAnsi="Arial"/>
          <w:sz w:val="18"/>
          <w:szCs w:val="18"/>
          <w:color w:val="002554"/>
        </w:rPr>
      </w:pPr>
      <w:r>
        <w:rPr>
          <w:rFonts w:ascii="Arial" w:cs="Arial" w:eastAsia="Arial" w:hAnsi="Arial"/>
          <w:sz w:val="18"/>
          <w:szCs w:val="18"/>
          <w:color w:val="auto"/>
        </w:rPr>
        <w:t>to elect three directors to our board of directors, each to serve as a Class I director for a term of three years expiring at the annual meeting of stockholders to be held in 2025 and until such director’s successor has been duly elected and qualified;</w:t>
      </w:r>
    </w:p>
    <w:p>
      <w:pPr>
        <w:spacing w:after="0" w:line="62" w:lineRule="exact"/>
        <w:rPr>
          <w:rFonts w:ascii="Arial" w:cs="Arial" w:eastAsia="Arial" w:hAnsi="Arial"/>
          <w:sz w:val="18"/>
          <w:szCs w:val="18"/>
          <w:color w:val="002554"/>
        </w:rPr>
      </w:pPr>
    </w:p>
    <w:p>
      <w:pPr>
        <w:ind w:left="1340" w:right="520" w:hanging="218"/>
        <w:spacing w:after="0" w:line="287" w:lineRule="auto"/>
        <w:tabs>
          <w:tab w:leader="none" w:pos="1340" w:val="left"/>
        </w:tabs>
        <w:numPr>
          <w:ilvl w:val="0"/>
          <w:numId w:val="40"/>
        </w:numPr>
        <w:rPr>
          <w:rFonts w:ascii="Arial" w:cs="Arial" w:eastAsia="Arial" w:hAnsi="Arial"/>
          <w:sz w:val="18"/>
          <w:szCs w:val="18"/>
          <w:color w:val="002554"/>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44" w:lineRule="exact"/>
        <w:rPr>
          <w:rFonts w:ascii="Arial" w:cs="Arial" w:eastAsia="Arial" w:hAnsi="Arial"/>
          <w:sz w:val="18"/>
          <w:szCs w:val="18"/>
          <w:color w:val="002554"/>
        </w:rPr>
      </w:pPr>
    </w:p>
    <w:p>
      <w:pPr>
        <w:ind w:left="1340" w:right="260" w:hanging="218"/>
        <w:spacing w:after="0" w:line="287" w:lineRule="auto"/>
        <w:tabs>
          <w:tab w:leader="none" w:pos="1340" w:val="left"/>
        </w:tabs>
        <w:numPr>
          <w:ilvl w:val="0"/>
          <w:numId w:val="40"/>
        </w:numPr>
        <w:rPr>
          <w:rFonts w:ascii="Arial" w:cs="Arial" w:eastAsia="Arial" w:hAnsi="Arial"/>
          <w:sz w:val="18"/>
          <w:szCs w:val="18"/>
          <w:color w:val="002554"/>
        </w:rPr>
      </w:pPr>
      <w:r>
        <w:rPr>
          <w:rFonts w:ascii="Arial" w:cs="Arial" w:eastAsia="Arial" w:hAnsi="Arial"/>
          <w:sz w:val="18"/>
          <w:szCs w:val="18"/>
          <w:color w:val="auto"/>
        </w:rPr>
        <w:t>to ratify the appointment of PricewaterhouseCoopers LLP as our independent registered public accounting firm for the fiscal year ending December 31, 2022.</w:t>
      </w:r>
    </w:p>
    <w:p>
      <w:pPr>
        <w:spacing w:after="0" w:line="44" w:lineRule="exact"/>
        <w:rPr>
          <w:rFonts w:ascii="Arial" w:cs="Arial" w:eastAsia="Arial" w:hAnsi="Arial"/>
          <w:sz w:val="18"/>
          <w:szCs w:val="18"/>
          <w:color w:val="002554"/>
        </w:rPr>
      </w:pPr>
    </w:p>
    <w:p>
      <w:pPr>
        <w:ind w:left="1340" w:right="260" w:hanging="218"/>
        <w:spacing w:after="0" w:line="287" w:lineRule="auto"/>
        <w:tabs>
          <w:tab w:leader="none" w:pos="1340" w:val="left"/>
        </w:tabs>
        <w:numPr>
          <w:ilvl w:val="0"/>
          <w:numId w:val="40"/>
        </w:numPr>
        <w:rPr>
          <w:rFonts w:ascii="Arial" w:cs="Arial" w:eastAsia="Arial" w:hAnsi="Arial"/>
          <w:sz w:val="18"/>
          <w:szCs w:val="18"/>
          <w:color w:val="002554"/>
        </w:rPr>
      </w:pPr>
      <w:r>
        <w:rPr>
          <w:rFonts w:ascii="Arial" w:cs="Arial" w:eastAsia="Arial" w:hAnsi="Arial"/>
          <w:sz w:val="18"/>
          <w:szCs w:val="18"/>
          <w:color w:val="auto"/>
        </w:rPr>
        <w:t>to approve an amendment to the Virtu Financial, Inc. Amended and Restated 2015 Management Incentive Plan to increase the number of shares authorizes for issuance thereunder.</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recommends that you vote FOR each of the three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231775</wp:posOffset>
            </wp:positionV>
            <wp:extent cx="754380" cy="2400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Our amended and restated bylaws (our “</w:t>
      </w:r>
      <w:r>
        <w:rPr>
          <w:rFonts w:ascii="Arial" w:cs="Arial" w:eastAsia="Arial" w:hAnsi="Arial"/>
          <w:sz w:val="18"/>
          <w:szCs w:val="18"/>
          <w:b w:val="1"/>
          <w:bCs w:val="1"/>
          <w:color w:val="auto"/>
        </w:rPr>
        <w:t>bylaws</w:t>
      </w:r>
      <w:r>
        <w:rPr>
          <w:rFonts w:ascii="Arial" w:cs="Arial" w:eastAsia="Arial" w:hAnsi="Arial"/>
          <w:sz w:val="18"/>
          <w:szCs w:val="18"/>
          <w:color w:val="auto"/>
        </w:rPr>
        <w:t>”)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Who may vote at the meeting?</w:t>
      </w:r>
    </w:p>
    <w:p>
      <w:pPr>
        <w:spacing w:after="0" w:line="115"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color w:val="auto"/>
        </w:rPr>
        <w:t>Holders of Class A common stock, Class C common stock and Class D common stock, together as a single class, as of the close of business on April 7, 2022, the Record Date, may vote at the Annual Meeting.</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many votes do I have?</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the Record Date, there were:</w:t>
      </w:r>
    </w:p>
    <w:p>
      <w:pPr>
        <w:spacing w:after="0" w:line="117" w:lineRule="exact"/>
        <w:rPr>
          <w:sz w:val="20"/>
          <w:szCs w:val="20"/>
          <w:color w:val="auto"/>
        </w:rPr>
      </w:pPr>
    </w:p>
    <w:p>
      <w:pPr>
        <w:ind w:left="1340" w:hanging="218"/>
        <w:spacing w:after="0"/>
        <w:tabs>
          <w:tab w:leader="none" w:pos="1340" w:val="left"/>
        </w:tabs>
        <w:numPr>
          <w:ilvl w:val="0"/>
          <w:numId w:val="41"/>
        </w:numPr>
        <w:rPr>
          <w:rFonts w:ascii="Arial" w:cs="Arial" w:eastAsia="Arial" w:hAnsi="Arial"/>
          <w:sz w:val="18"/>
          <w:szCs w:val="18"/>
          <w:color w:val="002554"/>
        </w:rPr>
      </w:pPr>
      <w:r>
        <w:rPr>
          <w:rFonts w:ascii="Arial" w:cs="Arial" w:eastAsia="Arial" w:hAnsi="Arial"/>
          <w:sz w:val="18"/>
          <w:szCs w:val="18"/>
          <w:color w:val="auto"/>
        </w:rPr>
        <w:t>105,592,879 shares of Class A common stock outstanding;</w:t>
      </w:r>
    </w:p>
    <w:p>
      <w:pPr>
        <w:spacing w:after="0" w:line="117" w:lineRule="exact"/>
        <w:rPr>
          <w:rFonts w:ascii="Arial" w:cs="Arial" w:eastAsia="Arial" w:hAnsi="Arial"/>
          <w:sz w:val="18"/>
          <w:szCs w:val="18"/>
          <w:color w:val="002554"/>
        </w:rPr>
      </w:pPr>
    </w:p>
    <w:p>
      <w:pPr>
        <w:ind w:left="1340" w:hanging="218"/>
        <w:spacing w:after="0"/>
        <w:tabs>
          <w:tab w:leader="none" w:pos="1340" w:val="left"/>
        </w:tabs>
        <w:numPr>
          <w:ilvl w:val="0"/>
          <w:numId w:val="41"/>
        </w:numPr>
        <w:rPr>
          <w:rFonts w:ascii="Arial" w:cs="Arial" w:eastAsia="Arial" w:hAnsi="Arial"/>
          <w:sz w:val="18"/>
          <w:szCs w:val="18"/>
          <w:color w:val="002554"/>
        </w:rPr>
      </w:pPr>
      <w:r>
        <w:rPr>
          <w:rFonts w:ascii="Arial" w:cs="Arial" w:eastAsia="Arial" w:hAnsi="Arial"/>
          <w:sz w:val="18"/>
          <w:szCs w:val="18"/>
          <w:color w:val="auto"/>
        </w:rPr>
        <w:t>9,053,155 shares of Class C common stock outstanding; and</w:t>
      </w:r>
    </w:p>
    <w:p>
      <w:pPr>
        <w:spacing w:after="0" w:line="103" w:lineRule="exact"/>
        <w:rPr>
          <w:rFonts w:ascii="Arial" w:cs="Arial" w:eastAsia="Arial" w:hAnsi="Arial"/>
          <w:sz w:val="18"/>
          <w:szCs w:val="18"/>
          <w:color w:val="002554"/>
        </w:rPr>
      </w:pPr>
    </w:p>
    <w:p>
      <w:pPr>
        <w:ind w:left="760" w:right="4080" w:firstLine="362"/>
        <w:spacing w:after="0" w:line="397" w:lineRule="auto"/>
        <w:tabs>
          <w:tab w:leader="none" w:pos="1336" w:val="left"/>
        </w:tabs>
        <w:numPr>
          <w:ilvl w:val="0"/>
          <w:numId w:val="41"/>
        </w:numPr>
        <w:rPr>
          <w:rFonts w:ascii="Arial" w:cs="Arial" w:eastAsia="Arial" w:hAnsi="Arial"/>
          <w:sz w:val="17"/>
          <w:szCs w:val="17"/>
          <w:color w:val="002554"/>
        </w:rPr>
      </w:pPr>
      <w:r>
        <w:rPr>
          <w:rFonts w:ascii="Arial" w:cs="Arial" w:eastAsia="Arial" w:hAnsi="Arial"/>
          <w:sz w:val="17"/>
          <w:szCs w:val="17"/>
          <w:color w:val="auto"/>
        </w:rPr>
        <w:t>60,091,740 shares of Class D common stock outstanding. There are no shares of Class B common stock outstanding.</w:t>
      </w:r>
    </w:p>
    <w:p>
      <w:pPr>
        <w:spacing w:after="0" w:line="1" w:lineRule="exact"/>
        <w:rPr>
          <w:sz w:val="20"/>
          <w:szCs w:val="20"/>
          <w:color w:val="auto"/>
        </w:rPr>
      </w:pPr>
    </w:p>
    <w:p>
      <w:pPr>
        <w:ind w:left="760" w:right="80"/>
        <w:spacing w:after="0" w:line="252" w:lineRule="auto"/>
        <w:rPr>
          <w:sz w:val="20"/>
          <w:szCs w:val="20"/>
          <w:color w:val="auto"/>
        </w:rPr>
      </w:pPr>
      <w:r>
        <w:rPr>
          <w:rFonts w:ascii="Arial" w:cs="Arial" w:eastAsia="Arial" w:hAnsi="Arial"/>
          <w:sz w:val="18"/>
          <w:szCs w:val="18"/>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vote is required for each proposal?</w:t>
      </w:r>
    </w:p>
    <w:p>
      <w:pPr>
        <w:spacing w:after="0" w:line="11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74" w:lineRule="exact"/>
        <w:rPr>
          <w:sz w:val="20"/>
          <w:szCs w:val="20"/>
          <w:color w:val="auto"/>
        </w:rPr>
      </w:pPr>
    </w:p>
    <w:p>
      <w:pPr>
        <w:ind w:left="760" w:right="160"/>
        <w:spacing w:after="0" w:line="248" w:lineRule="auto"/>
        <w:rPr>
          <w:sz w:val="20"/>
          <w:szCs w:val="20"/>
          <w:color w:val="auto"/>
        </w:rPr>
      </w:pPr>
      <w:r>
        <w:rPr>
          <w:rFonts w:ascii="Arial" w:cs="Arial" w:eastAsia="Arial" w:hAnsi="Arial"/>
          <w:sz w:val="18"/>
          <w:szCs w:val="18"/>
          <w:color w:val="auto"/>
        </w:rPr>
        <w:t>The approval, on an advisory basis, of the compensation of our named executive officers, the ratification of the appointment of the Company’s independent registered public accounting firm for the fiscal year ending December 31, 2022, and any other proposals that may come before the Annual Meeting will be determined by the affirmative vote of a majority in voting power of shares of stock present or represented by proxy and entitled to vote thereon.</w:t>
      </w:r>
    </w:p>
    <w:p>
      <w:pPr>
        <w:spacing w:after="0" w:line="278"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color w:val="auto"/>
        </w:rPr>
        <w:t>The Founder Member controls approximately 85% of the combined voting power of our outstanding common stock and, as a result, controls any action requiring the general approval of our stockholders, including the election of our board of directors. The Founder Member has informed us that it intends to vote “FOR” the three nominated directors.</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are abstentions and broker non-votes counted?</w:t>
      </w:r>
    </w:p>
    <w:p>
      <w:pPr>
        <w:spacing w:after="0" w:line="115" w:lineRule="exact"/>
        <w:rPr>
          <w:sz w:val="20"/>
          <w:szCs w:val="20"/>
          <w:color w:val="auto"/>
        </w:rPr>
      </w:pPr>
    </w:p>
    <w:p>
      <w:pPr>
        <w:ind w:left="760" w:right="60"/>
        <w:spacing w:after="0" w:line="246" w:lineRule="auto"/>
        <w:rPr>
          <w:sz w:val="20"/>
          <w:szCs w:val="20"/>
          <w:color w:val="auto"/>
        </w:rPr>
      </w:pPr>
      <w:r>
        <w:rPr>
          <w:rFonts w:ascii="Arial" w:cs="Arial" w:eastAsia="Arial" w:hAnsi="Arial"/>
          <w:sz w:val="18"/>
          <w:szCs w:val="18"/>
          <w:color w:val="auto"/>
        </w:rPr>
        <w:t>For the purposes of Proposal 1, abstentions (shares present at the meeting or by proxy that are voted “abstain”) and broker non-votes (explained below) are counted for the purpose of establishing the presence of a quorum but have no effect. For the purposes of Proposals 2 and 4, abstentions and broker non-votes are counted for the purposes of establishing the presence of a quorum, broker non-votes have no effect, and abstentions have the same effect as a vote “against” the proposal. For the purposes of Proposal 3, abstentions are counted for the purposes of establishing the presence of a quorum and have the same effect as a vote “against” the proposal, and broker non-votes are not expected as the proposal is a “routine” proposal.</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constitutes a “quorum”?</w:t>
      </w:r>
    </w:p>
    <w:p>
      <w:pPr>
        <w:spacing w:after="0" w:line="115"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56" w:lineRule="exact"/>
        <w:rPr>
          <w:sz w:val="20"/>
          <w:szCs w:val="20"/>
          <w:color w:val="auto"/>
        </w:rPr>
      </w:pPr>
    </w:p>
    <w:p>
      <w:pPr>
        <w:ind w:left="760" w:right="560"/>
        <w:spacing w:after="0" w:line="278" w:lineRule="auto"/>
        <w:rPr>
          <w:sz w:val="20"/>
          <w:szCs w:val="20"/>
          <w:color w:val="auto"/>
        </w:rPr>
      </w:pPr>
      <w:r>
        <w:rPr>
          <w:rFonts w:ascii="Arial" w:cs="Arial" w:eastAsia="Arial" w:hAnsi="Arial"/>
          <w:sz w:val="18"/>
          <w:szCs w:val="18"/>
          <w:b w:val="1"/>
          <w:bCs w:val="1"/>
          <w:i w:val="1"/>
          <w:iCs w:val="1"/>
          <w:color w:val="00C389"/>
        </w:rPr>
        <w:t>What is the difference between a stockholder of record and a beneficial owner of shares held in street name?</w:t>
      </w:r>
    </w:p>
    <w:p>
      <w:pPr>
        <w:spacing w:after="0" w:line="31" w:lineRule="exact"/>
        <w:rPr>
          <w:sz w:val="20"/>
          <w:szCs w:val="20"/>
          <w:color w:val="auto"/>
        </w:rPr>
      </w:pPr>
    </w:p>
    <w:p>
      <w:pPr>
        <w:ind w:left="1340" w:right="160" w:hanging="218"/>
        <w:spacing w:after="0" w:line="287" w:lineRule="auto"/>
        <w:tabs>
          <w:tab w:leader="none" w:pos="1340" w:val="left"/>
        </w:tabs>
        <w:numPr>
          <w:ilvl w:val="0"/>
          <w:numId w:val="42"/>
        </w:numPr>
        <w:rPr>
          <w:rFonts w:ascii="Arial" w:cs="Arial" w:eastAsia="Arial" w:hAnsi="Arial"/>
          <w:sz w:val="18"/>
          <w:szCs w:val="18"/>
          <w:color w:val="002554"/>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Transfer &amp; Trust Company, LLC, you are a stockholder of record.</w:t>
      </w:r>
    </w:p>
    <w:p>
      <w:pPr>
        <w:spacing w:after="0" w:line="259"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1340" w:right="120" w:hanging="218"/>
        <w:spacing w:after="0" w:line="259" w:lineRule="auto"/>
        <w:tabs>
          <w:tab w:leader="none" w:pos="1340" w:val="left"/>
        </w:tabs>
        <w:numPr>
          <w:ilvl w:val="0"/>
          <w:numId w:val="43"/>
        </w:numPr>
        <w:rPr>
          <w:rFonts w:ascii="Arial" w:cs="Arial" w:eastAsia="Arial" w:hAnsi="Arial"/>
          <w:sz w:val="18"/>
          <w:szCs w:val="18"/>
          <w:color w:val="002554"/>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 dealer or other similar organization, then 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do I vote?</w:t>
      </w:r>
    </w:p>
    <w:p>
      <w:pPr>
        <w:spacing w:after="0" w:line="115" w:lineRule="exact"/>
        <w:rPr>
          <w:sz w:val="20"/>
          <w:szCs w:val="20"/>
          <w:color w:val="auto"/>
        </w:rPr>
      </w:pPr>
    </w:p>
    <w:p>
      <w:pPr>
        <w:ind w:left="1340" w:right="100" w:hanging="218"/>
        <w:spacing w:after="0" w:line="257" w:lineRule="auto"/>
        <w:tabs>
          <w:tab w:leader="none" w:pos="1340" w:val="left"/>
        </w:tabs>
        <w:numPr>
          <w:ilvl w:val="0"/>
          <w:numId w:val="44"/>
        </w:numPr>
        <w:rPr>
          <w:rFonts w:ascii="Arial" w:cs="Arial" w:eastAsia="Arial" w:hAnsi="Arial"/>
          <w:sz w:val="18"/>
          <w:szCs w:val="18"/>
          <w:color w:val="002554"/>
        </w:rPr>
      </w:pPr>
      <w:r>
        <w:rPr>
          <w:rFonts w:ascii="Arial" w:cs="Arial" w:eastAsia="Arial" w:hAnsi="Arial"/>
          <w:sz w:val="18"/>
          <w:szCs w:val="18"/>
          <w:i w:val="1"/>
          <w:iCs w:val="1"/>
          <w:color w:val="auto"/>
        </w:rPr>
        <w:t>Vote by Internet</w:t>
      </w:r>
      <w:r>
        <w:rPr>
          <w:rFonts w:ascii="Arial" w:cs="Arial" w:eastAsia="Arial" w:hAnsi="Arial"/>
          <w:sz w:val="18"/>
          <w:szCs w:val="18"/>
          <w:color w:val="auto"/>
        </w:rPr>
        <w:t>. Visit www.proxyvote.com to vote via the Internet. Stockholders of record may submit</w:t>
      </w:r>
      <w:r>
        <w:rPr>
          <w:rFonts w:ascii="Arial" w:cs="Arial" w:eastAsia="Arial" w:hAnsi="Arial"/>
          <w:sz w:val="18"/>
          <w:szCs w:val="18"/>
          <w:i w:val="1"/>
          <w:iCs w:val="1"/>
          <w:color w:val="auto"/>
        </w:rPr>
        <w:t xml:space="preserve"> </w:t>
      </w:r>
      <w:r>
        <w:rPr>
          <w:rFonts w:ascii="Arial" w:cs="Arial" w:eastAsia="Arial" w:hAnsi="Arial"/>
          <w:sz w:val="18"/>
          <w:szCs w:val="18"/>
          <w:color w:val="auto"/>
        </w:rPr>
        <w:t>proxies 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60" w:lineRule="exact"/>
        <w:rPr>
          <w:rFonts w:ascii="Arial" w:cs="Arial" w:eastAsia="Arial" w:hAnsi="Arial"/>
          <w:sz w:val="18"/>
          <w:szCs w:val="18"/>
          <w:color w:val="002554"/>
        </w:rPr>
      </w:pPr>
    </w:p>
    <w:p>
      <w:pPr>
        <w:ind w:left="1340" w:right="100" w:hanging="218"/>
        <w:spacing w:after="0" w:line="256" w:lineRule="auto"/>
        <w:tabs>
          <w:tab w:leader="none" w:pos="1340" w:val="left"/>
        </w:tabs>
        <w:numPr>
          <w:ilvl w:val="0"/>
          <w:numId w:val="44"/>
        </w:numPr>
        <w:rPr>
          <w:rFonts w:ascii="Arial" w:cs="Arial" w:eastAsia="Arial" w:hAnsi="Arial"/>
          <w:sz w:val="18"/>
          <w:szCs w:val="18"/>
          <w:color w:val="002554"/>
        </w:rPr>
      </w:pPr>
      <w:r>
        <w:rPr>
          <w:rFonts w:ascii="Arial" w:cs="Arial" w:eastAsia="Arial" w:hAnsi="Arial"/>
          <w:sz w:val="18"/>
          <w:szCs w:val="18"/>
          <w:i w:val="1"/>
          <w:iCs w:val="1"/>
          <w:color w:val="auto"/>
        </w:rPr>
        <w:t>Vote by Telephone</w:t>
      </w:r>
      <w:r>
        <w:rPr>
          <w:rFonts w:ascii="Arial" w:cs="Arial" w:eastAsia="Arial" w:hAnsi="Arial"/>
          <w:sz w:val="18"/>
          <w:szCs w:val="18"/>
          <w:color w:val="auto"/>
        </w:rPr>
        <w:t>. Call toll free 1 800 690 6903 in the United States or from foreign countries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touch tone telephone and follow the instructions. Stockholders of record may submit proxies using any touch 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 tone telephone from within the United States by calling the number specified on the voting instruction forms provided by their brokers, trustees, banks or other nominees.</w:t>
      </w:r>
    </w:p>
    <w:p>
      <w:pPr>
        <w:spacing w:after="0" w:line="74" w:lineRule="exact"/>
        <w:rPr>
          <w:rFonts w:ascii="Arial" w:cs="Arial" w:eastAsia="Arial" w:hAnsi="Arial"/>
          <w:sz w:val="18"/>
          <w:szCs w:val="18"/>
          <w:color w:val="002554"/>
        </w:rPr>
      </w:pPr>
    </w:p>
    <w:p>
      <w:pPr>
        <w:ind w:left="1340" w:right="60" w:hanging="218"/>
        <w:spacing w:after="0" w:line="254" w:lineRule="auto"/>
        <w:tabs>
          <w:tab w:leader="none" w:pos="1340" w:val="left"/>
        </w:tabs>
        <w:numPr>
          <w:ilvl w:val="0"/>
          <w:numId w:val="44"/>
        </w:numPr>
        <w:rPr>
          <w:rFonts w:ascii="Arial" w:cs="Arial" w:eastAsia="Arial" w:hAnsi="Arial"/>
          <w:sz w:val="18"/>
          <w:szCs w:val="18"/>
          <w:color w:val="002554"/>
        </w:rPr>
      </w:pPr>
      <w:r>
        <w:rPr>
          <w:rFonts w:ascii="Arial" w:cs="Arial" w:eastAsia="Arial" w:hAnsi="Arial"/>
          <w:sz w:val="18"/>
          <w:szCs w:val="18"/>
          <w:i w:val="1"/>
          <w:iCs w:val="1"/>
          <w:color w:val="auto"/>
        </w:rPr>
        <w:t>Vote by Mail</w:t>
      </w:r>
      <w:r>
        <w:rPr>
          <w:rFonts w:ascii="Arial" w:cs="Arial" w:eastAsia="Arial" w:hAnsi="Arial"/>
          <w:sz w:val="18"/>
          <w:szCs w:val="18"/>
          <w:color w:val="auto"/>
        </w:rPr>
        <w:t>. Stockholders of record may submit proxies by mail by requesting printed proxy cards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can I vote my shares in person and participate at the Annual Meeting?</w:t>
      </w:r>
    </w:p>
    <w:p>
      <w:pPr>
        <w:spacing w:after="0" w:line="115"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The Annual Meeting will be held in a virtual meeting format only. Stockholders may participate in the annual meeting by visiting the following website: www.virtualshareholdermeeting.com/VIRT2022.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Can I change my vote after submitting a proxy?</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Stockholders of record may revoke their proxy at any time before it is exercised at the Annual Meeting by</w:t>
      </w:r>
    </w:p>
    <w:p>
      <w:pPr>
        <w:spacing w:after="0" w:line="27" w:lineRule="exact"/>
        <w:rPr>
          <w:sz w:val="20"/>
          <w:szCs w:val="20"/>
          <w:color w:val="auto"/>
        </w:rPr>
      </w:pPr>
    </w:p>
    <w:p>
      <w:pPr>
        <w:ind w:left="760" w:right="260" w:firstLine="2"/>
        <w:spacing w:after="0" w:line="241" w:lineRule="auto"/>
        <w:tabs>
          <w:tab w:leader="none" w:pos="9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delivering written notice, bearing a date later than the proxy, stating that the proxy is revoked to Virtu Financial, Inc., 1633 Broadway, New York, New York 10019, Attn: Secretary, (ii) submitting a later dated proxy relating to the same shares by mail, telephone or the Internet prior to the vote at the Annual Meeting or (iii) attending the Annual Meeting and voting electronically during the Annual Meeting. If you are a beneficial stockholder, you may revoke your proxy or change your vote only by following the separate instructions provided by your broker, trust, bank or other nominee.</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If I hold shares in street name through a broker, can the broker vote my shares for me?</w:t>
      </w:r>
    </w:p>
    <w:p>
      <w:pPr>
        <w:spacing w:after="0" w:line="115"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Proposals 1 and 2 are not considered “routine” proposals. Proposal 3 is a “routine” proposal. If you hold shares in street name and do not vote on proposal 1 or 2, your shares will not be voted in respect of those proposals and will be counted as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193040</wp:posOffset>
            </wp:positionV>
            <wp:extent cx="754380" cy="240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Who is paying for this proxy solicitation?</w:t>
      </w:r>
    </w:p>
    <w:p>
      <w:pPr>
        <w:spacing w:after="0" w:line="115" w:lineRule="exact"/>
        <w:rPr>
          <w:sz w:val="20"/>
          <w:szCs w:val="20"/>
          <w:color w:val="auto"/>
        </w:rPr>
      </w:pPr>
    </w:p>
    <w:p>
      <w:pPr>
        <w:ind w:left="760" w:right="180"/>
        <w:spacing w:after="0" w:line="266" w:lineRule="auto"/>
        <w:rPr>
          <w:sz w:val="20"/>
          <w:szCs w:val="20"/>
          <w:color w:val="auto"/>
        </w:rPr>
      </w:pPr>
      <w:r>
        <w:rPr>
          <w:rFonts w:ascii="Arial" w:cs="Arial" w:eastAsia="Arial" w:hAnsi="Arial"/>
          <w:sz w:val="17"/>
          <w:szCs w:val="17"/>
          <w:color w:val="auto"/>
        </w:rPr>
        <w:t>We are paying the costs of the solicitation of proxies, which we anticipate will be approximately $10,000.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do I need to do if I want to attend the meeting?</w:t>
      </w:r>
    </w:p>
    <w:p>
      <w:pPr>
        <w:spacing w:after="0" w:line="115" w:lineRule="exact"/>
        <w:rPr>
          <w:sz w:val="20"/>
          <w:szCs w:val="20"/>
          <w:color w:val="auto"/>
        </w:rPr>
      </w:pPr>
    </w:p>
    <w:p>
      <w:pPr>
        <w:ind w:left="760" w:right="140"/>
        <w:spacing w:after="0" w:line="252" w:lineRule="auto"/>
        <w:rPr>
          <w:sz w:val="20"/>
          <w:szCs w:val="20"/>
          <w:color w:val="auto"/>
        </w:rPr>
      </w:pPr>
      <w:r>
        <w:rPr>
          <w:rFonts w:ascii="Arial" w:cs="Arial" w:eastAsia="Arial" w:hAnsi="Arial"/>
          <w:sz w:val="18"/>
          <w:szCs w:val="18"/>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www.virtualshareholdermeeting.com/VIRT2022 and using your 16-digit control number to enter the meeting.</w:t>
      </w:r>
    </w:p>
    <w:p>
      <w:pPr>
        <w:spacing w:after="0" w:line="62" w:lineRule="exact"/>
        <w:rPr>
          <w:sz w:val="20"/>
          <w:szCs w:val="20"/>
          <w:color w:val="auto"/>
        </w:rPr>
      </w:pPr>
    </w:p>
    <w:p>
      <w:pPr>
        <w:ind w:left="760" w:right="340"/>
        <w:spacing w:after="0" w:line="271"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 in page.</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Where can I find voting results?</w:t>
      </w:r>
    </w:p>
    <w:p>
      <w:pPr>
        <w:spacing w:after="0" w:line="115" w:lineRule="exact"/>
        <w:rPr>
          <w:sz w:val="20"/>
          <w:szCs w:val="20"/>
          <w:color w:val="auto"/>
        </w:rPr>
      </w:pPr>
    </w:p>
    <w:p>
      <w:pPr>
        <w:ind w:left="760" w:right="600"/>
        <w:spacing w:after="0" w:line="271" w:lineRule="auto"/>
        <w:rPr>
          <w:sz w:val="20"/>
          <w:szCs w:val="20"/>
          <w:color w:val="auto"/>
        </w:rPr>
      </w:pPr>
      <w:r>
        <w:rPr>
          <w:rFonts w:ascii="Arial" w:cs="Arial" w:eastAsia="Arial" w:hAnsi="Arial"/>
          <w:sz w:val="18"/>
          <w:szCs w:val="18"/>
          <w:color w:val="auto"/>
        </w:rPr>
        <w:t>Final voting results from the Annual Meeting will be filed with the SEC on a Current Report on Form 8-K on or before the fourth business day after the Annual Meeting concludes.</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I share an address with another stockholder. Why did we receive only one set of Proxy Materials?</w:t>
      </w:r>
    </w:p>
    <w:p>
      <w:pPr>
        <w:spacing w:after="0" w:line="115"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2021,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83" w:lineRule="exact"/>
        <w:rPr>
          <w:sz w:val="20"/>
          <w:szCs w:val="20"/>
          <w:color w:val="auto"/>
        </w:rPr>
      </w:pPr>
    </w:p>
    <w:p>
      <w:pPr>
        <w:ind w:left="760" w:right="180"/>
        <w:spacing w:after="0" w:line="246" w:lineRule="auto"/>
        <w:rPr>
          <w:sz w:val="20"/>
          <w:szCs w:val="20"/>
          <w:color w:val="auto"/>
        </w:rPr>
      </w:pPr>
      <w:r>
        <w:rPr>
          <w:rFonts w:ascii="Arial" w:cs="Arial" w:eastAsia="Arial" w:hAnsi="Arial"/>
          <w:sz w:val="18"/>
          <w:szCs w:val="18"/>
          <w:color w:val="auto"/>
        </w:rPr>
        <w:t>If your shares are held by a brokerage firm or bank and you prefer to receive separate copies of our proxy statement, our annual report including our Form 10-K for the fiscal year ended December 31, 2021,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may request to opt in to or opt out of “householding” either now or in the future, by contacting our Investor Relations department at our executive office by calling (212) 418-0100.</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May I ask questions at the Annual Meeting?</w:t>
      </w:r>
    </w:p>
    <w:p>
      <w:pPr>
        <w:spacing w:after="0" w:line="115" w:lineRule="exact"/>
        <w:rPr>
          <w:sz w:val="20"/>
          <w:szCs w:val="20"/>
          <w:color w:val="auto"/>
        </w:rPr>
      </w:pPr>
    </w:p>
    <w:p>
      <w:pPr>
        <w:ind w:left="760" w:right="340"/>
        <w:spacing w:after="0" w:line="247" w:lineRule="auto"/>
        <w:rPr>
          <w:sz w:val="20"/>
          <w:szCs w:val="20"/>
          <w:color w:val="auto"/>
        </w:rPr>
      </w:pPr>
      <w:r>
        <w:rPr>
          <w:rFonts w:ascii="Arial" w:cs="Arial" w:eastAsia="Arial" w:hAnsi="Arial"/>
          <w:sz w:val="18"/>
          <w:szCs w:val="18"/>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www.virtualshareholdermeeting.com/VIRT2022, typing a question into the “Ask a Question” field, and clicking “Submit.” Only questions submitted by stockholders on subjects pertinent to meeting matters will be answered during the meeting, subject to time constraints.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May guests attend the Annual Meeting?</w:t>
      </w:r>
    </w:p>
    <w:p>
      <w:pPr>
        <w:spacing w:after="0" w:line="115"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Yes. A webcast of the Annual Meeting will also be available to the general public at the following link: www.virtualshareholdermeeting.com/VIRT2022. Select “Other Stockholders/Guests” to enter the meeting. Please note that guests will not have the ability to ask questions or vote during the meeting.</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Whom should I contact if I have additional questions?</w:t>
      </w:r>
    </w:p>
    <w:p>
      <w:pPr>
        <w:spacing w:after="0" w:line="115" w:lineRule="exact"/>
        <w:rPr>
          <w:sz w:val="20"/>
          <w:szCs w:val="20"/>
          <w:color w:val="auto"/>
        </w:rPr>
      </w:pPr>
    </w:p>
    <w:p>
      <w:pPr>
        <w:jc w:val="both"/>
        <w:ind w:left="760" w:right="60"/>
        <w:spacing w:after="0" w:line="261" w:lineRule="auto"/>
        <w:rPr>
          <w:sz w:val="20"/>
          <w:szCs w:val="20"/>
          <w:color w:val="auto"/>
        </w:rPr>
      </w:pPr>
      <w:r>
        <w:rPr>
          <w:rFonts w:ascii="Arial" w:cs="Arial" w:eastAsia="Arial" w:hAnsi="Arial"/>
          <w:sz w:val="18"/>
          <w:szCs w:val="18"/>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268" w:lineRule="exact"/>
        <w:rPr>
          <w:sz w:val="20"/>
          <w:szCs w:val="20"/>
          <w:color w:val="auto"/>
        </w:rPr>
      </w:pPr>
    </w:p>
    <w:p>
      <w:pPr>
        <w:ind w:left="760"/>
        <w:spacing w:after="0"/>
        <w:tabs>
          <w:tab w:leader="none" w:pos="522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color w:val="auto"/>
        </w:rPr>
        <w:t xml:space="preserve">​ ​               </w:t>
      </w:r>
      <w:r>
        <w:rPr>
          <w:sz w:val="1"/>
          <w:szCs w:val="1"/>
          <w:color w:val="auto"/>
        </w:rPr>
        <w:drawing>
          <wp:inline distT="0" distB="0" distL="0" distR="0">
            <wp:extent cx="754380" cy="240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336550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1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140"/>
        <w:spacing w:after="0" w:line="259"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2021, including financial statements and schedules and amendments thereto filed with the SEC, are also available without charge to stockholders upon written request addressed to:</w:t>
      </w:r>
    </w:p>
    <w:p>
      <w:pPr>
        <w:spacing w:after="0" w:line="6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6212840</wp:posOffset>
            </wp:positionV>
            <wp:extent cx="754380" cy="2400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60"/>
        <w:spacing w:after="0"/>
        <w:tabs>
          <w:tab w:leader="none" w:pos="2080" w:val="left"/>
          <w:tab w:leader="none" w:pos="522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2022 Proxy Statement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365125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3705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83705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6831965" cy="8387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838771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3"/>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2"/>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8"/>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lowerRoman"/>
      <w:start w:val="3"/>
    </w:lvl>
  </w:abstractNum>
  <w:abstractNum w:abstractNumId="20">
    <w:nsid w:val="4516DDE9"/>
    <w:multiLevelType w:val="hybridMultilevel"/>
    <w:lvl w:ilvl="0">
      <w:lvlJc w:val="left"/>
      <w:lvlText w:val="(%1)"/>
      <w:numFmt w:val="lowerRoman"/>
      <w:start w:val="5"/>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1)"/>
      <w:numFmt w:val="lowerRoman"/>
      <w:start w:val="5"/>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4"/>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1)"/>
      <w:numFmt w:val="decimal"/>
      <w:start w:val="4"/>
    </w:lvl>
  </w:abstractNum>
  <w:abstractNum w:abstractNumId="37">
    <w:nsid w:val="3855585C"/>
    <w:multiLevelType w:val="hybridMultilevel"/>
    <w:lvl w:ilvl="0">
      <w:lvlJc w:val="left"/>
      <w:lvlText w:val="(%1)"/>
      <w:numFmt w:val="decimal"/>
      <w:start w:val="9"/>
    </w:lvl>
  </w:abstractNum>
  <w:abstractNum w:abstractNumId="38">
    <w:nsid w:val="70A64E2A"/>
    <w:multiLevelType w:val="hybridMultilevel"/>
    <w:lvl w:ilvl="0">
      <w:lvlJc w:val="left"/>
      <w:lvlText w:val="(%1)"/>
      <w:numFmt w:val="lowerLetter"/>
      <w:start w:val="4"/>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2022-04-22T15:46:59Z</dcterms:created>
  <dcterms:modified xsi:type="dcterms:W3CDTF">2022-04-22T15:46:59Z</dcterms:modified>
</cp:coreProperties>
</file>