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214630</wp:posOffset>
            </wp:positionH>
            <wp:positionV relativeFrom="page">
              <wp:posOffset>662940</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687705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4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97" w:lineRule="exact"/>
        <w:rPr>
          <w:sz w:val="24"/>
          <w:szCs w:val="24"/>
          <w:color w:val="auto"/>
        </w:rPr>
      </w:pPr>
    </w:p>
    <w:p>
      <w:pPr>
        <w:jc w:val="center"/>
        <w:ind w:left="3720" w:right="1160" w:hanging="2655"/>
        <w:spacing w:after="0" w:line="289" w:lineRule="auto"/>
        <w:tabs>
          <w:tab w:leader="none" w:pos="127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 (d) OF THE SECURITIES EXCHANGE ACT OF 1934 For the quarterly period ended September 30, 2022</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66" w:lineRule="exact"/>
        <w:rPr>
          <w:sz w:val="24"/>
          <w:szCs w:val="24"/>
          <w:color w:val="auto"/>
        </w:rPr>
      </w:pPr>
    </w:p>
    <w:p>
      <w:pPr>
        <w:ind w:left="1260" w:hanging="201"/>
        <w:spacing w:after="0"/>
        <w:tabs>
          <w:tab w:leader="none" w:pos="12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 (d) OF THE SECURITIES EXCHANGE ACT OF 1934</w:t>
      </w:r>
    </w:p>
    <w:p>
      <w:pPr>
        <w:spacing w:after="0" w:line="3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268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60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13"/>
        </w:trPr>
        <w:tc>
          <w:tcPr>
            <w:tcW w:w="3540" w:type="dxa"/>
            <w:vAlign w:val="bottom"/>
          </w:tcPr>
          <w:p>
            <w:pPr>
              <w:spacing w:after="0"/>
              <w:rPr>
                <w:sz w:val="18"/>
                <w:szCs w:val="18"/>
                <w:color w:val="auto"/>
              </w:rPr>
            </w:pPr>
          </w:p>
        </w:tc>
        <w:tc>
          <w:tcPr>
            <w:tcW w:w="7280" w:type="dxa"/>
            <w:vAlign w:val="bottom"/>
            <w:gridSpan w:val="6"/>
          </w:tcPr>
          <w:p>
            <w:pPr>
              <w:jc w:val="center"/>
              <w:ind w:right="3788"/>
              <w:spacing w:after="0"/>
              <w:rPr>
                <w:sz w:val="20"/>
                <w:szCs w:val="20"/>
                <w:color w:val="auto"/>
              </w:rPr>
            </w:pPr>
            <w:r>
              <w:rPr>
                <w:rFonts w:ascii="Times New Roman" w:cs="Times New Roman" w:eastAsia="Times New Roman" w:hAnsi="Times New Roman"/>
                <w:sz w:val="17"/>
                <w:szCs w:val="17"/>
                <w:b w:val="1"/>
                <w:bCs w:val="1"/>
                <w:color w:val="auto"/>
              </w:rPr>
              <w:t>Commission file number: 001-37352</w:t>
            </w:r>
          </w:p>
        </w:tc>
      </w:tr>
      <w:tr>
        <w:trPr>
          <w:trHeight w:val="297"/>
        </w:trPr>
        <w:tc>
          <w:tcPr>
            <w:tcW w:w="3540" w:type="dxa"/>
            <w:vAlign w:val="bottom"/>
          </w:tcPr>
          <w:p>
            <w:pPr>
              <w:spacing w:after="0"/>
              <w:rPr>
                <w:sz w:val="24"/>
                <w:szCs w:val="24"/>
                <w:color w:val="auto"/>
              </w:rPr>
            </w:pPr>
          </w:p>
        </w:tc>
        <w:tc>
          <w:tcPr>
            <w:tcW w:w="7280" w:type="dxa"/>
            <w:vAlign w:val="bottom"/>
            <w:gridSpan w:val="6"/>
          </w:tcPr>
          <w:p>
            <w:pPr>
              <w:jc w:val="center"/>
              <w:ind w:right="3808"/>
              <w:spacing w:after="0"/>
              <w:rPr>
                <w:sz w:val="20"/>
                <w:szCs w:val="20"/>
                <w:color w:val="auto"/>
              </w:rPr>
            </w:pPr>
            <w:r>
              <w:rPr>
                <w:rFonts w:ascii="Times New Roman" w:cs="Times New Roman" w:eastAsia="Times New Roman" w:hAnsi="Times New Roman"/>
                <w:sz w:val="24"/>
                <w:szCs w:val="24"/>
                <w:b w:val="1"/>
                <w:bCs w:val="1"/>
                <w:color w:val="auto"/>
              </w:rPr>
              <w:t>Virtu Financial, Inc.</w:t>
            </w:r>
          </w:p>
        </w:tc>
      </w:tr>
      <w:tr>
        <w:trPr>
          <w:trHeight w:val="159"/>
        </w:trPr>
        <w:tc>
          <w:tcPr>
            <w:tcW w:w="3540" w:type="dxa"/>
            <w:vAlign w:val="bottom"/>
          </w:tcPr>
          <w:p>
            <w:pPr>
              <w:spacing w:after="0"/>
              <w:rPr>
                <w:sz w:val="13"/>
                <w:szCs w:val="13"/>
                <w:color w:val="auto"/>
              </w:rPr>
            </w:pPr>
          </w:p>
        </w:tc>
        <w:tc>
          <w:tcPr>
            <w:tcW w:w="7280" w:type="dxa"/>
            <w:vAlign w:val="bottom"/>
            <w:gridSpan w:val="6"/>
          </w:tcPr>
          <w:p>
            <w:pPr>
              <w:jc w:val="center"/>
              <w:ind w:right="3808"/>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r>
      <w:tr>
        <w:trPr>
          <w:trHeight w:val="256"/>
        </w:trPr>
        <w:tc>
          <w:tcPr>
            <w:tcW w:w="3540" w:type="dxa"/>
            <w:vAlign w:val="bottom"/>
          </w:tcPr>
          <w:p>
            <w:pPr>
              <w:jc w:val="center"/>
              <w:ind w:left="1266"/>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600" w:type="dxa"/>
            <w:vAlign w:val="bottom"/>
            <w:gridSpan w:val="3"/>
          </w:tcPr>
          <w:p>
            <w:pPr>
              <w:jc w:val="right"/>
              <w:ind w:right="2288"/>
              <w:spacing w:after="0"/>
              <w:rPr>
                <w:sz w:val="20"/>
                <w:szCs w:val="20"/>
                <w:color w:val="auto"/>
              </w:rPr>
            </w:pPr>
            <w:r>
              <w:rPr>
                <w:rFonts w:ascii="Times New Roman" w:cs="Times New Roman" w:eastAsia="Times New Roman" w:hAnsi="Times New Roman"/>
                <w:sz w:val="17"/>
                <w:szCs w:val="17"/>
                <w:b w:val="1"/>
                <w:bCs w:val="1"/>
                <w:color w:val="auto"/>
              </w:rPr>
              <w:t>32-0420206</w:t>
            </w:r>
          </w:p>
        </w:tc>
      </w:tr>
      <w:tr>
        <w:trPr>
          <w:trHeight w:val="182"/>
        </w:trPr>
        <w:tc>
          <w:tcPr>
            <w:tcW w:w="6220" w:type="dxa"/>
            <w:vAlign w:val="bottom"/>
            <w:gridSpan w:val="4"/>
          </w:tcPr>
          <w:p>
            <w:pPr>
              <w:jc w:val="center"/>
              <w:ind w:right="1266"/>
              <w:spacing w:after="0"/>
              <w:rPr>
                <w:sz w:val="20"/>
                <w:szCs w:val="20"/>
                <w:color w:val="auto"/>
              </w:rPr>
            </w:pPr>
            <w:r>
              <w:rPr>
                <w:rFonts w:ascii="Times New Roman" w:cs="Times New Roman" w:eastAsia="Times New Roman" w:hAnsi="Times New Roman"/>
                <w:sz w:val="14"/>
                <w:szCs w:val="14"/>
                <w:color w:val="auto"/>
                <w:w w:val="99"/>
              </w:rPr>
              <w:t>(State or other jurisdiction of incorporation or organization)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50"/>
        </w:trPr>
        <w:tc>
          <w:tcPr>
            <w:tcW w:w="3540" w:type="dxa"/>
            <w:vAlign w:val="bottom"/>
          </w:tcPr>
          <w:p>
            <w:pPr>
              <w:jc w:val="center"/>
              <w:ind w:left="2186"/>
              <w:spacing w:after="0"/>
              <w:rPr>
                <w:sz w:val="20"/>
                <w:szCs w:val="20"/>
                <w:color w:val="auto"/>
              </w:rPr>
            </w:pPr>
            <w:r>
              <w:rPr>
                <w:rFonts w:ascii="Times New Roman" w:cs="Times New Roman" w:eastAsia="Times New Roman" w:hAnsi="Times New Roman"/>
                <w:sz w:val="14"/>
                <w:szCs w:val="14"/>
                <w:b w:val="1"/>
                <w:bCs w:val="1"/>
                <w:color w:val="auto"/>
                <w:w w:val="98"/>
              </w:rPr>
              <w:t>1633 Broadway</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96"/>
        </w:trPr>
        <w:tc>
          <w:tcPr>
            <w:tcW w:w="354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w w:val="97"/>
              </w:rPr>
              <w:t>New York, New York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0" w:type="dxa"/>
            <w:vAlign w:val="bottom"/>
            <w:gridSpan w:val="3"/>
          </w:tcPr>
          <w:p>
            <w:pPr>
              <w:jc w:val="right"/>
              <w:ind w:right="2988"/>
              <w:spacing w:after="0"/>
              <w:rPr>
                <w:sz w:val="20"/>
                <w:szCs w:val="20"/>
                <w:color w:val="auto"/>
              </w:rPr>
            </w:pPr>
            <w:r>
              <w:rPr>
                <w:rFonts w:ascii="Times New Roman" w:cs="Times New Roman" w:eastAsia="Times New Roman" w:hAnsi="Times New Roman"/>
                <w:sz w:val="14"/>
                <w:szCs w:val="14"/>
                <w:b w:val="1"/>
                <w:bCs w:val="1"/>
                <w:color w:val="auto"/>
              </w:rPr>
              <w:t>10019</w:t>
            </w:r>
          </w:p>
        </w:tc>
      </w:tr>
      <w:tr>
        <w:trPr>
          <w:trHeight w:val="196"/>
        </w:trPr>
        <w:tc>
          <w:tcPr>
            <w:tcW w:w="6220" w:type="dxa"/>
            <w:vAlign w:val="bottom"/>
            <w:gridSpan w:val="4"/>
          </w:tcPr>
          <w:p>
            <w:pPr>
              <w:jc w:val="center"/>
              <w:ind w:right="326"/>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Pr>
          <w:p>
            <w:pPr>
              <w:jc w:val="center"/>
              <w:ind w:right="2328"/>
              <w:spacing w:after="0"/>
              <w:rPr>
                <w:sz w:val="20"/>
                <w:szCs w:val="20"/>
                <w:color w:val="auto"/>
              </w:rPr>
            </w:pPr>
            <w:r>
              <w:rPr>
                <w:rFonts w:ascii="Times New Roman" w:cs="Times New Roman" w:eastAsia="Times New Roman" w:hAnsi="Times New Roman"/>
                <w:sz w:val="14"/>
                <w:szCs w:val="14"/>
                <w:color w:val="auto"/>
              </w:rPr>
              <w:t>(Zip Code)</w:t>
            </w:r>
          </w:p>
        </w:tc>
      </w:tr>
      <w:tr>
        <w:trPr>
          <w:trHeight w:val="425"/>
        </w:trPr>
        <w:tc>
          <w:tcPr>
            <w:tcW w:w="3540" w:type="dxa"/>
            <w:vAlign w:val="bottom"/>
          </w:tcPr>
          <w:p>
            <w:pPr>
              <w:spacing w:after="0"/>
              <w:rPr>
                <w:sz w:val="24"/>
                <w:szCs w:val="24"/>
                <w:color w:val="auto"/>
              </w:rPr>
            </w:pPr>
          </w:p>
        </w:tc>
        <w:tc>
          <w:tcPr>
            <w:tcW w:w="2680" w:type="dxa"/>
            <w:vAlign w:val="bottom"/>
            <w:gridSpan w:val="3"/>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w w:val="97"/>
              </w:rPr>
              <w:t>(212) 418-0100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23"/>
        </w:trPr>
        <w:tc>
          <w:tcPr>
            <w:tcW w:w="3540" w:type="dxa"/>
            <w:vAlign w:val="bottom"/>
          </w:tcPr>
          <w:p>
            <w:pPr>
              <w:spacing w:after="0"/>
              <w:rPr>
                <w:sz w:val="19"/>
                <w:szCs w:val="19"/>
                <w:color w:val="auto"/>
              </w:rPr>
            </w:pPr>
          </w:p>
        </w:tc>
        <w:tc>
          <w:tcPr>
            <w:tcW w:w="7280" w:type="dxa"/>
            <w:vAlign w:val="bottom"/>
            <w:gridSpan w:val="6"/>
          </w:tcPr>
          <w:p>
            <w:pPr>
              <w:jc w:val="center"/>
              <w:ind w:right="3828"/>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r>
      <w:tr>
        <w:trPr>
          <w:trHeight w:val="223"/>
        </w:trPr>
        <w:tc>
          <w:tcPr>
            <w:tcW w:w="3540" w:type="dxa"/>
            <w:vAlign w:val="bottom"/>
          </w:tcPr>
          <w:p>
            <w:pPr>
              <w:spacing w:after="0"/>
              <w:rPr>
                <w:sz w:val="19"/>
                <w:szCs w:val="19"/>
                <w:color w:val="auto"/>
              </w:rPr>
            </w:pPr>
          </w:p>
        </w:tc>
        <w:tc>
          <w:tcPr>
            <w:tcW w:w="728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90"/>
        </w:trPr>
        <w:tc>
          <w:tcPr>
            <w:tcW w:w="354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
        </w:trPr>
        <w:tc>
          <w:tcPr>
            <w:tcW w:w="3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6"/>
                <w:szCs w:val="16"/>
                <w:color w:val="auto"/>
                <w:w w:val="96"/>
              </w:rPr>
              <w:t>VIRT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91" w:lineRule="exact"/>
        <w:rPr>
          <w:sz w:val="24"/>
          <w:szCs w:val="24"/>
          <w:color w:val="auto"/>
        </w:rPr>
      </w:pPr>
    </w:p>
    <w:p>
      <w:pPr>
        <w:jc w:val="both"/>
        <w:ind w:right="180" w:firstLine="314"/>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5"/>
        <w:spacing w:after="0" w:line="184" w:lineRule="exact"/>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520" w:firstLine="31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260" w:firstLine="314"/>
        <w:spacing w:after="0" w:line="32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jc w:val="right"/>
        <w:ind w:left="1180" w:right="880"/>
        <w:spacing w:after="0" w:line="276"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24"/>
          <w:szCs w:val="24"/>
          <w:color w:val="auto"/>
          <w:vertAlign w:val="superscript"/>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389" w:lineRule="exact"/>
        <w:rPr>
          <w:sz w:val="24"/>
          <w:szCs w:val="24"/>
          <w:color w:val="auto"/>
        </w:rPr>
      </w:pPr>
    </w:p>
    <w:p>
      <w:pPr>
        <w:ind w:right="100" w:firstLine="314"/>
        <w:spacing w:after="0" w:line="19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spacing w:after="0" w:line="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outstanding as of</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 2022</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99,801,488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C common stock, par value $0.00001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9,030,066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8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D common stock, par value $0.00001 per share</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60,091,740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18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60"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INDEX TO FORM 10-Q</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THE QUARTER ENDED September 30, 2022</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8"/>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406"/>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PART I -</w:t>
            </w:r>
          </w:p>
        </w:tc>
        <w:tc>
          <w:tcPr>
            <w:tcW w:w="760" w:type="dxa"/>
            <w:vAlign w:val="bottom"/>
            <w:gridSpan w:val="2"/>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1.</w:t>
            </w:r>
          </w:p>
        </w:tc>
        <w:tc>
          <w:tcPr>
            <w:tcW w:w="120" w:type="dxa"/>
            <w:vAlign w:val="bottom"/>
            <w:tcBorders>
              <w:top w:val="single" w:sz="8" w:color="0000FF"/>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720" w:type="dxa"/>
            <w:vAlign w:val="bottom"/>
            <w:tcBorders>
              <w:top w:val="single" w:sz="8" w:color="0000FF"/>
            </w:tcBorders>
            <w:gridSpan w:val="3"/>
          </w:tcPr>
          <w:p>
            <w:pPr>
              <w:spacing w:after="0"/>
              <w:rPr>
                <w:sz w:val="24"/>
                <w:szCs w:val="24"/>
                <w:color w:val="auto"/>
              </w:rPr>
            </w:pPr>
          </w:p>
        </w:tc>
        <w:tc>
          <w:tcPr>
            <w:tcW w:w="6380" w:type="dxa"/>
            <w:vAlign w:val="bottom"/>
            <w:gridSpan w:val="10"/>
          </w:tcPr>
          <w:p>
            <w:pPr>
              <w:spacing w:after="0"/>
              <w:rPr>
                <w:sz w:val="24"/>
                <w:szCs w:val="24"/>
                <w:color w:val="auto"/>
              </w:rPr>
            </w:pPr>
          </w:p>
        </w:tc>
        <w:tc>
          <w:tcPr>
            <w:tcW w:w="1160" w:type="dxa"/>
            <w:vAlign w:val="bottom"/>
          </w:tcPr>
          <w:p>
            <w:pPr>
              <w:spacing w:after="0"/>
              <w:rPr>
                <w:sz w:val="24"/>
                <w:szCs w:val="24"/>
                <w:color w:val="auto"/>
              </w:rPr>
            </w:pP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Financial Condition (Unaudited)</w:t>
            </w:r>
          </w:p>
        </w:tc>
        <w:tc>
          <w:tcPr>
            <w:tcW w:w="350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9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(Unaudited)</w:t>
            </w:r>
          </w:p>
        </w:tc>
        <w:tc>
          <w:tcPr>
            <w:tcW w:w="360" w:type="dxa"/>
            <w:vAlign w:val="bottom"/>
            <w:tcBorders>
              <w:top w:val="single" w:sz="8" w:color="0000FF"/>
            </w:tcBorders>
            <w:gridSpan w:val="2"/>
          </w:tcPr>
          <w:p>
            <w:pPr>
              <w:spacing w:after="0"/>
              <w:rPr>
                <w:sz w:val="17"/>
                <w:szCs w:val="17"/>
                <w:color w:val="auto"/>
              </w:rPr>
            </w:pPr>
          </w:p>
        </w:tc>
        <w:tc>
          <w:tcPr>
            <w:tcW w:w="3240" w:type="dxa"/>
            <w:vAlign w:val="bottom"/>
            <w:gridSpan w:val="2"/>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3800" w:type="dxa"/>
            <w:vAlign w:val="bottom"/>
            <w:gridSpan w:val="5"/>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r>
      <w:tr>
        <w:trPr>
          <w:trHeight w:val="42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Item 2.</w:t>
            </w:r>
          </w:p>
        </w:tc>
        <w:tc>
          <w:tcPr>
            <w:tcW w:w="880" w:type="dxa"/>
            <w:vAlign w:val="bottom"/>
            <w:gridSpan w:val="3"/>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3.</w:t>
            </w:r>
          </w:p>
        </w:tc>
        <w:tc>
          <w:tcPr>
            <w:tcW w:w="880" w:type="dxa"/>
            <w:vAlign w:val="bottom"/>
            <w:gridSpan w:val="3"/>
          </w:tcPr>
          <w:p>
            <w:pPr>
              <w:spacing w:after="0"/>
              <w:rPr>
                <w:sz w:val="24"/>
                <w:szCs w:val="24"/>
                <w:color w:val="auto"/>
              </w:rPr>
            </w:pPr>
          </w:p>
        </w:tc>
        <w:tc>
          <w:tcPr>
            <w:tcW w:w="42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tcBorders>
              <w:top w:val="single" w:sz="8" w:color="0000FF"/>
            </w:tcBorders>
            <w:gridSpan w:val="6"/>
          </w:tcPr>
          <w:p>
            <w:pPr>
              <w:spacing w:after="0"/>
              <w:rPr>
                <w:sz w:val="24"/>
                <w:szCs w:val="24"/>
                <w:color w:val="auto"/>
              </w:rPr>
            </w:pPr>
          </w:p>
        </w:tc>
        <w:tc>
          <w:tcPr>
            <w:tcW w:w="2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4.</w:t>
            </w:r>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84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w:t>
            </w:r>
          </w:p>
        </w:tc>
      </w:tr>
      <w:tr>
        <w:trPr>
          <w:trHeight w:val="425"/>
        </w:trPr>
        <w:tc>
          <w:tcPr>
            <w:tcW w:w="7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 -</w:t>
            </w: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1.</w:t>
            </w:r>
          </w:p>
        </w:tc>
        <w:tc>
          <w:tcPr>
            <w:tcW w:w="180" w:type="dxa"/>
            <w:vAlign w:val="bottom"/>
            <w:tcBorders>
              <w:top w:val="single" w:sz="8" w:color="0000FF"/>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520" w:type="dxa"/>
            <w:vAlign w:val="bottom"/>
            <w:tcBorders>
              <w:top w:val="single" w:sz="8" w:color="0000FF"/>
            </w:tcBorders>
            <w:gridSpan w:val="3"/>
          </w:tcPr>
          <w:p>
            <w:pPr>
              <w:spacing w:after="0"/>
              <w:rPr>
                <w:sz w:val="24"/>
                <w:szCs w:val="24"/>
                <w:color w:val="auto"/>
              </w:rPr>
            </w:pPr>
          </w:p>
        </w:tc>
        <w:tc>
          <w:tcPr>
            <w:tcW w:w="6740" w:type="dxa"/>
            <w:vAlign w:val="bottom"/>
            <w:gridSpan w:val="11"/>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w:t>
            </w:r>
          </w:p>
        </w:tc>
      </w:tr>
      <w:tr>
        <w:trPr>
          <w:trHeight w:val="425"/>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Item 1A.</w:t>
            </w:r>
          </w:p>
        </w:tc>
        <w:tc>
          <w:tcPr>
            <w:tcW w:w="760" w:type="dxa"/>
            <w:vAlign w:val="bottom"/>
            <w:gridSpan w:val="2"/>
          </w:tcPr>
          <w:p>
            <w:pPr>
              <w:spacing w:after="0"/>
              <w:rPr>
                <w:sz w:val="24"/>
                <w:szCs w:val="24"/>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68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2.</w:t>
            </w:r>
          </w:p>
        </w:tc>
        <w:tc>
          <w:tcPr>
            <w:tcW w:w="880" w:type="dxa"/>
            <w:vAlign w:val="bottom"/>
            <w:gridSpan w:val="3"/>
          </w:tcPr>
          <w:p>
            <w:pPr>
              <w:spacing w:after="0"/>
              <w:rPr>
                <w:sz w:val="24"/>
                <w:szCs w:val="24"/>
                <w:color w:val="auto"/>
              </w:rPr>
            </w:pPr>
          </w:p>
        </w:tc>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34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3.</w:t>
            </w:r>
          </w:p>
        </w:tc>
        <w:tc>
          <w:tcPr>
            <w:tcW w:w="880" w:type="dxa"/>
            <w:vAlign w:val="bottom"/>
            <w:gridSpan w:val="3"/>
          </w:tcPr>
          <w:p>
            <w:pPr>
              <w:spacing w:after="0"/>
              <w:rPr>
                <w:sz w:val="24"/>
                <w:szCs w:val="24"/>
                <w:color w:val="auto"/>
              </w:rPr>
            </w:pPr>
          </w:p>
        </w:tc>
        <w:tc>
          <w:tcPr>
            <w:tcW w:w="2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6300" w:type="dxa"/>
            <w:vAlign w:val="bottom"/>
            <w:gridSpan w:val="9"/>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4.</w:t>
            </w:r>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84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5.</w:t>
            </w:r>
          </w:p>
        </w:tc>
        <w:tc>
          <w:tcPr>
            <w:tcW w:w="880" w:type="dxa"/>
            <w:vAlign w:val="bottom"/>
            <w:gridSpan w:val="3"/>
          </w:tcPr>
          <w:p>
            <w:pPr>
              <w:spacing w:after="0"/>
              <w:rPr>
                <w:sz w:val="24"/>
                <w:szCs w:val="24"/>
                <w:color w:val="auto"/>
              </w:rPr>
            </w:pP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280" w:type="dxa"/>
            <w:vAlign w:val="bottom"/>
            <w:gridSpan w:val="15"/>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6.</w:t>
            </w:r>
          </w:p>
        </w:tc>
        <w:tc>
          <w:tcPr>
            <w:tcW w:w="880" w:type="dxa"/>
            <w:vAlign w:val="bottom"/>
            <w:gridSpan w:val="3"/>
          </w:tcPr>
          <w:p>
            <w:pPr>
              <w:spacing w:after="0"/>
              <w:rPr>
                <w:sz w:val="24"/>
                <w:szCs w:val="24"/>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7980" w:type="dxa"/>
            <w:vAlign w:val="bottom"/>
            <w:gridSpan w:val="1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81</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Index to Condensed Consolidated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2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0"/>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91"/>
        </w:trPr>
        <w:tc>
          <w:tcPr>
            <w:tcW w:w="40" w:type="dxa"/>
            <w:vAlign w:val="bottom"/>
          </w:tcPr>
          <w:p>
            <w:pPr>
              <w:spacing w:after="0"/>
              <w:rPr>
                <w:sz w:val="24"/>
                <w:szCs w:val="24"/>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Condensed Consolidated Statements of Financial Condition (Unaudited)</w:t>
            </w: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3</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3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00" w:type="dxa"/>
            <w:vAlign w:val="bottom"/>
          </w:tcPr>
          <w:p>
            <w:pPr>
              <w:spacing w:after="0"/>
              <w:rPr>
                <w:sz w:val="24"/>
                <w:szCs w:val="24"/>
                <w:color w:val="auto"/>
              </w:rPr>
            </w:pP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3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(Unaudited)</w:t>
            </w:r>
          </w:p>
        </w:tc>
        <w:tc>
          <w:tcPr>
            <w:tcW w:w="100" w:type="dxa"/>
            <w:vAlign w:val="bottom"/>
          </w:tcPr>
          <w:p>
            <w:pPr>
              <w:spacing w:after="0"/>
              <w:rPr>
                <w:sz w:val="24"/>
                <w:szCs w:val="24"/>
                <w:color w:val="auto"/>
              </w:rPr>
            </w:pP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6</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460" w:type="dxa"/>
            <w:vAlign w:val="bottom"/>
            <w:gridSpan w:val="2"/>
          </w:tcPr>
          <w:p>
            <w:pPr>
              <w:spacing w:after="0"/>
              <w:rPr>
                <w:sz w:val="24"/>
                <w:szCs w:val="24"/>
                <w:color w:val="auto"/>
              </w:rPr>
            </w:pPr>
          </w:p>
        </w:tc>
        <w:tc>
          <w:tcPr>
            <w:tcW w:w="480" w:type="dxa"/>
            <w:vAlign w:val="bottom"/>
            <w:gridSpan w:val="3"/>
          </w:tcPr>
          <w:p>
            <w:pPr>
              <w:spacing w:after="0"/>
              <w:rPr>
                <w:sz w:val="24"/>
                <w:szCs w:val="24"/>
                <w:color w:val="auto"/>
              </w:rPr>
            </w:pP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9</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11</w:t>
            </w:r>
          </w:p>
        </w:tc>
      </w:tr>
      <w:tr>
        <w:trPr>
          <w:trHeight w:val="870"/>
        </w:trPr>
        <w:tc>
          <w:tcPr>
            <w:tcW w:w="40" w:type="dxa"/>
            <w:vAlign w:val="bottom"/>
          </w:tcPr>
          <w:p>
            <w:pPr>
              <w:spacing w:after="0"/>
              <w:rPr>
                <w:sz w:val="24"/>
                <w:szCs w:val="24"/>
                <w:color w:val="auto"/>
              </w:rPr>
            </w:pPr>
          </w:p>
        </w:tc>
        <w:tc>
          <w:tcPr>
            <w:tcW w:w="4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jc w:val="right"/>
              <w:ind w:right="4273"/>
              <w:spacing w:after="0"/>
              <w:rPr>
                <w:sz w:val="20"/>
                <w:szCs w:val="20"/>
                <w:color w:val="auto"/>
              </w:rPr>
            </w:pPr>
            <w:r>
              <w:rPr>
                <w:rFonts w:ascii="Times New Roman" w:cs="Times New Roman" w:eastAsia="Times New Roman" w:hAnsi="Times New Roman"/>
                <w:sz w:val="17"/>
                <w:szCs w:val="17"/>
                <w:color w:val="auto"/>
              </w:rPr>
              <w:t>2</w:t>
            </w:r>
          </w:p>
        </w:tc>
        <w:tc>
          <w:tcPr>
            <w:tcW w:w="10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1,071,463</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restricted or segregated under regulations and other</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borrowed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1,349,322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119,453</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broker-dealers and clearing organizations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1,515,043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1,026,807</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Trading assets, at fair value: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Financial instruments owned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3,746,435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3,238,995</w:t>
            </w:r>
          </w:p>
        </w:tc>
        <w:tc>
          <w:tcPr>
            <w:tcW w:w="0" w:type="dxa"/>
            <w:vAlign w:val="bottom"/>
          </w:tcPr>
          <w:p>
            <w:pPr>
              <w:spacing w:after="0"/>
              <w:rPr>
                <w:sz w:val="1"/>
                <w:szCs w:val="1"/>
                <w:color w:val="auto"/>
              </w:rPr>
            </w:pPr>
          </w:p>
        </w:tc>
      </w:tr>
      <w:tr>
        <w:trPr>
          <w:trHeight w:val="208"/>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Financial instruments owned and pledged</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1,056,913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1,017,960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customers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146,476</w:t>
            </w: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w w:val="99"/>
              </w:rPr>
              <w:t>Property, equipment and capitalized software (net of accumulated depreciation of $475,084 and $472,155 as of September 30, 2022</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82,161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89,595</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and December 31, 2021, respectively)</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225,328</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Intangibles (net of accumulated amortization of $301,993 and $253,161 as of September 30, 2022 and December 31, 2021,</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386,332</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158,518</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($74,017 and $84,378, at fair value, as of September 30, 2022 and December 31, 2021, respectively)</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302,284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291,306</w:t>
            </w:r>
          </w:p>
        </w:tc>
        <w:tc>
          <w:tcPr>
            <w:tcW w:w="0" w:type="dxa"/>
            <w:vAlign w:val="bottom"/>
          </w:tcPr>
          <w:p>
            <w:pPr>
              <w:spacing w:after="0"/>
              <w:rPr>
                <w:sz w:val="1"/>
                <w:szCs w:val="1"/>
                <w:color w:val="auto"/>
              </w:rPr>
            </w:pPr>
          </w:p>
        </w:tc>
      </w:tr>
      <w:tr>
        <w:trPr>
          <w:trHeight w:val="204"/>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10,972,260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10,319,971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167,450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61,510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loaned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988,969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1,142,048</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514,325</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Payables to broker-dealers and clearing organizations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571,526</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Payables to customers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54,999</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Trading liabilities, at fair value: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Financial instruments sold, not yet purchased</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4,199,838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3,510,779</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receivable agreement obligations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259,282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457,942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278,745</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borrowings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1,792,063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1,605,132</w:t>
            </w:r>
          </w:p>
        </w:tc>
        <w:tc>
          <w:tcPr>
            <w:tcW w:w="0" w:type="dxa"/>
            <w:vAlign w:val="bottom"/>
          </w:tcPr>
          <w:p>
            <w:pPr>
              <w:spacing w:after="0"/>
              <w:rPr>
                <w:sz w:val="1"/>
                <w:szCs w:val="1"/>
                <w:color w:val="auto"/>
              </w:rPr>
            </w:pPr>
          </w:p>
        </w:tc>
      </w:tr>
      <w:tr>
        <w:trPr>
          <w:trHeight w:val="201"/>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9,299,352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8,456,353</w:t>
            </w:r>
          </w:p>
        </w:tc>
        <w:tc>
          <w:tcPr>
            <w:tcW w:w="0" w:type="dxa"/>
            <w:vAlign w:val="bottom"/>
          </w:tcPr>
          <w:p>
            <w:pPr>
              <w:spacing w:after="0"/>
              <w:rPr>
                <w:sz w:val="1"/>
                <w:szCs w:val="1"/>
                <w:color w:val="auto"/>
              </w:rPr>
            </w:pPr>
          </w:p>
        </w:tc>
      </w:tr>
      <w:tr>
        <w:trPr>
          <w:trHeight w:val="159"/>
        </w:trPr>
        <w:tc>
          <w:tcPr>
            <w:tcW w:w="8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Virtu Financial Inc. Stockholders' equity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Class A common stock (par value $0.00001), Authorized — 1,000,000,000 and 1,000,000,000 shares, Issued — 133,012,526 and</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60" w:type="dxa"/>
            <w:vAlign w:val="bottom"/>
            <w:gridSpan w:val="2"/>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131,497,645 shares, Outstanding — 100,574,550 and 113,170,782 shares at September 30, 2022 and December 31, 2021,</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w w:val="99"/>
              </w:rPr>
              <w:t>Class B common stock (par value $0.00001), Authorized — 175,000,000 and 175,000,000 shares, Issued and Outstanding — 0 and</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0 shares at September 30, 2022 and December 31, 2021, respectively</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Class C common stock (par value $0.00001), Authorized — 90,000,000 and 90,000,000 shares, Issued and Outstanding —</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9,030,066 and 9,359,065 shares at September 30, 2022 and December 31, 2021, respectively</w:t>
            </w: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Class D common stock (par value $0.00001), Authorized — 175,000,000 and 175,000,000 shares, Issued and Outstanding —</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60,091,740 and 60,091,740 shares at September 30, 2022 and December 31, 2021, respectively</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32,437,976 and 18,326,863 shares at September 30, 2022 and December 31, 2021, respectively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(909,368)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(494,075)</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1,265,919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1,223,119</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970,334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830,538</w:t>
            </w:r>
          </w:p>
        </w:tc>
        <w:tc>
          <w:tcPr>
            <w:tcW w:w="0" w:type="dxa"/>
            <w:vAlign w:val="bottom"/>
          </w:tcPr>
          <w:p>
            <w:pPr>
              <w:spacing w:after="0"/>
              <w:rPr>
                <w:sz w:val="1"/>
                <w:szCs w:val="1"/>
                <w:color w:val="auto"/>
              </w:rPr>
            </w:pPr>
          </w:p>
        </w:tc>
      </w:tr>
      <w:tr>
        <w:trPr>
          <w:trHeight w:val="208"/>
        </w:trPr>
        <w:tc>
          <w:tcPr>
            <w:tcW w:w="8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0" w:type="dxa"/>
            <w:vAlign w:val="bottom"/>
          </w:tcPr>
          <w:p>
            <w:pPr>
              <w:spacing w:after="0"/>
              <w:rPr>
                <w:sz w:val="1"/>
                <w:szCs w:val="1"/>
                <w:color w:val="auto"/>
              </w:rPr>
            </w:pPr>
          </w:p>
        </w:tc>
      </w:tr>
      <w:tr>
        <w:trPr>
          <w:trHeight w:val="204"/>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Virtu Financial Inc. stockholders' equity</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1,348,065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84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324,843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314,230</w:t>
            </w:r>
          </w:p>
        </w:tc>
        <w:tc>
          <w:tcPr>
            <w:tcW w:w="0" w:type="dxa"/>
            <w:vAlign w:val="bottom"/>
          </w:tcPr>
          <w:p>
            <w:pPr>
              <w:spacing w:after="0"/>
              <w:rPr>
                <w:sz w:val="1"/>
                <w:szCs w:val="1"/>
                <w:color w:val="auto"/>
              </w:rPr>
            </w:pPr>
          </w:p>
        </w:tc>
      </w:tr>
      <w:tr>
        <w:trPr>
          <w:trHeight w:val="201"/>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1,672,908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1,863,618</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10,972,260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10,319,971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 (Unaudited)</w:t>
      </w:r>
    </w:p>
    <w:p>
      <w:pPr>
        <w:spacing w:after="0" w:line="31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60" w:type="dxa"/>
            <w:vAlign w:val="bottom"/>
            <w:gridSpan w:val="5"/>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5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Trading income, net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397,383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1,315,618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1,591,840</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and dividends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26,246</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Commissions, net and technology services</w:t>
            </w: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120,986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470,687</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17,108</w:t>
            </w:r>
          </w:p>
        </w:tc>
        <w:tc>
          <w:tcPr>
            <w:tcW w:w="0" w:type="dxa"/>
            <w:vAlign w:val="bottom"/>
          </w:tcPr>
          <w:p>
            <w:pPr>
              <w:spacing w:after="0"/>
              <w:rPr>
                <w:sz w:val="1"/>
                <w:szCs w:val="1"/>
                <w:color w:val="auto"/>
              </w:rPr>
            </w:pPr>
          </w:p>
        </w:tc>
      </w:tr>
      <w:tr>
        <w:trPr>
          <w:trHeight w:val="201"/>
        </w:trPr>
        <w:tc>
          <w:tcPr>
            <w:tcW w:w="60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561,044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1,867,044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2,105,881</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Brokerage, exchange, clearance fees and payments for order flow,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168,869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476,235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588,885</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Communication and data processing</w:t>
            </w: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52,907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159,824</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compensation and payroll taxes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103,254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273,172</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and dividends expense</w:t>
            </w: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61,989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75,585</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Operations and administrative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65,636</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49,764</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purchased intangibles and acquired capitalized software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53,087</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Termination of office leases</w:t>
            </w: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5,126</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issue cost related to debt refinancing, prepayment and commitment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 advisory fees and expenses</w:t>
            </w: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interest expense on long-term borrowings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23,483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59,784</w:t>
            </w:r>
          </w:p>
        </w:tc>
        <w:tc>
          <w:tcPr>
            <w:tcW w:w="0" w:type="dxa"/>
            <w:vAlign w:val="bottom"/>
          </w:tcPr>
          <w:p>
            <w:pPr>
              <w:spacing w:after="0"/>
              <w:rPr>
                <w:sz w:val="1"/>
                <w:szCs w:val="1"/>
                <w:color w:val="auto"/>
              </w:rPr>
            </w:pPr>
          </w:p>
        </w:tc>
      </w:tr>
      <w:tr>
        <w:trPr>
          <w:trHeight w:val="201"/>
        </w:trPr>
        <w:tc>
          <w:tcPr>
            <w:tcW w:w="60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459,438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399,245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1,349,941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1,335,994</w:t>
            </w:r>
          </w:p>
        </w:tc>
        <w:tc>
          <w:tcPr>
            <w:tcW w:w="0" w:type="dxa"/>
            <w:vAlign w:val="bottom"/>
          </w:tcPr>
          <w:p>
            <w:pPr>
              <w:spacing w:after="0"/>
              <w:rPr>
                <w:sz w:val="1"/>
                <w:szCs w:val="1"/>
                <w:color w:val="auto"/>
              </w:rPr>
            </w:pPr>
          </w:p>
        </w:tc>
      </w:tr>
      <w:tr>
        <w:trPr>
          <w:trHeight w:val="204"/>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before income taxes and noncontrolling interest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101,606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769,887</w:t>
            </w:r>
          </w:p>
        </w:tc>
        <w:tc>
          <w:tcPr>
            <w:tcW w:w="0" w:type="dxa"/>
            <w:vAlign w:val="bottom"/>
          </w:tcPr>
          <w:p>
            <w:pPr>
              <w:spacing w:after="0"/>
              <w:rPr>
                <w:sz w:val="1"/>
                <w:szCs w:val="1"/>
                <w:color w:val="auto"/>
              </w:rPr>
            </w:pPr>
          </w:p>
        </w:tc>
      </w:tr>
      <w:tr>
        <w:trPr>
          <w:trHeight w:val="208"/>
        </w:trPr>
        <w:tc>
          <w:tcPr>
            <w:tcW w:w="6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21,732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128,611</w:t>
            </w:r>
          </w:p>
        </w:tc>
        <w:tc>
          <w:tcPr>
            <w:tcW w:w="0" w:type="dxa"/>
            <w:vAlign w:val="bottom"/>
          </w:tcPr>
          <w:p>
            <w:pPr>
              <w:spacing w:after="0"/>
              <w:rPr>
                <w:sz w:val="1"/>
                <w:szCs w:val="1"/>
                <w:color w:val="auto"/>
              </w:rPr>
            </w:pPr>
          </w:p>
        </w:tc>
      </w:tr>
      <w:tr>
        <w:trPr>
          <w:trHeight w:val="204"/>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79,874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641,276</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(268,454)</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40,007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70,507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372,822</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102,289,172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115,770,457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105,500,700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119,148,571</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102,550,852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116,623,115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106,004,393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120,373,160</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79,874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641,276</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 adjustment, net of taxes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(11,452)</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change in unrealized cash flow hedges gain (loss), net of taxes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30,731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18,197</w:t>
            </w:r>
          </w:p>
        </w:tc>
        <w:tc>
          <w:tcPr>
            <w:tcW w:w="0" w:type="dxa"/>
            <w:vAlign w:val="bottom"/>
          </w:tcPr>
          <w:p>
            <w:pPr>
              <w:spacing w:after="0"/>
              <w:rPr>
                <w:sz w:val="1"/>
                <w:szCs w:val="1"/>
                <w:color w:val="auto"/>
              </w:rPr>
            </w:pPr>
          </w:p>
        </w:tc>
      </w:tr>
      <w:tr>
        <w:trPr>
          <w:trHeight w:val="20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92,078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648,021</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(271,552)</w:t>
            </w:r>
          </w:p>
        </w:tc>
        <w:tc>
          <w:tcPr>
            <w:tcW w:w="0" w:type="dxa"/>
            <w:vAlign w:val="bottom"/>
          </w:tcPr>
          <w:p>
            <w:pPr>
              <w:spacing w:after="0"/>
              <w:rPr>
                <w:sz w:val="1"/>
                <w:szCs w:val="1"/>
                <w:color w:val="auto"/>
              </w:rPr>
            </w:pPr>
          </w:p>
        </w:tc>
      </w:tr>
      <w:tr>
        <w:trPr>
          <w:trHeight w:val="20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47,359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67,786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268,808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376,469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6" w:name="page7"/>
    <w:bookmarkEnd w:id="6"/>
    <w:p>
      <w:pPr>
        <w:ind w:left="2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 (Unaudited)</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Three and Nine months ended September 30, 2022, and 2021</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4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28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2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2021</w:t>
            </w: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131,497,645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9,359,065</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(18,326,863)</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(494,075)</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1,223,119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830,538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1,549,388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314,230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1,863,618</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1,669,030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27,377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27,377</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Class C common</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(234,269)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(8,204)</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(612,844)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(8,908,544)</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(287,211)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(305,565)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(305,565)</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246,879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4,691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4,691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4,691</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87,668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199,925</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(5,168)</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Net change in unrealized cash</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29,387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29,387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18,486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47,873</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Dividends ($0.24 per share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 stock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participating Restricted Stock</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 and Restricted Stock</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Awards) and distributions from</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(27,054)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(27,054)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(98,751)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(125,805)</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Issuance of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71,641</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Virtu Financial</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 number</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of Class C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(71,641)</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March 31, 2022</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132,872,351</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9,053,155</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(27,235,407)</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(781,286)</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1,246,983</w:t>
            </w:r>
          </w:p>
        </w:tc>
        <w:tc>
          <w:tcPr>
            <w:tcW w:w="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897,387</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16,019</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1,379,105</w:t>
            </w:r>
          </w:p>
        </w:tc>
        <w:tc>
          <w:tcPr>
            <w:tcW w:w="80" w:type="dxa"/>
            <w:vAlign w:val="bottom"/>
          </w:tcPr>
          <w:p>
            <w:pPr>
              <w:spacing w:after="0"/>
              <w:rPr>
                <w:sz w:val="12"/>
                <w:szCs w:val="12"/>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319,637</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1,698,742</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9,411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9,411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9,411</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Class C common</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(1,762,756)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(47,486)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(47,486)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(47,486)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22,000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418</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85,167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85,167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63,729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148,896</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Foreign exchange translation</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(10,773)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(10,773)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(9,037)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(19,810)</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 in unrealized cash</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8,580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8,580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5,482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14,062</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and Class B common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Awards)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 Virtu</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Financial to noncontrolling</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(26,067)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(26,067)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(76,906)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(102,973)</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interest</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21,289</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 number</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of Class C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(21,289)</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Contributions from</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39,200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39,200</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noncontrolling interests</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June 30, 2022</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132,915,640</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9,030,066</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(28,998,163)</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(828,772)</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1,256,760</w:t>
            </w:r>
          </w:p>
        </w:tc>
        <w:tc>
          <w:tcPr>
            <w:tcW w:w="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956,487</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13,826</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1,398,303</w:t>
            </w:r>
          </w:p>
        </w:tc>
        <w:tc>
          <w:tcPr>
            <w:tcW w:w="80" w:type="dxa"/>
            <w:vAlign w:val="bottom"/>
          </w:tcPr>
          <w:p>
            <w:pPr>
              <w:spacing w:after="0"/>
              <w:rPr>
                <w:sz w:val="12"/>
                <w:szCs w:val="12"/>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342,105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1,740,408</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131,892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9,159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9,159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9,159</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(35,006)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(3,439,813)</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(80,596)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(81,419)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(81,419)</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40,007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39,867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79,874</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Foreign exchange translation</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(11,161)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(11,161)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(7,366)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(18,527)</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 in unrealized cash</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18,513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18,513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12,218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30,731</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 (losses)</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and Class B common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 Virtu</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Financial to noncontrolling</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(25,337)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(25,337)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(61,981)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(87,318)</w:t>
            </w:r>
          </w:p>
        </w:tc>
        <w:tc>
          <w:tcPr>
            <w:tcW w:w="0" w:type="dxa"/>
            <w:vAlign w:val="bottom"/>
          </w:tcPr>
          <w:p>
            <w:pPr>
              <w:spacing w:after="0"/>
              <w:rPr>
                <w:sz w:val="1"/>
                <w:szCs w:val="1"/>
                <w:color w:val="auto"/>
              </w:rPr>
            </w:pPr>
          </w:p>
        </w:tc>
      </w:tr>
      <w:tr>
        <w:trPr>
          <w:trHeight w:val="150"/>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interest</w:t>
            </w:r>
          </w:p>
        </w:tc>
        <w:tc>
          <w:tcPr>
            <w:tcW w:w="6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September 30, 2022</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133,012,526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9,030,066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(32,437,976)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(909,368)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1,265,919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970,334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21,178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1,348,065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324,843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1,672,908</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74295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 (Unaudited)</w:t>
      </w:r>
    </w:p>
    <w:p>
      <w:pPr>
        <w:spacing w:after="0" w:line="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Three and Nine months ended September 30, 2022, and 2021</w:t>
      </w:r>
    </w:p>
    <w:p>
      <w:pPr>
        <w:spacing w:after="0" w:line="384"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8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28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2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125,627,277</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10,226,939</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(3,615,097)</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(88,923)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1,160,567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422,381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(25,487)</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1,468,540</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386,498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1,855,038</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1,896,407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27,450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27,450</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(615,794)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(2,277,409)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(63,359)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(16,059)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(79,418)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(79,418)</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154,372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2,933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2,933</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239,405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239,405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169,827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409,232</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(2,165)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(2,165)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(1,511)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(3,676)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12,607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12,607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9,299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21,906</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 stock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participating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Awards) and distributions from</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(30,147)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(30,147)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(159,239)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(189,386)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91,757</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number of Class C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in connection with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(91,757)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0"/>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employee exchanges</w:t>
            </w: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March 31, 2021</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127,154,019</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10,135,182</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(5,892,506)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(152,282)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1,190,950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615,580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(15,045)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1,639,205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404,874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2,044,079</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7,444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7,444</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Class C common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(45,622)</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(1,323)</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(5,489)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(3,358,003)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(101,305)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(101,419)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(101,419)</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253,625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4,819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4,819</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62,910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62,910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45,997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108,907</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66</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(4,115)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(4,115)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(3,091)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(7,206)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flow hedges losses</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and Class B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Units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 Virtu</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Financial to noncontrolling</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(29,483)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(29,483)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(103,062)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(132,545)</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interest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Issuance of common stock in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290,524</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Virtu Financial</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number of Class C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in connection with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(290,524)</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employee exchanges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June 30, 2021</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127,725,595</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9,799,036</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(9,250,509)</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(253,587)</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1,201,890</w:t>
            </w:r>
          </w:p>
        </w:tc>
        <w:tc>
          <w:tcPr>
            <w:tcW w:w="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648,893</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(19,117)</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1,578,081</w:t>
            </w:r>
          </w:p>
        </w:tc>
        <w:tc>
          <w:tcPr>
            <w:tcW w:w="80" w:type="dxa"/>
            <w:vAlign w:val="bottom"/>
          </w:tcPr>
          <w:p>
            <w:pPr>
              <w:spacing w:after="0"/>
              <w:rPr>
                <w:sz w:val="12"/>
                <w:szCs w:val="12"/>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344,741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1,922,822</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103,154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6,803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6,803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6,803</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Class C common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(12,980)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(370)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(370)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(370)</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(17,954)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(5,401,932)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(138,881)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(139,377)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(139,377)</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741</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70,507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70,507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52,631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123,138</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(4,912)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(4,912)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(7,843)</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2,191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3,498</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and Class B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 Virtu</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Financial to noncontrolling</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(28,336)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(28,336)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(80,363)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(108,699)</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interest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22,991</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 (Unaudited)</w:t>
      </w:r>
    </w:p>
    <w:p>
      <w:pPr>
        <w:spacing w:after="0" w:line="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Three and Nine months ended September 30, 2022, and 2021</w:t>
      </w:r>
    </w:p>
    <w:p>
      <w:pPr>
        <w:spacing w:after="0" w:line="384"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4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28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2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68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8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2"/>
          </w:tcPr>
          <w:p>
            <w:pPr>
              <w:jc w:val="center"/>
              <w:ind w:right="8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92"/>
        </w:trPr>
        <w:tc>
          <w:tcPr>
            <w:tcW w:w="1600" w:type="dxa"/>
            <w:vAlign w:val="bottom"/>
          </w:tcPr>
          <w:p>
            <w:pPr>
              <w:ind w:left="140"/>
              <w:spacing w:after="0" w:line="92"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 number</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of Class C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(22,991)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0"/>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September 30, 2021</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127,872,786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9,763,065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(14,652,441)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(392,468)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$ 1,209,064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690,568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1,485,328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315,385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$ 1,800,713</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344"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428,698</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641,276</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49,764</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53,087</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deferred financing fees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16,791</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borrowed</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147,415</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(147,328)</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231,580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(862,163)</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(199,766)</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20,135</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43,898</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loaned</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69,180</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122,033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236,722</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Payables to customers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64,113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(52,059)</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(71,968)</w:t>
            </w:r>
          </w:p>
        </w:tc>
        <w:tc>
          <w:tcPr>
            <w:tcW w:w="0" w:type="dxa"/>
            <w:vAlign w:val="bottom"/>
          </w:tcPr>
          <w:p>
            <w:pPr>
              <w:spacing w:after="0"/>
              <w:rPr>
                <w:sz w:val="1"/>
                <w:szCs w:val="1"/>
                <w:color w:val="auto"/>
              </w:rPr>
            </w:pPr>
          </w:p>
        </w:tc>
      </w:tr>
      <w:tr>
        <w:trPr>
          <w:trHeight w:val="183"/>
        </w:trPr>
        <w:tc>
          <w:tcPr>
            <w:tcW w:w="7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290,462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374,522</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Development of capitalized software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(30,154)</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(16,326)</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(18,960)</w:t>
            </w:r>
          </w:p>
        </w:tc>
        <w:tc>
          <w:tcPr>
            <w:tcW w:w="0" w:type="dxa"/>
            <w:vAlign w:val="bottom"/>
          </w:tcPr>
          <w:p>
            <w:pPr>
              <w:spacing w:after="0"/>
              <w:rPr>
                <w:sz w:val="1"/>
                <w:szCs w:val="1"/>
                <w:color w:val="auto"/>
              </w:rPr>
            </w:pPr>
          </w:p>
        </w:tc>
      </w:tr>
      <w:tr>
        <w:trPr>
          <w:trHeight w:val="183"/>
        </w:trPr>
        <w:tc>
          <w:tcPr>
            <w:tcW w:w="7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(65,440)</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to stockholders and distributions from Virtu Financial to noncontrolling interest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(430,630)</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(320,214)</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 options exercised</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borrowings, net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249,622</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long term borrowings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(1,599,774)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(36,737)</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Tax receivable agreement obligations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(16,505)</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39,200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(550,322)</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(11,452)</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(252,692)</w:t>
            </w: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beginning of period</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1,120,953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1,007,005</w:t>
            </w:r>
          </w:p>
        </w:tc>
        <w:tc>
          <w:tcPr>
            <w:tcW w:w="0" w:type="dxa"/>
            <w:vAlign w:val="bottom"/>
          </w:tcPr>
          <w:p>
            <w:pPr>
              <w:spacing w:after="0"/>
              <w:rPr>
                <w:sz w:val="1"/>
                <w:szCs w:val="1"/>
                <w:color w:val="auto"/>
              </w:rPr>
            </w:pPr>
          </w:p>
        </w:tc>
      </w:tr>
      <w:tr>
        <w:trPr>
          <w:trHeight w:val="221"/>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890,447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754,313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Supplementary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-94615</wp:posOffset>
            </wp:positionV>
            <wp:extent cx="6080125" cy="124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012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344"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69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168,739</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115,890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taxes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130,565</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Share-based and accrued incentive compensation to developers relating to capitalized software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12,935</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(Unaudited)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shares and per share amounts, unless otherwise noted)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254"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September 30, 2022, VFI owned approximately 60.2% of the membership interests of Virtu Financial. VFI is the sole managing member of Virtu Financial and operates and controls all of the businesses and affairs of Virtu Financial and its subsidiaries (the “Group”).</w:t>
      </w:r>
    </w:p>
    <w:p>
      <w:pPr>
        <w:spacing w:after="0" w:line="194"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spacing w:after="0" w:line="200" w:lineRule="exact"/>
        <w:rPr>
          <w:sz w:val="20"/>
          <w:szCs w:val="20"/>
          <w:color w:val="auto"/>
        </w:rPr>
      </w:pPr>
    </w:p>
    <w:p>
      <w:pPr>
        <w:spacing w:after="0" w:line="213" w:lineRule="exact"/>
        <w:rPr>
          <w:sz w:val="20"/>
          <w:szCs w:val="20"/>
          <w:color w:val="auto"/>
        </w:rPr>
      </w:pPr>
    </w:p>
    <w:p>
      <w:pPr>
        <w:ind w:right="340" w:firstLine="629"/>
        <w:spacing w:after="0" w:line="270" w:lineRule="auto"/>
        <w:rPr>
          <w:sz w:val="20"/>
          <w:szCs w:val="20"/>
          <w:color w:val="auto"/>
        </w:rPr>
      </w:pPr>
      <w:r>
        <w:rPr>
          <w:rFonts w:ascii="Times New Roman" w:cs="Times New Roman" w:eastAsia="Times New Roman" w:hAnsi="Times New Roman"/>
          <w:sz w:val="17"/>
          <w:szCs w:val="17"/>
          <w:color w:val="auto"/>
        </w:rPr>
        <w:t>The Company has completed two significant acquisitions over the past six years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 ITG's business contributes to the Company's Execution Services segment.</w:t>
      </w:r>
    </w:p>
    <w:p>
      <w:pPr>
        <w:spacing w:after="0" w:line="194" w:lineRule="exact"/>
        <w:rPr>
          <w:sz w:val="20"/>
          <w:szCs w:val="20"/>
          <w:color w:val="auto"/>
        </w:rPr>
      </w:pPr>
    </w:p>
    <w:p>
      <w:pPr>
        <w:ind w:right="140" w:firstLine="629"/>
        <w:spacing w:after="0" w:line="262" w:lineRule="auto"/>
        <w:rPr>
          <w:sz w:val="20"/>
          <w:szCs w:val="20"/>
          <w:color w:val="auto"/>
        </w:rPr>
      </w:pPr>
      <w:r>
        <w:rPr>
          <w:rFonts w:ascii="Times New Roman" w:cs="Times New Roman" w:eastAsia="Times New Roman" w:hAnsi="Times New Roman"/>
          <w:sz w:val="17"/>
          <w:szCs w:val="17"/>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pre-and post-trade analysis, fair value, and trade optimization services; and Virtu ITG Platforms LLC, a provider of workflow technology solutions and network connectivity services. Principal foreign subsidiaries include Virtu Financial Ireland Limited ("VFIL") and Virtu ITG Europe Limited ("VIEL"), each formed in Ireland; Virtu ITG UK Limited ("VIUK"), formed in the United Kingdom;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205"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See Note 20 "Geographic Information and Business Segments" for a further discussion of the Company’s segments.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Consolidation and Form of Presentation</w:t>
      </w:r>
    </w:p>
    <w:p>
      <w:pPr>
        <w:spacing w:after="0" w:line="241"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are unaudited and should be read in conjunction with the audited consolidated financial statements included in the Company’s Annual Report on Form 10-K for the year ended December 31, 2021.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Company does not own as noncontrolling interests. All intercompany accounts and transactions have been eliminated in consolidation.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34" w:lineRule="exact"/>
        <w:rPr>
          <w:sz w:val="20"/>
          <w:szCs w:val="20"/>
          <w:color w:val="auto"/>
        </w:rPr>
      </w:pPr>
    </w:p>
    <w:p>
      <w:pPr>
        <w:ind w:right="820" w:firstLine="629"/>
        <w:spacing w:after="0" w:line="274" w:lineRule="auto"/>
        <w:rPr>
          <w:sz w:val="20"/>
          <w:szCs w:val="20"/>
          <w:color w:val="auto"/>
        </w:rPr>
      </w:pPr>
      <w:r>
        <w:rPr>
          <w:rFonts w:ascii="Times New Roman" w:cs="Times New Roman" w:eastAsia="Times New Roman" w:hAnsi="Times New Roman"/>
          <w:sz w:val="17"/>
          <w:szCs w:val="17"/>
          <w:color w:val="auto"/>
        </w:rPr>
        <w:t>For a detailed discussion of the Company's significant accounting policies, see Note 2 "Summary of Significant Accounting Policies" in our consolidated financial statements included in Part II, Item 8 of our Annual Report on Form 10-K for the year ended December 31,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Recently Adopted</w:t>
      </w:r>
    </w:p>
    <w:p>
      <w:pPr>
        <w:spacing w:after="0" w:line="248" w:lineRule="exact"/>
        <w:rPr>
          <w:sz w:val="20"/>
          <w:szCs w:val="20"/>
          <w:color w:val="auto"/>
        </w:rPr>
      </w:pPr>
    </w:p>
    <w:p>
      <w:pPr>
        <w:ind w:right="2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Convertible Instruments </w:t>
      </w:r>
      <w:r>
        <w:rPr>
          <w:rFonts w:ascii="Times New Roman" w:cs="Times New Roman" w:eastAsia="Times New Roman" w:hAnsi="Times New Roman"/>
          <w:sz w:val="17"/>
          <w:szCs w:val="17"/>
          <w:color w:val="auto"/>
        </w:rPr>
        <w:t>- In August 2020, the FASB issued ASU 2020-06,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Debt - Debt with Conversion and Other Options (Subtopic 470-20)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Derivatives and Hedging - Contracts in Entity's Own Equity (Subtopic 815-40). </w:t>
      </w:r>
      <w:r>
        <w:rPr>
          <w:rFonts w:ascii="Times New Roman" w:cs="Times New Roman" w:eastAsia="Times New Roman" w:hAnsi="Times New Roman"/>
          <w:sz w:val="17"/>
          <w:szCs w:val="17"/>
          <w:color w:val="auto"/>
        </w:rPr>
        <w:t>The ASU simplifies accounting for certain financial instruments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characteristics of liabilities and equity, including convertible instruments and contracts in an entity's own equity and updates selected earnings per share ("EPS") guidance. The Company adopted this ASU on January 1, 2022 and it did not have a material impact on its condensed consolidated financial statements.</w:t>
      </w:r>
    </w:p>
    <w:p>
      <w:pPr>
        <w:spacing w:after="0" w:line="188"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Reference Rate Reform </w:t>
      </w:r>
      <w:r>
        <w:rPr>
          <w:rFonts w:ascii="Times New Roman" w:cs="Times New Roman" w:eastAsia="Times New Roman" w:hAnsi="Times New Roman"/>
          <w:sz w:val="17"/>
          <w:szCs w:val="17"/>
          <w:color w:val="auto"/>
        </w:rPr>
        <w:t>- In March 2020, the FASB issued ASU 2020-04,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Reference Rate Reform (Topic 848): Facilitation of the Effects of Reference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Rate Reform on Financial Reporting</w:t>
      </w:r>
      <w:r>
        <w:rPr>
          <w:rFonts w:ascii="Times New Roman" w:cs="Times New Roman" w:eastAsia="Times New Roman" w:hAnsi="Times New Roman"/>
          <w:sz w:val="17"/>
          <w:szCs w:val="17"/>
          <w:color w:val="auto"/>
        </w:rPr>
        <w:t>, which is designed to ease the potential burden in accounting for the transition away from LIBOR. The ASU applies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contracts, hedging relationships, and other transactions that reference LIBOR or another reference rate expected to be discontinued and replaced with alternative reference rates as a result of reference rate reform. The ASU provides optional expedients and exceptions for applying U.S. GAAP to contracts, hedging relationships, and other transactions affected by reference rate reform if certain criteria are met. The ASU is effective for all entities as of March 12, 2020 through December 31, 2022. In January 2021, the FASB issued ASU 2021-01, </w:t>
      </w:r>
      <w:r>
        <w:rPr>
          <w:rFonts w:ascii="Times New Roman" w:cs="Times New Roman" w:eastAsia="Times New Roman" w:hAnsi="Times New Roman"/>
          <w:sz w:val="17"/>
          <w:szCs w:val="17"/>
          <w:i w:val="1"/>
          <w:iCs w:val="1"/>
          <w:color w:val="auto"/>
        </w:rPr>
        <w:t>Reference Rate Reform (Topic 848): Scope,</w:t>
      </w:r>
      <w:r>
        <w:rPr>
          <w:rFonts w:ascii="Times New Roman" w:cs="Times New Roman" w:eastAsia="Times New Roman" w:hAnsi="Times New Roman"/>
          <w:sz w:val="17"/>
          <w:szCs w:val="17"/>
          <w:color w:val="auto"/>
        </w:rPr>
        <w:t xml:space="preserve"> which expands the scope of Topic 848 to include derivative instruments that are affected by changes in the interest rates used for margining, discounting or contract price alignment as part of the market transition to new reference rates (the "discounting transition"). The Company adopted these ASUs on April 1, 2022, and this did not have a material impact on its condensed consolidated financial statements and related disclosures.</w:t>
      </w:r>
    </w:p>
    <w:p>
      <w:pPr>
        <w:spacing w:after="0" w:line="201" w:lineRule="exact"/>
        <w:rPr>
          <w:sz w:val="20"/>
          <w:szCs w:val="20"/>
          <w:color w:val="auto"/>
        </w:rPr>
      </w:pPr>
    </w:p>
    <w:p>
      <w:pPr>
        <w:ind w:right="8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Financial Instruments - Credit Losses </w:t>
      </w:r>
      <w:r>
        <w:rPr>
          <w:rFonts w:ascii="Times New Roman" w:cs="Times New Roman" w:eastAsia="Times New Roman" w:hAnsi="Times New Roman"/>
          <w:sz w:val="17"/>
          <w:szCs w:val="17"/>
          <w:color w:val="auto"/>
        </w:rPr>
        <w:t>- In March 2022, the FASB issued ASU 2022-02,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Financial Instruments - Credit Losses (Topic 326)</w:t>
      </w:r>
      <w:r>
        <w:rPr>
          <w:rFonts w:ascii="Times New Roman" w:cs="Times New Roman" w:eastAsia="Times New Roman" w:hAnsi="Times New Roman"/>
          <w:sz w:val="17"/>
          <w:szCs w:val="17"/>
          <w:color w:val="auto"/>
        </w:rPr>
        <w:t>. The ASU</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eliminates the accounting guidance for trouble debt restructurings by creditors in Subtopic 310-40, and enhances the disclosure requirements for modifications of loans to borrowers experiencing financial difficulty. Additionally, the ASU requires disclosure of gross writeoffs of receivables by year of origination for receivables within the scope of Subtopic 326-20, </w:t>
      </w:r>
      <w:r>
        <w:rPr>
          <w:rFonts w:ascii="Times New Roman" w:cs="Times New Roman" w:eastAsia="Times New Roman" w:hAnsi="Times New Roman"/>
          <w:sz w:val="17"/>
          <w:szCs w:val="17"/>
          <w:i w:val="1"/>
          <w:iCs w:val="1"/>
          <w:color w:val="auto"/>
        </w:rPr>
        <w:t>Financial Instruments - Credit Losses - Measured at Amortized Cost</w:t>
      </w:r>
      <w:r>
        <w:rPr>
          <w:rFonts w:ascii="Times New Roman" w:cs="Times New Roman" w:eastAsia="Times New Roman" w:hAnsi="Times New Roman"/>
          <w:sz w:val="17"/>
          <w:szCs w:val="17"/>
          <w:color w:val="auto"/>
        </w:rPr>
        <w:t>. This ASU is effective for periods beginning after December 15, 2022. The Company adopted this ASU on April 1, 2022 and it did not have a material impact on its condensed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Not Yet Adopted as of September 30, 2022</w:t>
      </w:r>
    </w:p>
    <w:p>
      <w:pPr>
        <w:spacing w:after="0" w:line="248" w:lineRule="exact"/>
        <w:rPr>
          <w:sz w:val="20"/>
          <w:szCs w:val="20"/>
          <w:color w:val="auto"/>
        </w:rPr>
      </w:pPr>
    </w:p>
    <w:p>
      <w:pPr>
        <w:ind w:right="18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Derivatives and Hedging </w:t>
      </w:r>
      <w:r>
        <w:rPr>
          <w:rFonts w:ascii="Times New Roman" w:cs="Times New Roman" w:eastAsia="Times New Roman" w:hAnsi="Times New Roman"/>
          <w:sz w:val="17"/>
          <w:szCs w:val="17"/>
          <w:color w:val="auto"/>
        </w:rPr>
        <w:t>- In March 2022, the FASB issued ASU 2022-01,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Derivatives and Hedging - Fair Value Hedging - Portfolio Layer Method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(Topic 815)</w:t>
      </w:r>
      <w:r>
        <w:rPr>
          <w:rFonts w:ascii="Times New Roman" w:cs="Times New Roman" w:eastAsia="Times New Roman" w:hAnsi="Times New Roman"/>
          <w:sz w:val="17"/>
          <w:szCs w:val="17"/>
          <w:color w:val="auto"/>
        </w:rPr>
        <w:t>. The ASU expands the scope of permissible hedging, and permits the use of different derivative structures as hedging instruments. The ASU also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clarifies the certain terms for partial-term fair value hedges of interest rate risk. This ASU is effective for periods beginning after December 15, 2022. The Company is currently evaluating the impact of this ASU but does not expect it to have a material impact on its condensed consolidated financial statements.</w:t>
      </w:r>
    </w:p>
    <w:p>
      <w:pPr>
        <w:spacing w:after="0" w:line="188" w:lineRule="exact"/>
        <w:rPr>
          <w:sz w:val="20"/>
          <w:szCs w:val="20"/>
          <w:color w:val="auto"/>
        </w:rPr>
      </w:pPr>
    </w:p>
    <w:p>
      <w:pPr>
        <w:jc w:val="both"/>
        <w:ind w:right="22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Fair Value Measurement </w:t>
      </w:r>
      <w:r>
        <w:rPr>
          <w:rFonts w:ascii="Times New Roman" w:cs="Times New Roman" w:eastAsia="Times New Roman" w:hAnsi="Times New Roman"/>
          <w:sz w:val="17"/>
          <w:szCs w:val="17"/>
          <w:color w:val="auto"/>
        </w:rPr>
        <w:t>- In June 2022, the FASB issued ASU 2022-03,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Fair Value Measurement of Equity Securities Subject to Contractual Sale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Restrictions (Topic 326)</w:t>
      </w:r>
      <w:r>
        <w:rPr>
          <w:rFonts w:ascii="Times New Roman" w:cs="Times New Roman" w:eastAsia="Times New Roman" w:hAnsi="Times New Roman"/>
          <w:sz w:val="17"/>
          <w:szCs w:val="17"/>
          <w:color w:val="auto"/>
        </w:rPr>
        <w:t>. The ASU clarifies the impact of contractual sale restrictions on the fair value of an equity security. Additionally, this ASU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of the nature and remaining duration of the sale restriction. This ASU is effective for periods beginning after December 15, 2023. The Company is currently evaluating the impact of this ASU but does not expect it to have a material impact on its condensed consolidated financial statements.</w:t>
      </w:r>
    </w:p>
    <w:p>
      <w:pPr>
        <w:spacing w:after="0" w:line="188" w:lineRule="exact"/>
        <w:rPr>
          <w:sz w:val="20"/>
          <w:szCs w:val="20"/>
          <w:color w:val="auto"/>
        </w:rPr>
      </w:pPr>
    </w:p>
    <w:p>
      <w:pPr>
        <w:ind w:right="12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Liabilities - Supplier Finance Programs </w:t>
      </w:r>
      <w:r>
        <w:rPr>
          <w:rFonts w:ascii="Times New Roman" w:cs="Times New Roman" w:eastAsia="Times New Roman" w:hAnsi="Times New Roman"/>
          <w:sz w:val="17"/>
          <w:szCs w:val="17"/>
          <w:color w:val="auto"/>
        </w:rPr>
        <w:t>- In September 2022, the FASB issued ASU 2022 -03,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Liabilities—Supplier Finance Programs (Subtopic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405-50)</w:t>
      </w:r>
      <w:r>
        <w:rPr>
          <w:rFonts w:ascii="Times New Roman" w:cs="Times New Roman" w:eastAsia="Times New Roman" w:hAnsi="Times New Roman"/>
          <w:sz w:val="17"/>
          <w:szCs w:val="17"/>
          <w:color w:val="auto"/>
        </w:rPr>
        <w:t>. This ASU requires new quantitative and qualitative disclosure requirements for a buyer who enters into supplier financing programs. This ASU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for periods beginning after December 15, 2023. The Company is currently evaluating the impact of this ASU but does not expect it to have a material impact on its condensed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3. Earnings per Share</w:t>
      </w:r>
    </w:p>
    <w:p>
      <w:pPr>
        <w:spacing w:after="0" w:line="252" w:lineRule="exact"/>
        <w:rPr>
          <w:sz w:val="20"/>
          <w:szCs w:val="20"/>
          <w:color w:val="auto"/>
        </w:rPr>
      </w:pPr>
    </w:p>
    <w:p>
      <w:pPr>
        <w:ind w:right="680" w:firstLine="629"/>
        <w:spacing w:after="0" w:line="277" w:lineRule="auto"/>
        <w:rPr>
          <w:sz w:val="20"/>
          <w:szCs w:val="20"/>
          <w:color w:val="auto"/>
        </w:rPr>
      </w:pPr>
      <w:r>
        <w:rPr>
          <w:rFonts w:ascii="Times New Roman" w:cs="Times New Roman" w:eastAsia="Times New Roman" w:hAnsi="Times New Roman"/>
          <w:sz w:val="17"/>
          <w:szCs w:val="17"/>
          <w:color w:val="auto"/>
        </w:rPr>
        <w:t>The below table contains a reconciliation of Net income before income taxes and noncontrolling interest to Net income available for common stockholders: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598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101,606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145,099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517,103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769,887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21,732</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21,961</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88,405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128,611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79,874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123,138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428,698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641,276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(39,867)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(52,631)</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(191,264)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40,007</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70,507</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237,434</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80" w:type="dxa"/>
            <w:vAlign w:val="bottom"/>
            <w:tcBorders>
              <w:top w:val="single" w:sz="8" w:color="CCEEFF"/>
              <w:bottom w:val="single" w:sz="8" w:color="CCEEFF"/>
            </w:tcBorders>
            <w:gridSpan w:val="2"/>
            <w:vMerge w:val="restart"/>
          </w:tcPr>
          <w:p>
            <w:pPr>
              <w:ind w:left="560"/>
              <w:spacing w:after="0"/>
              <w:rPr>
                <w:sz w:val="20"/>
                <w:szCs w:val="20"/>
                <w:color w:val="auto"/>
              </w:rPr>
            </w:pPr>
            <w:r>
              <w:rPr>
                <w:rFonts w:ascii="Times New Roman" w:cs="Times New Roman" w:eastAsia="Times New Roman" w:hAnsi="Times New Roman"/>
                <w:sz w:val="17"/>
                <w:szCs w:val="17"/>
                <w:color w:val="auto"/>
              </w:rPr>
              <w:t>The calculation of basic and diluted earnings per share is presented below:</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0" w:type="dxa"/>
            <w:vAlign w:val="bottom"/>
          </w:tcPr>
          <w:p>
            <w:pPr>
              <w:spacing w:after="0"/>
              <w:rPr>
                <w:sz w:val="24"/>
                <w:szCs w:val="24"/>
                <w:color w:val="auto"/>
              </w:rPr>
            </w:pPr>
          </w:p>
        </w:tc>
        <w:tc>
          <w:tcPr>
            <w:tcW w:w="59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40,007</w:t>
            </w:r>
          </w:p>
        </w:tc>
        <w:tc>
          <w:tcPr>
            <w:tcW w:w="40" w:type="dxa"/>
            <w:vAlign w:val="bottom"/>
          </w:tcPr>
          <w:p>
            <w:pPr>
              <w:spacing w:after="0"/>
              <w:rPr>
                <w:sz w:val="16"/>
                <w:szCs w:val="16"/>
                <w:color w:val="auto"/>
              </w:rPr>
            </w:pPr>
          </w:p>
        </w:tc>
        <w:tc>
          <w:tcPr>
            <w:tcW w:w="3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70,507</w:t>
            </w:r>
          </w:p>
        </w:tc>
        <w:tc>
          <w:tcPr>
            <w:tcW w:w="40" w:type="dxa"/>
            <w:vAlign w:val="bottom"/>
          </w:tcPr>
          <w:p>
            <w:pPr>
              <w:spacing w:after="0"/>
              <w:rPr>
                <w:sz w:val="16"/>
                <w:szCs w:val="16"/>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237,434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Dividends and undistributed earnings allocated to participating securities</w:t>
            </w: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(8,726)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(10,335)</w:t>
            </w:r>
          </w:p>
        </w:tc>
        <w:tc>
          <w:tcPr>
            <w:tcW w:w="0" w:type="dxa"/>
            <w:vAlign w:val="bottom"/>
          </w:tcPr>
          <w:p>
            <w:pPr>
              <w:spacing w:after="0"/>
              <w:rPr>
                <w:sz w:val="1"/>
                <w:szCs w:val="1"/>
                <w:color w:val="auto"/>
              </w:rPr>
            </w:pPr>
          </w:p>
        </w:tc>
      </w:tr>
      <w:tr>
        <w:trPr>
          <w:trHeight w:val="115"/>
        </w:trPr>
        <w:tc>
          <w:tcPr>
            <w:tcW w:w="602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color w:val="auto"/>
              </w:rPr>
              <w:t>Net income available for common stockholders, net of dividends and undistributed earnings allocated to</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38,445</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68,285</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228,708</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362,487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6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participating securities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102,289,172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115,770,457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105,500,700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119,148,571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gridSpan w:val="2"/>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gridSpan w:val="2"/>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gridSpan w:val="2"/>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598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59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color w:val="auto"/>
              </w:rPr>
              <w:t>Net income available for common stockholders, net of dividends and undistributed earnings allocated to</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38,445</w:t>
            </w:r>
          </w:p>
        </w:tc>
        <w:tc>
          <w:tcPr>
            <w:tcW w:w="40" w:type="dxa"/>
            <w:vAlign w:val="bottom"/>
          </w:tcPr>
          <w:p>
            <w:pPr>
              <w:spacing w:after="0"/>
              <w:rPr>
                <w:sz w:val="11"/>
                <w:szCs w:val="11"/>
                <w:color w:val="auto"/>
              </w:rPr>
            </w:pPr>
          </w:p>
        </w:tc>
        <w:tc>
          <w:tcPr>
            <w:tcW w:w="34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68,285</w:t>
            </w:r>
          </w:p>
        </w:tc>
        <w:tc>
          <w:tcPr>
            <w:tcW w:w="40" w:type="dxa"/>
            <w:vAlign w:val="bottom"/>
          </w:tcPr>
          <w:p>
            <w:pPr>
              <w:spacing w:after="0"/>
              <w:rPr>
                <w:sz w:val="11"/>
                <w:szCs w:val="11"/>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228,708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362,487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participating securities</w:t>
            </w:r>
          </w:p>
        </w:tc>
        <w:tc>
          <w:tcPr>
            <w:tcW w:w="200" w:type="dxa"/>
            <w:vAlign w:val="bottom"/>
            <w:gridSpan w:val="3"/>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Issued and outstanding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102,289,172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115,770,457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105,500,700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119,148,571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5980" w:type="dxa"/>
            <w:vAlign w:val="bottom"/>
            <w:gridSpan w:val="2"/>
            <w:shd w:val="clear" w:color="auto" w:fill="CCEEFF"/>
          </w:tcPr>
          <w:p>
            <w:pPr>
              <w:ind w:left="320"/>
              <w:spacing w:after="0" w:line="138" w:lineRule="exact"/>
              <w:rPr>
                <w:sz w:val="20"/>
                <w:szCs w:val="20"/>
                <w:color w:val="auto"/>
              </w:rPr>
            </w:pPr>
            <w:r>
              <w:rPr>
                <w:rFonts w:ascii="Times New Roman" w:cs="Times New Roman" w:eastAsia="Times New Roman" w:hAnsi="Times New Roman"/>
                <w:sz w:val="14"/>
                <w:szCs w:val="14"/>
                <w:color w:val="auto"/>
              </w:rPr>
              <w:t>Issuable pursuant to Amended and Restated 2015 Management Incentive Plan, Amended and</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98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4"/>
                <w:szCs w:val="14"/>
                <w:color w:val="auto"/>
              </w:rPr>
              <w:t>Restated Investment Technology Group, Inc. 2007 Omnibus Equity Compensation Plan, and</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261,680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852,657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503,693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1,224,589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9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Warrants issued in connection with the Founder Member Loan</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102,550,852</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116,623,114</w:t>
            </w: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106,004,393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120,373,160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80" w:type="dxa"/>
            <w:vAlign w:val="bottom"/>
            <w:gridSpan w:val="2"/>
            <w:shd w:val="clear" w:color="auto" w:fill="CCEEFF"/>
          </w:tcPr>
          <w:p>
            <w:pPr>
              <w:spacing w:after="0"/>
              <w:rPr>
                <w:sz w:val="18"/>
                <w:szCs w:val="18"/>
                <w:color w:val="auto"/>
              </w:rPr>
            </w:pPr>
          </w:p>
        </w:tc>
        <w:tc>
          <w:tcPr>
            <w:tcW w:w="200" w:type="dxa"/>
            <w:vAlign w:val="bottom"/>
            <w:gridSpan w:val="3"/>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00" w:type="dxa"/>
            <w:vAlign w:val="bottom"/>
            <w:gridSpan w:val="2"/>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40" w:type="dxa"/>
            <w:vAlign w:val="bottom"/>
            <w:tcBorders>
              <w:top w:val="single" w:sz="8" w:color="auto"/>
              <w:bottom w:val="single" w:sz="8" w:color="auto"/>
            </w:tcBorders>
          </w:tcPr>
          <w:p>
            <w:pPr>
              <w:spacing w:after="0"/>
              <w:rPr>
                <w:sz w:val="15"/>
                <w:szCs w:val="15"/>
                <w:color w:val="auto"/>
              </w:rPr>
            </w:pPr>
          </w:p>
        </w:tc>
        <w:tc>
          <w:tcPr>
            <w:tcW w:w="180" w:type="dxa"/>
            <w:vAlign w:val="bottom"/>
            <w:gridSpan w:val="2"/>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4. Tax Receivable Agreements</w:t>
      </w:r>
    </w:p>
    <w:p>
      <w:pPr>
        <w:spacing w:after="0" w:line="357" w:lineRule="exact"/>
        <w:rPr>
          <w:sz w:val="20"/>
          <w:szCs w:val="20"/>
          <w:color w:val="auto"/>
        </w:rPr>
      </w:pPr>
    </w:p>
    <w:p>
      <w:pPr>
        <w:ind w:right="720" w:firstLine="629"/>
        <w:spacing w:after="0" w:line="296" w:lineRule="auto"/>
        <w:rPr>
          <w:sz w:val="20"/>
          <w:szCs w:val="20"/>
          <w:color w:val="auto"/>
        </w:rPr>
      </w:pPr>
      <w:r>
        <w:rPr>
          <w:rFonts w:ascii="Times New Roman" w:cs="Times New Roman" w:eastAsia="Times New Roman" w:hAnsi="Times New Roman"/>
          <w:sz w:val="17"/>
          <w:szCs w:val="17"/>
          <w:color w:val="auto"/>
        </w:rPr>
        <w:t>For a detailed discussion of the Company's tax receivable agreements, see Note 6 "Tax Receivable Agreements" in our consolidated financial statements included in Part II, Item 8 of our Annual Report on Form 10-K for the year ended December 31, 2021.</w:t>
      </w:r>
    </w:p>
    <w:p>
      <w:pPr>
        <w:spacing w:after="0" w:line="278"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198"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 Company made its first payment of $7.0 million in February 2017, its second payment of $12.4 million in September 2018, its third payment of $13.3 million in March 2020, its fourth payment of $16.5 million in April 2021, and its fifth payment of $21.3 million in March 2022. Tax receivable payments are expected to range from approximately $0.4 million to $22.0 million per year over the next 15 years.</w:t>
      </w:r>
    </w:p>
    <w:p>
      <w:pPr>
        <w:spacing w:after="0" w:line="190"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At September 30, 2022 and December 31, 2021, the Company’s remaining deferred tax assets that relate to the matters described above were approximately $165.3 million and $180.4 million, respectively, and the Company’s liabilities over the next 15 years pursuant to the tax receivable agreements were approximately $237.9 million and $259.3 million, respectively. The amounts recorded as of September 30, 2022 and December 31, 2021 are based on best estimates available at the respective dates and may be subject to change after the filing of the Company’s U.S. federal and state income tax returns for the years in which tax savings were realized.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Goodwill and Intangible Assets</w:t>
      </w:r>
    </w:p>
    <w:p>
      <w:pPr>
        <w:spacing w:after="0" w:line="252"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As of September 30, 2022 and December 31, 2021, the Company’s total amount of goodwill recorded was $1,148.9 million. No goodwill impairment was recognized during the three and nine months ended September 30, 2022 and 2021.</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details of goodwill by segment as of September 30, 2022 and December 31, 2021:</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5"/>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period-end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755,292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393,634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1,148,926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2022 and December 31, 2021, the Company's total amount of intangible assets recorded was $337.5 million and $386.3 million, respectively. Acquired intangible assets consisted of the following as of September 30, 2022 and December 31, 2021:</w:t>
      </w:r>
    </w:p>
    <w:p>
      <w:pPr>
        <w:spacing w:after="0" w:line="75"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26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6"/>
                <w:szCs w:val="16"/>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486,600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(178,025)</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308,575</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(114,253)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21,747</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15" w:name="page16"/>
    <w:bookmarkEnd w:id="15"/>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0"/>
                <w:szCs w:val="10"/>
                <w:color w:val="auto"/>
              </w:rPr>
            </w:pPr>
          </w:p>
        </w:tc>
        <w:tc>
          <w:tcPr>
            <w:tcW w:w="12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486,600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(142,142)</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344,458</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(102,088)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33,912</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29"/>
        <w:spacing w:after="0" w:line="274" w:lineRule="auto"/>
        <w:rPr>
          <w:sz w:val="20"/>
          <w:szCs w:val="20"/>
          <w:color w:val="auto"/>
        </w:rPr>
      </w:pPr>
      <w:r>
        <w:rPr>
          <w:rFonts w:ascii="Times New Roman" w:cs="Times New Roman" w:eastAsia="Times New Roman" w:hAnsi="Times New Roman"/>
          <w:sz w:val="17"/>
          <w:szCs w:val="17"/>
          <w:color w:val="auto"/>
        </w:rPr>
        <w:t>Amortization expense relating to finite-lived intangible assets was approximately $16.1 million and $16.9 million for the three months ended September 30, 2022 and 2021, respectively, and $48.8 million and $53.1 million for the nine months ended September 30, 2022 and 2021, respectively. This is included in Amortization of purchased intangibles and acquired capitalized software in the accompanying Condensed Consolidated Statements of Comprehensive Income.</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expects to record amortization expense as follows over the next five subsequent years:</w:t>
      </w:r>
    </w:p>
    <w:p>
      <w:pPr>
        <w:spacing w:after="0" w:line="283" w:lineRule="exact"/>
        <w:rPr>
          <w:sz w:val="20"/>
          <w:szCs w:val="20"/>
          <w:color w:val="auto"/>
        </w:rPr>
      </w:pPr>
    </w:p>
    <w:tbl>
      <w:tblPr>
        <w:tblLayout w:type="fixed"/>
        <w:tblInd w:w="3420" w:type="dxa"/>
        <w:tblCellMar>
          <w:top w:w="0" w:type="dxa"/>
          <w:left w:w="0" w:type="dxa"/>
          <w:bottom w:w="0" w:type="dxa"/>
          <w:right w:w="0" w:type="dxa"/>
        </w:tblCellMar>
      </w:tblPr>
      <w:tr>
        <w:trPr>
          <w:trHeight w:val="184"/>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2022</w:t>
            </w:r>
          </w:p>
        </w:tc>
        <w:tc>
          <w:tcPr>
            <w:tcW w:w="16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16,020</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6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63,960</w:t>
            </w: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50,845</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47,879</w:t>
            </w: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47,879</w:t>
            </w: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901"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6. Receivables from/Payables to Broker-Dealers and Clearing Organizations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is a summary of receivables from and payables to brokers-dealers and clearing organizations at September 30, 2022 and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w:t>
      </w:r>
    </w:p>
    <w:p>
      <w:pPr>
        <w:spacing w:after="0" w:line="239"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from prime brokers</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836,805</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287,991</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161,928</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98,302</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164,195</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deliver</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290,207</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24,184</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receivables from broker-dealers and clearing organizations</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1,515,043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1,026,807</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prime brokers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326,188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497,972</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 (1)</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(57,226)</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receive</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128,392</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payables to broker-dealers and clearing organizations</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680,530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571,526</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20" w:right="180" w:hanging="315"/>
        <w:spacing w:after="0" w:line="295" w:lineRule="auto"/>
        <w:tabs>
          <w:tab w:leader="none" w:pos="27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Included as a deduction from “Due from prime brokers” and “Net equity with futures commission merchants” is the outstanding principal balance on all of the Company’s prime brokerage credit facilities (described in Note 8 "Borrowings") of approximately $157.6 million and $177.1 million as of September 30, 2022 and December 31, 2021,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Collateralized Transactions</w:t>
      </w:r>
    </w:p>
    <w:p>
      <w:pPr>
        <w:spacing w:after="0" w:line="252" w:lineRule="exact"/>
        <w:rPr>
          <w:sz w:val="20"/>
          <w:szCs w:val="20"/>
          <w:color w:val="auto"/>
        </w:rPr>
      </w:pPr>
    </w:p>
    <w:p>
      <w:pPr>
        <w:ind w:right="460" w:firstLine="629"/>
        <w:spacing w:after="0" w:line="276" w:lineRule="auto"/>
        <w:rPr>
          <w:sz w:val="20"/>
          <w:szCs w:val="20"/>
          <w:color w:val="auto"/>
        </w:rPr>
      </w:pPr>
      <w:r>
        <w:rPr>
          <w:rFonts w:ascii="Times New Roman" w:cs="Times New Roman" w:eastAsia="Times New Roman" w:hAnsi="Times New Roman"/>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September 30, 2022 and December 31, 2021, substantially all of the securities received as collateral have been repledged.</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fair value of the collateralized transactions at September 30, 2022 and December 31, 2021 are summarized as follows:</w:t>
      </w:r>
    </w:p>
    <w:p>
      <w:pPr>
        <w:spacing w:after="0" w:line="4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received as collateral:</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9"/>
        </w:trPr>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Securities borrowed</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1,218,529</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1,299,270</w:t>
            </w:r>
          </w:p>
        </w:tc>
      </w:tr>
      <w:tr>
        <w:trPr>
          <w:trHeight w:val="197"/>
        </w:trPr>
        <w:tc>
          <w:tcPr>
            <w:tcW w:w="7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r>
      <w:tr>
        <w:trPr>
          <w:trHeight w:val="190"/>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1,265,101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1,418,723</w:t>
            </w:r>
          </w:p>
        </w:tc>
      </w:tr>
      <w:tr>
        <w:trPr>
          <w:trHeight w:val="26"/>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right="540" w:firstLine="629"/>
        <w:spacing w:after="0" w:line="296" w:lineRule="auto"/>
        <w:rPr>
          <w:sz w:val="20"/>
          <w:szCs w:val="20"/>
          <w:color w:val="auto"/>
        </w:rPr>
      </w:pPr>
      <w:r>
        <w:rPr>
          <w:rFonts w:ascii="Times New Roman" w:cs="Times New Roman" w:eastAsia="Times New Roman" w:hAnsi="Times New Roman"/>
          <w:sz w:val="17"/>
          <w:szCs w:val="17"/>
          <w:color w:val="auto"/>
        </w:rPr>
        <w:t>In the normal course of business, the Company pledges qualified securities with clearing organizations to satisfy daily margin and clearing fund requirements.</w:t>
      </w:r>
    </w:p>
    <w:p>
      <w:pPr>
        <w:spacing w:after="0" w:line="173"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Financial instruments owned and pledged, where the counterparty has the right to repledge, at September 30, 2022 and December 31, 2021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17" w:name="page18"/>
    <w:bookmarkEnd w:id="17"/>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1,044,809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1,012,569</w:t>
            </w:r>
          </w:p>
        </w:tc>
      </w:tr>
      <w:tr>
        <w:trPr>
          <w:trHeight w:val="19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Exchange traded notes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5,391</w:t>
            </w:r>
          </w:p>
        </w:tc>
      </w:tr>
      <w:tr>
        <w:trPr>
          <w:trHeight w:val="215"/>
        </w:trPr>
        <w:tc>
          <w:tcPr>
            <w:tcW w:w="7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1,056,913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1,017,960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Borrowings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Borrowings, net</w:t>
      </w:r>
    </w:p>
    <w:p>
      <w:pPr>
        <w:spacing w:after="0" w:line="254"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The following summarizes the Company's short-term borrowing balances outstanding, net of related debt issuance costs, with each described in further detail below.</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center"/>
              <w:ind w:right="30"/>
              <w:spacing w:after="0" w:line="124"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196"/>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168,000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167,450</w:t>
            </w: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168,000</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167,450</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195"/>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19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bank loans</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5,056</w:t>
            </w:r>
          </w:p>
        </w:tc>
        <w:tc>
          <w:tcPr>
            <w:tcW w:w="0" w:type="dxa"/>
            <w:vAlign w:val="bottom"/>
          </w:tcPr>
          <w:p>
            <w:pPr>
              <w:spacing w:after="0"/>
              <w:rPr>
                <w:sz w:val="1"/>
                <w:szCs w:val="1"/>
                <w:color w:val="auto"/>
              </w:rPr>
            </w:pPr>
          </w:p>
        </w:tc>
      </w:tr>
      <w:tr>
        <w:trPr>
          <w:trHeight w:val="215"/>
        </w:trPr>
        <w:tc>
          <w:tcPr>
            <w:tcW w:w="4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61,510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Broker-Dealer Credit Facilities</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SOFR or base rate plus 1.25% per annum. Borrowing Base B Loans are subject to a sublimit of $200 million and bear interest at the adjusted SOFR or base rate plus 2.50% per annum. A commitment fee of 0.50% per annum on the average daily unused portion of this facility is payable quarterly in arrears.</w:t>
      </w:r>
    </w:p>
    <w:p>
      <w:pPr>
        <w:spacing w:after="0" w:line="205"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On May 25, 2022, Virtu Financial Singapore Pte. Ltd. entered into a revolving credit facility with a financial institution (the "Overdraft Facility") to provide a source of short-term financing. The facility has an aggregate borrowing limit of $10 million, and bears interest at the adjusted SOFR or base rate plus 3.5% per annum.</w:t>
      </w:r>
    </w:p>
    <w:p>
      <w:pPr>
        <w:spacing w:after="0" w:line="190"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17 "Capital Structure".</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broker-dealer credit facilities' carrying values, net of unamortized debt issuance costs, where applicable.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balances are included within Short-term borrowings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1" w:right="379" w:bottom="1440" w:gutter="0" w:footer="0" w:header="0"/>
        </w:sectPr>
      </w:pPr>
    </w:p>
    <w:bookmarkStart w:id="18" w:name="page19"/>
    <w:bookmarkEnd w:id="18"/>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At September 30, 2022</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200" w:type="dxa"/>
            <w:vAlign w:val="bottom"/>
          </w:tcPr>
          <w:p>
            <w:pPr>
              <w:spacing w:after="0"/>
              <w:rPr>
                <w:sz w:val="10"/>
                <w:szCs w:val="10"/>
                <w:color w:val="auto"/>
              </w:rPr>
            </w:pPr>
          </w:p>
        </w:tc>
        <w:tc>
          <w:tcPr>
            <w:tcW w:w="132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80" w:type="dxa"/>
            <w:vAlign w:val="bottom"/>
          </w:tcPr>
          <w:p>
            <w:pPr>
              <w:jc w:val="right"/>
              <w:ind w:right="29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158,000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157,450</w:t>
            </w:r>
          </w:p>
        </w:tc>
        <w:tc>
          <w:tcPr>
            <w:tcW w:w="0" w:type="dxa"/>
            <w:vAlign w:val="bottom"/>
          </w:tcPr>
          <w:p>
            <w:pPr>
              <w:spacing w:after="0"/>
              <w:rPr>
                <w:sz w:val="1"/>
                <w:szCs w:val="1"/>
                <w:color w:val="auto"/>
              </w:rPr>
            </w:pPr>
          </w:p>
        </w:tc>
      </w:tr>
      <w:tr>
        <w:trPr>
          <w:trHeight w:val="204"/>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Overdraft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15"/>
        </w:trPr>
        <w:tc>
          <w:tcPr>
            <w:tcW w:w="3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167,450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At December 31, 2021</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200" w:type="dxa"/>
            <w:vAlign w:val="bottom"/>
          </w:tcPr>
          <w:p>
            <w:pPr>
              <w:spacing w:after="0"/>
              <w:rPr>
                <w:sz w:val="10"/>
                <w:szCs w:val="10"/>
                <w:color w:val="auto"/>
              </w:rPr>
            </w:pPr>
          </w:p>
        </w:tc>
        <w:tc>
          <w:tcPr>
            <w:tcW w:w="132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80" w:type="dxa"/>
            <w:vAlign w:val="bottom"/>
          </w:tcPr>
          <w:p>
            <w:pPr>
              <w:jc w:val="right"/>
              <w:ind w:right="290"/>
              <w:spacing w:after="0" w:line="12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6"/>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197"/>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300" w:firstLine="629"/>
        <w:spacing w:after="0" w:line="296" w:lineRule="auto"/>
        <w:rPr>
          <w:sz w:val="20"/>
          <w:szCs w:val="20"/>
          <w:color w:val="auto"/>
        </w:rPr>
      </w:pPr>
      <w:r>
        <w:rPr>
          <w:rFonts w:ascii="Times New Roman" w:cs="Times New Roman" w:eastAsia="Times New Roman" w:hAnsi="Times New Roman"/>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0" w:type="dxa"/>
            <w:vAlign w:val="bottom"/>
          </w:tcPr>
          <w:p>
            <w:pPr>
              <w:spacing w:after="0"/>
              <w:rPr>
                <w:sz w:val="1"/>
                <w:szCs w:val="1"/>
                <w:color w:val="auto"/>
              </w:rPr>
            </w:pPr>
          </w:p>
        </w:tc>
      </w:tr>
      <w:tr>
        <w:trPr>
          <w:trHeight w:val="204"/>
        </w:trPr>
        <w:tc>
          <w:tcPr>
            <w:tcW w:w="5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3"/>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Bank Loans</w:t>
      </w:r>
    </w:p>
    <w:p>
      <w:pPr>
        <w:spacing w:after="0" w:line="252"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The Company’s international securities clearance and settlement activities are funded with operating cash or with short-term bank loans in the form of overdraft facilities. At September 30, 2022, there was no balance associated with international settlement activities outstanding under these facilities. At December 31, 2021, there was $5.1 million associated with international settlement activities outstanding under these facilities at a weighted average interest rate of approximately 4.2%. These short-term bank loan balances are included within Short-term borrowings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i w:val="1"/>
          <w:iCs w:val="1"/>
          <w:color w:val="auto"/>
        </w:rPr>
        <w:t>Prime Brokerage Credit Facilities</w:t>
      </w:r>
    </w:p>
    <w:p>
      <w:pPr>
        <w:spacing w:after="0" w:line="254" w:lineRule="exact"/>
        <w:rPr>
          <w:sz w:val="20"/>
          <w:szCs w:val="20"/>
          <w:color w:val="auto"/>
        </w:rPr>
      </w:pPr>
    </w:p>
    <w:p>
      <w:pPr>
        <w:jc w:val="both"/>
        <w:ind w:right="360" w:firstLine="629"/>
        <w:spacing w:after="0" w:line="276" w:lineRule="auto"/>
        <w:rPr>
          <w:sz w:val="20"/>
          <w:szCs w:val="20"/>
          <w:color w:val="auto"/>
        </w:rPr>
      </w:pPr>
      <w:r>
        <w:rPr>
          <w:rFonts w:ascii="Times New Roman" w:cs="Times New Roman" w:eastAsia="Times New Roman" w:hAnsi="Times New Roman"/>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At September 30, 2022</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4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60" w:type="dxa"/>
            <w:vAlign w:val="bottom"/>
          </w:tcPr>
          <w:p>
            <w:pPr>
              <w:spacing w:after="0"/>
              <w:rPr>
                <w:sz w:val="10"/>
                <w:szCs w:val="10"/>
                <w:color w:val="auto"/>
              </w:rPr>
            </w:pPr>
          </w:p>
        </w:tc>
        <w:tc>
          <w:tcPr>
            <w:tcW w:w="208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6"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220" w:type="dxa"/>
            <w:vAlign w:val="bottom"/>
            <w:gridSpan w:val="2"/>
            <w:vMerge w:val="continue"/>
          </w:tcPr>
          <w:p>
            <w:pPr>
              <w:spacing w:after="0"/>
              <w:rPr>
                <w:sz w:val="16"/>
                <w:szCs w:val="16"/>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260" w:type="dxa"/>
            <w:vAlign w:val="bottom"/>
          </w:tcPr>
          <w:p>
            <w:pPr>
              <w:spacing w:after="0"/>
              <w:rPr>
                <w:sz w:val="16"/>
                <w:szCs w:val="16"/>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6.25%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157,641</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157,641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At December 31, 2021</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23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60" w:type="dxa"/>
            <w:vAlign w:val="bottom"/>
          </w:tcPr>
          <w:p>
            <w:pPr>
              <w:spacing w:after="0"/>
              <w:rPr>
                <w:sz w:val="10"/>
                <w:szCs w:val="10"/>
                <w:color w:val="auto"/>
              </w:rPr>
            </w:pPr>
          </w:p>
        </w:tc>
        <w:tc>
          <w:tcPr>
            <w:tcW w:w="208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2.91%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177,080</w:t>
            </w: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177,080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Outstanding borrowings are included with Receivables from/Payables to broker-dealers and clearing organizations within the Condensed Consolidated Statements of Financial Condition.</w:t>
      </w:r>
    </w:p>
    <w:p>
      <w:pPr>
        <w:spacing w:after="0" w:line="236"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Interest expense in relation to the facilities was $2.6 million and $1.4 million for the three months ended September 30, 2022 and 2021, and $5.9 million and $3.5 million for the nine months ended September 30, 2022 and 2021,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Borrowings</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long-term borrowings, net of unamortized discount and debt issuance costs, where applicable:</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At September 30, 2022</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0"/>
                <w:szCs w:val="10"/>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86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1,767,888</w:t>
            </w:r>
          </w:p>
        </w:tc>
        <w:tc>
          <w:tcPr>
            <w:tcW w:w="0" w:type="dxa"/>
            <w:vAlign w:val="bottom"/>
          </w:tcPr>
          <w:p>
            <w:pPr>
              <w:spacing w:after="0"/>
              <w:rPr>
                <w:sz w:val="1"/>
                <w:szCs w:val="1"/>
                <w:color w:val="auto"/>
              </w:rPr>
            </w:pPr>
          </w:p>
        </w:tc>
      </w:tr>
      <w:tr>
        <w:trPr>
          <w:trHeight w:val="197"/>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24,175</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1,824,181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1,792,063</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2021</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0"/>
                <w:szCs w:val="10"/>
                <w:color w:val="auto"/>
              </w:rPr>
            </w:pPr>
          </w:p>
        </w:tc>
        <w:tc>
          <w:tcPr>
            <w:tcW w:w="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27"/>
        </w:trPr>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March 2026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1,599,774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1,574,431</w:t>
            </w:r>
          </w:p>
        </w:tc>
        <w:tc>
          <w:tcPr>
            <w:tcW w:w="0" w:type="dxa"/>
            <w:vAlign w:val="bottom"/>
          </w:tcPr>
          <w:p>
            <w:pPr>
              <w:spacing w:after="0"/>
              <w:rPr>
                <w:sz w:val="1"/>
                <w:szCs w:val="1"/>
                <w:color w:val="auto"/>
              </w:rPr>
            </w:pPr>
          </w:p>
        </w:tc>
      </w:tr>
      <w:tr>
        <w:trPr>
          <w:trHeight w:val="197"/>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30,701</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1,630,496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1,605,132</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Agreements</w:t>
      </w:r>
    </w:p>
    <w:p>
      <w:pPr>
        <w:spacing w:after="0" w:line="252" w:lineRule="exact"/>
        <w:rPr>
          <w:sz w:val="20"/>
          <w:szCs w:val="20"/>
          <w:color w:val="auto"/>
        </w:rPr>
      </w:pPr>
    </w:p>
    <w:p>
      <w:pPr>
        <w:ind w:right="340" w:firstLine="629"/>
        <w:spacing w:after="0" w:line="276" w:lineRule="auto"/>
        <w:rPr>
          <w:sz w:val="20"/>
          <w:szCs w:val="20"/>
          <w:color w:val="auto"/>
        </w:rPr>
      </w:pPr>
      <w:r>
        <w:rPr>
          <w:rFonts w:ascii="Times New Roman" w:cs="Times New Roman" w:eastAsia="Times New Roman" w:hAnsi="Times New Roman"/>
          <w:sz w:val="17"/>
          <w:szCs w:val="17"/>
          <w:color w:val="auto"/>
        </w:rPr>
        <w:t>In connection with the ITG Acquisition, Virtu Financial, VFH, and Impala Borrower LLC (the "Acquisition Borrower") entered into a credit agreement, with the lenders party thereto, Jefferies Finance LLC, as administrative agent and Jefferies Finance LLC and RBC Capital Markets, as joint lead arrangers and joint bookrunners (the "Acquisition Credit Agreement").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20" w:name="page21"/>
    <w:bookmarkEnd w:id="20"/>
    <w:p>
      <w:pPr>
        <w:ind w:right="40" w:firstLine="629"/>
        <w:spacing w:after="0" w:line="243" w:lineRule="auto"/>
        <w:rPr>
          <w:sz w:val="20"/>
          <w:szCs w:val="20"/>
          <w:color w:val="auto"/>
        </w:rPr>
      </w:pPr>
      <w:r>
        <w:rPr>
          <w:rFonts w:ascii="Times New Roman" w:cs="Times New Roman" w:eastAsia="Times New Roman" w:hAnsi="Times New Roman"/>
          <w:sz w:val="17"/>
          <w:szCs w:val="17"/>
          <w:color w:val="auto"/>
        </w:rPr>
        <w:t>The Acquisition Credit Agreement provided (i) a senior secured first lien term loan (together with the Acquisition Incremental Term Loans, as defined below; the “Acquisition First Lien Term Loan Facility”) in an aggregate principal amount of $1,500 million, drawn in its entirety on the ITG Closing Date, of which amount approximately $404.5 million was borrowed by VFH to repay all amounts outstanding under a previous term loan facility and the remaining approximately $1,095 million was borrowed by Impala Borrower LLC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ITG Closing Date, VFH assumed the obligations of the Acquisition Borrower in respect of the acquisition term loans. On October 9, 2019, VFH entered into an amendment,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which further amended the Acquisition Credit Agreement to, among other things, reduce the interest rate spread over adjusted LIBOR or the alternate base rate by 0.50% per annum and eliminated any step-down in the spread based on VFH's first lien leverage ratio.</w:t>
      </w:r>
    </w:p>
    <w:p>
      <w:pPr>
        <w:spacing w:after="0" w:line="200" w:lineRule="exact"/>
        <w:rPr>
          <w:sz w:val="20"/>
          <w:szCs w:val="20"/>
          <w:color w:val="auto"/>
        </w:rPr>
      </w:pPr>
    </w:p>
    <w:p>
      <w:pPr>
        <w:spacing w:after="0" w:line="205" w:lineRule="exact"/>
        <w:rPr>
          <w:sz w:val="20"/>
          <w:szCs w:val="20"/>
          <w:color w:val="auto"/>
        </w:rPr>
      </w:pPr>
    </w:p>
    <w:p>
      <w:pPr>
        <w:ind w:right="60" w:firstLine="629"/>
        <w:spacing w:after="0" w:line="253"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7" w:lineRule="exact"/>
        <w:rPr>
          <w:sz w:val="20"/>
          <w:szCs w:val="20"/>
          <w:color w:val="auto"/>
        </w:rPr>
      </w:pPr>
    </w:p>
    <w:p>
      <w:pPr>
        <w:ind w:right="160" w:firstLine="629"/>
        <w:spacing w:after="0" w:line="262"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5" w:lineRule="exact"/>
        <w:rPr>
          <w:sz w:val="20"/>
          <w:szCs w:val="20"/>
          <w:color w:val="auto"/>
        </w:rPr>
      </w:pPr>
    </w:p>
    <w:p>
      <w:pPr>
        <w:ind w:right="160" w:firstLine="629"/>
        <w:spacing w:after="0" w:line="267"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96" w:lineRule="exact"/>
        <w:rPr>
          <w:sz w:val="20"/>
          <w:szCs w:val="20"/>
          <w:color w:val="auto"/>
        </w:rPr>
      </w:pPr>
    </w:p>
    <w:p>
      <w:pPr>
        <w:jc w:val="both"/>
        <w:ind w:right="42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jc w:val="both"/>
        <w:ind w:right="420" w:firstLine="629"/>
        <w:spacing w:after="0" w:line="276" w:lineRule="auto"/>
        <w:rPr>
          <w:sz w:val="20"/>
          <w:szCs w:val="20"/>
          <w:color w:val="auto"/>
        </w:rPr>
      </w:pPr>
      <w:r>
        <w:rPr>
          <w:rFonts w:ascii="Times New Roman" w:cs="Times New Roman" w:eastAsia="Times New Roman" w:hAnsi="Times New Roman"/>
          <w:sz w:val="17"/>
          <w:szCs w:val="17"/>
          <w:color w:val="auto"/>
        </w:rPr>
        <w:t>Under the Credit Agreement, the term loans will mature on January 13, 2029. The term loans amortize in annual installments equal to 1.0% of the original aggregate principal amount of the term loans. The revolving commitments will terminate on January 13, 2025. As of September 30, 2022, $1,800 million was outstanding under the term loans, and there were no amounts outstanding under the first lien revolving facility.</w:t>
      </w:r>
    </w:p>
    <w:p>
      <w:pPr>
        <w:spacing w:after="0" w:line="177" w:lineRule="exact"/>
        <w:rPr>
          <w:sz w:val="20"/>
          <w:szCs w:val="20"/>
          <w:color w:val="auto"/>
        </w:rPr>
      </w:pPr>
    </w:p>
    <w:p>
      <w:pPr>
        <w:ind w:right="40" w:firstLine="629"/>
        <w:spacing w:after="0" w:line="245" w:lineRule="auto"/>
        <w:rPr>
          <w:sz w:val="20"/>
          <w:szCs w:val="20"/>
          <w:color w:val="auto"/>
        </w:rPr>
      </w:pPr>
      <w:r>
        <w:rPr>
          <w:rFonts w:ascii="Times New Roman" w:cs="Times New Roman" w:eastAsia="Times New Roman" w:hAnsi="Times New Roman"/>
          <w:sz w:val="17"/>
          <w:szCs w:val="17"/>
          <w:color w:val="auto"/>
        </w:rPr>
        <w:t>In October 2019, the Company entered into a five-year $525 million floating-to-fixed interest rate swap agreement. In January 2020, the Company also entered into a five-year $1,000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1" w:name="page22"/>
    <w:bookmarkEnd w:id="21"/>
    <w:p>
      <w:pPr>
        <w:spacing w:after="0" w:line="257" w:lineRule="auto"/>
        <w:rPr>
          <w:sz w:val="20"/>
          <w:szCs w:val="20"/>
          <w:color w:val="auto"/>
        </w:rPr>
      </w:pPr>
      <w:r>
        <w:rPr>
          <w:rFonts w:ascii="Times New Roman" w:cs="Times New Roman" w:eastAsia="Times New Roman" w:hAnsi="Times New Roman"/>
          <w:sz w:val="17"/>
          <w:szCs w:val="17"/>
          <w:color w:val="auto"/>
        </w:rPr>
        <w:t>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w:t>
      </w:r>
    </w:p>
    <w:p>
      <w:pPr>
        <w:spacing w:after="0" w:line="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agreements to SOFR. The effective fixed interest payment obligations remained at 4.5%, with respect to the earlier maturing swap arrangement, and 4.6% with respect to the later maturing swap arrangement.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SBI Bonds</w:t>
      </w:r>
    </w:p>
    <w:p>
      <w:pPr>
        <w:spacing w:after="0" w:line="252" w:lineRule="exact"/>
        <w:rPr>
          <w:sz w:val="20"/>
          <w:szCs w:val="20"/>
          <w:color w:val="auto"/>
        </w:rPr>
      </w:pPr>
    </w:p>
    <w:p>
      <w:pPr>
        <w:ind w:right="60" w:firstLine="629"/>
        <w:spacing w:after="0" w:line="262" w:lineRule="auto"/>
        <w:rPr>
          <w:sz w:val="20"/>
          <w:szCs w:val="20"/>
          <w:color w:val="auto"/>
        </w:rPr>
      </w:pPr>
      <w:r>
        <w:rPr>
          <w:rFonts w:ascii="Times New Roman" w:cs="Times New Roman" w:eastAsia="Times New Roman" w:hAnsi="Times New Roman"/>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9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2019, the maturity date of the SBI Bonds was extended to January 2023. The principal balance was ¥3.5 billion ($24.2 million) as of September 30, 2022 and ¥3.5 billion ($30.7 million) as of December 31, 2021. The Company had a gain $1.6 million and a gain of $0.1 million during the three months ended September 30, 2022 and 2021, and a gain of $6.5 million, and a gain of $2.4 million, during the nine months ended September 30, 2022 and 2021, respectively, due to changes in foreign currency rates.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September 30, 2022, aggregate future required minimum principal payments based on the terms of the long-term borrowings were as follows:</w:t>
      </w:r>
    </w:p>
    <w:p>
      <w:pPr>
        <w:spacing w:after="0" w:line="283" w:lineRule="exact"/>
        <w:rPr>
          <w:sz w:val="20"/>
          <w:szCs w:val="20"/>
          <w:color w:val="auto"/>
        </w:rPr>
      </w:pPr>
    </w:p>
    <w:tbl>
      <w:tblPr>
        <w:tblLayout w:type="fixed"/>
        <w:tblInd w:w="3440" w:type="dxa"/>
        <w:tblCellMar>
          <w:top w:w="0" w:type="dxa"/>
          <w:left w:w="0" w:type="dxa"/>
          <w:bottom w:w="0" w:type="dxa"/>
          <w:right w:w="0" w:type="dxa"/>
        </w:tblCellMar>
      </w:tblPr>
      <w:tr>
        <w:trPr>
          <w:trHeight w:val="18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42,181</w:t>
            </w:r>
          </w:p>
        </w:tc>
      </w:tr>
      <w:tr>
        <w:trPr>
          <w:trHeight w:val="20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20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190"/>
        </w:trPr>
        <w:tc>
          <w:tcPr>
            <w:tcW w:w="2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1,728,000</w:t>
            </w:r>
          </w:p>
        </w:tc>
      </w:tr>
      <w:tr>
        <w:trPr>
          <w:trHeight w:val="221"/>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of long-term borrowings</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1,824,181</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Financial Assets and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Measured at Fair Value</w:t>
      </w:r>
    </w:p>
    <w:p>
      <w:pPr>
        <w:spacing w:after="0" w:line="252"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20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 w:name="page23"/>
    <w:bookmarkEnd w:id="22"/>
    <w:p>
      <w:pPr>
        <w:ind w:left="60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September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80" w:type="dxa"/>
            <w:vAlign w:val="bottom"/>
          </w:tcPr>
          <w:p>
            <w:pPr>
              <w:spacing w:after="0"/>
              <w:rPr>
                <w:sz w:val="10"/>
                <w:szCs w:val="10"/>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20" w:type="dxa"/>
            <w:vAlign w:val="bottom"/>
          </w:tcPr>
          <w:p>
            <w:pPr>
              <w:jc w:val="right"/>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00" w:type="dxa"/>
            <w:vAlign w:val="bottom"/>
          </w:tcPr>
          <w:p>
            <w:pPr>
              <w:spacing w:after="0"/>
              <w:rPr>
                <w:sz w:val="12"/>
                <w:szCs w:val="12"/>
                <w:color w:val="auto"/>
              </w:rPr>
            </w:pPr>
          </w:p>
        </w:tc>
        <w:tc>
          <w:tcPr>
            <w:tcW w:w="14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796,702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1,811,674</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2,608,376</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606,019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461,459</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23,687</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(901,228)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33,349</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1,026,498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3,621,165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(901,228)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3,746,435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687,201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357,608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1,044,809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12,104</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687,211</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369,702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1,056,913</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71,625</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stock</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74,017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Receivables from broker dealers and clearing organizations: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88,346</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88,346</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1,243,747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1,170,786</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2,414,533</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956,205</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801,664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801,664</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872,912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(872,912)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1,694,416</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3,378,334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(872,912)</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4,199,838</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December 31,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80" w:type="dxa"/>
            <w:vAlign w:val="bottom"/>
          </w:tcPr>
          <w:p>
            <w:pPr>
              <w:spacing w:after="0"/>
              <w:rPr>
                <w:sz w:val="10"/>
                <w:szCs w:val="10"/>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20" w:type="dxa"/>
            <w:vAlign w:val="bottom"/>
          </w:tcPr>
          <w:p>
            <w:pPr>
              <w:jc w:val="right"/>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00" w:type="dxa"/>
            <w:vAlign w:val="bottom"/>
          </w:tcPr>
          <w:p>
            <w:pPr>
              <w:spacing w:after="0"/>
              <w:rPr>
                <w:sz w:val="12"/>
                <w:szCs w:val="12"/>
                <w:color w:val="auto"/>
              </w:rPr>
            </w:pPr>
          </w:p>
        </w:tc>
        <w:tc>
          <w:tcPr>
            <w:tcW w:w="14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1,700,470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2,273,037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355,869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598,944</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2,526,650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3,238,995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342,292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1,012,569</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1,017,960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stock</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1,482,386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807,631</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2,290,017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330,765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340,720</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851,871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22,962</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1,818,359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3,510,779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JNX Investment</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8 "Borrowings") and used the proceeds to partially finance the transaction. The JNX Investment is included within Level 3 of the fair value hierarchy. As of September 30, 2022 and December 31, 2021,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24" w:name="page25"/>
    <w:bookmarkEnd w:id="24"/>
    <w:p>
      <w:pPr>
        <w:ind w:left="620"/>
        <w:spacing w:after="0"/>
        <w:rPr>
          <w:sz w:val="20"/>
          <w:szCs w:val="20"/>
          <w:color w:val="auto"/>
        </w:rPr>
      </w:pPr>
      <w:r>
        <w:rPr>
          <w:rFonts w:ascii="Times New Roman" w:cs="Times New Roman" w:eastAsia="Times New Roman" w:hAnsi="Times New Roman"/>
          <w:sz w:val="17"/>
          <w:szCs w:val="17"/>
          <w:color w:val="auto"/>
        </w:rPr>
        <w:t>The table below presents information on the valuation techniques, significant unobservable inputs and their ranges for the JNX Investment:</w:t>
      </w:r>
    </w:p>
    <w:p>
      <w:pPr>
        <w:spacing w:after="0" w:line="28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71,625</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 - 5.0%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15.5% - 15.5%</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4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Future enterprise value/</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1.8x - 21.0x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12.4x</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EBIDTA ratio</w:t>
            </w:r>
          </w:p>
        </w:tc>
        <w:tc>
          <w:tcPr>
            <w:tcW w:w="132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20" w:type="dxa"/>
            <w:vAlign w:val="bottom"/>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81,358</w:t>
            </w:r>
          </w:p>
        </w:tc>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2.5% - 32.6%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14.4% - 14.4%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2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color w:val="auto"/>
              </w:rPr>
              <w:t>Future enterprise value/</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8.7x - 21.1x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14.0x</w:t>
            </w: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EBIDTA ratio</w:t>
            </w:r>
          </w:p>
        </w:tc>
        <w:tc>
          <w:tcPr>
            <w:tcW w:w="130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Changes in the fair value of the JNX Investment are included within Other, net in the Condensed Consolidated Statements of Comprehensive Income.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presents the changes in the Company's Level 3 financial instruments measured at fair value on a recurring basis:</w:t>
      </w:r>
    </w:p>
    <w:p>
      <w:pPr>
        <w:sectPr>
          <w:pgSz w:w="11900" w:h="16838" w:orient="portrait"/>
          <w:cols w:equalWidth="0" w:num="1">
            <w:col w:w="11220"/>
          </w:cols>
          <w:pgMar w:left="340" w:top="8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29845</wp:posOffset>
            </wp:positionV>
            <wp:extent cx="14471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0" w:type="dxa"/>
            <w:vAlign w:val="bottom"/>
            <w:vMerge w:val="restart"/>
          </w:tcPr>
          <w:p>
            <w:pPr>
              <w:spacing w:after="0"/>
              <w:rPr>
                <w:sz w:val="12"/>
                <w:szCs w:val="12"/>
                <w:color w:val="auto"/>
              </w:rPr>
            </w:pPr>
          </w:p>
        </w:tc>
        <w:tc>
          <w:tcPr>
            <w:tcW w:w="1280" w:type="dxa"/>
            <w:vAlign w:val="bottom"/>
            <w:gridSpan w:val="3"/>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held at September</w:t>
            </w:r>
          </w:p>
        </w:tc>
        <w:tc>
          <w:tcPr>
            <w:tcW w:w="0" w:type="dxa"/>
            <w:vAlign w:val="bottom"/>
          </w:tcPr>
          <w:p>
            <w:pPr>
              <w:spacing w:after="0"/>
              <w:rPr>
                <w:sz w:val="1"/>
                <w:szCs w:val="1"/>
                <w:color w:val="auto"/>
              </w:rPr>
            </w:pPr>
          </w:p>
        </w:tc>
      </w:tr>
      <w:tr>
        <w:trPr>
          <w:trHeight w:val="190"/>
        </w:trPr>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0" w:type="dxa"/>
            <w:vAlign w:val="bottom"/>
          </w:tcPr>
          <w:p>
            <w:pPr>
              <w:spacing w:after="0"/>
              <w:rPr>
                <w:sz w:val="1"/>
                <w:szCs w:val="1"/>
                <w:color w:val="auto"/>
              </w:rPr>
            </w:pPr>
          </w:p>
        </w:tc>
      </w:tr>
      <w:tr>
        <w:trPr>
          <w:trHeight w:val="564"/>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77,562</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71,625</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77,562</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71,625</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-372745</wp:posOffset>
            </wp:positionV>
            <wp:extent cx="7136130" cy="124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-123825</wp:posOffset>
            </wp:positionV>
            <wp:extent cx="7136130" cy="149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640" w:space="720"/>
            <w:col w:w="8860"/>
          </w:cols>
          <w:pgMar w:left="340" w:top="8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-80010</wp:posOffset>
            </wp:positionV>
            <wp:extent cx="5631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31180" cy="8255"/>
                    </a:xfrm>
                    <a:prstGeom prst="rect">
                      <a:avLst/>
                    </a:prstGeom>
                    <a:noFill/>
                  </pic:spPr>
                </pic:pic>
              </a:graphicData>
            </a:graphic>
          </wp:anchor>
        </w:drawing>
      </w:r>
    </w:p>
    <w:p>
      <w:pPr>
        <w:sectPr>
          <w:pgSz w:w="11900" w:h="16838" w:orient="portrait"/>
          <w:cols w:equalWidth="0" w:num="1">
            <w:col w:w="11220"/>
          </w:cols>
          <w:pgMar w:left="340" w:top="8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29845</wp:posOffset>
            </wp:positionV>
            <wp:extent cx="14471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0" w:type="dxa"/>
            <w:vAlign w:val="bottom"/>
            <w:vMerge w:val="restart"/>
          </w:tcPr>
          <w:p>
            <w:pPr>
              <w:spacing w:after="0"/>
              <w:rPr>
                <w:sz w:val="12"/>
                <w:szCs w:val="12"/>
                <w:color w:val="auto"/>
              </w:rPr>
            </w:pPr>
          </w:p>
        </w:tc>
        <w:tc>
          <w:tcPr>
            <w:tcW w:w="128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held at September</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0" w:type="dxa"/>
            <w:vAlign w:val="bottom"/>
          </w:tcPr>
          <w:p>
            <w:pPr>
              <w:spacing w:after="0"/>
              <w:rPr>
                <w:sz w:val="1"/>
                <w:szCs w:val="1"/>
                <w:color w:val="auto"/>
              </w:rPr>
            </w:pPr>
          </w:p>
        </w:tc>
      </w:tr>
      <w:tr>
        <w:trPr>
          <w:trHeight w:val="564"/>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78,313</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7,004</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85,317</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7,004</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78,313</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85,317</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-372745</wp:posOffset>
            </wp:positionV>
            <wp:extent cx="7136130" cy="124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-123825</wp:posOffset>
            </wp:positionV>
            <wp:extent cx="7136130" cy="149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640" w:space="720"/>
            <w:col w:w="8860"/>
          </w:cols>
          <w:pgMar w:left="340" w:top="8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-80010</wp:posOffset>
            </wp:positionV>
            <wp:extent cx="5631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1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868" w:right="339" w:bottom="1440"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13887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ind w:left="32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held at September</w:t>
            </w:r>
          </w:p>
        </w:tc>
        <w:tc>
          <w:tcPr>
            <w:tcW w:w="0" w:type="dxa"/>
            <w:vAlign w:val="bottom"/>
          </w:tcPr>
          <w:p>
            <w:pPr>
              <w:spacing w:after="0"/>
              <w:rPr>
                <w:sz w:val="1"/>
                <w:szCs w:val="1"/>
                <w:color w:val="auto"/>
              </w:rPr>
            </w:pPr>
          </w:p>
        </w:tc>
      </w:tr>
      <w:tr>
        <w:trPr>
          <w:trHeight w:val="191"/>
        </w:trPr>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0" w:type="dxa"/>
            <w:vAlign w:val="bottom"/>
          </w:tcPr>
          <w:p>
            <w:pPr>
              <w:spacing w:after="0"/>
              <w:rPr>
                <w:sz w:val="1"/>
                <w:szCs w:val="1"/>
                <w:color w:val="auto"/>
              </w:rPr>
            </w:pPr>
          </w:p>
        </w:tc>
      </w:tr>
      <w:tr>
        <w:trPr>
          <w:trHeight w:val="564"/>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Pr>
          <w:p>
            <w:pPr>
              <w:spacing w:after="0"/>
              <w:rPr>
                <w:sz w:val="24"/>
                <w:szCs w:val="24"/>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71,625</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(9,733)</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Pr>
          <w:p>
            <w:pPr>
              <w:spacing w:after="0"/>
              <w:rPr>
                <w:sz w:val="15"/>
                <w:szCs w:val="15"/>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71,625</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-372745</wp:posOffset>
            </wp:positionV>
            <wp:extent cx="7136130" cy="124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-123825</wp:posOffset>
            </wp:positionV>
            <wp:extent cx="7136130" cy="149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580" w:space="720"/>
            <w:col w:w="8940"/>
          </w:cols>
          <w:pgMar w:left="320" w:top="901" w:right="339" w:bottom="1440" w:gutter="0" w:footer="0" w:header="0"/>
        </w:sectPr>
      </w:pPr>
    </w:p>
    <w:p>
      <w:pPr>
        <w:ind w:left="20"/>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-80010</wp:posOffset>
            </wp:positionV>
            <wp:extent cx="56807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held at September</w:t>
            </w:r>
          </w:p>
        </w:tc>
        <w:tc>
          <w:tcPr>
            <w:tcW w:w="0" w:type="dxa"/>
            <w:vAlign w:val="bottom"/>
          </w:tcPr>
          <w:p>
            <w:pPr>
              <w:spacing w:after="0"/>
              <w:rPr>
                <w:sz w:val="1"/>
                <w:szCs w:val="1"/>
                <w:color w:val="auto"/>
              </w:rPr>
            </w:pPr>
          </w:p>
        </w:tc>
      </w:tr>
      <w:tr>
        <w:trPr>
          <w:trHeight w:val="190"/>
        </w:trPr>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0" w:type="dxa"/>
            <w:vAlign w:val="bottom"/>
          </w:tcPr>
          <w:p>
            <w:pPr>
              <w:spacing w:after="0"/>
              <w:rPr>
                <w:sz w:val="1"/>
                <w:szCs w:val="1"/>
                <w:color w:val="auto"/>
              </w:rPr>
            </w:pPr>
          </w:p>
        </w:tc>
      </w:tr>
      <w:tr>
        <w:trPr>
          <w:trHeight w:val="565"/>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00" w:type="dxa"/>
            <w:vAlign w:val="bottom"/>
          </w:tcPr>
          <w:p>
            <w:pPr>
              <w:spacing w:after="0"/>
              <w:rPr>
                <w:sz w:val="24"/>
                <w:szCs w:val="24"/>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85,317</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19,287</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00" w:type="dxa"/>
            <w:vAlign w:val="bottom"/>
          </w:tcPr>
          <w:p>
            <w:pPr>
              <w:spacing w:after="0"/>
              <w:rPr>
                <w:sz w:val="15"/>
                <w:szCs w:val="15"/>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85,317</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-248285</wp:posOffset>
            </wp:positionV>
            <wp:extent cx="7136130" cy="124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8890</wp:posOffset>
            </wp:positionV>
            <wp:extent cx="56807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0710"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-506095</wp:posOffset>
            </wp:positionV>
            <wp:extent cx="7136130" cy="133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580" w:space="720"/>
            <w:col w:w="8940"/>
          </w:cols>
          <w:pgMar w:left="320" w:top="90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-86995</wp:posOffset>
            </wp:positionV>
            <wp:extent cx="56807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Not Measured at Fair Value</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type w:val="continuous"/>
        </w:sectPr>
      </w:pPr>
    </w:p>
    <w:bookmarkStart w:id="26" w:name="page27"/>
    <w:bookmarkEnd w:id="26"/>
    <w:p>
      <w:pPr>
        <w:ind w:left="56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September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836,298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836,298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54,149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54,149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1,264,550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1,264,550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1,264,550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46,674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1,426,697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1,426,697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1,426,697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247,492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25,183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3,901,043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3,901,043</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890,447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3,010,596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168,000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1,792,063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1,756,681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1,756,681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988,969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446,078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680,530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680,530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680,530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96,931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 (2)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19,258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4,191,279</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4,156,447</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4,156,447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-1270</wp:posOffset>
            </wp:positionV>
            <wp:extent cx="41421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ind w:left="200" w:hanging="199"/>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35" w:lineRule="exact"/>
        <w:rPr>
          <w:rFonts w:ascii="Times New Roman" w:cs="Times New Roman" w:eastAsia="Times New Roman" w:hAnsi="Times New Roman"/>
          <w:sz w:val="14"/>
          <w:szCs w:val="14"/>
          <w:color w:val="auto"/>
        </w:rPr>
      </w:pPr>
    </w:p>
    <w:p>
      <w:pPr>
        <w:ind w:left="200" w:hanging="199"/>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-220345</wp:posOffset>
            </wp:positionV>
            <wp:extent cx="7061835" cy="1244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6183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400" w:top="868" w:right="379"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December 31,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1,050,844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3,783,277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2,686,361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1,605,132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1,628,497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1,628,497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Payables to broker dealer and clearing organizations (2)</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liabilities (3)</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3,958,954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3,983,855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3,983,620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ind w:left="220" w:hanging="198"/>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26" w:lineRule="exact"/>
        <w:rPr>
          <w:rFonts w:ascii="Times New Roman" w:cs="Times New Roman" w:eastAsia="Times New Roman" w:hAnsi="Times New Roman"/>
          <w:sz w:val="14"/>
          <w:szCs w:val="14"/>
          <w:color w:val="auto"/>
        </w:rPr>
      </w:pPr>
    </w:p>
    <w:p>
      <w:pPr>
        <w:ind w:left="220" w:hanging="198"/>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Payables to broker-dealers and clearing organizations include interest rate swaps carried at fair value.</w:t>
      </w:r>
    </w:p>
    <w:p>
      <w:pPr>
        <w:spacing w:after="0" w:line="35" w:lineRule="exact"/>
        <w:rPr>
          <w:rFonts w:ascii="Times New Roman" w:cs="Times New Roman" w:eastAsia="Times New Roman" w:hAnsi="Times New Roman"/>
          <w:sz w:val="14"/>
          <w:szCs w:val="14"/>
          <w:color w:val="auto"/>
        </w:rPr>
      </w:pPr>
    </w:p>
    <w:p>
      <w:pPr>
        <w:ind w:left="220" w:hanging="198"/>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136130" cy="1244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-336550</wp:posOffset>
            </wp:positionV>
            <wp:extent cx="41503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5036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Offsetting of Financial Assets and Liabilities</w:t>
      </w:r>
    </w:p>
    <w:p>
      <w:pPr>
        <w:spacing w:after="0" w:line="252"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set forth the gross and net presentation of certain financial assets and financial liabilities as of September 30, 2022 and December 31, 2021:</w:t>
      </w:r>
    </w:p>
    <w:p>
      <w:pPr>
        <w:sectPr>
          <w:pgSz w:w="11900" w:h="16838" w:orient="portrait"/>
          <w:cols w:equalWidth="0" w:num="1">
            <w:col w:w="11220"/>
          </w:cols>
          <w:pgMar w:left="320" w:top="8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Offsetting of Financial Assets: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Securities borrowed</w:t>
      </w:r>
    </w:p>
    <w:p>
      <w:pPr>
        <w:spacing w:after="0" w:line="35" w:lineRule="exact"/>
        <w:rPr>
          <w:sz w:val="20"/>
          <w:szCs w:val="20"/>
          <w:color w:val="auto"/>
        </w:rPr>
      </w:pPr>
    </w:p>
    <w:p>
      <w:pPr>
        <w:ind w:left="160"/>
        <w:spacing w:after="0" w:line="244" w:lineRule="auto"/>
        <w:rPr>
          <w:sz w:val="20"/>
          <w:szCs w:val="20"/>
          <w:color w:val="auto"/>
        </w:rPr>
      </w:pPr>
      <w:r>
        <w:rPr>
          <w:rFonts w:ascii="Times New Roman" w:cs="Times New Roman" w:eastAsia="Times New Roman" w:hAnsi="Times New Roman"/>
          <w:sz w:val="14"/>
          <w:szCs w:val="14"/>
          <w:color w:val="auto"/>
        </w:rPr>
        <w:t>Securities purchased under agreements to resell</w:t>
      </w:r>
    </w:p>
    <w:p>
      <w:pPr>
        <w:ind w:left="240" w:right="740" w:hanging="78"/>
        <w:spacing w:after="0" w:line="308" w:lineRule="auto"/>
        <w:rPr>
          <w:sz w:val="20"/>
          <w:szCs w:val="20"/>
          <w:color w:val="auto"/>
        </w:rPr>
      </w:pPr>
      <w:r>
        <w:rPr>
          <w:rFonts w:ascii="Times New Roman" w:cs="Times New Roman" w:eastAsia="Times New Roman" w:hAnsi="Times New Roman"/>
          <w:sz w:val="14"/>
          <w:szCs w:val="14"/>
          <w:color w:val="auto"/>
        </w:rPr>
        <w:t>Trading assets, at fair value: Currency forwards Options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53816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81625"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Amounts Offset in the</w:t>
            </w: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4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1,264,550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1,264,550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(1,218,529)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34,954</w:t>
            </w: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393"/>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934,577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(901,228)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33,349</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2,259,346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(901,228)</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1,358,118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(1,265,101)</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68,405</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-748030</wp:posOffset>
            </wp:positionV>
            <wp:extent cx="7103110" cy="207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3110" cy="20764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-415290</wp:posOffset>
            </wp:positionV>
            <wp:extent cx="7103110" cy="124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-165735</wp:posOffset>
            </wp:positionV>
            <wp:extent cx="7103110" cy="149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3110" cy="1498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-1005840</wp:posOffset>
            </wp:positionV>
            <wp:extent cx="7103110" cy="133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311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60"/>
            <w:col w:w="8480"/>
          </w:cols>
          <w:pgMar w:left="320" w:top="868" w:right="359" w:bottom="1440" w:gutter="0" w:footer="0" w:header="0"/>
          <w:type w:val="continuous"/>
        </w:sectPr>
      </w:pP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6" w:lineRule="exact"/>
              <w:rPr>
                <w:sz w:val="20"/>
                <w:szCs w:val="20"/>
                <w:color w:val="auto"/>
              </w:rPr>
            </w:pPr>
            <w:r>
              <w:rPr>
                <w:rFonts w:ascii="Times New Roman" w:cs="Times New Roman" w:eastAsia="Times New Roman" w:hAnsi="Times New Roman"/>
                <w:sz w:val="7"/>
                <w:szCs w:val="7"/>
                <w:b w:val="1"/>
                <w:bCs w:val="1"/>
                <w:color w:val="auto"/>
              </w:rPr>
              <w:t>Amounts Offset in the</w:t>
            </w:r>
          </w:p>
        </w:tc>
        <w:tc>
          <w:tcPr>
            <w:tcW w:w="1620" w:type="dxa"/>
            <w:vAlign w:val="bottom"/>
            <w:gridSpan w:val="3"/>
          </w:tcPr>
          <w:p>
            <w:pPr>
              <w:jc w:val="center"/>
              <w:ind w:right="100"/>
              <w:spacing w:after="0" w:line="66" w:lineRule="exact"/>
              <w:rPr>
                <w:sz w:val="20"/>
                <w:szCs w:val="20"/>
                <w:color w:val="auto"/>
              </w:rPr>
            </w:pPr>
            <w:r>
              <w:rPr>
                <w:rFonts w:ascii="Times New Roman" w:cs="Times New Roman" w:eastAsia="Times New Roman" w:hAnsi="Times New Roman"/>
                <w:sz w:val="7"/>
                <w:szCs w:val="7"/>
                <w:b w:val="1"/>
                <w:bCs w:val="1"/>
                <w:color w:val="auto"/>
              </w:rPr>
              <w:t>Liabilities Presented in</w:t>
            </w: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w w:val="99"/>
              </w:rPr>
              <w:t>the Consolidated</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80" w:type="dxa"/>
            <w:vAlign w:val="bottom"/>
          </w:tcPr>
          <w:p>
            <w:pPr>
              <w:spacing w:after="0"/>
              <w:rPr>
                <w:sz w:val="12"/>
                <w:szCs w:val="12"/>
                <w:color w:val="auto"/>
              </w:rPr>
            </w:pPr>
          </w:p>
        </w:tc>
        <w:tc>
          <w:tcPr>
            <w:tcW w:w="15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Statement of Financial</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Liabilities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988,969</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988,969</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(956,846)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18,488</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446,078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(445,977)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7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color w:val="auto"/>
              </w:rPr>
              <w:t>Payable to broker-dealers and clearing</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organizations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(872,912)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2,323,688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(872,912)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(1,402,823)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20,773</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6" w:lineRule="exact"/>
              <w:rPr>
                <w:sz w:val="20"/>
                <w:szCs w:val="20"/>
                <w:color w:val="auto"/>
              </w:rPr>
            </w:pPr>
            <w:r>
              <w:rPr>
                <w:rFonts w:ascii="Times New Roman" w:cs="Times New Roman" w:eastAsia="Times New Roman" w:hAnsi="Times New Roman"/>
                <w:sz w:val="7"/>
                <w:szCs w:val="7"/>
                <w:b w:val="1"/>
                <w:bCs w:val="1"/>
                <w:color w:val="auto"/>
              </w:rPr>
              <w:t>Amounts Offset in the</w:t>
            </w: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(1,299,270)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44,998</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purchased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resell</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1,683,576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1,477,451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(1,418,723)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48,466</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Offsetting of Financial Liabilities: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Securities loaned</w:t>
      </w:r>
    </w:p>
    <w:p>
      <w:pPr>
        <w:spacing w:after="0" w:line="35" w:lineRule="exact"/>
        <w:rPr>
          <w:sz w:val="20"/>
          <w:szCs w:val="20"/>
          <w:color w:val="auto"/>
        </w:rPr>
      </w:pPr>
    </w:p>
    <w:p>
      <w:pPr>
        <w:ind w:left="160"/>
        <w:spacing w:after="0" w:line="244" w:lineRule="auto"/>
        <w:rPr>
          <w:sz w:val="20"/>
          <w:szCs w:val="20"/>
          <w:color w:val="auto"/>
        </w:rPr>
      </w:pPr>
      <w:r>
        <w:rPr>
          <w:rFonts w:ascii="Times New Roman" w:cs="Times New Roman" w:eastAsia="Times New Roman" w:hAnsi="Times New Roman"/>
          <w:sz w:val="14"/>
          <w:szCs w:val="14"/>
          <w:color w:val="auto"/>
        </w:rPr>
        <w:t>Securities sold under agreements to repurchase</w:t>
      </w:r>
    </w:p>
    <w:p>
      <w:pPr>
        <w:ind w:left="16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35" w:lineRule="exact"/>
        <w:rPr>
          <w:sz w:val="20"/>
          <w:szCs w:val="20"/>
          <w:color w:val="auto"/>
        </w:rPr>
      </w:pPr>
    </w:p>
    <w:p>
      <w:pPr>
        <w:ind w:left="240" w:right="220" w:hanging="78"/>
        <w:spacing w:after="0" w:line="331" w:lineRule="auto"/>
        <w:rPr>
          <w:sz w:val="20"/>
          <w:szCs w:val="20"/>
          <w:color w:val="auto"/>
        </w:rPr>
      </w:pPr>
      <w:r>
        <w:rPr>
          <w:rFonts w:ascii="Times New Roman" w:cs="Times New Roman" w:eastAsia="Times New Roman" w:hAnsi="Times New Roman"/>
          <w:sz w:val="14"/>
          <w:szCs w:val="14"/>
          <w:color w:val="auto"/>
        </w:rPr>
        <w:t>Trading liabilities, at fair value: Currency forwards Options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Amounts Offset in the</w:t>
            </w: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4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(1,107,688)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17,088</w:t>
            </w: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0" w:type="dxa"/>
            <w:vAlign w:val="bottom"/>
          </w:tcPr>
          <w:p>
            <w:pPr>
              <w:spacing w:after="0"/>
              <w:rPr>
                <w:sz w:val="1"/>
                <w:szCs w:val="1"/>
                <w:color w:val="auto"/>
              </w:rPr>
            </w:pPr>
          </w:p>
        </w:tc>
      </w:tr>
      <w:tr>
        <w:trPr>
          <w:trHeight w:val="393"/>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1,890,975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1,682,619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(1,622,013)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(22,480)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38,126</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-872490</wp:posOffset>
            </wp:positionV>
            <wp:extent cx="7103110" cy="2076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3110" cy="20764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-539750</wp:posOffset>
            </wp:positionV>
            <wp:extent cx="7103110" cy="124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-290195</wp:posOffset>
            </wp:positionV>
            <wp:extent cx="7103110" cy="1244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-1130300</wp:posOffset>
            </wp:positionV>
            <wp:extent cx="7103110" cy="133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3110" cy="13335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2160" w:space="580"/>
            <w:col w:w="8480"/>
          </w:cols>
          <w:pgMar w:left="320" w:top="1133" w:right="359" w:bottom="1440" w:gutter="0" w:footer="0" w:header="0"/>
        </w:sect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 Contractual Maturity</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60"/>
              <w:spacing w:after="0" w:line="130"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290"/>
              <w:spacing w:after="0" w:line="130" w:lineRule="exact"/>
              <w:rPr>
                <w:sz w:val="20"/>
                <w:szCs w:val="20"/>
                <w:color w:val="auto"/>
              </w:rPr>
            </w:pPr>
            <w:r>
              <w:rPr>
                <w:rFonts w:ascii="Times New Roman" w:cs="Times New Roman" w:eastAsia="Times New Roman" w:hAnsi="Times New Roman"/>
                <w:sz w:val="14"/>
                <w:szCs w:val="14"/>
                <w:b w:val="1"/>
                <w:bCs w:val="1"/>
                <w:color w:val="auto"/>
              </w:rPr>
              <w:t>30 - 60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center"/>
              <w:ind w:right="270"/>
              <w:spacing w:after="0" w:line="130" w:lineRule="exact"/>
              <w:rPr>
                <w:sz w:val="20"/>
                <w:szCs w:val="20"/>
                <w:color w:val="auto"/>
              </w:rPr>
            </w:pPr>
            <w:r>
              <w:rPr>
                <w:rFonts w:ascii="Times New Roman" w:cs="Times New Roman" w:eastAsia="Times New Roman" w:hAnsi="Times New Roman"/>
                <w:sz w:val="14"/>
                <w:szCs w:val="14"/>
                <w:b w:val="1"/>
                <w:bCs w:val="1"/>
                <w:color w:val="auto"/>
                <w:w w:val="95"/>
              </w:rPr>
              <w:t>61 - 90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spacing w:after="0" w:line="130" w:lineRule="exact"/>
              <w:rPr>
                <w:sz w:val="20"/>
                <w:szCs w:val="20"/>
                <w:color w:val="auto"/>
              </w:rPr>
            </w:pPr>
            <w:r>
              <w:rPr>
                <w:rFonts w:ascii="Times New Roman" w:cs="Times New Roman" w:eastAsia="Times New Roman" w:hAnsi="Times New Roman"/>
                <w:sz w:val="14"/>
                <w:szCs w:val="14"/>
                <w:b w:val="1"/>
                <w:bCs w:val="1"/>
                <w:color w:val="auto"/>
              </w:rPr>
              <w:t>Greater than 90</w:t>
            </w:r>
          </w:p>
        </w:tc>
        <w:tc>
          <w:tcPr>
            <w:tcW w:w="260" w:type="dxa"/>
            <w:vAlign w:val="bottom"/>
          </w:tcPr>
          <w:p>
            <w:pPr>
              <w:spacing w:after="0"/>
              <w:rPr>
                <w:sz w:val="11"/>
                <w:szCs w:val="11"/>
                <w:color w:val="auto"/>
              </w:rPr>
            </w:pPr>
          </w:p>
        </w:tc>
        <w:tc>
          <w:tcPr>
            <w:tcW w:w="88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2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0"/>
        </w:trPr>
        <w:tc>
          <w:tcPr>
            <w:tcW w:w="3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46,078</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46,078</w:t>
            </w:r>
          </w:p>
        </w:tc>
        <w:tc>
          <w:tcPr>
            <w:tcW w:w="0" w:type="dxa"/>
            <w:vAlign w:val="bottom"/>
          </w:tcPr>
          <w:p>
            <w:pPr>
              <w:spacing w:after="0"/>
              <w:rPr>
                <w:sz w:val="1"/>
                <w:szCs w:val="1"/>
                <w:color w:val="auto"/>
              </w:rPr>
            </w:pPr>
          </w:p>
        </w:tc>
      </w:tr>
      <w:tr>
        <w:trPr>
          <w:trHeight w:val="221"/>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46,078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446,078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988,969</w:t>
            </w:r>
          </w:p>
        </w:tc>
        <w:tc>
          <w:tcPr>
            <w:tcW w:w="20" w:type="dxa"/>
            <w:vAlign w:val="bottom"/>
          </w:tcPr>
          <w:p>
            <w:pPr>
              <w:spacing w:after="0"/>
              <w:rPr>
                <w:sz w:val="16"/>
                <w:szCs w:val="16"/>
                <w:color w:val="auto"/>
              </w:rPr>
            </w:pP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988,969</w:t>
            </w:r>
          </w:p>
        </w:tc>
        <w:tc>
          <w:tcPr>
            <w:tcW w:w="0" w:type="dxa"/>
            <w:vAlign w:val="bottom"/>
          </w:tcPr>
          <w:p>
            <w:pPr>
              <w:spacing w:after="0"/>
              <w:rPr>
                <w:sz w:val="1"/>
                <w:szCs w:val="1"/>
                <w:color w:val="auto"/>
              </w:rPr>
            </w:pPr>
          </w:p>
        </w:tc>
      </w:tr>
      <w:tr>
        <w:trPr>
          <w:trHeight w:val="221"/>
        </w:trPr>
        <w:tc>
          <w:tcPr>
            <w:tcW w:w="3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988,969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988,969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 Contractual Maturity</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10"/>
              <w:spacing w:after="0" w:line="132" w:lineRule="exact"/>
              <w:rPr>
                <w:sz w:val="20"/>
                <w:szCs w:val="20"/>
                <w:color w:val="auto"/>
              </w:rPr>
            </w:pPr>
            <w:r>
              <w:rPr>
                <w:rFonts w:ascii="Times New Roman" w:cs="Times New Roman" w:eastAsia="Times New Roman" w:hAnsi="Times New Roman"/>
                <w:sz w:val="14"/>
                <w:szCs w:val="14"/>
                <w:b w:val="1"/>
                <w:bCs w:val="1"/>
                <w:color w:val="auto"/>
              </w:rPr>
              <w:t>30 - 60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center"/>
              <w:ind w:right="290"/>
              <w:spacing w:after="0" w:line="132" w:lineRule="exact"/>
              <w:rPr>
                <w:sz w:val="20"/>
                <w:szCs w:val="20"/>
                <w:color w:val="auto"/>
              </w:rPr>
            </w:pPr>
            <w:r>
              <w:rPr>
                <w:rFonts w:ascii="Times New Roman" w:cs="Times New Roman" w:eastAsia="Times New Roman" w:hAnsi="Times New Roman"/>
                <w:sz w:val="14"/>
                <w:szCs w:val="14"/>
                <w:b w:val="1"/>
                <w:bCs w:val="1"/>
                <w:color w:val="auto"/>
              </w:rPr>
              <w:t>61 - 90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tcPr>
          <w:p>
            <w:pPr>
              <w:ind w:left="60"/>
              <w:spacing w:after="0" w:line="132" w:lineRule="exact"/>
              <w:rPr>
                <w:sz w:val="20"/>
                <w:szCs w:val="20"/>
                <w:color w:val="auto"/>
              </w:rPr>
            </w:pPr>
            <w:r>
              <w:rPr>
                <w:rFonts w:ascii="Times New Roman" w:cs="Times New Roman" w:eastAsia="Times New Roman" w:hAnsi="Times New Roman"/>
                <w:sz w:val="14"/>
                <w:szCs w:val="14"/>
                <w:b w:val="1"/>
                <w:bCs w:val="1"/>
                <w:color w:val="auto"/>
              </w:rPr>
              <w:t>Greater than 90</w:t>
            </w:r>
          </w:p>
        </w:tc>
        <w:tc>
          <w:tcPr>
            <w:tcW w:w="260" w:type="dxa"/>
            <w:vAlign w:val="bottom"/>
          </w:tcPr>
          <w:p>
            <w:pPr>
              <w:spacing w:after="0"/>
              <w:rPr>
                <w:sz w:val="11"/>
                <w:szCs w:val="11"/>
                <w:color w:val="auto"/>
              </w:rPr>
            </w:pPr>
          </w:p>
        </w:tc>
        <w:tc>
          <w:tcPr>
            <w:tcW w:w="88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2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2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0"/>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0" w:type="dxa"/>
            <w:vAlign w:val="bottom"/>
          </w:tcPr>
          <w:p>
            <w:pPr>
              <w:spacing w:after="0"/>
              <w:rPr>
                <w:sz w:val="1"/>
                <w:szCs w:val="1"/>
                <w:color w:val="auto"/>
              </w:rPr>
            </w:pPr>
          </w:p>
        </w:tc>
      </w:tr>
      <w:tr>
        <w:trPr>
          <w:trHeight w:val="221"/>
        </w:trPr>
        <w:tc>
          <w:tcPr>
            <w:tcW w:w="3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0" w:type="dxa"/>
            <w:vAlign w:val="bottom"/>
          </w:tcPr>
          <w:p>
            <w:pPr>
              <w:spacing w:after="0"/>
              <w:rPr>
                <w:sz w:val="1"/>
                <w:szCs w:val="1"/>
                <w:color w:val="auto"/>
              </w:rPr>
            </w:pPr>
          </w:p>
        </w:tc>
      </w:tr>
      <w:tr>
        <w:trPr>
          <w:trHeight w:val="221"/>
        </w:trPr>
        <w:tc>
          <w:tcPr>
            <w:tcW w:w="3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10. Derivative Instruments</w:t>
      </w:r>
    </w:p>
    <w:p>
      <w:pPr>
        <w:spacing w:after="0" w:line="3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fair value of the Company’s derivative instruments on a gross basis consisted of the following at September 30, 2022 and December 31,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232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Assets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905,770</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406,420</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(63,242)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7,474,448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(24,405)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5,285,216</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991,310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4,760,173</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103,604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8,489</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1,272,914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1,063,686</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934,577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38,653,621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21,445,374</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9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Interest rate swap</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88,346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Liabilities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732,476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1,362,684</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50,639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27,224</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2,844,071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725,162</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13,575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120,212</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1,292,118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1,066,801</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872,912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38,622,789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21,446,422</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9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Interest rate swaps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1,525,000</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7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and nine months ended September 30, 2022, and 2021.</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31" w:name="page32"/>
    <w:bookmarkEnd w:id="31"/>
    <w:tbl>
      <w:tblPr>
        <w:tblLayout w:type="fixed"/>
        <w:tblInd w:w="40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2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80" w:type="dxa"/>
            <w:vAlign w:val="bottom"/>
            <w:gridSpan w:val="2"/>
            <w:vMerge w:val="continue"/>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2"/>
        </w:trPr>
        <w:tc>
          <w:tcPr>
            <w:tcW w:w="2880" w:type="dxa"/>
            <w:vAlign w:val="bottom"/>
            <w:tcBorders>
              <w:top w:val="single" w:sz="8" w:color="auto"/>
            </w:tcBorders>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00" w:type="dxa"/>
            <w:vAlign w:val="bottom"/>
            <w:tcBorders>
              <w:top w:val="single" w:sz="8" w:color="CCEEFF"/>
            </w:tcBorders>
            <w:shd w:val="clear" w:color="auto" w:fill="CCEEFF"/>
          </w:tcPr>
          <w:p>
            <w:pPr>
              <w:spacing w:after="0"/>
              <w:rPr>
                <w:sz w:val="11"/>
                <w:szCs w:val="11"/>
                <w:color w:val="auto"/>
              </w:rPr>
            </w:pPr>
          </w:p>
        </w:tc>
        <w:tc>
          <w:tcPr>
            <w:tcW w:w="2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2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Futures</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9,760</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84,875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205,561</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213,569</w:t>
            </w:r>
          </w:p>
        </w:tc>
        <w:tc>
          <w:tcPr>
            <w:tcW w:w="0" w:type="dxa"/>
            <w:vAlign w:val="bottom"/>
          </w:tcPr>
          <w:p>
            <w:pPr>
              <w:spacing w:after="0"/>
              <w:rPr>
                <w:sz w:val="1"/>
                <w:szCs w:val="1"/>
                <w:color w:val="auto"/>
              </w:rPr>
            </w:pPr>
          </w:p>
        </w:tc>
      </w:tr>
      <w:tr>
        <w:trPr>
          <w:trHeight w:val="204"/>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 forwards</w:t>
            </w: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12,756</w:t>
            </w:r>
          </w:p>
        </w:tc>
        <w:tc>
          <w:tcPr>
            <w:tcW w:w="0" w:type="dxa"/>
            <w:vAlign w:val="bottom"/>
          </w:tcPr>
          <w:p>
            <w:pPr>
              <w:spacing w:after="0"/>
              <w:rPr>
                <w:sz w:val="1"/>
                <w:szCs w:val="1"/>
                <w:color w:val="auto"/>
              </w:rPr>
            </w:pPr>
          </w:p>
        </w:tc>
      </w:tr>
      <w:tr>
        <w:trPr>
          <w:trHeight w:val="18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Options</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9,455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63,016</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 on term loan</w:t>
            </w: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34,929</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44,257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193,107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287,944</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swaps (1)</w:t>
            </w: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4,112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108,427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21,453</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35,852</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4,112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108,427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21,453</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firstLine="5"/>
        <w:spacing w:after="0" w:line="299" w:lineRule="auto"/>
        <w:tabs>
          <w:tab w:leader="none" w:pos="198"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deferred within Other comprehensive income on the Condensed Consolidated Statements of Comprehensive Income beginning in the first quarter of 2020.</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Variable Interest Entities</w:t>
      </w:r>
    </w:p>
    <w:p>
      <w:pPr>
        <w:spacing w:after="0" w:line="34" w:lineRule="exact"/>
        <w:rPr>
          <w:sz w:val="20"/>
          <w:szCs w:val="20"/>
          <w:color w:val="auto"/>
        </w:rPr>
      </w:pPr>
    </w:p>
    <w:p>
      <w:pPr>
        <w:jc w:val="both"/>
        <w:ind w:right="160" w:firstLine="629"/>
        <w:spacing w:after="0" w:line="265" w:lineRule="auto"/>
        <w:rPr>
          <w:sz w:val="20"/>
          <w:szCs w:val="20"/>
          <w:color w:val="auto"/>
        </w:rPr>
      </w:pPr>
      <w:r>
        <w:rPr>
          <w:rFonts w:ascii="Times New Roman" w:cs="Times New Roman" w:eastAsia="Times New Roman" w:hAnsi="Times New Roman"/>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99"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0" w:lineRule="exact"/>
        <w:rPr>
          <w:sz w:val="20"/>
          <w:szCs w:val="20"/>
          <w:color w:val="auto"/>
        </w:rPr>
      </w:pPr>
    </w:p>
    <w:p>
      <w:pPr>
        <w:ind w:right="300" w:firstLine="629"/>
        <w:spacing w:after="0" w:line="270" w:lineRule="auto"/>
        <w:rPr>
          <w:sz w:val="20"/>
          <w:szCs w:val="20"/>
          <w:color w:val="auto"/>
        </w:rPr>
      </w:pPr>
      <w:r>
        <w:rPr>
          <w:rFonts w:ascii="Times New Roman" w:cs="Times New Roman" w:eastAsia="Times New Roman" w:hAnsi="Times New Roman"/>
          <w:sz w:val="17"/>
          <w:szCs w:val="17"/>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September 30, 2022, the Company held noncontrolling interests of 11.1% and 50.0%, respectively, in these JVs.</w:t>
      </w:r>
    </w:p>
    <w:p>
      <w:pPr>
        <w:spacing w:after="0" w:line="194"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The Company has an interest in a JV that offers derivatives trading technology and execution services to broker-dealers, professional traders and select hedge funds. As of September 30, 2022, the Company held approximately a 9.8% noncontrolling interest in this JV.</w:t>
      </w:r>
    </w:p>
    <w:p>
      <w:pPr>
        <w:spacing w:after="0" w:line="173"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a JV that operates a member-owned equities exchange with the goal of increasing competition and transparency, while reducing fixed costs and simplifying execution of equity trading in the U.S. As of September 30, 2022, the Company held approximately a 14.9% noncontrolling interest in this JV.</w:t>
      </w:r>
    </w:p>
    <w:p>
      <w:pPr>
        <w:spacing w:after="0" w:line="190" w:lineRule="exact"/>
        <w:rPr>
          <w:sz w:val="20"/>
          <w:szCs w:val="20"/>
          <w:color w:val="auto"/>
        </w:rPr>
      </w:pPr>
    </w:p>
    <w:p>
      <w:pPr>
        <w:jc w:val="both"/>
        <w:ind w:right="320" w:firstLine="629"/>
        <w:spacing w:after="0" w:line="276" w:lineRule="auto"/>
        <w:rPr>
          <w:sz w:val="20"/>
          <w:szCs w:val="20"/>
          <w:color w:val="auto"/>
        </w:rPr>
      </w:pPr>
      <w:r>
        <w:rPr>
          <w:rFonts w:ascii="Times New Roman" w:cs="Times New Roman" w:eastAsia="Times New Roman" w:hAnsi="Times New Roman"/>
          <w:sz w:val="17"/>
          <w:szCs w:val="17"/>
          <w:color w:val="auto"/>
        </w:rPr>
        <w:t>In the second quarter of 2022, the Company invested in a JV that was formed for the purpose of developing and operating a cryptocurrency trading platform with the goal of increasing competition and transparency, while improving trading performance and reducing operational risk. As of September 30, 2022, the Company held approximately a 10.0% noncontrolling interest in this JV.</w:t>
      </w:r>
    </w:p>
    <w:p>
      <w:pPr>
        <w:spacing w:after="0" w:line="190"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The Company's five JVs noted above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196"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The Company’s exposure to the obligations of these VIEs is generally limited to its interests in each respective JV, which is the carrying value of the equity investment in each JV.</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September 30, 2022:</w:t>
      </w:r>
    </w:p>
    <w:p>
      <w:pPr>
        <w:spacing w:after="0" w:line="29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44,304</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259,629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December 31, 2021:</w:t>
      </w: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136,378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During the second quarter of 2022, the Company formed a JV to support the growth and expansion of a multi-asset request-for-quote communication platform. As of September 30, 2022, the Company held a 51% controlling interest in this entity. Based on the standard for control set forth above, this JV meets the criteria to be considered a VIE, and the Company consolidates this entity and records the interest that the Company does not own as noncontrolling interest in the condensed consolidated financial statements.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Revenues from Contracts with Customers</w:t>
      </w:r>
    </w:p>
    <w:p>
      <w:pPr>
        <w:spacing w:after="0" w:line="252" w:lineRule="exact"/>
        <w:rPr>
          <w:sz w:val="20"/>
          <w:szCs w:val="20"/>
          <w:color w:val="auto"/>
        </w:rPr>
      </w:pPr>
    </w:p>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For more information on revenue recognition and the nature of services provided, see Note 2 "Summary of Significant Accounting Policies" and Note 14 "Revenues from Contracts with Customers" to the Consolidated Financial Statements of the Company's 2021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Revenues</w:t>
      </w:r>
    </w:p>
    <w:p>
      <w:pPr>
        <w:spacing w:after="0" w:line="252"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present the Company’s revenue from contracts with customers disaggregated by service, by timing of revenue recognition, reconciled to the Company’s segments, for the three and nine months ended September 30, 2022, and 2021:</w:t>
      </w:r>
    </w:p>
    <w:p>
      <w:pPr>
        <w:spacing w:after="0" w:line="23"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89,193</w:t>
            </w: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21,968</w:t>
            </w:r>
          </w:p>
        </w:tc>
        <w:tc>
          <w:tcPr>
            <w:tcW w:w="0" w:type="dxa"/>
            <w:vAlign w:val="bottom"/>
          </w:tcPr>
          <w:p>
            <w:pPr>
              <w:spacing w:after="0"/>
              <w:rPr>
                <w:sz w:val="1"/>
                <w:szCs w:val="1"/>
                <w:color w:val="auto"/>
              </w:rPr>
            </w:pPr>
          </w:p>
        </w:tc>
      </w:tr>
      <w:tr>
        <w:trPr>
          <w:trHeight w:val="204"/>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0" w:type="dxa"/>
            <w:vAlign w:val="bottom"/>
          </w:tcPr>
          <w:p>
            <w:pPr>
              <w:spacing w:after="0"/>
              <w:rPr>
                <w:sz w:val="1"/>
                <w:szCs w:val="1"/>
                <w:color w:val="auto"/>
              </w:rPr>
            </w:pPr>
          </w:p>
        </w:tc>
      </w:tr>
      <w:tr>
        <w:trPr>
          <w:trHeight w:val="18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110,299</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120,986</w:t>
            </w:r>
          </w:p>
        </w:tc>
        <w:tc>
          <w:tcPr>
            <w:tcW w:w="0" w:type="dxa"/>
            <w:vAlign w:val="bottom"/>
          </w:tcPr>
          <w:p>
            <w:pPr>
              <w:spacing w:after="0"/>
              <w:rPr>
                <w:sz w:val="1"/>
                <w:szCs w:val="1"/>
                <w:color w:val="auto"/>
              </w:rPr>
            </w:pPr>
          </w:p>
        </w:tc>
      </w:tr>
      <w:tr>
        <w:trPr>
          <w:trHeight w:val="269"/>
        </w:trPr>
        <w:tc>
          <w:tcPr>
            <w:tcW w:w="4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7"/>
              </w:rPr>
              <w:t>(6,441)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440,058</w:t>
            </w:r>
          </w:p>
        </w:tc>
        <w:tc>
          <w:tcPr>
            <w:tcW w:w="0" w:type="dxa"/>
            <w:vAlign w:val="bottom"/>
          </w:tcPr>
          <w:p>
            <w:pPr>
              <w:spacing w:after="0"/>
              <w:rPr>
                <w:sz w:val="1"/>
                <w:szCs w:val="1"/>
                <w:color w:val="auto"/>
              </w:rPr>
            </w:pPr>
          </w:p>
        </w:tc>
      </w:tr>
      <w:tr>
        <w:trPr>
          <w:trHeight w:val="269"/>
        </w:trPr>
        <w:tc>
          <w:tcPr>
            <w:tcW w:w="4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447,886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119,599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w w:val="97"/>
              </w:rPr>
              <w:t>(6,441)</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561,044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97"/>
              </w:rPr>
              <w:t>(6,441)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543,066</w:t>
            </w:r>
          </w:p>
        </w:tc>
        <w:tc>
          <w:tcPr>
            <w:tcW w:w="0" w:type="dxa"/>
            <w:vAlign w:val="bottom"/>
          </w:tcPr>
          <w:p>
            <w:pPr>
              <w:spacing w:after="0"/>
              <w:rPr>
                <w:sz w:val="1"/>
                <w:szCs w:val="1"/>
                <w:color w:val="auto"/>
              </w:rPr>
            </w:pPr>
          </w:p>
        </w:tc>
      </w:tr>
      <w:tr>
        <w:trPr>
          <w:trHeight w:val="190"/>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17,978</w:t>
            </w:r>
          </w:p>
        </w:tc>
        <w:tc>
          <w:tcPr>
            <w:tcW w:w="0" w:type="dxa"/>
            <w:vAlign w:val="bottom"/>
          </w:tcPr>
          <w:p>
            <w:pPr>
              <w:spacing w:after="0"/>
              <w:rPr>
                <w:sz w:val="1"/>
                <w:szCs w:val="1"/>
                <w:color w:val="auto"/>
              </w:rPr>
            </w:pPr>
          </w:p>
        </w:tc>
      </w:tr>
      <w:tr>
        <w:trPr>
          <w:trHeight w:val="221"/>
        </w:trPr>
        <w:tc>
          <w:tcPr>
            <w:tcW w:w="41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97"/>
              </w:rPr>
              <w:t>(6,441)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561,044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03" w:right="4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102,368</w:t>
            </w: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23,149</w:t>
            </w:r>
          </w:p>
        </w:tc>
        <w:tc>
          <w:tcPr>
            <w:tcW w:w="0" w:type="dxa"/>
            <w:vAlign w:val="bottom"/>
          </w:tcPr>
          <w:p>
            <w:pPr>
              <w:spacing w:after="0"/>
              <w:rPr>
                <w:sz w:val="1"/>
                <w:szCs w:val="1"/>
                <w:color w:val="auto"/>
              </w:rPr>
            </w:pPr>
          </w:p>
        </w:tc>
      </w:tr>
      <w:tr>
        <w:trPr>
          <w:trHeight w:val="204"/>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10,406</w:t>
            </w:r>
          </w:p>
        </w:tc>
        <w:tc>
          <w:tcPr>
            <w:tcW w:w="0" w:type="dxa"/>
            <w:vAlign w:val="bottom"/>
          </w:tcPr>
          <w:p>
            <w:pPr>
              <w:spacing w:after="0"/>
              <w:rPr>
                <w:sz w:val="1"/>
                <w:szCs w:val="1"/>
                <w:color w:val="auto"/>
              </w:rPr>
            </w:pPr>
          </w:p>
        </w:tc>
      </w:tr>
      <w:tr>
        <w:trPr>
          <w:trHeight w:val="18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127,029</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135,923</w:t>
            </w:r>
          </w:p>
        </w:tc>
        <w:tc>
          <w:tcPr>
            <w:tcW w:w="0" w:type="dxa"/>
            <w:vAlign w:val="bottom"/>
          </w:tcPr>
          <w:p>
            <w:pPr>
              <w:spacing w:after="0"/>
              <w:rPr>
                <w:sz w:val="1"/>
                <w:szCs w:val="1"/>
                <w:color w:val="auto"/>
              </w:rPr>
            </w:pPr>
          </w:p>
        </w:tc>
      </w:tr>
      <w:tr>
        <w:trPr>
          <w:trHeight w:val="269"/>
        </w:trPr>
        <w:tc>
          <w:tcPr>
            <w:tcW w:w="4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400,396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408,421</w:t>
            </w:r>
          </w:p>
        </w:tc>
        <w:tc>
          <w:tcPr>
            <w:tcW w:w="0" w:type="dxa"/>
            <w:vAlign w:val="bottom"/>
          </w:tcPr>
          <w:p>
            <w:pPr>
              <w:spacing w:after="0"/>
              <w:rPr>
                <w:sz w:val="1"/>
                <w:szCs w:val="1"/>
                <w:color w:val="auto"/>
              </w:rPr>
            </w:pPr>
          </w:p>
        </w:tc>
      </w:tr>
      <w:tr>
        <w:trPr>
          <w:trHeight w:val="269"/>
        </w:trPr>
        <w:tc>
          <w:tcPr>
            <w:tcW w:w="4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409,290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132,549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544,344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525,805</w:t>
            </w:r>
          </w:p>
        </w:tc>
        <w:tc>
          <w:tcPr>
            <w:tcW w:w="0" w:type="dxa"/>
            <w:vAlign w:val="bottom"/>
          </w:tcPr>
          <w:p>
            <w:pPr>
              <w:spacing w:after="0"/>
              <w:rPr>
                <w:sz w:val="1"/>
                <w:szCs w:val="1"/>
                <w:color w:val="auto"/>
              </w:rPr>
            </w:pPr>
          </w:p>
        </w:tc>
      </w:tr>
      <w:tr>
        <w:trPr>
          <w:trHeight w:val="190"/>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18,539</w:t>
            </w:r>
          </w:p>
        </w:tc>
        <w:tc>
          <w:tcPr>
            <w:tcW w:w="0" w:type="dxa"/>
            <w:vAlign w:val="bottom"/>
          </w:tcPr>
          <w:p>
            <w:pPr>
              <w:spacing w:after="0"/>
              <w:rPr>
                <w:sz w:val="1"/>
                <w:szCs w:val="1"/>
                <w:color w:val="auto"/>
              </w:rPr>
            </w:pPr>
          </w:p>
        </w:tc>
      </w:tr>
      <w:tr>
        <w:trPr>
          <w:trHeight w:val="221"/>
        </w:trPr>
        <w:tc>
          <w:tcPr>
            <w:tcW w:w="41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544,344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277,693</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308,574</w:t>
            </w:r>
          </w:p>
        </w:tc>
        <w:tc>
          <w:tcPr>
            <w:tcW w:w="0" w:type="dxa"/>
            <w:vAlign w:val="bottom"/>
          </w:tcPr>
          <w:p>
            <w:pPr>
              <w:spacing w:after="0"/>
              <w:rPr>
                <w:sz w:val="1"/>
                <w:szCs w:val="1"/>
                <w:color w:val="auto"/>
              </w:rPr>
            </w:pPr>
          </w:p>
        </w:tc>
      </w:tr>
      <w:tr>
        <w:trPr>
          <w:trHeight w:val="204"/>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73,238</w:t>
            </w:r>
          </w:p>
        </w:tc>
        <w:tc>
          <w:tcPr>
            <w:tcW w:w="0" w:type="dxa"/>
            <w:vAlign w:val="bottom"/>
          </w:tcPr>
          <w:p>
            <w:pPr>
              <w:spacing w:after="0"/>
              <w:rPr>
                <w:sz w:val="1"/>
                <w:szCs w:val="1"/>
                <w:color w:val="auto"/>
              </w:rPr>
            </w:pPr>
          </w:p>
        </w:tc>
      </w:tr>
      <w:tr>
        <w:trPr>
          <w:trHeight w:val="19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30,169</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381,100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411,981</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1,396,163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1,455,063</w:t>
            </w:r>
          </w:p>
        </w:tc>
        <w:tc>
          <w:tcPr>
            <w:tcW w:w="0" w:type="dxa"/>
            <w:vAlign w:val="bottom"/>
          </w:tcPr>
          <w:p>
            <w:pPr>
              <w:spacing w:after="0"/>
              <w:rPr>
                <w:sz w:val="1"/>
                <w:szCs w:val="1"/>
                <w:color w:val="auto"/>
              </w:rPr>
            </w:pPr>
          </w:p>
        </w:tc>
      </w:tr>
      <w:tr>
        <w:trPr>
          <w:trHeight w:val="262"/>
        </w:trPr>
        <w:tc>
          <w:tcPr>
            <w:tcW w:w="4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1,427,044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402,340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1,867,044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1,427,044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347,934</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37,660</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1,812,638</w:t>
            </w:r>
          </w:p>
        </w:tc>
        <w:tc>
          <w:tcPr>
            <w:tcW w:w="0" w:type="dxa"/>
            <w:vAlign w:val="bottom"/>
          </w:tcPr>
          <w:p>
            <w:pPr>
              <w:spacing w:after="0"/>
              <w:rPr>
                <w:sz w:val="1"/>
                <w:szCs w:val="1"/>
                <w:color w:val="auto"/>
              </w:rPr>
            </w:pPr>
          </w:p>
        </w:tc>
      </w:tr>
      <w:tr>
        <w:trPr>
          <w:trHeight w:val="197"/>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54,406</w:t>
            </w:r>
          </w:p>
        </w:tc>
        <w:tc>
          <w:tcPr>
            <w:tcW w:w="0" w:type="dxa"/>
            <w:vAlign w:val="bottom"/>
          </w:tcPr>
          <w:p>
            <w:pPr>
              <w:spacing w:after="0"/>
              <w:rPr>
                <w:sz w:val="1"/>
                <w:szCs w:val="1"/>
                <w:color w:val="auto"/>
              </w:rPr>
            </w:pPr>
          </w:p>
        </w:tc>
      </w:tr>
      <w:tr>
        <w:trPr>
          <w:trHeight w:val="19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1,427,044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402,340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1,867,044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8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332,000</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364,111</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75,572</w:t>
            </w:r>
          </w:p>
        </w:tc>
        <w:tc>
          <w:tcPr>
            <w:tcW w:w="0" w:type="dxa"/>
            <w:vAlign w:val="bottom"/>
          </w:tcPr>
          <w:p>
            <w:pPr>
              <w:spacing w:after="0"/>
              <w:rPr>
                <w:sz w:val="1"/>
                <w:szCs w:val="1"/>
                <w:color w:val="auto"/>
              </w:rPr>
            </w:pPr>
          </w:p>
        </w:tc>
      </w:tr>
      <w:tr>
        <w:trPr>
          <w:trHeight w:val="190"/>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31,004</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438,576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470,687</w:t>
            </w:r>
          </w:p>
        </w:tc>
        <w:tc>
          <w:tcPr>
            <w:tcW w:w="0" w:type="dxa"/>
            <w:vAlign w:val="bottom"/>
          </w:tcPr>
          <w:p>
            <w:pPr>
              <w:spacing w:after="0"/>
              <w:rPr>
                <w:sz w:val="1"/>
                <w:szCs w:val="1"/>
                <w:color w:val="auto"/>
              </w:rPr>
            </w:pPr>
          </w:p>
        </w:tc>
      </w:tr>
      <w:tr>
        <w:trPr>
          <w:trHeight w:val="262"/>
        </w:trPr>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1,603,444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1,635,194</w:t>
            </w: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1,635,555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459,918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2,105,881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1,635,555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404,371</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2,050,334</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55,547</w:t>
            </w:r>
          </w:p>
        </w:tc>
        <w:tc>
          <w:tcPr>
            <w:tcW w:w="0" w:type="dxa"/>
            <w:vAlign w:val="bottom"/>
          </w:tcPr>
          <w:p>
            <w:pPr>
              <w:spacing w:after="0"/>
              <w:rPr>
                <w:sz w:val="1"/>
                <w:szCs w:val="1"/>
                <w:color w:val="auto"/>
              </w:rPr>
            </w:pPr>
          </w:p>
        </w:tc>
      </w:tr>
      <w:tr>
        <w:trPr>
          <w:trHeight w:val="196"/>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1,635,555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459,918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2,105,881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880"/>
          </w:cols>
          <w:pgMar w:left="960" w:top="953" w:right="1059" w:bottom="1440" w:gutter="0" w:footer="0" w:header="0"/>
        </w:sectPr>
      </w:pPr>
    </w:p>
    <w:bookmarkStart w:id="34" w:name="page35"/>
    <w:bookmarkEnd w:id="34"/>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 and Revenue Recognized from Past Performance Obligations</w:t>
      </w:r>
    </w:p>
    <w:p>
      <w:pPr>
        <w:spacing w:after="0" w:line="252" w:lineRule="exact"/>
        <w:rPr>
          <w:sz w:val="20"/>
          <w:szCs w:val="20"/>
          <w:color w:val="auto"/>
        </w:rPr>
      </w:pPr>
    </w:p>
    <w:p>
      <w:pPr>
        <w:ind w:right="500"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2022 and 2021, the aggregate amount of the transaction price allocated to the performance obligations relating to workflow technology and analytics revenues that are unsatisfied (or partially unsatisfied) was not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Contract Liabilities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0" w:lineRule="exact"/>
        <w:rPr>
          <w:sz w:val="20"/>
          <w:szCs w:val="20"/>
          <w:color w:val="auto"/>
        </w:r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Receivables related to revenues from contracts with customers amounted to $57.2 million and $51.5 million as of September 30, 2022 and December 31, 2021, respectively. The Company did not identify any contract assets. There were no impairment losses on receivables as of September 30, 2022.</w:t>
      </w:r>
    </w:p>
    <w:p>
      <w:pPr>
        <w:spacing w:after="0" w:line="173"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Deferred revenue primarily relates to deferred commissions allocated to analytics products and subscription fees billed in advance of satisfying the performance obligations. Deferred revenue related to contracts with customers was $11.6 million and $9.2 million as of September 30, 2022 and December 31, 2021, respectively. The Company recognized the full amount of revenue during the nine months ended September 30, 2022 and 2021, that had been recorded as deferred revenue in the respective prior year.</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not identified any costs to obtain or fulfill its contracts under ASC 606.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239" w:lineRule="exact"/>
        <w:rPr>
          <w:sz w:val="20"/>
          <w:szCs w:val="20"/>
          <w:color w:val="auto"/>
        </w:rPr>
      </w:pPr>
    </w:p>
    <w:p>
      <w:pPr>
        <w:ind w:right="60" w:firstLine="629"/>
        <w:spacing w:after="0" w:line="244" w:lineRule="auto"/>
        <w:rPr>
          <w:sz w:val="20"/>
          <w:szCs w:val="20"/>
          <w:color w:val="auto"/>
        </w:rPr>
      </w:pPr>
      <w:r>
        <w:rPr>
          <w:rFonts w:ascii="Times New Roman" w:cs="Times New Roman" w:eastAsia="Times New Roman" w:hAnsi="Times New Roman"/>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and nine months ended September 30, 2022 and 2021,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$21.7 million, 21.4%, and $22.0 million, 15.1% for the three months ended September 30, 2022 and 2021, respectively and $88.4 million, 17.1% and $128.6 million, 16.7% for the for the nine months ended September 30, 2022 and 2021, respectively. Income tax expense is also affected by the differing effective tax rates in foreign, state and local jurisdictions where certain of the Company’s subsidiaries are subject to corporate taxation.</w:t>
      </w:r>
    </w:p>
    <w:p>
      <w:pPr>
        <w:spacing w:after="0" w:line="200" w:lineRule="exact"/>
        <w:rPr>
          <w:sz w:val="20"/>
          <w:szCs w:val="20"/>
          <w:color w:val="auto"/>
        </w:rPr>
      </w:pPr>
    </w:p>
    <w:p>
      <w:pPr>
        <w:spacing w:after="0" w:line="214"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Included in Other assets on the Condensed Consolidated Statements of Financial Condition at September 30, 2022 and December 31, 2021 are current income tax receivables of $63.3 million and $37.2 million, respectively. The balances at September 30, 2022 and December 31, 2021 primarily comprised income tax benefits due to the Company from federal, state, local, and foreign tax jurisdictions based on income before taxes. Included in Accounts payable, accrued expenses and other liabilities on the Condensed Consolidated Statements of Financial Condition at September 30, 2022 and December 31, 2021 are current tax liabilities of $12.0 million and $16.8 million, respectively. The balances at September 30, 2022 and December 31, 2021 primarily comprise income taxes owed to federal, state and local, and foreign tax jurisdictions based on income before taxes.</w:t>
      </w:r>
    </w:p>
    <w:p>
      <w:pPr>
        <w:spacing w:after="0" w:line="198"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Deferred income taxes arise primarily due to the amortization of the deferred tax assets recognized in connection with the IPO (see Note 4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ind w:right="100" w:firstLine="629"/>
        <w:spacing w:after="0" w:line="263" w:lineRule="auto"/>
        <w:rPr>
          <w:sz w:val="20"/>
          <w:szCs w:val="20"/>
          <w:color w:val="auto"/>
        </w:rPr>
      </w:pPr>
      <w:r>
        <w:rPr>
          <w:rFonts w:ascii="Times New Roman" w:cs="Times New Roman" w:eastAsia="Times New Roman" w:hAnsi="Times New Roman"/>
          <w:sz w:val="17"/>
          <w:szCs w:val="17"/>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September 30, 2022 and December 31, 2021, the Company did not have any U.S. federal net operating loss carryforwards and therefore the Company did not record a deferred tax asset related to federal net operating loss carryforwards. At September 30, 2022 and December 31, 2021, the Company recorded deferred income taxes related to state and local net operating losses of $0.4 million. These net operating losses will begin to expire in 2039. The Company did not record a valuation allowance against this deferred tax asset.</w:t>
      </w:r>
    </w:p>
    <w:p>
      <w:pPr>
        <w:spacing w:after="0" w:line="203" w:lineRule="exact"/>
        <w:rPr>
          <w:sz w:val="20"/>
          <w:szCs w:val="20"/>
          <w:color w:val="auto"/>
        </w:rPr>
      </w:pPr>
    </w:p>
    <w:p>
      <w:pPr>
        <w:ind w:right="20" w:firstLine="629"/>
        <w:spacing w:after="0" w:line="264" w:lineRule="auto"/>
        <w:rPr>
          <w:sz w:val="20"/>
          <w:szCs w:val="20"/>
          <w:color w:val="auto"/>
        </w:rPr>
      </w:pPr>
      <w:r>
        <w:rPr>
          <w:rFonts w:ascii="Times New Roman" w:cs="Times New Roman" w:eastAsia="Times New Roman" w:hAnsi="Times New Roman"/>
          <w:sz w:val="17"/>
          <w:szCs w:val="17"/>
          <w:color w:val="auto"/>
        </w:rPr>
        <w:t>As a result of the ITG Acquisition, the Company had non-U.S. net operating losses at September 30, 2022 and December 31, 2021 of $64.7 million and $67.2 million, respectively, and recorded a related deferred tax asset of $12.4 million and $13.4 million, respectively. A valuation allowance of $12.4 million and $13.3 million was recorded against this deferred tax asset at September 30, 2022 and December 31, 2021, respectively as it is more likely than not that a substantial portion of this deferred tax asset will not be realized. As a result of the Acquisition of KCG, the Company had non-U.S. net operating losses at September 30, 2022 and December 31, 2021 of $239.3 million, and recorded a related deferred tax asset of $44.9 million in both years. A full valuation allowance was also recorded against this deferred tax asset at both September 30, 2022 and December 31, 2021 as it is more likely than not that this deferred tax asset will not be realized.</w:t>
      </w:r>
    </w:p>
    <w:p>
      <w:pPr>
        <w:spacing w:after="0" w:line="200" w:lineRule="exact"/>
        <w:rPr>
          <w:sz w:val="20"/>
          <w:szCs w:val="20"/>
          <w:color w:val="auto"/>
        </w:rPr>
      </w:pPr>
    </w:p>
    <w:p>
      <w:pPr>
        <w:spacing w:after="0" w:line="213"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No valuation allowance against the remaining deferred taxes was recorded as of September 30, 2022 and December 31, 2021 because it is more likely than not that these deferred tax assets will be fully realized.</w:t>
      </w:r>
    </w:p>
    <w:p>
      <w:pPr>
        <w:spacing w:after="0" w:line="173"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The Company is subject to taxation in U.S. federal, state, local and foreign jurisdictions. As of September 30, 2022, the Company’s tax years for 2015 through 2020 and 2016 through 2020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2020. The final outcome of these examinations is not yet determinable. However, the Company anticipates that adjustments related to these examinations, if any, will not result in a material change to its financial condition, results of operations and cash flows.</w:t>
      </w:r>
    </w:p>
    <w:p>
      <w:pPr>
        <w:spacing w:after="0" w:line="196" w:lineRule="exact"/>
        <w:rPr>
          <w:sz w:val="20"/>
          <w:szCs w:val="20"/>
          <w:color w:val="auto"/>
        </w:rPr>
      </w:pPr>
    </w:p>
    <w:p>
      <w:pPr>
        <w:ind w:right="300" w:firstLine="629"/>
        <w:spacing w:after="0" w:line="276" w:lineRule="auto"/>
        <w:rPr>
          <w:sz w:val="20"/>
          <w:szCs w:val="20"/>
          <w:color w:val="auto"/>
        </w:rPr>
      </w:pPr>
      <w:r>
        <w:rPr>
          <w:rFonts w:ascii="Times New Roman" w:cs="Times New Roman" w:eastAsia="Times New Roman" w:hAnsi="Times New Roman"/>
          <w:sz w:val="17"/>
          <w:szCs w:val="17"/>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spacing w:after="0" w:line="190"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The Company had $6.5 million of unrecognized tax benefits as of September 30, 2022, all of which would affect the Company’s effective tax rate if recognized. The Company has determined that there are no uncertain tax positions that would have a material impact on the Company’s financial position as of September 30,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Contingencies and Guarantees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5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6" w:name="page37"/>
    <w:bookmarkEnd w:id="36"/>
    <w:p>
      <w:pPr>
        <w:ind w:firstLine="629"/>
        <w:spacing w:after="0" w:line="265" w:lineRule="auto"/>
        <w:rPr>
          <w:sz w:val="20"/>
          <w:szCs w:val="20"/>
          <w:color w:val="auto"/>
        </w:rPr>
      </w:pPr>
      <w:r>
        <w:rPr>
          <w:rFonts w:ascii="Times New Roman" w:cs="Times New Roman" w:eastAsia="Times New Roman" w:hAnsi="Times New Roman"/>
          <w:sz w:val="17"/>
          <w:szCs w:val="17"/>
          <w:color w:val="auto"/>
        </w:rPr>
        <w:t xml:space="preserve">On November 30, 2020, the Company was named as a defendant in </w:t>
      </w:r>
      <w:r>
        <w:rPr>
          <w:rFonts w:ascii="Times New Roman" w:cs="Times New Roman" w:eastAsia="Times New Roman" w:hAnsi="Times New Roman"/>
          <w:sz w:val="17"/>
          <w:szCs w:val="17"/>
          <w:i w:val="1"/>
          <w:iCs w:val="1"/>
          <w:color w:val="auto"/>
        </w:rPr>
        <w:t>In re United States Oil Fund, LP Securities Litigation</w:t>
      </w:r>
      <w:r>
        <w:rPr>
          <w:rFonts w:ascii="Times New Roman" w:cs="Times New Roman" w:eastAsia="Times New Roman" w:hAnsi="Times New Roman"/>
          <w:sz w:val="17"/>
          <w:szCs w:val="17"/>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and plaintiffs subsequently filed their opposition to the motion on March 30, 2021. The Company believes that the claims are without merit and is defending itself vigorously.</w:t>
      </w:r>
    </w:p>
    <w:p>
      <w:pPr>
        <w:spacing w:after="0" w:line="185"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 xml:space="preserve">On August 31, 2021, the Company was named as a defendant in </w:t>
      </w:r>
      <w:r>
        <w:rPr>
          <w:rFonts w:ascii="Times New Roman" w:cs="Times New Roman" w:eastAsia="Times New Roman" w:hAnsi="Times New Roman"/>
          <w:sz w:val="17"/>
          <w:szCs w:val="17"/>
          <w:i w:val="1"/>
          <w:iCs w:val="1"/>
          <w:color w:val="auto"/>
        </w:rPr>
        <w:t>Alers v. Robinhood Financial, LLC et al</w:t>
      </w:r>
      <w:r>
        <w:rPr>
          <w:rFonts w:ascii="Times New Roman" w:cs="Times New Roman" w:eastAsia="Times New Roman" w:hAnsi="Times New Roman"/>
          <w:sz w:val="17"/>
          <w:szCs w:val="17"/>
          <w:color w:val="auto"/>
        </w:rPr>
        <w:t xml:space="preserve"> No. 21-cv-61848. The complaint was filed in federal district court in Florida on behalf of a putative class, and asserts claims against the Company and numerous other financial institutions alleging a breach of fiduciary duty by Robinhood and aiding and abetting thereof by the Company and other market making firms. The complaint did not specify the amount of alleged damages. On December 31, 2021, plaintiffs filed an amended complaint, after which, on July 1, 2022, Robinhood and the market-maker defendants’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motion to transfer the case to the Northern District of California was granted. The case was thereafter consolidated with the action In </w:t>
      </w:r>
      <w:r>
        <w:rPr>
          <w:rFonts w:ascii="Times New Roman" w:cs="Times New Roman" w:eastAsia="Times New Roman" w:hAnsi="Times New Roman"/>
          <w:sz w:val="17"/>
          <w:szCs w:val="17"/>
          <w:i w:val="1"/>
          <w:iCs w:val="1"/>
          <w:color w:val="auto"/>
        </w:rPr>
        <w:t>re Robinhood Order Flow</w:t>
      </w:r>
    </w:p>
    <w:p>
      <w:pPr>
        <w:spacing w:after="0" w:line="4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No. 20-cv-09328 (N.D. Cal.) (the “Consolidated Action”). The consolidation order provides that the operative complaint in the Consolidated 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supersedes the complaint in the Alers action and thus there is no pending action against the Company.</w:t>
      </w:r>
    </w:p>
    <w:p>
      <w:pPr>
        <w:spacing w:after="0" w:line="168"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 xml:space="preserve">On March 7, 2022, the Company was named as a defendant in </w:t>
      </w:r>
      <w:r>
        <w:rPr>
          <w:rFonts w:ascii="Times New Roman" w:cs="Times New Roman" w:eastAsia="Times New Roman" w:hAnsi="Times New Roman"/>
          <w:sz w:val="17"/>
          <w:szCs w:val="17"/>
          <w:i w:val="1"/>
          <w:iCs w:val="1"/>
          <w:color w:val="auto"/>
        </w:rPr>
        <w:t>Iron Workers Local No. 55 Pension Fund v. Virtu Financial, Inc.</w:t>
      </w:r>
      <w:r>
        <w:rPr>
          <w:rFonts w:ascii="Times New Roman" w:cs="Times New Roman" w:eastAsia="Times New Roman" w:hAnsi="Times New Roman"/>
          <w:sz w:val="17"/>
          <w:szCs w:val="17"/>
          <w:color w:val="auto"/>
        </w:rPr>
        <w:t>, No. 2022-0211-PAF pending in the Court of Chancery of the State of Delaware. The complaint, filed by a purported stockholder, seeks to compel the inspection of certain Company books and records pursuant to Section 220 of the Delaware General Corporation Law. The complaint alleges that the stockholder seeks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believes that the claims are without merit and is defending itself vigorously.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Legal and Regulatory Matters</w:t>
      </w:r>
    </w:p>
    <w:p>
      <w:pPr>
        <w:spacing w:after="0" w:line="241" w:lineRule="exact"/>
        <w:rPr>
          <w:sz w:val="20"/>
          <w:szCs w:val="20"/>
          <w:color w:val="auto"/>
        </w:rPr>
      </w:pPr>
    </w:p>
    <w:p>
      <w:pPr>
        <w:ind w:firstLine="629"/>
        <w:spacing w:after="0" w:line="242" w:lineRule="auto"/>
        <w:rPr>
          <w:sz w:val="20"/>
          <w:szCs w:val="20"/>
          <w:color w:val="auto"/>
        </w:rPr>
      </w:pPr>
      <w:r>
        <w:rPr>
          <w:rFonts w:ascii="Times New Roman" w:cs="Times New Roman" w:eastAsia="Times New Roman" w:hAnsi="Times New Roman"/>
          <w:sz w:val="17"/>
          <w:szCs w:val="17"/>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which could result in changes in laws or rules which could adversely affect the Company’s business or the public perception of the Company or the Company’s industry.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w:t>
      </w:r>
    </w:p>
    <w:p>
      <w:pPr>
        <w:spacing w:after="0" w:line="200" w:lineRule="exact"/>
        <w:rPr>
          <w:sz w:val="20"/>
          <w:szCs w:val="20"/>
          <w:color w:val="auto"/>
        </w:rPr>
      </w:pPr>
    </w:p>
    <w:p>
      <w:pPr>
        <w:spacing w:after="0" w:line="223"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Representations and Warranties; Indemnification Arrangements</w:t>
      </w:r>
    </w:p>
    <w:p>
      <w:pPr>
        <w:spacing w:after="0" w:line="254" w:lineRule="exact"/>
        <w:rPr>
          <w:sz w:val="20"/>
          <w:szCs w:val="20"/>
          <w:color w:val="auto"/>
        </w:rPr>
      </w:pPr>
    </w:p>
    <w:p>
      <w:pPr>
        <w:ind w:right="640" w:firstLine="629"/>
        <w:spacing w:after="0" w:line="296" w:lineRule="auto"/>
        <w:rPr>
          <w:sz w:val="20"/>
          <w:szCs w:val="20"/>
          <w:color w:val="auto"/>
        </w:rPr>
      </w:pPr>
      <w:r>
        <w:rPr>
          <w:rFonts w:ascii="Times New Roman" w:cs="Times New Roman" w:eastAsia="Times New Roman" w:hAnsi="Times New Roman"/>
          <w:sz w:val="17"/>
          <w:szCs w:val="17"/>
          <w:color w:val="auto"/>
        </w:rPr>
        <w:t>In the normal course of its operations, the Company enters into contracts that contain a variety of representations and warranties in addition to indemnification obligations, including indemnification obligations in connection with the Acquisition</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01" w:right="379" w:bottom="1440" w:gutter="0" w:footer="0" w:header="0"/>
        </w:sectPr>
      </w:pPr>
    </w:p>
    <w:bookmarkStart w:id="37" w:name="page38"/>
    <w:bookmarkEnd w:id="37"/>
    <w:p>
      <w:pPr>
        <w:ind w:right="340"/>
        <w:spacing w:after="0" w:line="267" w:lineRule="auto"/>
        <w:rPr>
          <w:sz w:val="20"/>
          <w:szCs w:val="20"/>
          <w:color w:val="auto"/>
        </w:rPr>
      </w:pPr>
      <w:r>
        <w:rPr>
          <w:rFonts w:ascii="Times New Roman" w:cs="Times New Roman" w:eastAsia="Times New Roman" w:hAnsi="Times New Roman"/>
          <w:sz w:val="17"/>
          <w:szCs w:val="17"/>
          <w:color w:val="auto"/>
        </w:rPr>
        <w:t>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w:t>
      </w:r>
    </w:p>
    <w:p>
      <w:pPr>
        <w:spacing w:after="0" w:line="196"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252" w:lineRule="exact"/>
        <w:rPr>
          <w:sz w:val="20"/>
          <w:szCs w:val="20"/>
          <w:color w:val="auto"/>
        </w:rPr>
      </w:pPr>
    </w:p>
    <w:p>
      <w:pPr>
        <w:jc w:val="both"/>
        <w:ind w:right="200" w:firstLine="629"/>
        <w:spacing w:after="0" w:line="276" w:lineRule="auto"/>
        <w:rPr>
          <w:sz w:val="20"/>
          <w:szCs w:val="20"/>
          <w:color w:val="auto"/>
        </w:rPr>
      </w:pPr>
      <w:r>
        <w:rPr>
          <w:rFonts w:ascii="Times New Roman" w:cs="Times New Roman" w:eastAsia="Times New Roman" w:hAnsi="Times New Roman"/>
          <w:sz w:val="17"/>
          <w:szCs w:val="17"/>
          <w:color w:val="auto"/>
        </w:rPr>
        <w:t>The Company primarily enters into lessee arrangements for corporate office space, data centers, and technology equipment. For more information on lease accounting, see Note 2 "Summary of Significant Accounting Policies" and Note 17 "Leases" to the Consolidated Financial Statements of the Company's 2021 Annual Report on Form 10-K.</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Lease assets and liabilities are summarized as follows:</w:t>
      </w:r>
    </w:p>
    <w:p>
      <w:pPr>
        <w:sectPr>
          <w:pgSz w:w="11900" w:h="16838" w:orient="portrait"/>
          <w:cols w:equalWidth="0" w:num="1">
            <w:col w:w="11240"/>
          </w:cols>
          <w:pgMar w:left="320" w:top="868" w:right="339" w:bottom="1440" w:gutter="0" w:footer="0" w:header="0"/>
        </w:sectPr>
      </w:pPr>
    </w:p>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Operating leases</w:t>
      </w:r>
    </w:p>
    <w:p>
      <w:pPr>
        <w:spacing w:after="0" w:line="35" w:lineRule="exact"/>
        <w:rPr>
          <w:sz w:val="20"/>
          <w:szCs w:val="20"/>
          <w:color w:val="auto"/>
        </w:rPr>
      </w:pPr>
    </w:p>
    <w:p>
      <w:pPr>
        <w:ind w:left="220" w:right="60"/>
        <w:spacing w:after="0" w:line="324" w:lineRule="auto"/>
        <w:rPr>
          <w:sz w:val="20"/>
          <w:szCs w:val="20"/>
          <w:color w:val="auto"/>
        </w:rPr>
      </w:pPr>
      <w:r>
        <w:rPr>
          <w:rFonts w:ascii="Times New Roman" w:cs="Times New Roman" w:eastAsia="Times New Roman" w:hAnsi="Times New Roman"/>
          <w:sz w:val="14"/>
          <w:szCs w:val="14"/>
          <w:color w:val="auto"/>
        </w:rPr>
        <w:t>Operating lease right-of-use assets Operating lease liabilities</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Finance leases</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Property and equipment, at cost</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6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199,942</w:t>
            </w:r>
          </w:p>
        </w:tc>
        <w:tc>
          <w:tcPr>
            <w:tcW w:w="10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225,328</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278,745</w:t>
            </w:r>
          </w:p>
        </w:tc>
      </w:tr>
      <w:tr>
        <w:trPr>
          <w:trHeight w:val="655"/>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18,965</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(12,465)</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-774700</wp:posOffset>
            </wp:positionV>
            <wp:extent cx="7028180" cy="1244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-483235</wp:posOffset>
            </wp:positionV>
            <wp:extent cx="7028180" cy="1244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-233680</wp:posOffset>
            </wp:positionV>
            <wp:extent cx="7028180" cy="1244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-1032510</wp:posOffset>
            </wp:positionV>
            <wp:extent cx="7028180" cy="133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2818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720"/>
            <w:col w:w="8300"/>
          </w:cols>
          <w:pgMar w:left="320" w:top="868" w:right="339" w:bottom="1440" w:gutter="0" w:footer="0" w:header="0"/>
          <w:type w:val="continuous"/>
        </w:sectPr>
      </w:pP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Weighted average remaining lease term and discount rate are as follows:</w:t>
      </w:r>
    </w:p>
    <w:p>
      <w:pPr>
        <w:spacing w:after="0" w:line="283"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1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2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7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89"/>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6.24 years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 years</w:t>
            </w:r>
          </w:p>
        </w:tc>
      </w:tr>
      <w:tr>
        <w:trPr>
          <w:trHeight w:val="20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1.98 years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years</w:t>
            </w:r>
          </w:p>
        </w:tc>
      </w:tr>
      <w:tr>
        <w:trPr>
          <w:trHeight w:val="18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5.47 %</w:t>
            </w:r>
          </w:p>
        </w:tc>
      </w:tr>
      <w:tr>
        <w:trPr>
          <w:trHeight w:val="182"/>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38" w:name="page39"/>
    <w:bookmarkEnd w:id="38"/>
    <w:p>
      <w:pPr>
        <w:ind w:left="640"/>
        <w:spacing w:after="0"/>
        <w:rPr>
          <w:sz w:val="20"/>
          <w:szCs w:val="20"/>
          <w:color w:val="auto"/>
        </w:rPr>
      </w:pPr>
      <w:r>
        <w:rPr>
          <w:rFonts w:ascii="Times New Roman" w:cs="Times New Roman" w:eastAsia="Times New Roman" w:hAnsi="Times New Roman"/>
          <w:sz w:val="17"/>
          <w:szCs w:val="17"/>
          <w:color w:val="auto"/>
        </w:rPr>
        <w:t>The components of lease expense are as follows:</w:t>
      </w:r>
    </w:p>
    <w:p>
      <w:pPr>
        <w:spacing w:after="0" w:line="283"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312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18,183</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18,994</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54,677</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56,772</w:t>
            </w:r>
          </w:p>
        </w:tc>
        <w:tc>
          <w:tcPr>
            <w:tcW w:w="0" w:type="dxa"/>
            <w:vAlign w:val="bottom"/>
          </w:tcPr>
          <w:p>
            <w:pPr>
              <w:spacing w:after="0"/>
              <w:rPr>
                <w:sz w:val="1"/>
                <w:szCs w:val="1"/>
                <w:color w:val="auto"/>
              </w:rPr>
            </w:pPr>
          </w:p>
        </w:tc>
      </w:tr>
      <w:tr>
        <w:trPr>
          <w:trHeight w:val="204"/>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5,144</w:t>
            </w:r>
          </w:p>
        </w:tc>
        <w:tc>
          <w:tcPr>
            <w:tcW w:w="0" w:type="dxa"/>
            <w:vAlign w:val="bottom"/>
          </w:tcPr>
          <w:p>
            <w:pPr>
              <w:spacing w:after="0"/>
              <w:rPr>
                <w:sz w:val="1"/>
                <w:szCs w:val="1"/>
                <w:color w:val="auto"/>
              </w:rPr>
            </w:pPr>
          </w:p>
        </w:tc>
      </w:tr>
      <w:tr>
        <w:trPr>
          <w:trHeight w:val="19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Impairment of ROU Asset</w:t>
            </w:r>
          </w:p>
        </w:tc>
        <w:tc>
          <w:tcPr>
            <w:tcW w:w="34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1,198</w:t>
            </w:r>
          </w:p>
        </w:tc>
        <w:tc>
          <w:tcPr>
            <w:tcW w:w="0" w:type="dxa"/>
            <w:vAlign w:val="bottom"/>
          </w:tcPr>
          <w:p>
            <w:pPr>
              <w:spacing w:after="0"/>
              <w:rPr>
                <w:sz w:val="1"/>
                <w:szCs w:val="1"/>
                <w:color w:val="auto"/>
              </w:rPr>
            </w:pPr>
          </w:p>
        </w:tc>
      </w:tr>
      <w:tr>
        <w:trPr>
          <w:trHeight w:val="221"/>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19,434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63,114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13,404</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ROU Asset</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1,855</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5,748</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5,024</w:t>
            </w:r>
          </w:p>
        </w:tc>
        <w:tc>
          <w:tcPr>
            <w:tcW w:w="0" w:type="dxa"/>
            <w:vAlign w:val="bottom"/>
          </w:tcPr>
          <w:p>
            <w:pPr>
              <w:spacing w:after="0"/>
              <w:rPr>
                <w:sz w:val="1"/>
                <w:szCs w:val="1"/>
                <w:color w:val="auto"/>
              </w:rPr>
            </w:pPr>
          </w:p>
        </w:tc>
      </w:tr>
      <w:tr>
        <w:trPr>
          <w:trHeight w:val="197"/>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5,207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Future minimum lease payments under operating and finance leases with non-cancelable lease terms, as of September 30, 2022, are as follows:</w:t>
      </w:r>
    </w:p>
    <w:p>
      <w:pPr>
        <w:spacing w:after="0" w:line="283" w:lineRule="exact"/>
        <w:rPr>
          <w:sz w:val="20"/>
          <w:szCs w:val="20"/>
          <w:color w:val="auto"/>
        </w:rPr>
      </w:pPr>
    </w:p>
    <w:tbl>
      <w:tblPr>
        <w:tblLayout w:type="fixed"/>
        <w:tblInd w:w="2580" w:type="dxa"/>
        <w:tblCellMar>
          <w:top w:w="0" w:type="dxa"/>
          <w:left w:w="0" w:type="dxa"/>
          <w:bottom w:w="0" w:type="dxa"/>
          <w:right w:w="0" w:type="dxa"/>
        </w:tblCellMar>
      </w:tblPr>
      <w:tr>
        <w:trPr>
          <w:trHeight w:val="18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17,814</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6,076</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4,465</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 and thereafter</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99,273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payments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297,088</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13,175</w:t>
            </w:r>
          </w:p>
        </w:tc>
      </w:tr>
      <w:tr>
        <w:trPr>
          <w:trHeight w:val="197"/>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imputed interest</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(48,387)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w:t>
            </w:r>
          </w:p>
        </w:tc>
      </w:tr>
      <w:tr>
        <w:trPr>
          <w:trHeight w:val="196"/>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liability</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248,701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11,850</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Cash</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cash and cash equivalents together with restricted or segregated cash</w:t>
      </w:r>
    </w:p>
    <w:p>
      <w:pPr>
        <w:spacing w:after="0" w:line="3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as reported within the Condensed Consolidated Statements of Financial Condition to the sum of the same such amounts shown in the Condensed Consolidated Statements of Cash Flows.</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1,071,463</w:t>
            </w:r>
          </w:p>
        </w:tc>
      </w:tr>
      <w:tr>
        <w:trPr>
          <w:trHeight w:val="190"/>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54,149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49,490</w:t>
            </w:r>
          </w:p>
        </w:tc>
      </w:tr>
      <w:tr>
        <w:trPr>
          <w:trHeight w:val="221"/>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statement of cash flows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890,447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1,120,953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Capital Structure</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85.0% of the combined voting power of our common stock as a result of its ownership of our Class A, Class C and Class D Common Stock. The Company holds approximately a 60.2% interest in Virtu Financial at September 30, 2022.</w:t>
      </w:r>
    </w:p>
    <w:p>
      <w:pPr>
        <w:spacing w:after="0" w:line="196"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During the period prior to certain reorganization transactions and IPO, Class A-2 profits interests and Class B interests in Virtu Financial were issued to Employee Holdco (as defined below) on behalf of certain key employees and stakeholders. In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9" w:name="page40"/>
    <w:bookmarkEnd w:id="39"/>
    <w:p>
      <w:pPr>
        <w:ind w:right="60"/>
        <w:spacing w:after="0" w:line="270" w:lineRule="auto"/>
        <w:rPr>
          <w:sz w:val="20"/>
          <w:szCs w:val="20"/>
          <w:color w:val="auto"/>
        </w:rPr>
      </w:pPr>
      <w:r>
        <w:rPr>
          <w:rFonts w:ascii="Times New Roman" w:cs="Times New Roman" w:eastAsia="Times New Roman" w:hAnsi="Times New Roman"/>
          <w:sz w:val="17"/>
          <w:szCs w:val="17"/>
          <w:color w:val="auto"/>
        </w:rPr>
        <w:t>connection with these reorganization transactions, all Class A-2 profits interests and Class B interests were reclassified into Virtu Financial Units. As of September 30, 2022 and December 31, 2021, there were 4,462,840 and 4,791,839 Virtu Financial Units outstanding held by Employee Holdco (as defined below), respectively, and 328,999 and 463,874 of such Virtu Financial Units and corresponding Class C Common Stock were exchanged into Class A Common Stock, forfeited or repurchased during the nine months ended September 30, 2022 and 2021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2015 Management Incentive Plan</w:t>
      </w:r>
    </w:p>
    <w:p>
      <w:pPr>
        <w:spacing w:after="0" w:line="25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June 5, 2020 and June 2, 2022. The Amended and Restated 2015 Management Incentive Plan provides for the grant of stock options, restricted stock units, and other awards based on an aggregate of 26,000,000 shares of Class A Common Stock, subject to additional sublimits, including limits on the total option grant to any one participant in a single year and the total performance award to any one participant in a single year.</w:t>
      </w:r>
    </w:p>
    <w:p>
      <w:pPr>
        <w:spacing w:after="0" w:line="196"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Investment Technology Group, Inc. 2007 Omnibus Equity Compensation Plan</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Additionally, on November 3, 2021 the Company's Board of Directors authorized the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2022, the Company repurchased approximately 30.3 million shares of Class A Common Stock and Virtu Financial Units for approximately $854.4 million. As of September 30, 2022, the Company has approximately $365.6 million remaining capacity for future purchases of shares of Class A Common Stock and Virtu Financial Units under the program.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Exchanges</w:t>
      </w:r>
    </w:p>
    <w:p>
      <w:pPr>
        <w:spacing w:after="0" w:line="254" w:lineRule="exact"/>
        <w:rPr>
          <w:sz w:val="20"/>
          <w:szCs w:val="20"/>
          <w:color w:val="auto"/>
        </w:rPr>
      </w:pPr>
    </w:p>
    <w:p>
      <w:pPr>
        <w:ind w:right="260" w:firstLine="629"/>
        <w:spacing w:after="0" w:line="276" w:lineRule="auto"/>
        <w:rPr>
          <w:sz w:val="20"/>
          <w:szCs w:val="20"/>
          <w:color w:val="auto"/>
        </w:rPr>
      </w:pPr>
      <w:r>
        <w:rPr>
          <w:rFonts w:ascii="Times New Roman" w:cs="Times New Roman" w:eastAsia="Times New Roman" w:hAnsi="Times New Roman"/>
          <w:sz w:val="17"/>
          <w:szCs w:val="17"/>
          <w:color w:val="auto"/>
        </w:rPr>
        <w:t>During the nine months ended September 30, 2022, and 2021, pursuant to the exchange agreement by and among the Company, Virtu Financial and holders of Virtu Financial Units, certain current and former employees elected to exchange 92,930, and 405,272 units, respectively in Virtu Financial held directly or on their behalf by Virtu Employee Holdco LLC (“Employee Holdco”) on a one-for-one basis for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Issuance</w:t>
      </w:r>
    </w:p>
    <w:p>
      <w:pPr>
        <w:spacing w:after="0" w:line="25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On March 20, 2020, in connection with and in consideration of the Founder Member’s commitments under the Founder Member Loan Facility (as described in Note 8 "Borrowings"),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If at any time during the term of the Founder Member Loan Facility, the Founder Member Loans equal to or greater than $100 million had remained outstanding for a certain period of time specified in the Warrant, the number of shares would have increased to 10,000,000. The Founder Member Loan Facility Term expired on September 20, 2020 without the Company having borrowed any Founder Member Loans thereunder (as described in Note 8 "Borrowings"). The exercise price per share of the Class A Common Stock issuable pursuant to the Warrant was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On December 17, 2021, the Founder Member exercised in full the Warrant to purchase 3,000,000 shares of the Company's Class A Common Stock. The Warrant and Class A Common Stock issued pursuant to the Warrant were offered, issued and sold, in reliance on the exemption from the registration requirements of the Securities Act of 1933, as amended (the "Securities Act"), set forth under Section 4(a)(2) of the Securities Act relating to sales by an issuer not involving any public offering.</w:t>
      </w:r>
    </w:p>
    <w:p>
      <w:pPr>
        <w:spacing w:after="0" w:line="209"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Upon issuance, the fair value of the Warrant was determined using a Black-Scholes-Merton model, and was recorded as a debt issuance cost within Other Assets on the Condensed Consolidated Statements of Financial Condition and as an increase to Additional paid-in capital on the Condensed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Condensed Consolidated Statements of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following table presents the changes in Other Comprehensive Income for the three and nine months ended September 30, 2022, and 2021:</w:t>
      </w:r>
    </w:p>
    <w:p>
      <w:pPr>
        <w:spacing w:after="0" w:line="139"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rPr>
              <w:t>27,486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45,999</w:t>
            </w:r>
          </w:p>
        </w:tc>
        <w:tc>
          <w:tcPr>
            <w:tcW w:w="0" w:type="dxa"/>
            <w:vAlign w:val="bottom"/>
          </w:tcPr>
          <w:p>
            <w:pPr>
              <w:spacing w:after="0"/>
              <w:rPr>
                <w:sz w:val="1"/>
                <w:szCs w:val="1"/>
                <w:color w:val="auto"/>
              </w:rPr>
            </w:pPr>
          </w:p>
        </w:tc>
      </w:tr>
      <w:tr>
        <w:trPr>
          <w:trHeight w:val="19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center"/>
              <w:ind w:left="690"/>
              <w:spacing w:after="0"/>
              <w:rPr>
                <w:sz w:val="20"/>
                <w:szCs w:val="20"/>
                <w:color w:val="auto"/>
              </w:rPr>
            </w:pPr>
            <w:r>
              <w:rPr>
                <w:rFonts w:ascii="Times New Roman" w:cs="Times New Roman" w:eastAsia="Times New Roman" w:hAnsi="Times New Roman"/>
                <w:sz w:val="14"/>
                <w:szCs w:val="14"/>
                <w:color w:val="auto"/>
                <w:w w:val="96"/>
              </w:rPr>
              <w:t>(13,660)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(24,821)</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rPr>
              <w:t>13,826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21,178</w:t>
            </w:r>
          </w:p>
        </w:tc>
        <w:tc>
          <w:tcPr>
            <w:tcW w:w="0" w:type="dxa"/>
            <w:vAlign w:val="bottom"/>
          </w:tcPr>
          <w:p>
            <w:pPr>
              <w:spacing w:after="0"/>
              <w:rPr>
                <w:sz w:val="1"/>
                <w:szCs w:val="1"/>
                <w:color w:val="auto"/>
              </w:rPr>
            </w:pPr>
          </w:p>
        </w:tc>
      </w:tr>
    </w:tbl>
    <w:p>
      <w:pPr>
        <w:ind w:left="720" w:right="780" w:firstLine="9"/>
        <w:spacing w:after="0" w:line="233" w:lineRule="auto"/>
        <w:tabs>
          <w:tab w:leader="none" w:pos="893"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Condensed Consolidated Statements of Comprehensive Income. As of September 30, 2022, the Company expects approximately $4.0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-246380</wp:posOffset>
            </wp:positionV>
            <wp:extent cx="38760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91"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(22,761)</w:t>
            </w:r>
          </w:p>
        </w:tc>
        <w:tc>
          <w:tcPr>
            <w:tcW w:w="0" w:type="dxa"/>
            <w:vAlign w:val="bottom"/>
          </w:tcPr>
          <w:p>
            <w:pPr>
              <w:spacing w:after="0"/>
              <w:rPr>
                <w:sz w:val="1"/>
                <w:szCs w:val="1"/>
                <w:color w:val="auto"/>
              </w:rPr>
            </w:pPr>
          </w:p>
        </w:tc>
      </w:tr>
      <w:tr>
        <w:trPr>
          <w:trHeight w:val="19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(21,838)</w:t>
            </w:r>
          </w:p>
        </w:tc>
        <w:tc>
          <w:tcPr>
            <w:tcW w:w="0" w:type="dxa"/>
            <w:vAlign w:val="bottom"/>
          </w:tcPr>
          <w:p>
            <w:pPr>
              <w:spacing w:after="0"/>
              <w:rPr>
                <w:sz w:val="1"/>
                <w:szCs w:val="1"/>
                <w:color w:val="auto"/>
              </w:rPr>
            </w:pPr>
          </w:p>
        </w:tc>
      </w:tr>
    </w:tbl>
    <w:p>
      <w:pPr>
        <w:ind w:left="720"/>
        <w:spacing w:after="0"/>
        <w:rPr>
          <w:sz w:val="20"/>
          <w:szCs w:val="20"/>
          <w:color w:val="auto"/>
        </w:rPr>
      </w:pPr>
      <w:r>
        <w:rPr>
          <w:rFonts w:ascii="Times New Roman" w:cs="Times New Roman" w:eastAsia="Times New Roman" w:hAnsi="Times New Roman"/>
          <w:sz w:val="12"/>
          <w:szCs w:val="12"/>
          <w:color w:val="auto"/>
        </w:rPr>
        <w:t>(1) Amounts reclassified from AOCI to income are included within Financing interest expense on long-term borrowings on the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-78740</wp:posOffset>
            </wp:positionV>
            <wp:extent cx="38760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41" w:name="page42"/>
    <w:bookmarkEnd w:id="41"/>
    <w:tbl>
      <w:tblPr>
        <w:tblLayout w:type="fixed"/>
        <w:tblInd w:w="7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4"/>
                <w:szCs w:val="14"/>
                <w:color w:val="auto"/>
                <w:w w:val="98"/>
              </w:rPr>
              <w:t>52,442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45,999</w:t>
            </w:r>
          </w:p>
        </w:tc>
        <w:tc>
          <w:tcPr>
            <w:tcW w:w="0" w:type="dxa"/>
            <w:vAlign w:val="bottom"/>
          </w:tcPr>
          <w:p>
            <w:pPr>
              <w:spacing w:after="0"/>
              <w:rPr>
                <w:sz w:val="1"/>
                <w:szCs w:val="1"/>
                <w:color w:val="auto"/>
              </w:rPr>
            </w:pPr>
          </w:p>
        </w:tc>
      </w:tr>
      <w:tr>
        <w:trPr>
          <w:trHeight w:val="19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left="730"/>
              <w:spacing w:after="0"/>
              <w:rPr>
                <w:sz w:val="20"/>
                <w:szCs w:val="20"/>
                <w:color w:val="auto"/>
              </w:rPr>
            </w:pPr>
            <w:r>
              <w:rPr>
                <w:rFonts w:ascii="Times New Roman" w:cs="Times New Roman" w:eastAsia="Times New Roman" w:hAnsi="Times New Roman"/>
                <w:sz w:val="14"/>
                <w:szCs w:val="14"/>
                <w:color w:val="auto"/>
              </w:rPr>
              <w:t>(25,106)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(24,821)</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4"/>
                <w:szCs w:val="14"/>
                <w:color w:val="auto"/>
                <w:w w:val="98"/>
              </w:rPr>
              <w:t>27,336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21,178</w:t>
            </w:r>
          </w:p>
        </w:tc>
        <w:tc>
          <w:tcPr>
            <w:tcW w:w="0" w:type="dxa"/>
            <w:vAlign w:val="bottom"/>
          </w:tcPr>
          <w:p>
            <w:pPr>
              <w:spacing w:after="0"/>
              <w:rPr>
                <w:sz w:val="1"/>
                <w:szCs w:val="1"/>
                <w:color w:val="auto"/>
              </w:rPr>
            </w:pPr>
          </w:p>
        </w:tc>
      </w:tr>
    </w:tbl>
    <w:p>
      <w:pPr>
        <w:ind w:left="720" w:right="820" w:firstLine="9"/>
        <w:spacing w:after="0" w:line="233" w:lineRule="auto"/>
        <w:tabs>
          <w:tab w:leader="none" w:pos="89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Consolidated Statements of Comprehensive Income. As of September 30, 2022, the Company expects approximately $4.0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-246380</wp:posOffset>
            </wp:positionV>
            <wp:extent cx="3876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91"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10,766</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(22,761)</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(21,838)</w:t>
            </w:r>
          </w:p>
        </w:tc>
        <w:tc>
          <w:tcPr>
            <w:tcW w:w="0" w:type="dxa"/>
            <w:vAlign w:val="bottom"/>
          </w:tcPr>
          <w:p>
            <w:pPr>
              <w:spacing w:after="0"/>
              <w:rPr>
                <w:sz w:val="1"/>
                <w:szCs w:val="1"/>
                <w:color w:val="auto"/>
              </w:rPr>
            </w:pPr>
          </w:p>
        </w:tc>
      </w:tr>
    </w:tbl>
    <w:p>
      <w:pPr>
        <w:ind w:left="900" w:hanging="171"/>
        <w:spacing w:after="0"/>
        <w:tabs>
          <w:tab w:leader="none" w:pos="90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Consolidated Statements of Comprehensive Income.</w:t>
      </w:r>
    </w:p>
    <w:p>
      <w:pPr>
        <w:spacing w:after="0" w:line="200" w:lineRule="exact"/>
        <w:rPr>
          <w:rFonts w:ascii="Times New Roman" w:cs="Times New Roman" w:eastAsia="Times New Roman" w:hAnsi="Times New Roman"/>
          <w:sz w:val="12"/>
          <w:szCs w:val="12"/>
          <w:color w:val="auto"/>
        </w:rPr>
      </w:pPr>
    </w:p>
    <w:p>
      <w:pPr>
        <w:spacing w:after="0" w:line="244" w:lineRule="exact"/>
        <w:rPr>
          <w:rFonts w:ascii="Times New Roman" w:cs="Times New Roman" w:eastAsia="Times New Roman" w:hAnsi="Times New Roman"/>
          <w:sz w:val="12"/>
          <w:szCs w:val="12"/>
          <w:color w:val="auto"/>
        </w:rPr>
      </w:pPr>
    </w:p>
    <w:p>
      <w:pPr>
        <w:ind w:left="260" w:hanging="255"/>
        <w:spacing w:after="0"/>
        <w:tabs>
          <w:tab w:leader="none" w:pos="26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-485140</wp:posOffset>
            </wp:positionV>
            <wp:extent cx="38760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232" w:lineRule="exact"/>
        <w:rPr>
          <w:sz w:val="20"/>
          <w:szCs w:val="20"/>
          <w:color w:val="auto"/>
        </w:rPr>
      </w:pPr>
    </w:p>
    <w:p>
      <w:pPr>
        <w:jc w:val="both"/>
        <w:ind w:right="120" w:firstLine="629"/>
        <w:spacing w:after="0" w:line="276"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activity related to stock options for the nine months ended September 30, 2022, and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98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0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jc w:val="center"/>
              <w:ind w:right="90"/>
              <w:spacing w:after="0" w:line="124"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Remaining Contractual</w:t>
            </w: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90"/>
              <w:spacing w:after="0" w:line="144"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2,324,152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4.24</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2,324,152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September 30,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1,877,155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3.49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1,877,155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1,795,655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3.24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1,795,655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September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1,521,776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2.49</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Investment Technology Group, Inc. 2007 Omnibus Equity Compensation Plan</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 Restricted Stock Units and Restricted Stock Awards</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17 "Capital Structure", subsequent to the IPO, shares of immediately vested Class A Common Stock, RSUs and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nine months ended September 30, 2022, and 2021, respectively, there were 580,710, and 633,938 shares of immediately vested Class A Common Stock granted as part of year-end compensation. In addition, the Company accrued compensation expense of $8.9 million and $6.3 million for the three months ended September 30, 2022, and 2021, respectively, and accrued compensation expense by $24.4 million, and $17.7 million for the nine months ended September 30, 2022, and 2021,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203"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summarizes activity related to RSUs (including the Assumed Awards) and RSAs for the nine months ended September 30, 2022, and 2021: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 and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 Fair</w:t>
            </w:r>
          </w:p>
        </w:tc>
        <w:tc>
          <w:tcPr>
            <w:tcW w:w="0" w:type="dxa"/>
            <w:vAlign w:val="bottom"/>
          </w:tcPr>
          <w:p>
            <w:pPr>
              <w:spacing w:after="0"/>
              <w:rPr>
                <w:sz w:val="1"/>
                <w:szCs w:val="1"/>
                <w:color w:val="auto"/>
              </w:rPr>
            </w:pPr>
          </w:p>
        </w:tc>
      </w:tr>
      <w:tr>
        <w:trPr>
          <w:trHeight w:val="191"/>
        </w:trPr>
        <w:tc>
          <w:tcPr>
            <w:tcW w:w="86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3,393,084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2,442,953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(2,032,477)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0" w:type="dxa"/>
            <w:vAlign w:val="bottom"/>
          </w:tcPr>
          <w:p>
            <w:pPr>
              <w:spacing w:after="0"/>
              <w:rPr>
                <w:sz w:val="1"/>
                <w:szCs w:val="1"/>
                <w:color w:val="auto"/>
              </w:rPr>
            </w:pPr>
          </w:p>
        </w:tc>
      </w:tr>
      <w:tr>
        <w:trPr>
          <w:trHeight w:val="22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September 30, 2021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3,612,264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3,224,447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 (1)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3,027,148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(1,800,922)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0" w:type="dxa"/>
            <w:vAlign w:val="bottom"/>
          </w:tcPr>
          <w:p>
            <w:pPr>
              <w:spacing w:after="0"/>
              <w:rPr>
                <w:sz w:val="1"/>
                <w:szCs w:val="1"/>
                <w:color w:val="auto"/>
              </w:rPr>
            </w:pPr>
          </w:p>
        </w:tc>
      </w:tr>
      <w:tr>
        <w:trPr>
          <w:trHeight w:val="20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September 30,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4,086,929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2"/>
          <w:szCs w:val="12"/>
          <w:color w:val="auto"/>
        </w:rPr>
        <w:t>(1) Excluded in the number of RSUs and RSAs are 75,000 participating RSAs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-78740</wp:posOffset>
            </wp:positionV>
            <wp:extent cx="873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334"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The Company recognized $9.2 million and $6.7 million for the three months ended September 30, 2022, and 2021, respectively, and $27.3 million, and $20.5 million for the nine months ended September 30, 2022, and 2021, respectively, of compensation expense in relation to RSUs. As of September 30, 2022 and December 31, 2021, total unrecognized share-based compensation expense related to unvested RSUs was $67.8 million and $41.9 million, respectively, and this amount is to be recognized over a weighted average period of 1.0 year and 0.9 years, respectively. Awards in which the specific performance conditions have not been met are not included in unrecognized share-based compensation expense.</w:t>
      </w:r>
    </w:p>
    <w:p>
      <w:pPr>
        <w:spacing w:after="0" w:line="196"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3" w:name="page44"/>
    <w:bookmarkEnd w:id="43"/>
    <w:p>
      <w:pPr>
        <w:spacing w:after="0" w:line="296" w:lineRule="auto"/>
        <w:rPr>
          <w:sz w:val="20"/>
          <w:szCs w:val="20"/>
          <w:color w:val="auto"/>
        </w:rPr>
      </w:pPr>
      <w:r>
        <w:rPr>
          <w:rFonts w:ascii="Times New Roman" w:cs="Times New Roman" w:eastAsia="Times New Roman" w:hAnsi="Times New Roman"/>
          <w:sz w:val="17"/>
          <w:szCs w:val="17"/>
          <w:color w:val="auto"/>
        </w:rPr>
        <w:t>also be directed to notional investments in certain of the employee investment opportunities. The Company recognized $8.7 million as compensation cost under the DCP as of September 30, 2022.</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Regulatory Requirement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Subsidiary</w:t>
      </w:r>
    </w:p>
    <w:p>
      <w:pPr>
        <w:spacing w:after="0" w:line="25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The Company's U.S. broker-dealer subsidiary, VAL, is subject to the SEC Uniform Net Capital Rule 15c3-1, which requires the maintenance of minimum net capital as detailed in the table below. Pursuant to New York Stock Exchange ("NYSE") rules, VAL was also required to maintain $1.0 million of capital in connection with the operation of its designated market maker (“DMM”) business as of September 30, 2022. The required amount is determined under the exchange rules as the greater of (i) $1 million or (ii) $75,000 for every 0.1% of NYSE transaction dollar volume in each of the securities for which the Company is registered as the DMM.</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VAL's regulatory capital and regulatory capital requirements as of September 30, 2022 was as follows:</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482,113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478,560</w:t>
            </w:r>
          </w:p>
        </w:tc>
        <w:tc>
          <w:tcPr>
            <w:tcW w:w="0" w:type="dxa"/>
            <w:vAlign w:val="bottom"/>
          </w:tcPr>
          <w:p>
            <w:pPr>
              <w:spacing w:after="0"/>
              <w:rPr>
                <w:sz w:val="1"/>
                <w:szCs w:val="1"/>
                <w:color w:val="auto"/>
              </w:rPr>
            </w:pPr>
          </w:p>
        </w:tc>
      </w:tr>
    </w:tbl>
    <w:p>
      <w:pPr>
        <w:spacing w:after="0" w:line="361" w:lineRule="exact"/>
        <w:rPr>
          <w:sz w:val="20"/>
          <w:szCs w:val="20"/>
          <w:color w:val="auto"/>
        </w:rPr>
      </w:pPr>
    </w:p>
    <w:p>
      <w:pPr>
        <w:jc w:val="both"/>
        <w:ind w:right="60" w:firstLine="629"/>
        <w:spacing w:after="0" w:line="276" w:lineRule="auto"/>
        <w:rPr>
          <w:sz w:val="20"/>
          <w:szCs w:val="20"/>
          <w:color w:val="auto"/>
        </w:rPr>
      </w:pPr>
      <w:r>
        <w:rPr>
          <w:rFonts w:ascii="Times New Roman" w:cs="Times New Roman" w:eastAsia="Times New Roman" w:hAnsi="Times New Roman"/>
          <w:sz w:val="17"/>
          <w:szCs w:val="17"/>
          <w:color w:val="auto"/>
        </w:rPr>
        <w:t xml:space="preserve">As of September 30, 2022, VAL had $47.7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$5.8 million of cash in reserve bank accounts for the benefit of proprietary accounts of brokers.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balances are included within Cash restricted or segregated under regulations and other on the Condensed Consolidated Statements of Financial Condition.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VAL's regulatory capital and regulatory capital requirements as of December 31, 2021 was as follows:</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536,647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535,453</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right="100" w:firstLine="629"/>
        <w:spacing w:after="0" w:line="296" w:lineRule="auto"/>
        <w:rPr>
          <w:sz w:val="20"/>
          <w:szCs w:val="20"/>
          <w:color w:val="auto"/>
        </w:rPr>
      </w:pPr>
      <w:r>
        <w:rPr>
          <w:rFonts w:ascii="Times New Roman" w:cs="Times New Roman" w:eastAsia="Times New Roman" w:hAnsi="Times New Roman"/>
          <w:sz w:val="17"/>
          <w:szCs w:val="17"/>
          <w:color w:val="auto"/>
        </w:rPr>
        <w:t xml:space="preserve">As of December 31, 2021, VAL had $43.0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$5.8 million of cash in reserve bank accounts for the benefit of proprietary accounts of brokers.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Subsidiaries</w:t>
      </w:r>
    </w:p>
    <w:p>
      <w:pPr>
        <w:spacing w:after="0" w:line="252" w:lineRule="exact"/>
        <w:rPr>
          <w:sz w:val="20"/>
          <w:szCs w:val="20"/>
          <w:color w:val="auto"/>
        </w:rPr>
      </w:pPr>
    </w:p>
    <w:p>
      <w:pPr>
        <w:ind w:right="200" w:firstLine="629"/>
        <w:spacing w:after="0" w:line="270" w:lineRule="auto"/>
        <w:rPr>
          <w:sz w:val="20"/>
          <w:szCs w:val="20"/>
          <w:color w:val="auto"/>
        </w:rPr>
      </w:pPr>
      <w:r>
        <w:rPr>
          <w:rFonts w:ascii="Times New Roman" w:cs="Times New Roman" w:eastAsia="Times New Roman" w:hAnsi="Times New Roman"/>
          <w:sz w:val="17"/>
          <w:szCs w:val="17"/>
          <w:color w:val="auto"/>
        </w:rPr>
        <w:t>The Company’s foreign subsidiaries are subject to regulatory capital requirements set by local regulatory bodies, including the Investment Industry Regulatory Organization of Canada (“IIROC”),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44" w:name="page45"/>
    <w:bookmarkEnd w:id="44"/>
    <w:p>
      <w:pPr>
        <w:ind w:firstLine="629"/>
        <w:spacing w:after="0" w:line="277" w:lineRule="auto"/>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September 30, 2022 were as follows:</w:t>
      </w:r>
    </w:p>
    <w:tbl>
      <w:tblPr>
        <w:tblLayout w:type="fixed"/>
        <w:tblInd w:w="180" w:type="dxa"/>
        <w:tblCellMar>
          <w:top w:w="0" w:type="dxa"/>
          <w:left w:w="0" w:type="dxa"/>
          <w:bottom w:w="0" w:type="dxa"/>
          <w:right w:w="0" w:type="dxa"/>
        </w:tblCellMar>
      </w:tblPr>
      <w:tr>
        <w:trPr>
          <w:trHeight w:val="145"/>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Canada Corp</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11,213</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Europe Limited (1)</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47,546</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 (1)</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50,977</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UK Limited (1)</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Singapore Pte. Ltd.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46,516</w:t>
            </w:r>
          </w:p>
        </w:tc>
        <w:tc>
          <w:tcPr>
            <w:tcW w:w="0" w:type="dxa"/>
            <w:vAlign w:val="bottom"/>
          </w:tcPr>
          <w:p>
            <w:pPr>
              <w:spacing w:after="0"/>
              <w:rPr>
                <w:sz w:val="1"/>
                <w:szCs w:val="1"/>
                <w:color w:val="auto"/>
              </w:rPr>
            </w:pPr>
          </w:p>
        </w:tc>
      </w:tr>
      <w:tr>
        <w:trPr>
          <w:trHeight w:val="159"/>
        </w:trPr>
        <w:tc>
          <w:tcPr>
            <w:tcW w:w="57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 Preliminary</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right="100" w:firstLine="629"/>
        <w:spacing w:after="0" w:line="276" w:lineRule="auto"/>
        <w:rPr>
          <w:sz w:val="20"/>
          <w:szCs w:val="20"/>
          <w:color w:val="auto"/>
        </w:rPr>
      </w:pPr>
      <w:r>
        <w:rPr>
          <w:rFonts w:ascii="Times New Roman" w:cs="Times New Roman" w:eastAsia="Times New Roman" w:hAnsi="Times New Roman"/>
          <w:sz w:val="17"/>
          <w:szCs w:val="17"/>
          <w:color w:val="auto"/>
        </w:rPr>
        <w:t>As of September 30, 2022, Virtu ITG Europe Limited and Virtu ITG Canada Corp had $0.1 million and $0.4 million, respectively, of segregated funds on deposit for trade clearing and settlement activity, and Virtu ITG Hong Kong Ltd. had $30 thousand of segregated balances under a collateral account control agreement for the benefit of certain customers.</w:t>
      </w:r>
    </w:p>
    <w:p>
      <w:pPr>
        <w:spacing w:after="0" w:line="190" w:lineRule="exact"/>
        <w:rPr>
          <w:sz w:val="20"/>
          <w:szCs w:val="20"/>
          <w:color w:val="auto"/>
        </w:rPr>
      </w:pPr>
    </w:p>
    <w:p>
      <w:pPr>
        <w:ind w:right="40" w:firstLine="629"/>
        <w:spacing w:after="0" w:line="277" w:lineRule="auto"/>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December 31, 2021 were as follows:</w:t>
      </w:r>
    </w:p>
    <w:tbl>
      <w:tblPr>
        <w:tblLayout w:type="fixed"/>
        <w:tblInd w:w="180" w:type="dxa"/>
        <w:tblCellMar>
          <w:top w:w="0" w:type="dxa"/>
          <w:left w:w="0" w:type="dxa"/>
          <w:bottom w:w="0" w:type="dxa"/>
          <w:right w:w="0" w:type="dxa"/>
        </w:tblCellMar>
      </w:tblPr>
      <w:tr>
        <w:trPr>
          <w:trHeight w:val="145"/>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Canada Corp</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15,482</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Europe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39,756</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59,421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UK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0" w:type="dxa"/>
            <w:vAlign w:val="bottom"/>
          </w:tcPr>
          <w:p>
            <w:pPr>
              <w:spacing w:after="0"/>
              <w:rPr>
                <w:sz w:val="1"/>
                <w:szCs w:val="1"/>
                <w:color w:val="auto"/>
              </w:rPr>
            </w:pPr>
          </w:p>
        </w:tc>
      </w:tr>
      <w:tr>
        <w:trPr>
          <w:trHeight w:val="182"/>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right="140" w:firstLine="629"/>
        <w:spacing w:after="0" w:line="276" w:lineRule="auto"/>
        <w:rPr>
          <w:sz w:val="20"/>
          <w:szCs w:val="20"/>
          <w:color w:val="auto"/>
        </w:rPr>
      </w:pPr>
      <w:r>
        <w:rPr>
          <w:rFonts w:ascii="Times New Roman" w:cs="Times New Roman" w:eastAsia="Times New Roman" w:hAnsi="Times New Roman"/>
          <w:sz w:val="17"/>
          <w:szCs w:val="17"/>
          <w:color w:val="auto"/>
        </w:rPr>
        <w:t>As of December 31, 2021, Virtu ITG Europe Limited and Virtu ITG Canada Corp had $0.1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Geographic Information and Business Segments</w:t>
      </w:r>
    </w:p>
    <w:p>
      <w:pPr>
        <w:spacing w:after="0" w:line="252" w:lineRule="exact"/>
        <w:rPr>
          <w:sz w:val="20"/>
          <w:szCs w:val="20"/>
          <w:color w:val="auto"/>
        </w:rPr>
      </w:pPr>
    </w:p>
    <w:p>
      <w:pPr>
        <w:ind w:right="100" w:firstLine="629"/>
        <w:spacing w:after="0" w:line="263" w:lineRule="auto"/>
        <w:rPr>
          <w:sz w:val="20"/>
          <w:szCs w:val="20"/>
          <w:color w:val="auto"/>
        </w:rPr>
      </w:pPr>
      <w:r>
        <w:rPr>
          <w:rFonts w:ascii="Times New Roman" w:cs="Times New Roman" w:eastAsia="Times New Roman" w:hAnsi="Times New Roman"/>
          <w:sz w:val="17"/>
          <w:szCs w:val="17"/>
          <w:color w:val="auto"/>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nine months ended September 30, 2022, and 2021</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5" w:name="page46"/>
    <w:bookmarkEnd w:id="45"/>
    <w:tbl>
      <w:tblPr>
        <w:tblLayout w:type="fixed"/>
        <w:tblInd w:w="36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469,023</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433,013</w:t>
            </w:r>
          </w:p>
        </w:tc>
        <w:tc>
          <w:tcPr>
            <w:tcW w:w="16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1,504,216</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1,678,650</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242,614</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102,965</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43,924</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31,868</w:t>
            </w:r>
          </w:p>
        </w:tc>
        <w:tc>
          <w:tcPr>
            <w:tcW w:w="0" w:type="dxa"/>
            <w:vAlign w:val="bottom"/>
          </w:tcPr>
          <w:p>
            <w:pPr>
              <w:spacing w:after="0"/>
              <w:rPr>
                <w:sz w:val="1"/>
                <w:szCs w:val="1"/>
                <w:color w:val="auto"/>
              </w:rPr>
            </w:pPr>
          </w:p>
        </w:tc>
      </w:tr>
      <w:tr>
        <w:trPr>
          <w:trHeight w:val="197"/>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5,860</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561,044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544,344</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1,867,044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2,105,881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w:t>
      </w:r>
    </w:p>
    <w:p>
      <w:pPr>
        <w:spacing w:after="0" w:line="250"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198"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spacing w:after="0" w:line="209"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73" w:lineRule="exact"/>
        <w:rPr>
          <w:sz w:val="20"/>
          <w:szCs w:val="20"/>
          <w:color w:val="auto"/>
        </w:rPr>
      </w:pPr>
    </w:p>
    <w:p>
      <w:pPr>
        <w:ind w:right="160" w:firstLine="629"/>
        <w:spacing w:after="0" w:line="270" w:lineRule="auto"/>
        <w:rPr>
          <w:sz w:val="20"/>
          <w:szCs w:val="20"/>
          <w:color w:val="auto"/>
        </w:rPr>
      </w:pPr>
      <w:r>
        <w:rPr>
          <w:rFonts w:ascii="Times New Roman" w:cs="Times New Roman" w:eastAsia="Times New Roman" w:hAnsi="Times New Roman"/>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September 30, 2022 and 2021 and are summarized in the following table:</w:t>
      </w:r>
    </w:p>
    <w:tbl>
      <w:tblPr>
        <w:tblLayout w:type="fixed"/>
        <w:tblInd w:w="0" w:type="dxa"/>
        <w:tblCellMar>
          <w:top w:w="0" w:type="dxa"/>
          <w:left w:w="0" w:type="dxa"/>
          <w:bottom w:w="0" w:type="dxa"/>
          <w:right w:w="0" w:type="dxa"/>
        </w:tblCellMar>
      </w:tblPr>
      <w:tr>
        <w:trPr>
          <w:trHeight w:val="145"/>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0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Market</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Execution</w:t>
            </w:r>
          </w:p>
        </w:tc>
        <w:tc>
          <w:tcPr>
            <w:tcW w:w="20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2"/>
                <w:szCs w:val="12"/>
                <w:color w:val="auto"/>
              </w:rPr>
            </w:pPr>
          </w:p>
        </w:tc>
        <w:tc>
          <w:tcPr>
            <w:tcW w:w="1060" w:type="dxa"/>
            <w:vAlign w:val="bottom"/>
          </w:tcPr>
          <w:p>
            <w:pPr>
              <w:jc w:val="right"/>
              <w:ind w:right="130"/>
              <w:spacing w:after="0" w:line="14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6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447,886</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119,599</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left="470"/>
              <w:spacing w:after="0"/>
              <w:rPr>
                <w:sz w:val="20"/>
                <w:szCs w:val="20"/>
                <w:color w:val="auto"/>
              </w:rPr>
            </w:pPr>
            <w:r>
              <w:rPr>
                <w:rFonts w:ascii="Times New Roman" w:cs="Times New Roman" w:eastAsia="Times New Roman" w:hAnsi="Times New Roman"/>
                <w:sz w:val="14"/>
                <w:szCs w:val="14"/>
                <w:color w:val="auto"/>
                <w:w w:val="97"/>
              </w:rPr>
              <w:t>(6,441)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561,044</w:t>
            </w:r>
          </w:p>
        </w:tc>
        <w:tc>
          <w:tcPr>
            <w:tcW w:w="0" w:type="dxa"/>
            <w:vAlign w:val="bottom"/>
          </w:tcPr>
          <w:p>
            <w:pPr>
              <w:spacing w:after="0"/>
              <w:rPr>
                <w:sz w:val="1"/>
                <w:szCs w:val="1"/>
                <w:color w:val="auto"/>
              </w:rPr>
            </w:pPr>
          </w:p>
        </w:tc>
      </w:tr>
      <w:tr>
        <w:trPr>
          <w:trHeight w:val="20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4"/>
                <w:szCs w:val="14"/>
                <w:color w:val="auto"/>
                <w:w w:val="97"/>
              </w:rPr>
              <w:t>(6,663)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101,606</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544,344</w:t>
            </w:r>
          </w:p>
        </w:tc>
        <w:tc>
          <w:tcPr>
            <w:tcW w:w="0" w:type="dxa"/>
            <w:vAlign w:val="bottom"/>
          </w:tcPr>
          <w:p>
            <w:pPr>
              <w:spacing w:after="0"/>
              <w:rPr>
                <w:sz w:val="1"/>
                <w:szCs w:val="1"/>
                <w:color w:val="auto"/>
              </w:rPr>
            </w:pPr>
          </w:p>
        </w:tc>
      </w:tr>
      <w:tr>
        <w:trPr>
          <w:trHeight w:val="20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4"/>
                <w:szCs w:val="14"/>
                <w:color w:val="auto"/>
              </w:rPr>
              <w:t>1,692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901" w:right="399" w:bottom="1440" w:gutter="0" w:footer="0" w:header="0"/>
        </w:sectPr>
      </w:pPr>
    </w:p>
    <w:bookmarkStart w:id="46" w:name="page47"/>
    <w:bookmarkEnd w:id="46"/>
    <w:p>
      <w:pPr>
        <w:jc w:val="center"/>
        <w:ind w:right="80"/>
        <w:spacing w:after="0"/>
        <w:rPr>
          <w:sz w:val="20"/>
          <w:szCs w:val="20"/>
          <w:color w:val="auto"/>
        </w:rPr>
      </w:pPr>
      <w:r>
        <w:rPr>
          <w:rFonts w:ascii="Times New Roman" w:cs="Times New Roman" w:eastAsia="Times New Roman" w:hAnsi="Times New Roman"/>
          <w:sz w:val="17"/>
          <w:szCs w:val="17"/>
          <w:color w:val="auto"/>
        </w:rPr>
        <w:t>The Company's Pre-tax earnings by segment for the nine months ended September 30, 2022, and 2021 are summarized in the following table:</w:t>
      </w: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Consolidated Total</w:t>
            </w:r>
          </w:p>
        </w:tc>
      </w:tr>
      <w:tr>
        <w:trPr>
          <w:trHeight w:val="23"/>
        </w:trPr>
        <w:tc>
          <w:tcPr>
            <w:tcW w:w="4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1,427,044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1,867,044</w:t>
            </w:r>
          </w:p>
        </w:tc>
      </w:tr>
      <w:tr>
        <w:trPr>
          <w:trHeight w:val="189"/>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1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517,103</w:t>
            </w:r>
          </w:p>
        </w:tc>
      </w:tr>
      <w:tr>
        <w:trPr>
          <w:trHeight w:val="217"/>
        </w:trPr>
        <w:tc>
          <w:tcPr>
            <w:tcW w:w="4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1,635,555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2,105,881</w:t>
            </w:r>
          </w:p>
        </w:tc>
      </w:tr>
      <w:tr>
        <w:trPr>
          <w:trHeight w:val="182"/>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1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769,887</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Related Party Transactions</w:t>
      </w:r>
    </w:p>
    <w:p>
      <w:pPr>
        <w:spacing w:after="0" w:line="252" w:lineRule="exact"/>
        <w:rPr>
          <w:sz w:val="20"/>
          <w:szCs w:val="20"/>
          <w:color w:val="auto"/>
        </w:rPr>
      </w:pPr>
    </w:p>
    <w:p>
      <w:pPr>
        <w:ind w:right="180" w:firstLine="629"/>
        <w:spacing w:after="0" w:line="296" w:lineRule="auto"/>
        <w:rPr>
          <w:sz w:val="20"/>
          <w:szCs w:val="20"/>
          <w:color w:val="auto"/>
        </w:rPr>
      </w:pPr>
      <w:r>
        <w:rPr>
          <w:rFonts w:ascii="Times New Roman" w:cs="Times New Roman" w:eastAsia="Times New Roman" w:hAnsi="Times New Roman"/>
          <w:sz w:val="17"/>
          <w:szCs w:val="17"/>
          <w:color w:val="auto"/>
        </w:rPr>
        <w:t>The Company incurs expenses and maintains balances with its affiliates in the ordinary course of business. As of September 30, 2022, and December 31, 2021 the Company had net receivables from its affiliates of $0.6 million and $2.2 million, respectively.</w:t>
      </w:r>
    </w:p>
    <w:p>
      <w:pPr>
        <w:spacing w:after="0" w:line="173" w:lineRule="exact"/>
        <w:rPr>
          <w:sz w:val="20"/>
          <w:szCs w:val="20"/>
          <w:color w:val="auto"/>
        </w:rPr>
      </w:pPr>
    </w:p>
    <w:p>
      <w:pPr>
        <w:ind w:firstLine="629"/>
        <w:spacing w:after="0" w:line="274" w:lineRule="auto"/>
        <w:rPr>
          <w:sz w:val="20"/>
          <w:szCs w:val="20"/>
          <w:color w:val="auto"/>
        </w:rPr>
      </w:pPr>
      <w:r>
        <w:rPr>
          <w:rFonts w:ascii="Times New Roman" w:cs="Times New Roman" w:eastAsia="Times New Roman" w:hAnsi="Times New Roman"/>
          <w:sz w:val="17"/>
          <w:szCs w:val="17"/>
          <w:color w:val="auto"/>
        </w:rPr>
        <w:t>The Company has held a minority interest in JNX since 2016 (see Note 9 "Financial Assets and Liabilities"). The Company pays exchange fees to JNX for the trading activities conducted on its proprietary trading system. The Company paid $3.2 million and $2.9 million for the three months ended September 30, 2022 and 2021, respectively, $10.7 million and $9.1 million for the nine months ended September 30, 2022 and 2021, respectively, to JNX for these trading activities.</w:t>
      </w:r>
    </w:p>
    <w:p>
      <w:pPr>
        <w:spacing w:after="0" w:line="200" w:lineRule="exact"/>
        <w:rPr>
          <w:sz w:val="20"/>
          <w:szCs w:val="20"/>
          <w:color w:val="auto"/>
        </w:rPr>
      </w:pPr>
    </w:p>
    <w:p>
      <w:pPr>
        <w:spacing w:after="0" w:line="205"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Company pays monthly use fees to two JVs in which it holds interests (see Note 11 "Variable Interest Entities"). These monthly fees are for the use of microwave communication networks operated by each of these JVs and are recorded within Communications and data processing on the Condensed Consolidated Statements of Comprehensive Income. The Company made payments to these JVs of $10.5 million and $10.5 million for the three months ended September 30, 2022 and 2021, respectively, and $21.4 million and $19.9 million for the nine months ended September 30, 2022 and 2021, respectively.</w:t>
      </w:r>
    </w:p>
    <w:p>
      <w:pPr>
        <w:spacing w:after="0" w:line="19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Company purchases network connections services from affiliates of Level 3 Communications (“Level 3”). Temasek and its affiliates have a significant ownership interest in Level 3. The Company made payments to Level 3 for these services of $0.3 million and $0.5 million for the three months ended September 30, 2022 and 2021, respectively, and $0.8 million and $1.2 million for the nine months ended September 30, 2022 and 2021, respectively.</w:t>
      </w:r>
    </w:p>
    <w:p>
      <w:pPr>
        <w:spacing w:after="0" w:line="190" w:lineRule="exact"/>
        <w:rPr>
          <w:sz w:val="20"/>
          <w:szCs w:val="20"/>
          <w:color w:val="auto"/>
        </w:rPr>
      </w:pPr>
    </w:p>
    <w:p>
      <w:pPr>
        <w:ind w:right="300" w:firstLine="629"/>
        <w:spacing w:after="0" w:line="270" w:lineRule="auto"/>
        <w:rPr>
          <w:sz w:val="20"/>
          <w:szCs w:val="20"/>
          <w:color w:val="auto"/>
        </w:rPr>
      </w:pPr>
      <w:r>
        <w:rPr>
          <w:rFonts w:ascii="Times New Roman" w:cs="Times New Roman" w:eastAsia="Times New Roman" w:hAnsi="Times New Roman"/>
          <w:sz w:val="17"/>
          <w:szCs w:val="17"/>
          <w:color w:val="auto"/>
        </w:rPr>
        <w:t>The Company has an interest in Members Exchange, a member-owned equities exchange. The Company pays regulatory and transaction fees and receives rebates from trading activities. The Company received rebates of $2.3 million and made payments of $1.1 million for the three months ended September 30, 2022 and 2021, respectively, and received rebates of $15.1 million and $1.8 million for the nine months ended September 30, 2022 and 2021, respectively.</w:t>
      </w:r>
    </w:p>
    <w:p>
      <w:pPr>
        <w:spacing w:after="0" w:line="194"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In the second quarter of 2022, the Company formed a JV to support the growth and expansion of a multi-asset request-for-quote communication platform. The Company consolidates this JV, and recorded noncontrolling interest of $39.2 million in the condensed consolidated statement of changes in equity as of September 30, 2022. Refer to Note 11 "Variable Interest Entities" for further details.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Subsequent Events</w:t>
      </w:r>
    </w:p>
    <w:p>
      <w:pPr>
        <w:spacing w:after="0" w:line="252"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90" w:lineRule="exact"/>
        <w:rPr>
          <w:sz w:val="20"/>
          <w:szCs w:val="20"/>
          <w:color w:val="auto"/>
        </w:rPr>
      </w:pPr>
    </w:p>
    <w:p>
      <w:pPr>
        <w:jc w:val="both"/>
        <w:ind w:right="280" w:firstLine="629"/>
        <w:spacing w:after="0" w:line="276" w:lineRule="auto"/>
        <w:rPr>
          <w:sz w:val="20"/>
          <w:szCs w:val="20"/>
          <w:color w:val="auto"/>
        </w:rPr>
      </w:pPr>
      <w:r>
        <w:rPr>
          <w:rFonts w:ascii="Times New Roman" w:cs="Times New Roman" w:eastAsia="Times New Roman" w:hAnsi="Times New Roman"/>
          <w:sz w:val="17"/>
          <w:szCs w:val="17"/>
          <w:color w:val="auto"/>
        </w:rPr>
        <w:t>On November 3, 2022, the Company’s Board of Directors declared a dividend of $0.24 per share of Class A Common Stock and Class B Common Stock and per participating Restricted Stock Unit and Restricted Stock Award that will be paid on December 15, 2022 to holders of record as of December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8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covers the three and nine months ended September 30, 2022 and 2021 and should be read in conjunction with the condensed consolidated financial statements of Virtu Financial, Inc. (the Company") for the period ended September 30, 2022, which are in Part 1, Item 1 of this Quarterly Report on Form 10-Q, and the audited consolidated financial statements and accompanying notes and MD&amp;A for the year ended December 31, 2021, which are included in Items 8 and 7 respectively, of the Company's Annual Report on Form 10-K for the year ended December 31, 2021.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21"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2021, as filed with the Securities and Exchange Commission ("SEC") on February 18, 2022 (the "2021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2021 Form 10-K, could affect our actual financial results or results of operations and cash flows, and could cause actual results to differ materially from those in such forward-looking statements, including but not limited to:</w:t>
      </w:r>
    </w:p>
    <w:p>
      <w:pPr>
        <w:spacing w:after="0" w:line="83" w:lineRule="exact"/>
        <w:rPr>
          <w:sz w:val="20"/>
          <w:szCs w:val="20"/>
          <w:color w:val="auto"/>
        </w:rPr>
      </w:pPr>
    </w:p>
    <w:p>
      <w:pPr>
        <w:ind w:left="940" w:right="260" w:hanging="149"/>
        <w:spacing w:after="0" w:line="270"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may work remotely and our return to office plan, each of which may increase operational risk, as well as increases in market, counterparty and other forms of operational risk;</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levels of overall trading activity;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upon trading counterparties and clearing houses performing their obligations to us;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of our customized trading platform;</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to the electronic market making business and trading generally;</w:t>
      </w:r>
    </w:p>
    <w:p>
      <w:pPr>
        <w:spacing w:after="0" w:line="118" w:lineRule="exact"/>
        <w:rPr>
          <w:rFonts w:ascii="Times New Roman" w:cs="Times New Roman" w:eastAsia="Times New Roman" w:hAnsi="Times New Roman"/>
          <w:sz w:val="17"/>
          <w:szCs w:val="17"/>
          <w:color w:val="auto"/>
        </w:rPr>
      </w:pPr>
    </w:p>
    <w:p>
      <w:pPr>
        <w:ind w:left="940" w:right="140" w:hanging="149"/>
        <w:spacing w:after="0" w:line="276"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regulatory, congressional, and media scrutiny, including attention to electronic trading, wholesale market making and off-exchange trading, payment for order flow, and other market structure topics and both the impact of potential changes in regulation or law which could have an adverse effect on our business as well as the potential impact upon public perception of us or of companies in our industry;</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market making activities and execution services;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continued access to sources of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self-clearing and other operational elements of our business, including but limited to risks related to funding and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applicable regulatory capital requirements;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legal and regulatory-based liabilities;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8" w:name="page49"/>
    <w:bookmarkEnd w:id="48"/>
    <w:p>
      <w:pPr>
        <w:jc w:val="both"/>
        <w:ind w:left="940" w:right="380" w:hanging="149"/>
        <w:spacing w:after="0" w:line="276"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laws and regulations applicable to our operations in the U.S. and abroad;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need to maintain and continue developing proprietary technologies;</w:t>
      </w:r>
    </w:p>
    <w:p>
      <w:pPr>
        <w:spacing w:after="0" w:line="118" w:lineRule="exact"/>
        <w:rPr>
          <w:rFonts w:ascii="Times New Roman" w:cs="Times New Roman" w:eastAsia="Times New Roman" w:hAnsi="Times New Roman"/>
          <w:sz w:val="17"/>
          <w:szCs w:val="17"/>
          <w:color w:val="auto"/>
        </w:rPr>
      </w:pPr>
    </w:p>
    <w:p>
      <w:pPr>
        <w:ind w:left="940" w:right="340" w:hanging="149"/>
        <w:spacing w:after="0" w:line="296"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Acquisition of KCG and the ITG Acquisition (each as defined below) on ongoing business operations generally, including the assumption of potential liabilities and risks relating to these historical acquisitions;</w:t>
      </w:r>
    </w:p>
    <w:p>
      <w:pPr>
        <w:spacing w:after="0" w:line="41"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capacity constraints, system failures, and delays;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third-party infrastructure or systems;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open source software;</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or enforce our intellectual property rights in our proprietary technology;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confidential and proprietary information;</w:t>
      </w:r>
    </w:p>
    <w:p>
      <w:pPr>
        <w:spacing w:after="0" w:line="118" w:lineRule="exact"/>
        <w:rPr>
          <w:rFonts w:ascii="Times New Roman" w:cs="Times New Roman" w:eastAsia="Times New Roman" w:hAnsi="Times New Roman"/>
          <w:sz w:val="17"/>
          <w:szCs w:val="17"/>
          <w:color w:val="auto"/>
        </w:rPr>
      </w:pPr>
    </w:p>
    <w:p>
      <w:pPr>
        <w:ind w:left="940" w:right="260" w:hanging="149"/>
        <w:spacing w:after="0" w:line="296"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systems from internal or external cyber threats that could result in damage to our computer systems, business interruption, loss of data, monetary payment demands or other consequences;</w:t>
      </w:r>
    </w:p>
    <w:p>
      <w:pPr>
        <w:spacing w:after="0" w:line="41"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international operations and expansion, including failed acquisitions or dispositions;</w:t>
      </w:r>
    </w:p>
    <w:p>
      <w:pPr>
        <w:spacing w:after="0" w:line="118" w:lineRule="exact"/>
        <w:rPr>
          <w:rFonts w:ascii="Times New Roman" w:cs="Times New Roman" w:eastAsia="Times New Roman" w:hAnsi="Times New Roman"/>
          <w:sz w:val="17"/>
          <w:szCs w:val="17"/>
          <w:color w:val="auto"/>
        </w:rPr>
      </w:pPr>
    </w:p>
    <w:p>
      <w:pPr>
        <w:ind w:left="940" w:right="120" w:hanging="149"/>
        <w:spacing w:after="0" w:line="270"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geopolitical conflicts, natural disasters, pandemics or extreme weather;</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potential growth and associated corporate actions;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access, or delay in accessing, the capital markets to sell shares or raise additional capital;</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executives and failure to recruit and retain qualified personnel; and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losing access to a significant exchange or other trading venue.</w:t>
      </w:r>
    </w:p>
    <w:p>
      <w:pPr>
        <w:spacing w:after="0" w:line="250"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94"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49" w:name="page50"/>
    <w:bookmarkEnd w:id="49"/>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96" w:lineRule="exact"/>
        <w:rPr>
          <w:sz w:val="20"/>
          <w:szCs w:val="20"/>
          <w:color w:val="auto"/>
        </w:rPr>
      </w:pPr>
    </w:p>
    <w:p>
      <w:pPr>
        <w:ind w:right="20" w:firstLine="629"/>
        <w:spacing w:after="0" w:line="274" w:lineRule="auto"/>
        <w:rPr>
          <w:sz w:val="20"/>
          <w:szCs w:val="20"/>
          <w:color w:val="auto"/>
        </w:rPr>
      </w:pPr>
      <w:r>
        <w:rPr>
          <w:rFonts w:ascii="Times New Roman" w:cs="Times New Roman" w:eastAsia="Times New Roman" w:hAnsi="Times New Roman"/>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00" w:lineRule="exact"/>
        <w:rPr>
          <w:sz w:val="20"/>
          <w:szCs w:val="20"/>
          <w:color w:val="auto"/>
        </w:rPr>
      </w:pPr>
    </w:p>
    <w:p>
      <w:pPr>
        <w:spacing w:after="0" w:line="205"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94"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Making</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203" w:lineRule="exact"/>
        <w:rPr>
          <w:sz w:val="20"/>
          <w:szCs w:val="20"/>
          <w:color w:val="auto"/>
        </w:rPr>
      </w:pPr>
    </w:p>
    <w:p>
      <w:pPr>
        <w:ind w:right="300" w:firstLine="629"/>
        <w:spacing w:after="0" w:line="276" w:lineRule="auto"/>
        <w:rPr>
          <w:sz w:val="20"/>
          <w:szCs w:val="20"/>
          <w:color w:val="auto"/>
        </w:rPr>
      </w:pPr>
      <w:r>
        <w:rPr>
          <w:rFonts w:ascii="Times New Roman" w:cs="Times New Roman" w:eastAsia="Times New Roman" w:hAnsi="Times New Roman"/>
          <w:sz w:val="17"/>
          <w:szCs w:val="17"/>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Execution Services</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w:t>
      </w:r>
    </w:p>
    <w:p>
      <w:pPr>
        <w:spacing w:after="0" w:line="254" w:lineRule="exact"/>
        <w:rPr>
          <w:sz w:val="20"/>
          <w:szCs w:val="20"/>
          <w:color w:val="auto"/>
        </w:rPr>
      </w:pPr>
    </w:p>
    <w:p>
      <w:pPr>
        <w:ind w:right="600" w:firstLine="629"/>
        <w:spacing w:after="0" w:line="296" w:lineRule="auto"/>
        <w:rPr>
          <w:sz w:val="20"/>
          <w:szCs w:val="20"/>
          <w:color w:val="auto"/>
        </w:rPr>
      </w:pPr>
      <w:r>
        <w:rPr>
          <w:rFonts w:ascii="Times New Roman" w:cs="Times New Roman" w:eastAsia="Times New Roman" w:hAnsi="Times New Roman"/>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Acquisition of ITG</w:t>
      </w:r>
    </w:p>
    <w:p>
      <w:pPr>
        <w:spacing w:after="0" w:line="252"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On March 1, 2019, the "ITG Closing Date", we announced the completion of Investment Technology Group, Inc. and its subsidiaries ("ITG") in an all-cash transaction (the "ITG Acquisition"). In connection with the ITG Acquisition, Virtu Financial, VFH Parent LLC, a Delaware limited liability company and a subsidiary of Virtu Financial ("VFH"), and Impala Borrower LLC (the "Acquisition Borrower"), a subsidiary of the Company, entered into the Credit Agreement, with the lenders party thereto, Jefferies Finance LLC, as administrative agent and Jefferies Finance LLC and RBC Capital Markets, as joint lead arrangers and joint bookrunners (the "Acquisition Credit Agreement"). The Acquisition Credit Agreement provided (i) a senior secured first lien term loan (together with the Acquisition Incremental Term Loans, as defined below;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$1,095.0 million borrowed by the Acquisition Borrower to finance the consideration and fees and expenses paid in connection with the ITG Acquisition, and (ii) a $50.0 million senior secured first lien revolving facility to VFH (the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an amendment (“Amendment No. 1”),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(“Amendment No. 2”), which further amended the Acquisition Credit Agreement to, among other things, reduce the interest rate spread over adjusted LIBOR or the alternate base rate by 0.50% per annum and eliminated any step-down in the spread based on VFH's first lien leverage ratio.</w:t>
      </w:r>
    </w:p>
    <w:p>
      <w:pPr>
        <w:spacing w:after="0" w:line="190" w:lineRule="exact"/>
        <w:rPr>
          <w:sz w:val="20"/>
          <w:szCs w:val="20"/>
          <w:color w:val="auto"/>
        </w:rPr>
      </w:pPr>
    </w:p>
    <w:p>
      <w:pPr>
        <w:ind w:right="340" w:firstLine="629"/>
        <w:spacing w:after="0" w:line="257" w:lineRule="auto"/>
        <w:rPr>
          <w:sz w:val="20"/>
          <w:szCs w:val="20"/>
          <w:color w:val="auto"/>
        </w:rPr>
      </w:pPr>
      <w:r>
        <w:rPr>
          <w:rFonts w:ascii="Times New Roman" w:cs="Times New Roman" w:eastAsia="Times New Roman" w:hAnsi="Times New Roman"/>
          <w:sz w:val="17"/>
          <w:szCs w:val="17"/>
          <w:color w:val="auto"/>
        </w:rPr>
        <w:t>On January 13, 2022 (the "Credit Agreement Closing Date"), VFH and Virtu Financial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2015 Management Incentive Plan</w:t>
      </w:r>
    </w:p>
    <w:p>
      <w:pPr>
        <w:spacing w:after="0" w:line="239"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shareholders on June 5, 2020. On April 22, 2022, the Company’s Board of Directors adopted another amendment to the Company’s Amended and Restated</w:t>
      </w:r>
    </w:p>
    <w:p>
      <w:pPr>
        <w:spacing w:after="0" w:line="5"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7"/>
          <w:szCs w:val="17"/>
          <w:color w:val="auto"/>
        </w:rPr>
        <w:t>2015 Management Incentive Plan in order to increase the number of shares of the Company’s Class A Common Stock reserved for issuance, and in respect of which awards may be granted under the Amended and Restated 2015 Plan from 21,000,000 shares of Class A Common Stock to an aggregate of 26,000,000 shares of Class A Common Stock and the amendment was approved by the Company’s shareholders at the Company’s annual meeting of shareholders on June 2, 2022.</w:t>
      </w:r>
    </w:p>
    <w:p>
      <w:pPr>
        <w:spacing w:after="0" w:line="220"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September 30, 2022, options to purchase 1,633,750 shares in the aggregate were forfeited and 6,072,474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51" w:name="page52"/>
    <w:bookmarkEnd w:id="51"/>
    <w:p>
      <w:pPr>
        <w:ind w:right="40"/>
        <w:spacing w:after="0" w:line="296" w:lineRule="auto"/>
        <w:rPr>
          <w:sz w:val="20"/>
          <w:szCs w:val="20"/>
          <w:color w:val="auto"/>
        </w:rPr>
      </w:pPr>
      <w:r>
        <w:rPr>
          <w:rFonts w:ascii="Times New Roman" w:cs="Times New Roman" w:eastAsia="Times New Roman" w:hAnsi="Times New Roman"/>
          <w:sz w:val="17"/>
          <w:szCs w:val="17"/>
          <w:color w:val="auto"/>
        </w:rPr>
        <w:t>weighted average price for the three days preceding the grant, and with respect to the restricted stock units is recognized on a straight-line basis over the vesting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Investment Technology Group, Inc. 2007 Omnibus Equity Compensation Plan</w:t>
      </w:r>
    </w:p>
    <w:p>
      <w:pPr>
        <w:spacing w:after="0" w:line="252"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Parent Company Financial Information</w:t>
      </w:r>
    </w:p>
    <w:p>
      <w:pPr>
        <w:spacing w:after="0" w:line="254" w:lineRule="exact"/>
        <w:rPr>
          <w:sz w:val="20"/>
          <w:szCs w:val="20"/>
          <w:color w:val="auto"/>
        </w:rPr>
      </w:pPr>
    </w:p>
    <w:p>
      <w:pPr>
        <w:ind w:right="140" w:firstLine="629"/>
        <w:spacing w:after="0" w:line="262" w:lineRule="auto"/>
        <w:rPr>
          <w:sz w:val="20"/>
          <w:szCs w:val="20"/>
          <w:color w:val="auto"/>
        </w:rPr>
      </w:pPr>
      <w:r>
        <w:rPr>
          <w:rFonts w:ascii="Times New Roman" w:cs="Times New Roman" w:eastAsia="Times New Roman" w:hAnsi="Times New Roman"/>
          <w:sz w:val="17"/>
          <w:szCs w:val="17"/>
          <w:color w:val="auto"/>
        </w:rPr>
        <w:t>There are no material differences between our condensed consolidated financial statements and the financial statements of Virtu Financial except as follows: (i) cash and cash equivalents reflected on our Condensed Consolidated Statements of Financial Condition as of September 30, 2022 in the amount of $16.4 million; (ii) deferred tax assets reflected on our Condensed Consolidated Statements of Financial Condition as of September 30, 2022 in the amount of $126.3 million and tax receivable agreement obligation in the amount of $237.9 million, in each case as described in greater detail in Note 4 "Tax Receivable Agreements" of Part I Item 1 “Financial Statements” of this Quarterly Report on Form 10-Q; (iii) a portion of the member's equity of Virtu Financial is represented as noncontrolling interest on our Condensed Consolidated Statements of Financial Condition as of September 30, 2022; and (iv) provision for corporate income tax in the amount of $19.4 million and $60.3 million reflected on our Condensed Consolidated Statements of Comprehensive Income for the three and nine months ended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52" w:lineRule="exact"/>
        <w:rPr>
          <w:sz w:val="20"/>
          <w:szCs w:val="20"/>
          <w:color w:val="auto"/>
        </w:rPr>
      </w:pPr>
    </w:p>
    <w:p>
      <w:pPr>
        <w:ind w:right="54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shows our i) Total revenue, ii) Total operating expenses, and iii) Income before income taxes and noncontrolling interest by segment for the three and nine months ended September 30, 2022, and 2021:</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447,886</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409,290</w:t>
            </w:r>
          </w:p>
        </w:tc>
        <w:tc>
          <w:tcPr>
            <w:tcW w:w="120" w:type="dxa"/>
            <w:vAlign w:val="bottom"/>
          </w:tcPr>
          <w:p>
            <w:pPr>
              <w:spacing w:after="0"/>
              <w:rPr>
                <w:sz w:val="15"/>
                <w:szCs w:val="15"/>
                <w:color w:val="auto"/>
              </w:rPr>
            </w:pP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1,427,044</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1,635,555</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348,610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273,415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978,101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921,832</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135,875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713,723</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132,549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459,918</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125,017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370,335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407,977</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51,941</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10,408</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6,185</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4,223</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561,044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544,344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1,867,044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2,105,881</w:t>
            </w:r>
          </w:p>
        </w:tc>
      </w:tr>
      <w:tr>
        <w:trPr>
          <w:trHeight w:val="197"/>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459,438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399,245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1,349,941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1,335,994</w:t>
            </w:r>
          </w:p>
        </w:tc>
      </w:tr>
      <w:tr>
        <w:trPr>
          <w:trHeight w:val="196"/>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101,606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145,099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517,103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769,887</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our results of operations for the three and nine months ended September 30, 2022, and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0"/>
        </w:trPr>
        <w:tc>
          <w:tcPr>
            <w:tcW w:w="5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397,383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394,265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1,315,618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1,591,840</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22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43,631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9,704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26,246</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120,986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135,923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470,687</w:t>
            </w: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4,452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44,010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17,108</w:t>
            </w:r>
          </w:p>
        </w:tc>
        <w:tc>
          <w:tcPr>
            <w:tcW w:w="0" w:type="dxa"/>
            <w:vAlign w:val="bottom"/>
          </w:tcPr>
          <w:p>
            <w:pPr>
              <w:spacing w:after="0"/>
              <w:rPr>
                <w:sz w:val="1"/>
                <w:szCs w:val="1"/>
                <w:color w:val="auto"/>
              </w:rPr>
            </w:pPr>
          </w:p>
        </w:tc>
      </w:tr>
      <w:tr>
        <w:trPr>
          <w:trHeight w:val="196"/>
        </w:trPr>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561,044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544,344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1,867,044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2,105,881</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22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168,869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158,862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476,235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588,885</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Communication and data processing</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52,907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55,627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159,824</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Employee compensation and payroll taxes</w:t>
            </w:r>
          </w:p>
        </w:tc>
        <w:tc>
          <w:tcPr>
            <w:tcW w:w="22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103,254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84,552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273,172</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61,989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26,586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75,585</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Operations and administrative</w:t>
            </w:r>
          </w:p>
        </w:tc>
        <w:tc>
          <w:tcPr>
            <w:tcW w:w="22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14,319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18,228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65,636</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16,658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16,636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49,764</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2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16,060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16,933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53,087</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5,126</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22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4,981</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23,483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20,179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66,905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59,784</w:t>
            </w:r>
          </w:p>
        </w:tc>
        <w:tc>
          <w:tcPr>
            <w:tcW w:w="0" w:type="dxa"/>
            <w:vAlign w:val="bottom"/>
          </w:tcPr>
          <w:p>
            <w:pPr>
              <w:spacing w:after="0"/>
              <w:rPr>
                <w:sz w:val="1"/>
                <w:szCs w:val="1"/>
                <w:color w:val="auto"/>
              </w:rPr>
            </w:pPr>
          </w:p>
        </w:tc>
      </w:tr>
      <w:tr>
        <w:trPr>
          <w:trHeight w:val="196"/>
        </w:trPr>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459,438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399,245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1,349,941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1,335,994</w:t>
            </w:r>
          </w:p>
        </w:tc>
        <w:tc>
          <w:tcPr>
            <w:tcW w:w="0" w:type="dxa"/>
            <w:vAlign w:val="bottom"/>
          </w:tcPr>
          <w:p>
            <w:pPr>
              <w:spacing w:after="0"/>
              <w:rPr>
                <w:sz w:val="1"/>
                <w:szCs w:val="1"/>
                <w:color w:val="auto"/>
              </w:rPr>
            </w:pP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101,606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145,099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517,103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769,887</w:t>
            </w:r>
          </w:p>
        </w:tc>
        <w:tc>
          <w:tcPr>
            <w:tcW w:w="0" w:type="dxa"/>
            <w:vAlign w:val="bottom"/>
          </w:tcPr>
          <w:p>
            <w:pPr>
              <w:spacing w:after="0"/>
              <w:rPr>
                <w:sz w:val="1"/>
                <w:szCs w:val="1"/>
                <w:color w:val="auto"/>
              </w:rPr>
            </w:pPr>
          </w:p>
        </w:tc>
      </w:tr>
      <w:tr>
        <w:trPr>
          <w:trHeight w:val="197"/>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21,732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21,961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128,611</w:t>
            </w:r>
          </w:p>
        </w:tc>
        <w:tc>
          <w:tcPr>
            <w:tcW w:w="0" w:type="dxa"/>
            <w:vAlign w:val="bottom"/>
          </w:tcPr>
          <w:p>
            <w:pPr>
              <w:spacing w:after="0"/>
              <w:rPr>
                <w:sz w:val="1"/>
                <w:szCs w:val="1"/>
                <w:color w:val="auto"/>
              </w:rPr>
            </w:pPr>
          </w:p>
        </w:tc>
      </w:tr>
      <w:tr>
        <w:trPr>
          <w:trHeight w:val="196"/>
        </w:trPr>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79,874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123,138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428,698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641,276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20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86" w:lineRule="exact"/>
        <w:rPr>
          <w:sz w:val="20"/>
          <w:szCs w:val="20"/>
          <w:color w:val="auto"/>
        </w:rPr>
      </w:pPr>
    </w:p>
    <w:p>
      <w:pPr>
        <w:ind w:right="14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represents revenue earned from bid/ask spreads. Trading income is generated in the normal course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 making activities and is typically proportional to the level of trading activity, or volumes, and bid/ask spreads in the asset classes we serve. Our trading income is highly diversified by asset class and geography and comprises of small amounts earned on millions of trades on various exchanges. Our trading income, net, results from gains and losses associated with trading strategies, which are designed to capture small bid ask spreads, while hedging risks. Trading income, net, accounted for 70% and 76% of our total revenues for the nine months ended September 30, 2022 and 2021, respectively.</w:t>
      </w:r>
    </w:p>
    <w:p>
      <w:pPr>
        <w:spacing w:after="0" w:line="192" w:lineRule="exact"/>
        <w:rPr>
          <w:sz w:val="20"/>
          <w:szCs w:val="20"/>
          <w:color w:val="auto"/>
        </w:rPr>
      </w:pPr>
    </w:p>
    <w:p>
      <w:pPr>
        <w:ind w:right="10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Our market making activities require us to hold securities on a regular basis, and we generate revenues in the form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88"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We earn revenues on transactions for which we charge explicit commissions or commission equivalents,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203" w:lineRule="exact"/>
        <w:rPr>
          <w:sz w:val="20"/>
          <w:szCs w:val="20"/>
          <w:color w:val="auto"/>
        </w:rPr>
      </w:pPr>
    </w:p>
    <w:p>
      <w:pPr>
        <w:ind w:right="460" w:firstLine="629"/>
        <w:spacing w:after="0" w:line="276" w:lineRule="auto"/>
        <w:rPr>
          <w:sz w:val="20"/>
          <w:szCs w:val="20"/>
          <w:color w:val="auto"/>
        </w:rPr>
      </w:pPr>
      <w:r>
        <w:rPr>
          <w:rFonts w:ascii="Times New Roman" w:cs="Times New Roman" w:eastAsia="Times New Roman" w:hAnsi="Times New Roman"/>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86" w:lineRule="exact"/>
        <w:rPr>
          <w:sz w:val="20"/>
          <w:szCs w:val="20"/>
          <w:color w:val="auto"/>
        </w:rPr>
      </w:pPr>
    </w:p>
    <w:p>
      <w:pPr>
        <w:ind w:right="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We have interests in multiple strategic investments and telecommunications joint ventures (“JVs”). We record our pro-rata share of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JV’s earnings or losses within Other, net, while fees related to the use of communication services provided by the JVs are recorded within Communications and data processing.</w:t>
      </w:r>
    </w:p>
    <w:p>
      <w:pPr>
        <w:spacing w:after="0" w:line="174" w:lineRule="exact"/>
        <w:rPr>
          <w:sz w:val="20"/>
          <w:szCs w:val="20"/>
          <w:color w:val="auto"/>
        </w:rPr>
      </w:pPr>
    </w:p>
    <w:p>
      <w:pPr>
        <w:ind w:right="220" w:firstLine="629"/>
        <w:spacing w:after="0" w:line="260" w:lineRule="auto"/>
        <w:rPr>
          <w:sz w:val="20"/>
          <w:szCs w:val="20"/>
          <w:color w:val="auto"/>
        </w:rPr>
      </w:pPr>
      <w:r>
        <w:rPr>
          <w:rFonts w:ascii="Times New Roman" w:cs="Times New Roman" w:eastAsia="Times New Roman" w:hAnsi="Times New Roman"/>
          <w:sz w:val="17"/>
          <w:szCs w:val="17"/>
          <w:color w:val="auto"/>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203"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Other, net can also include gains on sales of strategic investments and businesses, as well as revenues from service agreements related to the sale of businesses.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0"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are our most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8" w:lineRule="exact"/>
        <w:rPr>
          <w:sz w:val="20"/>
          <w:szCs w:val="20"/>
          <w:color w:val="auto"/>
        </w:rPr>
      </w:pPr>
    </w:p>
    <w:p>
      <w:pPr>
        <w:ind w:right="3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represent primarily fixed expenses for data center co-location, network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88" w:lineRule="exact"/>
        <w:rPr>
          <w:sz w:val="20"/>
          <w:szCs w:val="20"/>
          <w:color w:val="auto"/>
        </w:rPr>
      </w:pPr>
    </w:p>
    <w:p>
      <w:pPr>
        <w:ind w:right="14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include employee salaries, cash and non-cash incentive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employee benefits, payroll taxes, severance and other employee related costs. Employee compensation and payroll taxes also includes non-cash compensation expenses with respect to restricted stock units and restricted stock awards granted in connection with and subsequent to the IPO pursuant to the Amended and Restated 2015 Management Incentive Plan and Class A Common Stock underlying certain awards assumed pursuant to the Amended and Restated ITG 2007 Equity Plan.</w:t>
      </w:r>
    </w:p>
    <w:p>
      <w:pPr>
        <w:spacing w:after="0" w:line="192"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We incur interest expense from loaning certain equity securities in the general course of our market making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collateralized lending transactions. Typically, dividend expense is incurred when a dividend is paid on securities sold short.</w:t>
      </w:r>
    </w:p>
    <w:p>
      <w:pPr>
        <w:spacing w:after="0" w:line="165" w:lineRule="exact"/>
        <w:rPr>
          <w:sz w:val="20"/>
          <w:szCs w:val="20"/>
          <w:color w:val="auto"/>
        </w:rPr>
      </w:pPr>
    </w:p>
    <w:p>
      <w:pPr>
        <w:ind w:right="16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represents occupancy, recruiting, travel and related expense, professional fees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expenses.</w:t>
      </w:r>
    </w:p>
    <w:p>
      <w:pPr>
        <w:spacing w:after="0" w:line="165" w:lineRule="exact"/>
        <w:rPr>
          <w:sz w:val="20"/>
          <w:szCs w:val="20"/>
          <w:color w:val="auto"/>
        </w:rPr>
      </w:pPr>
    </w:p>
    <w:p>
      <w:pPr>
        <w:ind w:right="6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 results from the depreciation of fixed assets and leased equipment, such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93" w:lineRule="exact"/>
        <w:rPr>
          <w:sz w:val="20"/>
          <w:szCs w:val="20"/>
          <w:color w:val="auto"/>
        </w:rPr>
      </w:pPr>
    </w:p>
    <w:p>
      <w:pPr>
        <w:ind w:right="2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represents the amortization of finite lived intangible assets acquired in connection with the acquisition of certain assets from the Acquisition of KCG and the ITG Acquisition. These assets are amortized over their useful lives, ranging from 1 to 15 years, except for certain assets which were categorized as having indefinite useful lives.</w:t>
      </w:r>
    </w:p>
    <w:p>
      <w:pPr>
        <w:spacing w:after="0" w:line="188" w:lineRule="exact"/>
        <w:rPr>
          <w:sz w:val="20"/>
          <w:szCs w:val="20"/>
          <w:color w:val="auto"/>
        </w:rPr>
      </w:pPr>
    </w:p>
    <w:p>
      <w:pPr>
        <w:ind w:right="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represents the write-off expense related to certain office space we ceased use of as part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effort to integrate and consolidate office space. The aggregate write-off amount includes the impairment of operating lease right-of-use assets, leasehold improvements and fixed assets, and dilapidation charges.</w:t>
      </w:r>
    </w:p>
    <w:p>
      <w:pPr>
        <w:spacing w:after="0" w:line="183" w:lineRule="exact"/>
        <w:rPr>
          <w:sz w:val="20"/>
          <w:szCs w:val="20"/>
          <w:color w:val="auto"/>
        </w:rPr>
      </w:pPr>
    </w:p>
    <w:p>
      <w:pPr>
        <w:jc w:val="both"/>
        <w:ind w:right="32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As a result of the refinancing or early termination of our long-term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borrowings, we accelerate the capitalized debt issue cost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183"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primarily reflect professional fees incurred by us in connection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one or more acquisitions or dispositions.</w:t>
      </w:r>
    </w:p>
    <w:p>
      <w:pPr>
        <w:spacing w:after="0" w:line="165" w:lineRule="exact"/>
        <w:rPr>
          <w:sz w:val="20"/>
          <w:szCs w:val="20"/>
          <w:color w:val="auto"/>
        </w:rPr>
      </w:pPr>
    </w:p>
    <w:p>
      <w:pPr>
        <w:ind w:right="2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reflects interest accrued on outstanding indebtedness under our long-term borrowing arrangements.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ind w:right="880" w:firstLine="629"/>
        <w:spacing w:after="0" w:line="296" w:lineRule="auto"/>
        <w:rPr>
          <w:sz w:val="20"/>
          <w:szCs w:val="20"/>
          <w:color w:val="auto"/>
        </w:rPr>
      </w:pPr>
      <w:r>
        <w:rPr>
          <w:rFonts w:ascii="Times New Roman" w:cs="Times New Roman" w:eastAsia="Times New Roman" w:hAnsi="Times New Roman"/>
          <w:sz w:val="17"/>
          <w:szCs w:val="17"/>
          <w:color w:val="auto"/>
        </w:rPr>
        <w:t>We are subject to U.S. federal, state and local, and foreign income tax at the rate applicable to corporations less the rate attributable to the noncontrolling interest in Virtu Financial.</w:t>
      </w:r>
    </w:p>
    <w:p>
      <w:pPr>
        <w:spacing w:after="0" w:line="173" w:lineRule="exact"/>
        <w:rPr>
          <w:sz w:val="20"/>
          <w:szCs w:val="20"/>
          <w:color w:val="auto"/>
        </w:rPr>
      </w:pPr>
    </w:p>
    <w:p>
      <w:pPr>
        <w:jc w:val="both"/>
        <w:ind w:right="80" w:firstLine="629"/>
        <w:spacing w:after="0" w:line="264" w:lineRule="auto"/>
        <w:rPr>
          <w:sz w:val="20"/>
          <w:szCs w:val="20"/>
          <w:color w:val="auto"/>
        </w:rPr>
      </w:pPr>
      <w:r>
        <w:rPr>
          <w:rFonts w:ascii="Times New Roman" w:cs="Times New Roman" w:eastAsia="Times New Roman" w:hAnsi="Times New Roman"/>
          <w:sz w:val="17"/>
          <w:szCs w:val="17"/>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spacing w:after="0" w:line="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91"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 Item 1 “Financial Statements”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099"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Non-GAAP Financial Measures and Other Items</w:t>
      </w:r>
    </w:p>
    <w:p>
      <w:pPr>
        <w:spacing w:after="0" w:line="252"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73" w:lineRule="exact"/>
        <w:rPr>
          <w:sz w:val="20"/>
          <w:szCs w:val="20"/>
          <w:color w:val="auto"/>
        </w:rPr>
      </w:pPr>
    </w:p>
    <w:p>
      <w:pPr>
        <w:ind w:left="1020" w:right="20" w:hanging="229"/>
        <w:spacing w:after="0" w:line="262" w:lineRule="auto"/>
        <w:tabs>
          <w:tab w:leader="none" w:pos="10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including daily averages.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spacing w:after="0" w:line="74" w:lineRule="exact"/>
        <w:rPr>
          <w:rFonts w:ascii="Times New Roman" w:cs="Times New Roman" w:eastAsia="Times New Roman" w:hAnsi="Times New Roman"/>
          <w:sz w:val="17"/>
          <w:szCs w:val="17"/>
          <w:color w:val="auto"/>
        </w:rPr>
      </w:pPr>
    </w:p>
    <w:p>
      <w:pPr>
        <w:ind w:left="1020" w:right="100" w:hanging="229"/>
        <w:spacing w:after="0" w:line="267" w:lineRule="auto"/>
        <w:tabs>
          <w:tab w:leader="none" w:pos="10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reserves for legal matters, transaction advisory fees and expenses, termination of office leases, charges related to share-based compensation and other expenses, which includes COVID-19 one-time costs and donations and Other, net.</w:t>
      </w:r>
    </w:p>
    <w:p>
      <w:pPr>
        <w:spacing w:after="0" w:line="65" w:lineRule="exact"/>
        <w:rPr>
          <w:rFonts w:ascii="Times New Roman" w:cs="Times New Roman" w:eastAsia="Times New Roman" w:hAnsi="Times New Roman"/>
          <w:sz w:val="17"/>
          <w:szCs w:val="17"/>
          <w:color w:val="auto"/>
        </w:rPr>
      </w:pPr>
    </w:p>
    <w:p>
      <w:pPr>
        <w:ind w:left="1020" w:right="340" w:hanging="229"/>
        <w:spacing w:after="0" w:line="270" w:lineRule="auto"/>
        <w:tabs>
          <w:tab w:leader="none" w:pos="10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“Normalized Adjusted Net Income”, “Normalized Adjusted Net Income before income taxes”, “Normalized provision for income taxes”, and “Normalized Adjusted EPS”, which we calculate by adjusting Net Income to exclude certain items including gains and losses from strategic investments and the sales of businesses, and other non-cash items, assuming that all vested and unvested Virtu Financial Units have been exchanged for Class A Common Stock, and applying an effective tax rate, which was approximately 24%.</w:t>
      </w:r>
    </w:p>
    <w:p>
      <w:pPr>
        <w:spacing w:after="0" w:line="63"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Margins, which are calculated by dividing net income, EBITDA, and Adjusted EBITDA by Adjusted Net Trading Income.</w:t>
      </w:r>
    </w:p>
    <w:p>
      <w:pPr>
        <w:spacing w:after="0" w:line="250"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207"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94" w:lineRule="exact"/>
        <w:rPr>
          <w:sz w:val="20"/>
          <w:szCs w:val="20"/>
          <w:color w:val="auto"/>
        </w:rPr>
      </w:pPr>
    </w:p>
    <w:p>
      <w:pPr>
        <w:ind w:left="1020" w:hanging="229"/>
        <w:spacing w:after="0"/>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every cash expenditure, future requirements for capital expenditures or contractual commitments;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7" w:name="page58"/>
    <w:bookmarkEnd w:id="57"/>
    <w:p>
      <w:pPr>
        <w:ind w:left="1020" w:right="380" w:hanging="229"/>
        <w:spacing w:after="0" w:line="296" w:lineRule="auto"/>
        <w:tabs>
          <w:tab w:leader="none" w:pos="10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EBITDA-based measures do not reflect the significant interest expense or the cash requirements necessary to service interest or principal payment on our debt;</w:t>
      </w:r>
    </w:p>
    <w:p>
      <w:pPr>
        <w:spacing w:after="0" w:line="41" w:lineRule="exact"/>
        <w:rPr>
          <w:rFonts w:ascii="Times New Roman" w:cs="Times New Roman" w:eastAsia="Times New Roman" w:hAnsi="Times New Roman"/>
          <w:sz w:val="17"/>
          <w:szCs w:val="17"/>
          <w:color w:val="auto"/>
        </w:rPr>
      </w:pPr>
    </w:p>
    <w:p>
      <w:pPr>
        <w:ind w:left="1020" w:right="60" w:hanging="229"/>
        <w:spacing w:after="0" w:line="296" w:lineRule="auto"/>
        <w:tabs>
          <w:tab w:leader="none" w:pos="10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41"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not adjusted for all non-cash income or expense items that are reflected in our consolidated statements of cash flows;</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the impact of earnings or charges resulting from matters we consider not to be indicative of our ongoing operations; and</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limitations on our costs related to transferring earnings from our subsidiaries to us.</w:t>
      </w:r>
    </w:p>
    <w:p>
      <w:pPr>
        <w:spacing w:after="0" w:line="250"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98" w:lineRule="exact"/>
        <w:rPr>
          <w:sz w:val="20"/>
          <w:szCs w:val="20"/>
          <w:color w:val="auto"/>
        </w:rPr>
      </w:pPr>
    </w:p>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reconciles the Condensed Consolidated Statements of Comprehensive Income to arrive at Adjusted Net Trading Income, EBITDA, Adjusted EBITDA, and Operating Margins for the three and nine months ended September 30, 2022,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2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income, net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397,383</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394,265</w:t>
            </w:r>
          </w:p>
        </w:tc>
        <w:tc>
          <w:tcPr>
            <w:tcW w:w="14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1,315,618</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1,591,840</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43,631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9,704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95,435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26,246</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8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120,986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135,923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411,981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470,687</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(168,869)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(158,862)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(476,235)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(588,885)</w:t>
            </w:r>
          </w:p>
        </w:tc>
        <w:tc>
          <w:tcPr>
            <w:tcW w:w="0" w:type="dxa"/>
            <w:vAlign w:val="bottom"/>
          </w:tcPr>
          <w:p>
            <w:pPr>
              <w:spacing w:after="0"/>
              <w:rPr>
                <w:sz w:val="1"/>
                <w:szCs w:val="1"/>
                <w:color w:val="auto"/>
              </w:rPr>
            </w:pPr>
          </w:p>
        </w:tc>
      </w:tr>
      <w:tr>
        <w:trPr>
          <w:trHeight w:val="190"/>
        </w:trPr>
        <w:tc>
          <w:tcPr>
            <w:tcW w:w="5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(61,989)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(26,586)</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(153,243)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(75,585)</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331,142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354,444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1,193,556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1,424,303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 and Adjusted EBITDA</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79,874</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123,138</w:t>
            </w:r>
          </w:p>
        </w:tc>
        <w:tc>
          <w:tcPr>
            <w:tcW w:w="14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428,698</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641,276</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23,483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20,179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66,905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59,784</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18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1,237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28,525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4,981</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16,658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16,636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50,470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49,764</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18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16,060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16,933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48,817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53,087</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21,732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21,961</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88,405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128,611</w:t>
            </w:r>
          </w:p>
        </w:tc>
        <w:tc>
          <w:tcPr>
            <w:tcW w:w="0" w:type="dxa"/>
            <w:vAlign w:val="bottom"/>
          </w:tcPr>
          <w:p>
            <w:pPr>
              <w:spacing w:after="0"/>
              <w:rPr>
                <w:sz w:val="1"/>
                <w:szCs w:val="1"/>
                <w:color w:val="auto"/>
              </w:rPr>
            </w:pPr>
          </w:p>
        </w:tc>
      </w:tr>
      <w:tr>
        <w:trPr>
          <w:trHeight w:val="18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159,211</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200,084</w:t>
            </w:r>
          </w:p>
        </w:tc>
        <w:tc>
          <w:tcPr>
            <w:tcW w:w="14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711,820</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937,503</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Severance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1,538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4,009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4,577</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18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1,744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5,126</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(4,225)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(35,813)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(12,827)</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18,133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12,930</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50,841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38,260</w:t>
            </w:r>
          </w:p>
        </w:tc>
        <w:tc>
          <w:tcPr>
            <w:tcW w:w="0" w:type="dxa"/>
            <w:vAlign w:val="bottom"/>
          </w:tcPr>
          <w:p>
            <w:pPr>
              <w:spacing w:after="0"/>
              <w:rPr>
                <w:sz w:val="1"/>
                <w:szCs w:val="1"/>
                <w:color w:val="auto"/>
              </w:rPr>
            </w:pPr>
          </w:p>
        </w:tc>
      </w:tr>
      <w:tr>
        <w:trPr>
          <w:trHeight w:val="19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180,645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210,732</w:t>
            </w:r>
          </w:p>
        </w:tc>
        <w:tc>
          <w:tcPr>
            <w:tcW w:w="14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733,714</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972,789</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Margins</w:t>
            </w:r>
          </w:p>
        </w:tc>
        <w:tc>
          <w:tcPr>
            <w:tcW w:w="3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Margin (1)</w:t>
            </w:r>
          </w:p>
        </w:tc>
        <w:tc>
          <w:tcPr>
            <w:tcW w:w="32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24.1 %</w:t>
            </w:r>
          </w:p>
        </w:tc>
        <w:tc>
          <w:tcPr>
            <w:tcW w:w="14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34.7 %</w:t>
            </w:r>
          </w:p>
        </w:tc>
        <w:tc>
          <w:tcPr>
            <w:tcW w:w="14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35.9 %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r>
      <w:tr>
        <w:trPr>
          <w:trHeight w:val="189"/>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EBITDA Margin (2)</w:t>
            </w:r>
          </w:p>
        </w:tc>
        <w:tc>
          <w:tcPr>
            <w:tcW w:w="326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rPr>
              <w:t>48.1 %</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4"/>
                <w:szCs w:val="14"/>
                <w:color w:val="auto"/>
              </w:rPr>
              <w:t>56.5 %</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59.6 %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65.8 %</w:t>
            </w:r>
          </w:p>
        </w:tc>
      </w:tr>
      <w:tr>
        <w:trPr>
          <w:trHeight w:val="204"/>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EBITDA Margin (3)</w:t>
            </w:r>
          </w:p>
        </w:tc>
        <w:tc>
          <w:tcPr>
            <w:tcW w:w="32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54.6 %</w:t>
            </w:r>
          </w:p>
        </w:tc>
        <w:tc>
          <w:tcPr>
            <w:tcW w:w="14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59.5 %</w:t>
            </w:r>
          </w:p>
        </w:tc>
        <w:tc>
          <w:tcPr>
            <w:tcW w:w="14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61.5 %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68.3 %</w:t>
            </w:r>
          </w:p>
        </w:tc>
      </w:tr>
    </w:tbl>
    <w:p>
      <w:pPr>
        <w:spacing w:after="0" w:line="78" w:lineRule="exact"/>
        <w:rPr>
          <w:sz w:val="20"/>
          <w:szCs w:val="20"/>
          <w:color w:val="auto"/>
        </w:rPr>
      </w:pPr>
    </w:p>
    <w:p>
      <w:pPr>
        <w:ind w:left="400" w:hanging="395"/>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Adjusted Net Trading Income.</w:t>
      </w:r>
    </w:p>
    <w:p>
      <w:pPr>
        <w:spacing w:after="0" w:line="17"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EBITDA by Adjusted Net Trading Income.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8" w:name="page59"/>
    <w:bookmarkEnd w:id="58"/>
    <w:p>
      <w:pPr>
        <w:ind w:left="400" w:hanging="395"/>
        <w:spacing w:after="0"/>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Adjusted EBITDA by Adjusted Net Trading Income.</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reconciles Net Income to arrive at Normalized Adjusted Net Income before income taxes, Normalized provision for income taxes,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Normalized Adjusted Net Income and Normalized Adjusted EPS for the three and nine months ended September 30, 2022, and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2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7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Normalized Adjusted Net Income</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79,874</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123,138</w:t>
            </w:r>
          </w:p>
        </w:tc>
        <w:tc>
          <w:tcPr>
            <w:tcW w:w="14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428,698</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641,276</w:t>
            </w:r>
          </w:p>
        </w:tc>
        <w:tc>
          <w:tcPr>
            <w:tcW w:w="0" w:type="dxa"/>
            <w:vAlign w:val="bottom"/>
          </w:tcPr>
          <w:p>
            <w:pPr>
              <w:spacing w:after="0"/>
              <w:rPr>
                <w:sz w:val="1"/>
                <w:szCs w:val="1"/>
                <w:color w:val="auto"/>
              </w:rPr>
            </w:pPr>
          </w:p>
        </w:tc>
      </w:tr>
      <w:tr>
        <w:trPr>
          <w:trHeight w:val="204"/>
        </w:trPr>
        <w:tc>
          <w:tcPr>
            <w:tcW w:w="5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128,611</w:t>
            </w:r>
          </w:p>
        </w:tc>
        <w:tc>
          <w:tcPr>
            <w:tcW w:w="0" w:type="dxa"/>
            <w:vAlign w:val="bottom"/>
          </w:tcPr>
          <w:p>
            <w:pPr>
              <w:spacing w:after="0"/>
              <w:rPr>
                <w:sz w:val="1"/>
                <w:szCs w:val="1"/>
                <w:color w:val="auto"/>
              </w:rPr>
            </w:pPr>
          </w:p>
        </w:tc>
      </w:tr>
      <w:tr>
        <w:trPr>
          <w:trHeight w:val="183"/>
        </w:trPr>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145,099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517,103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769,887</w:t>
            </w:r>
          </w:p>
        </w:tc>
        <w:tc>
          <w:tcPr>
            <w:tcW w:w="0" w:type="dxa"/>
            <w:vAlign w:val="bottom"/>
          </w:tcPr>
          <w:p>
            <w:pPr>
              <w:spacing w:after="0"/>
              <w:rPr>
                <w:sz w:val="1"/>
                <w:szCs w:val="1"/>
                <w:color w:val="auto"/>
              </w:rPr>
            </w:pPr>
          </w:p>
        </w:tc>
      </w:tr>
      <w:tr>
        <w:trPr>
          <w:trHeight w:val="164"/>
        </w:trPr>
        <w:tc>
          <w:tcPr>
            <w:tcW w:w="292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53,087</w:t>
            </w:r>
          </w:p>
        </w:tc>
        <w:tc>
          <w:tcPr>
            <w:tcW w:w="0" w:type="dxa"/>
            <w:vAlign w:val="bottom"/>
          </w:tcPr>
          <w:p>
            <w:pPr>
              <w:spacing w:after="0"/>
              <w:rPr>
                <w:sz w:val="1"/>
                <w:szCs w:val="1"/>
                <w:color w:val="auto"/>
              </w:rPr>
            </w:pPr>
          </w:p>
        </w:tc>
      </w:tr>
      <w:tr>
        <w:trPr>
          <w:trHeight w:val="204"/>
        </w:trPr>
        <w:tc>
          <w:tcPr>
            <w:tcW w:w="5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0" w:type="dxa"/>
            <w:vAlign w:val="bottom"/>
          </w:tcPr>
          <w:p>
            <w:pPr>
              <w:spacing w:after="0"/>
              <w:rPr>
                <w:sz w:val="1"/>
                <w:szCs w:val="1"/>
                <w:color w:val="auto"/>
              </w:rPr>
            </w:pPr>
          </w:p>
        </w:tc>
      </w:tr>
      <w:tr>
        <w:trPr>
          <w:trHeight w:val="189"/>
        </w:trPr>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Severance</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0" w:type="dxa"/>
            <w:vAlign w:val="bottom"/>
          </w:tcPr>
          <w:p>
            <w:pPr>
              <w:spacing w:after="0"/>
              <w:rPr>
                <w:sz w:val="1"/>
                <w:szCs w:val="1"/>
                <w:color w:val="auto"/>
              </w:rPr>
            </w:pPr>
          </w:p>
        </w:tc>
      </w:tr>
      <w:tr>
        <w:trPr>
          <w:trHeight w:val="204"/>
        </w:trPr>
        <w:tc>
          <w:tcPr>
            <w:tcW w:w="5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9"/>
        </w:trPr>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0" w:type="dxa"/>
            <w:vAlign w:val="bottom"/>
          </w:tcPr>
          <w:p>
            <w:pPr>
              <w:spacing w:after="0"/>
              <w:rPr>
                <w:sz w:val="1"/>
                <w:szCs w:val="1"/>
                <w:color w:val="auto"/>
              </w:rPr>
            </w:pPr>
          </w:p>
        </w:tc>
      </w:tr>
      <w:tr>
        <w:trPr>
          <w:trHeight w:val="204"/>
        </w:trPr>
        <w:tc>
          <w:tcPr>
            <w:tcW w:w="5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(12,827)</w:t>
            </w: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18,133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12,930</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50,841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38,260</w:t>
            </w:r>
          </w:p>
        </w:tc>
        <w:tc>
          <w:tcPr>
            <w:tcW w:w="0" w:type="dxa"/>
            <w:vAlign w:val="bottom"/>
          </w:tcPr>
          <w:p>
            <w:pPr>
              <w:spacing w:after="0"/>
              <w:rPr>
                <w:sz w:val="1"/>
                <w:szCs w:val="1"/>
                <w:color w:val="auto"/>
              </w:rPr>
            </w:pPr>
          </w:p>
        </w:tc>
      </w:tr>
      <w:tr>
        <w:trPr>
          <w:trHeight w:val="196"/>
        </w:trPr>
        <w:tc>
          <w:tcPr>
            <w:tcW w:w="5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Normalized Adjusted Net Income before income taxes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173,917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616,339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863,241</w:t>
            </w: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4"/>
                <w:szCs w:val="14"/>
                <w:color w:val="auto"/>
              </w:rPr>
              <w:t>Normalized provision for income taxes (1)</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41,740</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207,178</w:t>
            </w:r>
          </w:p>
        </w:tc>
        <w:tc>
          <w:tcPr>
            <w:tcW w:w="0" w:type="dxa"/>
            <w:vAlign w:val="bottom"/>
          </w:tcPr>
          <w:p>
            <w:pPr>
              <w:spacing w:after="0"/>
              <w:rPr>
                <w:sz w:val="1"/>
                <w:szCs w:val="1"/>
                <w:color w:val="auto"/>
              </w:rPr>
            </w:pPr>
          </w:p>
        </w:tc>
      </w:tr>
      <w:tr>
        <w:trPr>
          <w:trHeight w:val="196"/>
        </w:trPr>
        <w:tc>
          <w:tcPr>
            <w:tcW w:w="5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Normalized Adjusted 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132,177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656,063</w:t>
            </w: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Adjusted shares outstanding (2)</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175,893,027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190,141,600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179,290,742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193,929,595</w:t>
            </w: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Normalized Adjusted EPS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31"/>
        </w:trPr>
        <w:tc>
          <w:tcPr>
            <w:tcW w:w="2920" w:type="dxa"/>
            <w:vAlign w:val="bottom"/>
            <w:tcBorders>
              <w:bottom w:val="single" w:sz="8" w:color="auto"/>
            </w:tcBorders>
          </w:tcPr>
          <w:p>
            <w:pPr>
              <w:spacing w:after="0"/>
              <w:rPr>
                <w:sz w:val="11"/>
                <w:szCs w:val="11"/>
                <w:color w:val="auto"/>
              </w:rPr>
            </w:pPr>
          </w:p>
        </w:tc>
        <w:tc>
          <w:tcPr>
            <w:tcW w:w="2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00" w:hanging="395"/>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U.S. federal, state, and local income tax rate applicable to corporations of approximately 24% for all periods presented.</w:t>
      </w:r>
    </w:p>
    <w:p>
      <w:pPr>
        <w:spacing w:after="0" w:line="17" w:lineRule="exact"/>
        <w:rPr>
          <w:rFonts w:ascii="Times New Roman" w:cs="Times New Roman" w:eastAsia="Times New Roman" w:hAnsi="Times New Roman"/>
          <w:sz w:val="16"/>
          <w:szCs w:val="16"/>
          <w:color w:val="auto"/>
        </w:rPr>
      </w:pPr>
    </w:p>
    <w:p>
      <w:pPr>
        <w:ind w:left="400" w:right="60" w:hanging="395"/>
        <w:spacing w:after="0" w:line="247" w:lineRule="auto"/>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9" w:name="page60"/>
    <w:bookmarkEnd w:id="59"/>
    <w:p>
      <w:pPr>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reconcile Trading income, net to Adjusted Net Trading Income by segment for the three and nine months ended September 30, 2022, and 2021:</w:t>
      </w:r>
    </w:p>
    <w:p>
      <w:pPr>
        <w:spacing w:after="0" w:line="23"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392,496</w:t>
            </w:r>
          </w:p>
        </w:tc>
        <w:tc>
          <w:tcPr>
            <w:tcW w:w="100" w:type="dxa"/>
            <w:vAlign w:val="bottom"/>
          </w:tcPr>
          <w:p>
            <w:pPr>
              <w:spacing w:after="0"/>
              <w:rPr>
                <w:sz w:val="16"/>
                <w:szCs w:val="16"/>
                <w:color w:val="auto"/>
              </w:rPr>
            </w:pPr>
          </w:p>
        </w:tc>
        <w:tc>
          <w:tcPr>
            <w:tcW w:w="4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397,383</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120,986</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43,631</w:t>
            </w:r>
          </w:p>
        </w:tc>
        <w:tc>
          <w:tcPr>
            <w:tcW w:w="0" w:type="dxa"/>
            <w:vAlign w:val="bottom"/>
          </w:tcPr>
          <w:p>
            <w:pPr>
              <w:spacing w:after="0"/>
              <w:rPr>
                <w:sz w:val="1"/>
                <w:szCs w:val="1"/>
                <w:color w:val="auto"/>
              </w:rPr>
            </w:pPr>
          </w:p>
        </w:tc>
      </w:tr>
      <w:tr>
        <w:trPr>
          <w:trHeight w:val="142"/>
        </w:trPr>
        <w:tc>
          <w:tcPr>
            <w:tcW w:w="37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(147,346)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(168,869)</w:t>
            </w:r>
          </w:p>
        </w:tc>
        <w:tc>
          <w:tcPr>
            <w:tcW w:w="0" w:type="dxa"/>
            <w:vAlign w:val="bottom"/>
          </w:tcPr>
          <w:p>
            <w:pPr>
              <w:spacing w:after="0"/>
              <w:rPr>
                <w:sz w:val="1"/>
                <w:szCs w:val="1"/>
                <w:color w:val="auto"/>
              </w:rPr>
            </w:pPr>
          </w:p>
        </w:tc>
      </w:tr>
      <w:tr>
        <w:trPr>
          <w:trHeight w:val="19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(61,989)</w:t>
            </w:r>
          </w:p>
        </w:tc>
        <w:tc>
          <w:tcPr>
            <w:tcW w:w="0" w:type="dxa"/>
            <w:vAlign w:val="bottom"/>
          </w:tcPr>
          <w:p>
            <w:pPr>
              <w:spacing w:after="0"/>
              <w:rPr>
                <w:sz w:val="1"/>
                <w:szCs w:val="1"/>
                <w:color w:val="auto"/>
              </w:rPr>
            </w:pPr>
          </w:p>
        </w:tc>
      </w:tr>
      <w:tr>
        <w:trPr>
          <w:trHeight w:val="221"/>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331,142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389,422</w:t>
            </w:r>
          </w:p>
        </w:tc>
        <w:tc>
          <w:tcPr>
            <w:tcW w:w="100" w:type="dxa"/>
            <w:vAlign w:val="bottom"/>
          </w:tcPr>
          <w:p>
            <w:pPr>
              <w:spacing w:after="0"/>
              <w:rPr>
                <w:sz w:val="16"/>
                <w:szCs w:val="16"/>
                <w:color w:val="auto"/>
              </w:rPr>
            </w:pPr>
          </w:p>
        </w:tc>
        <w:tc>
          <w:tcPr>
            <w:tcW w:w="4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394,265</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135,923</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9,704</w:t>
            </w:r>
          </w:p>
        </w:tc>
        <w:tc>
          <w:tcPr>
            <w:tcW w:w="0" w:type="dxa"/>
            <w:vAlign w:val="bottom"/>
          </w:tcPr>
          <w:p>
            <w:pPr>
              <w:spacing w:after="0"/>
              <w:rPr>
                <w:sz w:val="1"/>
                <w:szCs w:val="1"/>
                <w:color w:val="auto"/>
              </w:rPr>
            </w:pPr>
          </w:p>
        </w:tc>
      </w:tr>
      <w:tr>
        <w:trPr>
          <w:trHeight w:val="138"/>
        </w:trPr>
        <w:tc>
          <w:tcPr>
            <w:tcW w:w="376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(134,849)</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(158,862)</w:t>
            </w:r>
          </w:p>
        </w:tc>
        <w:tc>
          <w:tcPr>
            <w:tcW w:w="0" w:type="dxa"/>
            <w:vAlign w:val="bottom"/>
          </w:tcPr>
          <w:p>
            <w:pPr>
              <w:spacing w:after="0"/>
              <w:rPr>
                <w:sz w:val="1"/>
                <w:szCs w:val="1"/>
                <w:color w:val="auto"/>
              </w:rPr>
            </w:pPr>
          </w:p>
        </w:tc>
      </w:tr>
      <w:tr>
        <w:trPr>
          <w:trHeight w:val="19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(26,586)</w:t>
            </w:r>
          </w:p>
        </w:tc>
        <w:tc>
          <w:tcPr>
            <w:tcW w:w="0" w:type="dxa"/>
            <w:vAlign w:val="bottom"/>
          </w:tcPr>
          <w:p>
            <w:pPr>
              <w:spacing w:after="0"/>
              <w:rPr>
                <w:sz w:val="1"/>
                <w:szCs w:val="1"/>
                <w:color w:val="auto"/>
              </w:rPr>
            </w:pPr>
          </w:p>
        </w:tc>
      </w:tr>
      <w:tr>
        <w:trPr>
          <w:trHeight w:val="221"/>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354,444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1,299,117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1,315,618</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411,981</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95,435</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(401,982)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(74,253)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(476,235)</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(153,243)</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873,836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319,720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1,193,556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0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1,571,347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1,591,840</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438,576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470,687</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26,246</w:t>
            </w:r>
          </w:p>
        </w:tc>
        <w:tc>
          <w:tcPr>
            <w:tcW w:w="0" w:type="dxa"/>
            <w:vAlign w:val="bottom"/>
          </w:tcPr>
          <w:p>
            <w:pPr>
              <w:spacing w:after="0"/>
              <w:rPr>
                <w:sz w:val="1"/>
                <w:szCs w:val="1"/>
                <w:color w:val="auto"/>
              </w:rPr>
            </w:pPr>
          </w:p>
        </w:tc>
      </w:tr>
      <w:tr>
        <w:trPr>
          <w:trHeight w:val="135"/>
        </w:trPr>
        <w:tc>
          <w:tcPr>
            <w:tcW w:w="3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(502,828)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(86,057)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(588,885)</w:t>
            </w:r>
          </w:p>
        </w:tc>
        <w:tc>
          <w:tcPr>
            <w:tcW w:w="0" w:type="dxa"/>
            <w:vAlign w:val="bottom"/>
          </w:tcPr>
          <w:p>
            <w:pPr>
              <w:spacing w:after="0"/>
              <w:rPr>
                <w:sz w:val="1"/>
                <w:szCs w:val="1"/>
                <w:color w:val="auto"/>
              </w:rPr>
            </w:pPr>
          </w:p>
        </w:tc>
      </w:tr>
      <w:tr>
        <w:trPr>
          <w:trHeight w:val="18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(75,585)</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1,055,899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368,404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1,424,303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shows our Adjusted Net Trading Income and average daily Adjusted Net Trading Income by segment for the three and nine months ended September 30, 2022, and 2021:</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0" w:name="page61"/>
    <w:bookmarkEnd w:id="60"/>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 by Segment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238,264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248,702</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92,878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105,742</w:t>
            </w:r>
          </w:p>
        </w:tc>
        <w:tc>
          <w:tcPr>
            <w:tcW w:w="4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center"/>
              <w:ind w:right="270"/>
              <w:spacing w:after="0"/>
              <w:rPr>
                <w:sz w:val="20"/>
                <w:szCs w:val="20"/>
                <w:color w:val="auto"/>
              </w:rPr>
            </w:pPr>
            <w:r>
              <w:rPr>
                <w:rFonts w:ascii="Times New Roman" w:cs="Times New Roman" w:eastAsia="Times New Roman" w:hAnsi="Times New Roman"/>
                <w:sz w:val="14"/>
                <w:szCs w:val="14"/>
                <w:color w:val="auto"/>
                <w:w w:val="96"/>
              </w:rPr>
              <w:t>(12.2)%</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331,142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354,444</w:t>
            </w:r>
          </w:p>
        </w:tc>
        <w:tc>
          <w:tcPr>
            <w:tcW w:w="4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 by Segment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1,451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center"/>
              <w:ind w:right="270"/>
              <w:spacing w:after="0"/>
              <w:rPr>
                <w:sz w:val="20"/>
                <w:szCs w:val="20"/>
                <w:color w:val="auto"/>
              </w:rPr>
            </w:pPr>
            <w:r>
              <w:rPr>
                <w:rFonts w:ascii="Times New Roman" w:cs="Times New Roman" w:eastAsia="Times New Roman" w:hAnsi="Times New Roman"/>
                <w:sz w:val="14"/>
                <w:szCs w:val="14"/>
                <w:color w:val="auto"/>
                <w:w w:val="96"/>
              </w:rPr>
              <w:t>(12.2)%</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5,174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 by Segment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8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5"/>
                <w:szCs w:val="15"/>
                <w:color w:val="auto"/>
              </w:rPr>
            </w:pPr>
          </w:p>
        </w:tc>
        <w:tc>
          <w:tcPr>
            <w:tcW w:w="1120" w:type="dxa"/>
            <w:vAlign w:val="bottom"/>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873,836</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1,055,899</w:t>
            </w:r>
          </w:p>
        </w:tc>
        <w:tc>
          <w:tcPr>
            <w:tcW w:w="420" w:type="dxa"/>
            <w:vAlign w:val="bottom"/>
          </w:tcPr>
          <w:p>
            <w:pPr>
              <w:spacing w:after="0"/>
              <w:rPr>
                <w:sz w:val="16"/>
                <w:szCs w:val="16"/>
                <w:color w:val="auto"/>
              </w:rPr>
            </w:pPr>
          </w:p>
        </w:tc>
        <w:tc>
          <w:tcPr>
            <w:tcW w:w="112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6"/>
              </w:rPr>
              <w:t>(17.2)%</w:t>
            </w: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319,720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368,404</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6"/>
              </w:rPr>
              <w:t>(13.2)%</w:t>
            </w:r>
          </w:p>
        </w:tc>
        <w:tc>
          <w:tcPr>
            <w:tcW w:w="0" w:type="dxa"/>
            <w:vAlign w:val="bottom"/>
          </w:tcPr>
          <w:p>
            <w:pPr>
              <w:spacing w:after="0"/>
              <w:rPr>
                <w:sz w:val="1"/>
                <w:szCs w:val="1"/>
                <w:color w:val="auto"/>
              </w:rPr>
            </w:pPr>
          </w:p>
        </w:tc>
      </w:tr>
      <w:tr>
        <w:trPr>
          <w:trHeight w:val="19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1,193,556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1,424,303</w:t>
            </w:r>
          </w:p>
        </w:tc>
        <w:tc>
          <w:tcPr>
            <w:tcW w:w="420" w:type="dxa"/>
            <w:vAlign w:val="bottom"/>
          </w:tcPr>
          <w:p>
            <w:pPr>
              <w:spacing w:after="0"/>
              <w:rPr>
                <w:sz w:val="16"/>
                <w:szCs w:val="16"/>
                <w:color w:val="auto"/>
              </w:rPr>
            </w:pPr>
          </w:p>
        </w:tc>
        <w:tc>
          <w:tcPr>
            <w:tcW w:w="112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6"/>
              </w:rPr>
              <w:t>(16.2)%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20" w:type="dxa"/>
            <w:vAlign w:val="bottom"/>
          </w:tcPr>
          <w:p>
            <w:pPr>
              <w:spacing w:after="0"/>
              <w:rPr>
                <w:sz w:val="16"/>
                <w:szCs w:val="16"/>
                <w:color w:val="auto"/>
              </w:rPr>
            </w:pPr>
          </w:p>
        </w:tc>
      </w:tr>
      <w:tr>
        <w:trPr>
          <w:trHeight w:val="23"/>
        </w:trPr>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 by Segment (in thousands):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3"/>
        </w:trPr>
        <w:tc>
          <w:tcPr>
            <w:tcW w:w="4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4,648</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420" w:type="dxa"/>
            <w:vAlign w:val="bottom"/>
          </w:tcPr>
          <w:p>
            <w:pPr>
              <w:spacing w:after="0"/>
              <w:rPr>
                <w:sz w:val="15"/>
                <w:szCs w:val="15"/>
                <w:color w:val="auto"/>
              </w:rPr>
            </w:pPr>
          </w:p>
        </w:tc>
        <w:tc>
          <w:tcPr>
            <w:tcW w:w="112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6"/>
              </w:rPr>
              <w:t>(17.2)%</w:t>
            </w:r>
          </w:p>
        </w:tc>
      </w:tr>
      <w:tr>
        <w:trPr>
          <w:trHeight w:val="204"/>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6"/>
              </w:rPr>
              <w:t>(13.2)%</w:t>
            </w:r>
          </w:p>
        </w:tc>
      </w:tr>
      <w:tr>
        <w:trPr>
          <w:trHeight w:val="19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6,349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7,576</w:t>
            </w:r>
          </w:p>
        </w:tc>
        <w:tc>
          <w:tcPr>
            <w:tcW w:w="420" w:type="dxa"/>
            <w:vAlign w:val="bottom"/>
          </w:tcPr>
          <w:p>
            <w:pPr>
              <w:spacing w:after="0"/>
              <w:rPr>
                <w:sz w:val="16"/>
                <w:szCs w:val="16"/>
                <w:color w:val="auto"/>
              </w:rPr>
            </w:pPr>
          </w:p>
        </w:tc>
        <w:tc>
          <w:tcPr>
            <w:tcW w:w="112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6"/>
              </w:rPr>
              <w:t>(16.2)%</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2022 Compared to Three Months Ended September 30,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Our total revenues increased $16.7 million, or 3.1%, to $561.0 million for the three months ended September 30, 2022, compared to $544.3 million for the three months ended September 30, 2021. The increase was primarily due to an increase of $33.9 million in Interest and dividends income which is largely driven by the level of trading assets held over periods when dividends are paid, and the levels of stock borrowing and trading asset financing as well as increased interest rates during the three months ended September 30, 2022 compared to the same period in 2021, partially offset by a decrease of $14.9 million in Commissions, net and technology services.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953" w:right="399"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17"/>
          <w:szCs w:val="17"/>
          <w:color w:val="auto"/>
        </w:rPr>
        <w:t>The following table shows total revenues by segment for the three months ended September 30, 2022 and 2021.</w:t>
      </w:r>
    </w:p>
    <w:p>
      <w:pPr>
        <w:spacing w:after="0" w:line="47"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40" w:type="dxa"/>
            <w:vAlign w:val="bottom"/>
            <w:gridSpan w:val="6"/>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392,496</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7"/>
              </w:rPr>
              <w:t>347.7%</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4"/>
                <w:szCs w:val="14"/>
                <w:color w:val="auto"/>
                <w:w w:val="99"/>
              </w:rPr>
              <w:t>20.2%</w:t>
            </w: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8"/>
              </w:rPr>
              <w:t>(1.0)%</w:t>
            </w:r>
          </w:p>
        </w:tc>
        <w:tc>
          <w:tcPr>
            <w:tcW w:w="0" w:type="dxa"/>
            <w:vAlign w:val="bottom"/>
          </w:tcPr>
          <w:p>
            <w:pPr>
              <w:spacing w:after="0"/>
              <w:rPr>
                <w:sz w:val="1"/>
                <w:szCs w:val="1"/>
                <w:color w:val="auto"/>
              </w:rPr>
            </w:pPr>
          </w:p>
        </w:tc>
      </w:tr>
      <w:tr>
        <w:trPr>
          <w:trHeight w:val="196"/>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447,886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409,290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110,299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center"/>
              <w:ind w:right="250"/>
              <w:spacing w:after="0"/>
              <w:rPr>
                <w:sz w:val="20"/>
                <w:szCs w:val="20"/>
                <w:color w:val="auto"/>
              </w:rPr>
            </w:pPr>
            <w:r>
              <w:rPr>
                <w:rFonts w:ascii="Times New Roman" w:cs="Times New Roman" w:eastAsia="Times New Roman" w:hAnsi="Times New Roman"/>
                <w:sz w:val="14"/>
                <w:szCs w:val="14"/>
                <w:color w:val="auto"/>
                <w:w w:val="97"/>
              </w:rPr>
              <w:t>524.5%</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119,599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132,549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8"/>
              </w:rPr>
              <w:t>(9.8)%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center"/>
              <w:ind w:right="25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397,383</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7"/>
              </w:rPr>
              <w:t>349.6%</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120,986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196"/>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561,044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544,344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2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was primarily earned by our Market Making segment. Trading income, net remained consistent at $397.4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three months ended September 30, 2022, compared to $394.3 million for the three months ended September 30, 2021.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spacing w:after="0" w:line="208" w:lineRule="exact"/>
        <w:rPr>
          <w:sz w:val="20"/>
          <w:szCs w:val="20"/>
          <w:color w:val="auto"/>
        </w:rPr>
      </w:pPr>
    </w:p>
    <w:p>
      <w:pPr>
        <w:ind w:right="100" w:firstLine="62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Interest and dividends income was primarily earned by our Market Making segment. Interest and dividends income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$33.9 million, or 349.6%, to $43.6 million for the three months ended September 30, 2022, compared to $9.7 million for the three months ended September 30, 2021. This increase was primarily attributable to the higher dividends earned on market making trading assets held over periods when dividends are paid along with an increase in interest income earned on cash collateral posted as part of securities borrowing transactions and interest earned on balances maintained at prime brokers, both of which benefited from higher interest rates for the period compared to the same period during the prior year. As indicated above, rather than analyzing interest and dividends income in isolation, we evaluate it in the broader context of our Adjusted Net Trading Income.</w:t>
      </w:r>
    </w:p>
    <w:p>
      <w:pPr>
        <w:spacing w:after="0" w:line="190" w:lineRule="exact"/>
        <w:rPr>
          <w:sz w:val="20"/>
          <w:szCs w:val="20"/>
          <w:color w:val="auto"/>
        </w:rPr>
      </w:pPr>
    </w:p>
    <w:p>
      <w:pPr>
        <w:ind w:right="180" w:firstLine="62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Commissions, net and technology services revenues were primarily earned by our Execution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segment. Commissions, net and technology services revenues decreased $14.9 million, or 11.0%, to $121.0 million for the three months ended September 30, 2022, compared to $135.9 million for the three months ended September 30, 2021. As indicated above, rather than analyzing interest and dividends income in isolation, we evaluate it in the broader context of our Adjusted Net Trading Income.</w:t>
      </w:r>
    </w:p>
    <w:p>
      <w:pPr>
        <w:spacing w:after="0" w:line="198" w:lineRule="exact"/>
        <w:rPr>
          <w:sz w:val="20"/>
          <w:szCs w:val="20"/>
          <w:color w:val="auto"/>
        </w:rPr>
      </w:pPr>
    </w:p>
    <w:p>
      <w:pPr>
        <w:ind w:right="6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Other, net decreased $5.4 million, or 121.5%, to $(1.0) million for the three months ended September 30, 2022, compared to $4.5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three months ended September 30, 2021. Other, net comprises changes in the valuation on our level 3 investment, as well as other miscellaneous income including gains and losses attributable to our variable interest entities. Refer to Note 9 "Financial Assets and Liabilities" in Part I Item 1 “Financial Statements” of this Quarterly Report on Form 10-Q for more details on our level 3 investment.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Trading Income</w:t>
      </w:r>
    </w:p>
    <w:p>
      <w:pPr>
        <w:spacing w:after="0" w:line="254" w:lineRule="exact"/>
        <w:rPr>
          <w:sz w:val="20"/>
          <w:szCs w:val="20"/>
          <w:color w:val="auto"/>
        </w:rPr>
      </w:pPr>
    </w:p>
    <w:p>
      <w:pPr>
        <w:ind w:right="120" w:firstLine="629"/>
        <w:spacing w:after="0" w:line="263" w:lineRule="auto"/>
        <w:rPr>
          <w:sz w:val="20"/>
          <w:szCs w:val="20"/>
          <w:color w:val="auto"/>
        </w:rPr>
      </w:pPr>
      <w:r>
        <w:rPr>
          <w:rFonts w:ascii="Times New Roman" w:cs="Times New Roman" w:eastAsia="Times New Roman" w:hAnsi="Times New Roman"/>
          <w:sz w:val="17"/>
          <w:szCs w:val="17"/>
          <w:color w:val="auto"/>
        </w:rPr>
        <w:t>Adjusted Net Trading Income, which is a non-GAAP measure, decreased $23.3 million, or 6.6%, to $331.1 million for the three months ended September 30, 2022, compared to $354.4 million for the three months ended September 30, 2021. This decrease was primarily attributable to lower Commissions, net and technology services in the Execution Services segment during the three months ended September 30, 2022 compared to the same period in 2021, as noted above, and higher Brokerage, exchange, clearing fees and payments for order flow, net as described below. Adjusted Net Trading Income per day decreased $0.3 million, or 6.6%, to $5.2 million for the three months ended September 30, 2022, compared to $5.5 million for the three months ended September 30, 2021.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Our operating expenses increased $60.2 million, or 15.1%, to $459.4 million for the three months ended September 30, 2022, compared to $399.2 million for the three months ended September 30, 2021. The increase in operating expenses is primarily due to an increase in Interest and dividends expense and Employee compensation and payroll taxes, described in more detail below.</w:t>
      </w:r>
    </w:p>
    <w:p>
      <w:pPr>
        <w:spacing w:after="0" w:line="186" w:lineRule="exact"/>
        <w:rPr>
          <w:sz w:val="20"/>
          <w:szCs w:val="20"/>
          <w:color w:val="auto"/>
        </w:rPr>
      </w:pPr>
    </w:p>
    <w:p>
      <w:pPr>
        <w:ind w:right="26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$10.0 million, or 6.3%, to $168.9 million for the three months ended September 30, 2022, compared to $158.9 million for the three months ended September 30, 2021. These costs vary period to period based upon the level and composition of our trading activities. We evaluate this category representing direct costs associated with transacting business, in the broader context of our Adjusted Net Trading Income.</w:t>
      </w:r>
    </w:p>
    <w:p>
      <w:pPr>
        <w:spacing w:after="0" w:line="188" w:lineRule="exact"/>
        <w:rPr>
          <w:sz w:val="20"/>
          <w:szCs w:val="20"/>
          <w:color w:val="auto"/>
        </w:rPr>
      </w:pPr>
    </w:p>
    <w:p>
      <w:pPr>
        <w:ind w:right="2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expense decreased $2.7 million, or 4.9%, to $52.9 million for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September 30, 2022, compared to $55.6 million for the three months ended September 30, 2021. This decrease was primarily due to decreased connectivity spending on colocation, and subscriber connections.</w:t>
      </w:r>
    </w:p>
    <w:p>
      <w:pPr>
        <w:spacing w:after="0" w:line="170" w:lineRule="exact"/>
        <w:rPr>
          <w:sz w:val="20"/>
          <w:szCs w:val="20"/>
          <w:color w:val="auto"/>
        </w:rPr>
      </w:pPr>
    </w:p>
    <w:p>
      <w:pPr>
        <w:ind w:right="60" w:firstLine="62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increased $18.7 million, or 22.1%, to $103.3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three months ended September 30, 2022, compared to $84.6 million for the three months ended September 30, 2021. The increase in compensation levels was primarily attributable to an increase in incentive compensation accruals, and an increase in share-based compensation related to prior year incentive awards and the portion of anticipated current year incentive awards that is accrued in the current period.</w:t>
      </w:r>
    </w:p>
    <w:p>
      <w:pPr>
        <w:spacing w:after="0" w:line="208"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We have capitalized and therefore excluded employee compensation and benefits related to software development of $8.4 million and $8.7 million for the three months ended September 30, 2022, and 2021, respectively.</w:t>
      </w:r>
    </w:p>
    <w:p>
      <w:pPr>
        <w:spacing w:after="0" w:line="156" w:lineRule="exact"/>
        <w:rPr>
          <w:sz w:val="20"/>
          <w:szCs w:val="20"/>
          <w:color w:val="auto"/>
        </w:rPr>
      </w:pPr>
    </w:p>
    <w:p>
      <w:pPr>
        <w:ind w:right="340" w:firstLine="62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Interest and dividends expense increased $35.4 million or 133.2% to $62.0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2022, compared to $26.6 million for the three months ended September 30, 2021. This increase was primarily attributable to higher dividend expense with respect to securities sold, not yet purchased and higher interest expense incurred on cash collateral received as part of securities lending transactions and higher financing costs with respect to trading assets driven by higher interest rates. As indicated above, rather than analyzing interest and dividends expense in isolation, we evaluate it in the broader context of our Adjusted Net Trading Income.</w:t>
      </w:r>
    </w:p>
    <w:p>
      <w:pPr>
        <w:spacing w:after="0" w:line="195"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decreased $3.9 million or 21.4% to $14.3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2022, compared to $18.2 million for the three months ended September 30, 2021. This decrease was primarily driven by the beneficial effect of a strong U.S. dollar on foreign exchange translation gains during the three months ended September 30, 2022.</w:t>
      </w:r>
    </w:p>
    <w:p>
      <w:pPr>
        <w:spacing w:after="0" w:line="196" w:lineRule="exact"/>
        <w:rPr>
          <w:sz w:val="20"/>
          <w:szCs w:val="20"/>
          <w:color w:val="auto"/>
        </w:rPr>
      </w:pPr>
    </w:p>
    <w:p>
      <w:pPr>
        <w:ind w:right="18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remained consistent at $16.7 million for the three months ended September 30,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compared to $16.6 million or the three months ended September 30, 2021.</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p>
    <w:p>
      <w:pPr>
        <w:spacing w:after="0" w:line="36"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7"/>
          <w:szCs w:val="17"/>
          <w:color w:val="auto"/>
        </w:rPr>
        <w:t>decreased $0.9 million, or 5.2%, to $16.1 million for the three months ended September 30, 2022, compared to $16.9 million for the three months ended September 30, 2021. This decrease was due to certain intangible assets being fully amortized during 2021 and 2022.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63" w:name="page64"/>
    <w:bookmarkEnd w:id="63"/>
    <w:p>
      <w:pPr>
        <w:ind w:right="66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remained consistent at $0.4 million for the three months ended September 30,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compared to $0.2 million for the three months ended September 30, 2021.</w:t>
      </w:r>
    </w:p>
    <w:p>
      <w:pPr>
        <w:spacing w:after="0" w:line="165" w:lineRule="exact"/>
        <w:rPr>
          <w:sz w:val="20"/>
          <w:szCs w:val="20"/>
          <w:color w:val="auto"/>
        </w:rPr>
      </w:pPr>
    </w:p>
    <w:p>
      <w:pPr>
        <w:jc w:val="both"/>
        <w:ind w:right="8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Expense from debt issue cost related to debt refinancing, prepayment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commitment fees remained consistent at $1.4 million for the three months ended September 30, 2022, compared to $1.2 million for the three months ended September 30, 2021.</w:t>
      </w:r>
    </w:p>
    <w:p>
      <w:pPr>
        <w:spacing w:after="0" w:line="183" w:lineRule="exact"/>
        <w:rPr>
          <w:sz w:val="20"/>
          <w:szCs w:val="20"/>
          <w:color w:val="auto"/>
        </w:rPr>
      </w:pPr>
    </w:p>
    <w:p>
      <w:pPr>
        <w:ind w:right="380" w:firstLine="62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remained consistent at $0.1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2022, compared to $0.2 million three months ended September 30, 2021. These expenses were primarily incurred in relation to our strategic investment portfolio.</w:t>
      </w:r>
    </w:p>
    <w:p>
      <w:pPr>
        <w:spacing w:after="0" w:line="176" w:lineRule="exact"/>
        <w:rPr>
          <w:sz w:val="20"/>
          <w:szCs w:val="20"/>
          <w:color w:val="auto"/>
        </w:rPr>
      </w:pPr>
    </w:p>
    <w:p>
      <w:pPr>
        <w:ind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on long-term borrowings increased $3.3 million or 16.4% to $23.5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three months ended September 30, 2022, compared to $20.2 million for the three months ended September 30, 2021.The increase was attributable to the increase in outstanding principal as a result of refinancing our long-term debt transaction in January 2022, as described in further detail below, and the effect of higher interest rates .</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$21.7 million and 21.4% for the three months ended September 30, 2022, compared to $22.0 million and 15.1% for the three months ended September 30, 2021.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 2022 Compared to Nine Months Ended September 30,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Our total revenues decreased $238.8 million, or 11.3%, to $1,867.0 million for the nine months ended September 30, 2022, compared to $2,105.9 million for the nine months ended September 30, 2021. This decrease was primarily attributable to a decrease of $276.2 million in Trading income, net, during the nine months ended September 30, 2022 compared to the prior period. This decrease was offset, in part, by an increase of $26.9 million in Other, net, which was driven by gains recorded on sales of various strategic investments, as well as an increase of $69.2 million in Interest and dividends income which is largely driven by the level of trading assets held over periods when dividends are paid, and the levels of stock borrowing and trading asset financing during the nine months ended September 30, 2022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64" w:name="page65"/>
    <w:bookmarkEnd w:id="64"/>
    <w:p>
      <w:pPr>
        <w:ind w:left="640"/>
        <w:spacing w:after="0"/>
        <w:rPr>
          <w:sz w:val="20"/>
          <w:szCs w:val="20"/>
          <w:color w:val="auto"/>
        </w:rPr>
      </w:pPr>
      <w:r>
        <w:rPr>
          <w:rFonts w:ascii="Times New Roman" w:cs="Times New Roman" w:eastAsia="Times New Roman" w:hAnsi="Times New Roman"/>
          <w:sz w:val="17"/>
          <w:szCs w:val="17"/>
          <w:color w:val="auto"/>
        </w:rPr>
        <w:t>The following table shows the total revenues by segment for the nine months ended September 30, 2022 and 2021.</w:t>
      </w:r>
    </w:p>
    <w:p>
      <w:pPr>
        <w:spacing w:after="0" w:line="283"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20" w:type="dxa"/>
            <w:vAlign w:val="bottom"/>
            <w:gridSpan w:val="6"/>
          </w:tcPr>
          <w:p>
            <w:pPr>
              <w:ind w:left="1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1,299,117</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1,571,347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95,221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w w:val="97"/>
              </w:rPr>
              <w:t>263.8%</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4"/>
                <w:szCs w:val="14"/>
                <w:color w:val="auto"/>
                <w:w w:val="98"/>
              </w:rPr>
              <w:t>(3.8)%</w:t>
            </w:r>
          </w:p>
        </w:tc>
        <w:tc>
          <w:tcPr>
            <w:tcW w:w="0" w:type="dxa"/>
            <w:vAlign w:val="bottom"/>
          </w:tcPr>
          <w:p>
            <w:pPr>
              <w:spacing w:after="0"/>
              <w:rPr>
                <w:sz w:val="1"/>
                <w:szCs w:val="1"/>
                <w:color w:val="auto"/>
              </w:rPr>
            </w:pPr>
          </w:p>
        </w:tc>
      </w:tr>
      <w:tr>
        <w:trPr>
          <w:trHeight w:val="197"/>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9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1,427,044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1,635,555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4"/>
                <w:szCs w:val="14"/>
                <w:color w:val="auto"/>
                <w:w w:val="97"/>
              </w:rPr>
              <w:t>197.2%</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438,576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jc w:val="center"/>
              <w:ind w:right="230"/>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402,340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459,918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jc w:val="center"/>
              <w:ind w:right="230"/>
              <w:spacing w:after="0"/>
              <w:rPr>
                <w:sz w:val="20"/>
                <w:szCs w:val="20"/>
                <w:color w:val="auto"/>
              </w:rPr>
            </w:pPr>
            <w:r>
              <w:rPr>
                <w:rFonts w:ascii="Times New Roman" w:cs="Times New Roman" w:eastAsia="Times New Roman" w:hAnsi="Times New Roman"/>
                <w:sz w:val="14"/>
                <w:szCs w:val="14"/>
                <w:color w:val="auto"/>
                <w:w w:val="97"/>
              </w:rPr>
              <w:t>261.8%</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w w:val="97"/>
              </w:rPr>
              <w:t>261.8%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1,315,618</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1,591,840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95,435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w w:val="97"/>
              </w:rPr>
              <w:t>263.6%</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411,981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7"/>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w w:val="97"/>
              </w:rPr>
              <w:t>157.2%</w:t>
            </w:r>
          </w:p>
        </w:tc>
        <w:tc>
          <w:tcPr>
            <w:tcW w:w="0" w:type="dxa"/>
            <w:vAlign w:val="bottom"/>
          </w:tcPr>
          <w:p>
            <w:pPr>
              <w:spacing w:after="0"/>
              <w:rPr>
                <w:sz w:val="1"/>
                <w:szCs w:val="1"/>
                <w:color w:val="auto"/>
              </w:rPr>
            </w:pPr>
          </w:p>
        </w:tc>
      </w:tr>
      <w:tr>
        <w:trPr>
          <w:trHeight w:val="19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1,867,044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2,105,881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right="6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was primarily earned by our Market Making segment. Trading income, net, decreased $276.2 million,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17.4%, to $1,315.6 million for the nine months ended September 30, 2022, compared to $1,591.8 million for the nine months ended September 30, 2021. The decrease was largely a result of lower trading income in the first quarter of 2022, driven by lower market volumes as compared to the same period in 2021.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spacing w:after="0" w:line="193"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Interest and dividends income was primarily earned by our Market Making segment. Interest and dividends income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$69.2 million, or 263.6%, to $95.4 million for the nine months ended September 30, 2022, compared to $26.2 million for the nine months ended September 30, 2021. This increase was primarily attributable to higher dividends earned on market making trading assets held over periods when dividends are paid, along with an increase in interest income earned on cash collateral posted as part of securities borrowed transactions, both of which benefited from higher interest rates for the period compared to the prior period. As indicated above, rather than analyzing interest and dividends income in isolation, we evaluate it in the broader context of our Adjusted Net Trading Income.</w:t>
      </w:r>
    </w:p>
    <w:p>
      <w:pPr>
        <w:spacing w:after="0" w:line="193" w:lineRule="exact"/>
        <w:rPr>
          <w:sz w:val="20"/>
          <w:szCs w:val="20"/>
          <w:color w:val="auto"/>
        </w:rPr>
      </w:pPr>
    </w:p>
    <w:p>
      <w:pPr>
        <w:ind w:right="1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Commissions, net and technology services revenues were primarily earned by our Execution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segment. Commissions, net and technology services revenues decreased $58.7 million, or 12.5%, to $412.0 million for the nine months ended September 30, 2022, compared to $470.7 million for the nine months ended September 30, 2021. As indicated above, rather than analyzing interest and dividends income in isolation, we evaluate it in the broader context of our Adjusted Net Trading Income.</w:t>
      </w:r>
    </w:p>
    <w:p>
      <w:pPr>
        <w:spacing w:after="0" w:line="188" w:lineRule="exact"/>
        <w:rPr>
          <w:sz w:val="20"/>
          <w:szCs w:val="20"/>
          <w:color w:val="auto"/>
        </w:rPr>
      </w:pPr>
    </w:p>
    <w:p>
      <w:pPr>
        <w:ind w:right="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Other, net increased $26.9 million, or 157.2%, to $44.0 million for the nine months ended September 30, 2022, compared to $17.1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nine months ended September 30, 2021. The increase was primarily due to gains recognized during the 2022 period from sales of investments in our strategic investments portfolio.</w:t>
      </w: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868"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Trading Income</w:t>
      </w:r>
    </w:p>
    <w:p>
      <w:pPr>
        <w:spacing w:after="0" w:line="254"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Adjusted Net Trading Income, which is a non-GAAP measure, decreased $230.7 million, or 16.2%, to $1,193.6 million for the nine months ended September 30, 2022, compared to $1,424.3 million for the nine months ended September 30, 2021. This decrease was primarily attributable to lower Trading Income, net as noted above, partially offset by lower Brokerage, exchange, clearance fees and payments for order flow, net as described below, incurred by Market Making. Adjusted Net Trading Income per day decreased $1.3 million, or 16.2%, to $6.3 million for the nine months ended September 30, 2022, compared to $7.6 million for the nine months ended September 30, 2021. The number of trading days was 188 days for both the nine months ended September 30, 2022 and September 30, 2021.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4" w:lineRule="exact"/>
        <w:rPr>
          <w:sz w:val="20"/>
          <w:szCs w:val="20"/>
          <w:color w:val="auto"/>
        </w:rPr>
      </w:pPr>
    </w:p>
    <w:p>
      <w:pPr>
        <w:ind w:right="220" w:firstLine="629"/>
        <w:spacing w:after="0" w:line="270" w:lineRule="auto"/>
        <w:rPr>
          <w:sz w:val="20"/>
          <w:szCs w:val="20"/>
          <w:color w:val="auto"/>
        </w:rPr>
      </w:pPr>
      <w:r>
        <w:rPr>
          <w:rFonts w:ascii="Times New Roman" w:cs="Times New Roman" w:eastAsia="Times New Roman" w:hAnsi="Times New Roman"/>
          <w:sz w:val="17"/>
          <w:szCs w:val="17"/>
          <w:color w:val="auto"/>
        </w:rPr>
        <w:t>Our operating expenses increased $13.9 million, or 1.0%, to $1,349.9 million for the nine months ended September 30, 2022, compared to $1,336.0 million for the nine months ended September 30, 2021. The increase in operating expenses was primarily due to higher Interest and dividends expense, Employee compensation and payroll taxes, and Debt issue cost related to debt refinancing, prepayment and commitment fees, partially offset by lower Brokerage, exchange, clearance fees and payments for order flow, net.</w:t>
      </w:r>
    </w:p>
    <w:p>
      <w:pPr>
        <w:spacing w:after="0" w:line="177" w:lineRule="exact"/>
        <w:rPr>
          <w:sz w:val="20"/>
          <w:szCs w:val="20"/>
          <w:color w:val="auto"/>
        </w:rPr>
      </w:pPr>
    </w:p>
    <w:p>
      <w:pPr>
        <w:ind w:right="200" w:firstLine="62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$112.7 million, or 19.1%, to $476.2 million for the nine months ended September 30, 2022, compared to $588.9 million for the nine months ended September 30, 2021. These costs vary period to period based upon the level and composition of our trading activities. We evaluate this category, representing direct costs associated with transacting our business, in the broader context of our Adjusted Net Trading Income.</w:t>
      </w:r>
    </w:p>
    <w:p>
      <w:pPr>
        <w:spacing w:after="0" w:line="204" w:lineRule="exact"/>
        <w:rPr>
          <w:sz w:val="20"/>
          <w:szCs w:val="20"/>
          <w:color w:val="auto"/>
        </w:rPr>
      </w:pPr>
    </w:p>
    <w:p>
      <w:pPr>
        <w:ind w:right="28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expense increased $4.6 million, or 2.9%, to $164.4 million for the nine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September 30, 2022, compared to $159.8 million for the nine months ended September 30, 2021. This increase was primarily attributable to increased connectivity spending on subscriber connections and trading membership fees.</w:t>
      </w:r>
    </w:p>
    <w:p>
      <w:pPr>
        <w:spacing w:after="0" w:line="183" w:lineRule="exact"/>
        <w:rPr>
          <w:sz w:val="20"/>
          <w:szCs w:val="20"/>
          <w:color w:val="auto"/>
        </w:rPr>
      </w:pPr>
    </w:p>
    <w:p>
      <w:pPr>
        <w:ind w:right="1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increased $32.2 million, or 11.8%, to $305.3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nine months ended September 30, 2022, compared to $273.2 million for the nine months ended September 30, 2021. The increase in compensation levels was primarily attributable to an increase in salaries, incentive compensation accruals, and share-based compensation related to prior year incentive awards and the portion of anticipated current year incentive awards that is accrued in the current period.</w:t>
      </w:r>
    </w:p>
    <w:p>
      <w:pPr>
        <w:spacing w:after="0" w:line="192"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We have capitalized and therefore excluded employee compensation and benefits related to software development of $25.1 million and $26.7 million for the nine months ended September 30, 2022 and 2021, respectively.</w:t>
      </w:r>
    </w:p>
    <w:p>
      <w:pPr>
        <w:spacing w:after="0" w:line="156" w:lineRule="exact"/>
        <w:rPr>
          <w:sz w:val="20"/>
          <w:szCs w:val="20"/>
          <w:color w:val="auto"/>
        </w:rPr>
      </w:pPr>
    </w:p>
    <w:p>
      <w:pPr>
        <w:ind w:firstLine="62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Interest and dividends expense increased $77.7 million, or 102.7%, to $153.2 million for the nine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2022, compared to $75.6 million for the nine months ended September 30, 2021. This increase was primarily attributable to higher dividend expense with respect to securities sold, not yet purchased and higher interest expense incurred on cash collateral received driven by higher interest rates, as well as an increase in securities lending transactions for the period compared to the same period during the prior year. As indicated above, rather than analyzing interest and dividends expense in isolation, we generally evaluate it in the broader context of our Adjusted Net Trading Income.</w:t>
      </w:r>
    </w:p>
    <w:p>
      <w:pPr>
        <w:spacing w:after="0" w:line="195" w:lineRule="exact"/>
        <w:rPr>
          <w:sz w:val="20"/>
          <w:szCs w:val="20"/>
          <w:color w:val="auto"/>
        </w:rPr>
      </w:pPr>
    </w:p>
    <w:p>
      <w:pPr>
        <w:jc w:val="both"/>
        <w:ind w:right="40" w:firstLine="62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decreased $12.5 million, or 19.1%, to $53.1 million for the nine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2022, compared to $65.6 million for the nine months ended September 30, 2021. The decrease was primarily driven by the beneficial effect of a strong U.S. dollar on foreign exchange translation gains during the nine months ended September 30, 2022.</w:t>
      </w:r>
    </w:p>
    <w:p>
      <w:pPr>
        <w:spacing w:after="0" w:line="196" w:lineRule="exact"/>
        <w:rPr>
          <w:sz w:val="20"/>
          <w:szCs w:val="20"/>
          <w:color w:val="auto"/>
        </w:rPr>
      </w:pPr>
    </w:p>
    <w:p>
      <w:pPr>
        <w:ind w:right="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increased $0.7 million, or 1.4%, to $50.5 million for the nine months ended September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30, 2022, compared to $49.8 million for the nine months ended September 30, 2021. This increase was primarily attributable to an increase in capital expenditures on telecommunication, networking, and other assets.</w:t>
      </w:r>
    </w:p>
    <w:p>
      <w:pPr>
        <w:spacing w:after="0" w:line="183" w:lineRule="exact"/>
        <w:rPr>
          <w:sz w:val="20"/>
          <w:szCs w:val="20"/>
          <w:color w:val="auto"/>
        </w:rPr>
      </w:pPr>
    </w:p>
    <w:p>
      <w:pPr>
        <w:ind w:right="18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$4.3 million, or 8.0%, to $48.8 million for the nine months ended September 30, 2022,</w:t>
      </w: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099" w:right="399" w:bottom="1440" w:gutter="0" w:footer="0" w:header="0"/>
        </w:sectPr>
      </w:pPr>
    </w:p>
    <w:bookmarkStart w:id="66" w:name="page67"/>
    <w:bookmarkEnd w:id="66"/>
    <w:p>
      <w:pPr>
        <w:ind w:right="480"/>
        <w:spacing w:after="0" w:line="296" w:lineRule="auto"/>
        <w:rPr>
          <w:sz w:val="20"/>
          <w:szCs w:val="20"/>
          <w:color w:val="auto"/>
        </w:rPr>
      </w:pPr>
      <w:r>
        <w:rPr>
          <w:rFonts w:ascii="Times New Roman" w:cs="Times New Roman" w:eastAsia="Times New Roman" w:hAnsi="Times New Roman"/>
          <w:sz w:val="17"/>
          <w:szCs w:val="17"/>
          <w:color w:val="auto"/>
        </w:rPr>
        <w:t>compared to $53.1 million for the nine months ended September 30, 2021. This decrease was primarily attributable to certain intangible assets being fully amortized in 2021.</w:t>
      </w:r>
    </w:p>
    <w:p>
      <w:pPr>
        <w:spacing w:after="0" w:line="169" w:lineRule="exact"/>
        <w:rPr>
          <w:sz w:val="20"/>
          <w:szCs w:val="20"/>
          <w:color w:val="auto"/>
        </w:rPr>
      </w:pPr>
    </w:p>
    <w:p>
      <w:pPr>
        <w:ind w:right="8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was $1.7 million for the nine months ended September 30, 2022, compared to $5.1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nine months ended September 30, 2021. These expenses are related to the impairment of leasehold improvements and fixed assets for certain abandoned office space.</w:t>
      </w:r>
    </w:p>
    <w:p>
      <w:pPr>
        <w:spacing w:after="0" w:line="183" w:lineRule="exact"/>
        <w:rPr>
          <w:sz w:val="20"/>
          <w:szCs w:val="20"/>
          <w:color w:val="auto"/>
        </w:rPr>
      </w:pPr>
    </w:p>
    <w:p>
      <w:pPr>
        <w:ind w:right="2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Expense from debt issue cost related to debt refinancing, prepayment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commitment fees increased $23.5 million, or 472.7%, to $28.5 million for the nine months ended September 30, 2022, compared to $5.0 million for the nine months ended September 30, 2021. The increase was primarily driven by the acceleration of deferred debt issuance costs as a result of refinancing our long-term debt transaction in January 2022. See Note 8 "Borrowings" of Part I Item 1 “Financial Statements” of this Quarterly Report on Form 10-Q for additional details.</w:t>
      </w:r>
    </w:p>
    <w:p>
      <w:pPr>
        <w:spacing w:after="0" w:line="188" w:lineRule="exact"/>
        <w:rPr>
          <w:sz w:val="20"/>
          <w:szCs w:val="20"/>
          <w:color w:val="auto"/>
        </w:rPr>
      </w:pPr>
    </w:p>
    <w:p>
      <w:pPr>
        <w:ind w:right="8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were $1.1 million for the nine months ended September 30,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compared to immaterial amounts for the nine months ended September 30, 2021. These expenses were primarily incurred in relation to our strategic investment portfolio.</w:t>
      </w:r>
    </w:p>
    <w:p>
      <w:pPr>
        <w:spacing w:after="0" w:line="183" w:lineRule="exact"/>
        <w:rPr>
          <w:sz w:val="20"/>
          <w:szCs w:val="20"/>
          <w:color w:val="auto"/>
        </w:rPr>
      </w:pPr>
    </w:p>
    <w:p>
      <w:pPr>
        <w:ind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 term borrowings. </w:t>
      </w:r>
      <w:r>
        <w:rPr>
          <w:rFonts w:ascii="Times New Roman" w:cs="Times New Roman" w:eastAsia="Times New Roman" w:hAnsi="Times New Roman"/>
          <w:sz w:val="17"/>
          <w:szCs w:val="17"/>
          <w:color w:val="auto"/>
        </w:rPr>
        <w:t>Financing interest expense on long-term borrowings increased $7.1 million, or 11.9%, to $66.9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nine months ended September 30, 2022, compared to $59.8 million for the nine months ended September 30, 2021. This increase was attributable to the increase in outstanding principal as a result of refinancing our long-term debt in January 2022, as described in further detail below, and the effect of higher interest rates.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jc w:val="both"/>
        <w:ind w:right="60" w:firstLine="629"/>
        <w:spacing w:after="0" w:line="270" w:lineRule="auto"/>
        <w:rPr>
          <w:sz w:val="20"/>
          <w:szCs w:val="20"/>
          <w:color w:val="auto"/>
        </w:rPr>
      </w:pPr>
      <w:r>
        <w:rPr>
          <w:rFonts w:ascii="Times New Roman" w:cs="Times New Roman" w:eastAsia="Times New Roman" w:hAnsi="Times New Roman"/>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$88.4 million, and 17.1% for the nine months ended September 30, 2022, compared to a provision for income taxes of $128.6 million, and 16.7% for the nine months ended September 30, 2021.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54"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As of September 30, 2022, we had $836.3 million in Cash and cash equivalents. This balance is maintained primarily to support operating activities, for capital expenditures and for short-term access to liquidity, and for other general corporate purposes. As of September 30, 2022, we had borrowings under our prime brokerage credit facilities of approximately $157.6 million, borrowings under our broker dealer facilities of $168.0 million, and long-term debt outstanding in an aggregate principal amount of approximately $1,824.2 million.</w:t>
      </w:r>
    </w:p>
    <w:p>
      <w:pPr>
        <w:spacing w:after="0" w:line="194"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8 "Borrowings" of Part I Item 1 “Financial Statements” of this Quarterly Report on Form 10-Q.</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Liquidity and Capital Resources</w:t>
      </w:r>
    </w:p>
    <w:p>
      <w:pPr>
        <w:spacing w:after="0" w:line="254"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margin requirements from increased trading activities in markets where we currently provide liquidity and in new markets into which</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7" w:name="page68"/>
    <w:bookmarkEnd w:id="67"/>
    <w:p>
      <w:pPr>
        <w:ind w:right="60"/>
        <w:spacing w:after="0" w:line="296" w:lineRule="auto"/>
        <w:rPr>
          <w:sz w:val="20"/>
          <w:szCs w:val="20"/>
          <w:color w:val="auto"/>
        </w:rPr>
      </w:pPr>
      <w:r>
        <w:rPr>
          <w:rFonts w:ascii="Times New Roman" w:cs="Times New Roman" w:eastAsia="Times New Roman" w:hAnsi="Times New Roman"/>
          <w:sz w:val="17"/>
          <w:szCs w:val="17"/>
          <w:color w:val="auto"/>
        </w:rPr>
        <w:t>we plan to expand. We manage and monitor our margin and liquidity needs on a real-time basis and can adjust our requirements both intra-day and inter-day, as required.</w:t>
      </w:r>
    </w:p>
    <w:p>
      <w:pPr>
        <w:spacing w:after="0" w:line="173"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Liquidity and Capital Resources</w:t>
      </w:r>
    </w:p>
    <w:p>
      <w:pPr>
        <w:spacing w:after="0" w:line="254" w:lineRule="exact"/>
        <w:rPr>
          <w:sz w:val="20"/>
          <w:szCs w:val="20"/>
          <w:color w:val="auto"/>
        </w:rPr>
      </w:pPr>
    </w:p>
    <w:p>
      <w:pPr>
        <w:ind w:right="200" w:firstLine="629"/>
        <w:spacing w:after="0" w:line="276" w:lineRule="auto"/>
        <w:rPr>
          <w:sz w:val="20"/>
          <w:szCs w:val="20"/>
          <w:color w:val="auto"/>
        </w:rPr>
      </w:pPr>
      <w:r>
        <w:rPr>
          <w:rFonts w:ascii="Times New Roman" w:cs="Times New Roman" w:eastAsia="Times New Roman" w:hAnsi="Times New Roman"/>
          <w:sz w:val="17"/>
          <w:szCs w:val="17"/>
          <w:color w:val="auto"/>
        </w:rPr>
        <w:t>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notably the refinancing of our term loan in January 2022, will be sufficient to fund capital demands.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41"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4 "Tax Receivable Agreements" of Part I Item 1 “Financial Statements” of this Quarterly Report on Form 10-Q are expected to range from approximately $0.4 million to $22.0 million per year over the next 15 years. Such payments will occur only after we have filed our U.S. federal and state income tax returns and realized the cash tax savings from the favorable tax attributes. We made our first payment of $7.0 million in February 2017, and subsequent payments of $12.4 million in September 2018, $13.3 million in March 2020, $16.5 million in April 2021, and $21.3 million in March 2022. Future payments under the tax receivable agreements in respect of subsequent exchanges would be in addition to these amounts. We currently expect to fund these payments from realized cash tax savings from the favorable tax attributes.</w:t>
      </w:r>
    </w:p>
    <w:p>
      <w:pPr>
        <w:spacing w:after="0" w:line="221"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Capital Requirements</w:t>
      </w:r>
    </w:p>
    <w:p>
      <w:pPr>
        <w:spacing w:after="0" w:line="25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Our principal U.S. subsidiary, Virtu Americas LLC ("VAL") is subject to separate regulation and capital requirements in the U.S. and other</w:t>
      </w:r>
    </w:p>
    <w:p>
      <w:pPr>
        <w:spacing w:after="0" w:line="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jurisdictions. VAL is a registered U.S. broker-dealer, and its primary regulators include the SEC and the Financial Industry Regulatory Authority ("FINRA").</w:t>
      </w:r>
    </w:p>
    <w:p>
      <w:pPr>
        <w:spacing w:after="0" w:line="232"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w:t>
      </w:r>
    </w:p>
    <w:p>
      <w:pPr>
        <w:spacing w:after="0" w:line="203" w:lineRule="exact"/>
        <w:rPr>
          <w:sz w:val="20"/>
          <w:szCs w:val="20"/>
          <w:color w:val="auto"/>
        </w:rPr>
      </w:pPr>
    </w:p>
    <w:p>
      <w:pPr>
        <w:ind w:right="460" w:firstLine="629"/>
        <w:spacing w:after="0" w:line="296" w:lineRule="auto"/>
        <w:rPr>
          <w:sz w:val="20"/>
          <w:szCs w:val="20"/>
          <w:color w:val="auto"/>
        </w:rPr>
      </w:pPr>
      <w:r>
        <w:rPr>
          <w:rFonts w:ascii="Times New Roman" w:cs="Times New Roman" w:eastAsia="Times New Roman" w:hAnsi="Times New Roman"/>
          <w:sz w:val="17"/>
          <w:szCs w:val="17"/>
          <w:color w:val="auto"/>
        </w:rPr>
        <w:t>Our Canadian subsidiaries, Virtu ITG Canada Corp. and Virtu Financial Canada ULC, are subject to regulatory capital requirements and periodic requirements to report their regulatory capital and submit other regulatory reports set forth by the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8" w:name="page69"/>
    <w:bookmarkEnd w:id="68"/>
    <w:p>
      <w:pPr>
        <w:spacing w:after="0" w:line="262" w:lineRule="auto"/>
        <w:rPr>
          <w:sz w:val="20"/>
          <w:szCs w:val="20"/>
          <w:color w:val="auto"/>
        </w:rPr>
      </w:pPr>
      <w:r>
        <w:rPr>
          <w:rFonts w:ascii="Times New Roman" w:cs="Times New Roman" w:eastAsia="Times New Roman" w:hAnsi="Times New Roman"/>
          <w:sz w:val="17"/>
          <w:szCs w:val="17"/>
          <w:color w:val="auto"/>
        </w:rPr>
        <w:t>Investment Industry Regulatory Organization of Canada. Our Irish subsidiaries, Virtu Financial Ireland Limited ("VFIL") and Virtu ITG Europe Limited ("VIEL")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VIEL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Virtu ITG Hong Kong Limited, and Virtu ITG Singapore Pte Limited are also subject to local regulatory capital requirements and are regulated by the Australian Securities and Investments Commission, the Securities and Futures Commission of Hong Kong, and the Monetary Authority of Singapore, respectively.</w:t>
      </w:r>
    </w:p>
    <w:p>
      <w:pPr>
        <w:spacing w:after="0" w:line="200" w:lineRule="exact"/>
        <w:rPr>
          <w:sz w:val="20"/>
          <w:szCs w:val="20"/>
          <w:color w:val="auto"/>
        </w:rPr>
      </w:pPr>
    </w:p>
    <w:p>
      <w:pPr>
        <w:spacing w:after="0" w:line="215"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See Note 19 "Regulatory Requirement" of Part I Item 1 “Financial Statements” of this Quarterly Report on Form 10-Q for a discussion of regulatory capital requirements of our regulated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Broker Dealer Credit Facilities, Short-Term Bank Loans, and Prime Brokerage Credit Facilities</w:t>
      </w:r>
    </w:p>
    <w:p>
      <w:pPr>
        <w:spacing w:after="0" w:line="254" w:lineRule="exact"/>
        <w:rPr>
          <w:sz w:val="20"/>
          <w:szCs w:val="20"/>
          <w:color w:val="auto"/>
        </w:rPr>
      </w:pPr>
    </w:p>
    <w:p>
      <w:pPr>
        <w:ind w:right="220" w:firstLine="629"/>
        <w:spacing w:after="0" w:line="265" w:lineRule="auto"/>
        <w:rPr>
          <w:sz w:val="20"/>
          <w:szCs w:val="20"/>
          <w:color w:val="auto"/>
        </w:rPr>
      </w:pPr>
      <w:r>
        <w:rPr>
          <w:rFonts w:ascii="Times New Roman" w:cs="Times New Roman" w:eastAsia="Times New Roman" w:hAnsi="Times New Roman"/>
          <w:sz w:val="17"/>
          <w:szCs w:val="17"/>
          <w:color w:val="auto"/>
        </w:rPr>
        <w:t>We maintain various broker-dealer facilities and short-term credit facilities as part of our daily trading operations. See Note 8 "Borrowings" of Part I Item 1 “Financial Statements” of this Quarterly Report on Form 10-Q for details on our various credit facilities. As of September 30, 2022, the outstanding principal balance on our broker-dealer facilities was $168.0 million and the outstanding aggregate short-term credit facilities with various prime brokers and other financial institutions from which the Company receives execution or clearing services was approximately $157.6 million, which was netted within Receivables from broker-dealers and clearing organizations on the Condensed Consolidated Statements of Financial Condition of Part I Item 1 “Financial Statements” of this Quarterly Report on Form 10-Q.</w:t>
      </w:r>
    </w:p>
    <w:p>
      <w:pPr>
        <w:spacing w:after="0" w:line="198" w:lineRule="exact"/>
        <w:rPr>
          <w:sz w:val="20"/>
          <w:szCs w:val="20"/>
          <w:color w:val="auto"/>
        </w:rPr>
      </w:pPr>
    </w:p>
    <w:p>
      <w:pPr>
        <w:ind w:right="440" w:firstLine="629"/>
        <w:spacing w:after="0" w:line="263" w:lineRule="auto"/>
        <w:rPr>
          <w:sz w:val="20"/>
          <w:szCs w:val="20"/>
          <w:color w:val="auto"/>
        </w:rPr>
      </w:pPr>
      <w:r>
        <w:rPr>
          <w:rFonts w:ascii="Times New Roman" w:cs="Times New Roman" w:eastAsia="Times New Roman" w:hAnsi="Times New Roman"/>
          <w:sz w:val="17"/>
          <w:szCs w:val="17"/>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during such period, which is now expired.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w:t>
      </w:r>
    </w:p>
    <w:p>
      <w:pPr>
        <w:spacing w:after="0" w:line="203"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If at any time during the term of the Founder Member Loan Facility, the Founder Member Loans equal to or greater than $100 million had remained outstanding for a certain period of time specified in the Warrant, the number of shares would have increased to 10,000,000. The exercise price per share of the Class A Common Stock issuable pursuant to the Warrant was $22.98. The Warrant was exercised on December 17, 2021 for the full 3,000,000 shares of the Company's Class A Common Stock. The Warrant and Class A Common Stock issued pursuant to the Warrant were offered, issued and sold, in reliance on the exemption from the registration requirements of the Securities Act, set forth under Section 4(a)(2) of the Securities Act relating to sales by an issuer not involving any public offering.</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241"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On the Credit Agreement Closing Date, VFH and Virtu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entered into the Credit Agreement. The Credit Agreement provides (i) a senior secured first lien term loan in an aggregate principal amount of</w:t>
      </w:r>
    </w:p>
    <w:p>
      <w:pPr>
        <w:spacing w:after="0" w:line="2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9" w:name="page70"/>
    <w:bookmarkEnd w:id="69"/>
    <w:p>
      <w:pPr>
        <w:ind w:firstLine="629"/>
        <w:spacing w:after="0" w:line="260" w:lineRule="auto"/>
        <w:rPr>
          <w:sz w:val="20"/>
          <w:szCs w:val="20"/>
          <w:color w:val="auto"/>
        </w:rPr>
      </w:pPr>
      <w:r>
        <w:rPr>
          <w:rFonts w:ascii="Times New Roman" w:cs="Times New Roman" w:eastAsia="Times New Roman" w:hAnsi="Times New Roman"/>
          <w:sz w:val="17"/>
          <w:szCs w:val="17"/>
          <w:color w:val="auto"/>
        </w:rPr>
        <w:t>In connection with the ITG Acquisition, Virtu Financial, VFH and the Acquisition Borrower entered into the Acquisition Credit Agreement, with the lenders party thereto, Jefferies Finance LLC, as administrative agent and Jefferies Finance LLC and RBC Capital Markets, as joint lead arrangers and joint bookrunners. The Acquisition Credit Agreement provided (i)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 million was borrowed by the Acquisition Borrower to finance the consideration and fees and expenses paid in connection with the ITG Acquisition, and (ii) the $50 million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Amendment No. 1, which amended the Acquisition Credit Agreement dated as of March 1, 2019, to, among other things, provide for $525.0 million in aggregate principal amount of the Acquisition Incremental Term Loans, and amend the related collateral agreement. On March 2, 2020, VFH entered into Amendment No. 2, which further amended the Acquisition Credit Agreement to, among other things, reduce the interest rate spread over adjusted LIBOR or the alternate base rate by 0.50% per annum and eliminated any step-down in the spread based on VFH's first lien leverage ratio. There were no outstanding borrowings under the Acquisition Credit Agreement as of September 30, 2022.</w:t>
      </w:r>
    </w:p>
    <w:p>
      <w:pPr>
        <w:spacing w:after="0" w:line="209"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5" w:lineRule="exact"/>
        <w:rPr>
          <w:sz w:val="20"/>
          <w:szCs w:val="20"/>
          <w:color w:val="auto"/>
        </w:rPr>
      </w:pPr>
    </w:p>
    <w:p>
      <w:pPr>
        <w:ind w:right="40" w:firstLine="629"/>
        <w:spacing w:after="0" w:line="268"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200" w:lineRule="exact"/>
        <w:rPr>
          <w:sz w:val="20"/>
          <w:szCs w:val="20"/>
          <w:color w:val="auto"/>
        </w:rPr>
      </w:pPr>
    </w:p>
    <w:p>
      <w:pPr>
        <w:spacing w:after="0" w:line="210" w:lineRule="exact"/>
        <w:rPr>
          <w:sz w:val="20"/>
          <w:szCs w:val="20"/>
          <w:color w:val="auto"/>
        </w:rPr>
      </w:pPr>
    </w:p>
    <w:p>
      <w:pPr>
        <w:jc w:val="both"/>
        <w:ind w:right="42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jc w:val="both"/>
        <w:ind w:right="360" w:firstLine="629"/>
        <w:spacing w:after="0" w:line="276" w:lineRule="auto"/>
        <w:rPr>
          <w:sz w:val="20"/>
          <w:szCs w:val="20"/>
          <w:color w:val="auto"/>
        </w:rPr>
      </w:pPr>
      <w:r>
        <w:rPr>
          <w:rFonts w:ascii="Times New Roman" w:cs="Times New Roman" w:eastAsia="Times New Roman" w:hAnsi="Times New Roman"/>
          <w:sz w:val="17"/>
          <w:szCs w:val="17"/>
          <w:color w:val="auto"/>
        </w:rPr>
        <w:t>Under the Credit Agreement, the term loans will mature on January 13, 2029. The term loans amortize in annual installments equal to 1.0% of the original aggregate principal amount of the term loans. The revolving commitments will terminate on January 13, 2025. As of September 30, 2022, $1,800.0 million was outstanding under the term loans. We were in compliance with all applicable covenants under the Credit Agreement as of September 30, 2022.</w:t>
      </w:r>
    </w:p>
    <w:p>
      <w:pPr>
        <w:spacing w:after="0" w:line="190"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In October 2019, the Company entered into a five-year $525.0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54"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Our main sources of liquidity are cash flow from the operations of our subsidiaries, our broker-dealer credit facilities (as described above), margin financing provided by our prime brokers and cash on hand.</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summarizes our primary sources and uses of cash for the nine months ended September 30, 2022, and 2021.</w:t>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5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290,462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374,522</w:t>
            </w:r>
          </w:p>
        </w:tc>
        <w:tc>
          <w:tcPr>
            <w:tcW w:w="0" w:type="dxa"/>
            <w:vAlign w:val="bottom"/>
          </w:tcPr>
          <w:p>
            <w:pPr>
              <w:spacing w:after="0"/>
              <w:rPr>
                <w:sz w:val="1"/>
                <w:szCs w:val="1"/>
                <w:color w:val="auto"/>
              </w:rPr>
            </w:pPr>
          </w:p>
        </w:tc>
      </w:tr>
      <w:tr>
        <w:trPr>
          <w:trHeight w:val="189"/>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(65,440)</w:t>
            </w:r>
          </w:p>
        </w:tc>
        <w:tc>
          <w:tcPr>
            <w:tcW w:w="0" w:type="dxa"/>
            <w:vAlign w:val="bottom"/>
          </w:tcPr>
          <w:p>
            <w:pPr>
              <w:spacing w:after="0"/>
              <w:rPr>
                <w:sz w:val="1"/>
                <w:szCs w:val="1"/>
                <w:color w:val="auto"/>
              </w:rPr>
            </w:pPr>
          </w:p>
        </w:tc>
      </w:tr>
      <w:tr>
        <w:trPr>
          <w:trHeight w:val="204"/>
        </w:trPr>
        <w:tc>
          <w:tcPr>
            <w:tcW w:w="5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(550,322)</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(43,490)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(11,452)</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(252,692)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39" w:lineRule="exact"/>
        <w:rPr>
          <w:sz w:val="20"/>
          <w:szCs w:val="20"/>
          <w:color w:val="auto"/>
        </w:rPr>
      </w:pPr>
    </w:p>
    <w:p>
      <w:pPr>
        <w:ind w:right="220" w:firstLine="629"/>
        <w:spacing w:after="0" w:line="248" w:lineRule="auto"/>
        <w:rPr>
          <w:sz w:val="20"/>
          <w:szCs w:val="20"/>
          <w:color w:val="auto"/>
        </w:rPr>
      </w:pPr>
      <w:r>
        <w:rPr>
          <w:rFonts w:ascii="Times New Roman" w:cs="Times New Roman" w:eastAsia="Times New Roman" w:hAnsi="Times New Roman"/>
          <w:sz w:val="17"/>
          <w:szCs w:val="17"/>
          <w:color w:val="auto"/>
        </w:rPr>
        <w:t>Net cash provided by operating activities was $290.5 million for the nine months ended September 30, 2022, compared to net cash provided by operating activities of $374.5 million for the nine months ended September 30, 2021. The decrease in net cash provided by operating activities was primarily attributable to lower net income, as well as increases in operating assets, net of operating liabilities, related to our trading activities for the nine months ended September 30, 2022 compared to the prior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52"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was $11.0 million for the nine months ended September 30, 2022, compared to net cash used in investing activities of $65.4 million for the nine months ended September 30, 2021. The decrease in cash used in investing activities for the nine months ended September 30, 2022 was primarily attributable to sales of strategic investments during the nine months ended September 30, 2022 as compared to the prior period, offset by cash used for the acquisition of property and equipment, and capitalized software for both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52"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Net cash used in financing activities was $466.5 million for the nine months ended September 30, 2022, compared to $550.3 million for the nine months ended September 30, 2021. The cash used in financing activities for the nine months ended September 30, 2022 was primarily attributable to $316.1 million in dividends to stockholders and distributions made to noncontrolling interests and $434.5 million in purchases of treasury stock, partially offset by the net proceeds of $200.2 million from the issuance of the new term loan and repayment of the existing term loan in January 2022. The cash used in financing activities of $550.3 million during the same period of 2021 primarily reflects $430.6 million net dividends to stockholders and distributions to noncontrolling interests, and $320.2 million purchase of treasury stock, partially offset by an increase of $249.6 million in short-term borrowings.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February 8, 2018, the Company’s Board of Directors authorized a share repurchase program of up to $50.0 million</w:t>
      </w:r>
    </w:p>
    <w:p>
      <w:pPr>
        <w:spacing w:after="0" w:line="3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in Class A Common Stock and Virtu Financial Units, which was expanded to $100.0 million on July 27, 2018. The Company repurchased approximately 2.6 million shares of Class A Common Stock and Virtu Financial Units for approximately $65.9 million under this program, which expired on September 30, 2019.</w:t>
      </w:r>
    </w:p>
    <w:p>
      <w:pPr>
        <w:spacing w:after="0" w:line="191" w:lineRule="exact"/>
        <w:rPr>
          <w:sz w:val="20"/>
          <w:szCs w:val="20"/>
          <w:color w:val="auto"/>
        </w:rPr>
      </w:pPr>
    </w:p>
    <w:p>
      <w:pPr>
        <w:ind w:right="380" w:firstLine="629"/>
        <w:spacing w:after="0" w:line="296"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w:t>
      </w:r>
    </w:p>
    <w:p>
      <w:pPr>
        <w:spacing w:after="0" w:line="173"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On February 11, 2021, the Company's Board of Directors authorized the expansion of the Company's share repurchase program, increasing the total authorized amount by $70.0 million to $170.0 million in Class A Common Stock and Virtu Financial Units up to December 31, 2021.</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71" w:name="page72"/>
    <w:bookmarkEnd w:id="71"/>
    <w:p>
      <w:pPr>
        <w:ind w:right="360" w:firstLine="629"/>
        <w:spacing w:after="0" w:line="276" w:lineRule="auto"/>
        <w:rPr>
          <w:sz w:val="20"/>
          <w:szCs w:val="20"/>
          <w:color w:val="auto"/>
        </w:rPr>
      </w:pPr>
      <w:r>
        <w:rPr>
          <w:rFonts w:ascii="Times New Roman" w:cs="Times New Roman" w:eastAsia="Times New Roman" w:hAnsi="Times New Roman"/>
          <w:sz w:val="17"/>
          <w:szCs w:val="17"/>
          <w:color w:val="auto"/>
        </w:rPr>
        <w:t>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w:t>
      </w:r>
    </w:p>
    <w:p>
      <w:pPr>
        <w:spacing w:after="0" w:line="190"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On November 3, 2021, the Company's Board of Directors authorized the expansion of the Company's current share repurchase program, increasing the total authorized amount by $750 million to $1,220 million and extended the duration through November 3, 2023.</w:t>
      </w:r>
    </w:p>
    <w:p>
      <w:pPr>
        <w:spacing w:after="0" w:line="173" w:lineRule="exact"/>
        <w:rPr>
          <w:sz w:val="20"/>
          <w:szCs w:val="20"/>
          <w:color w:val="auto"/>
        </w:rPr>
      </w:pPr>
    </w:p>
    <w:p>
      <w:pPr>
        <w:ind w:right="180" w:firstLine="629"/>
        <w:spacing w:after="0" w:line="265" w:lineRule="auto"/>
        <w:rPr>
          <w:sz w:val="20"/>
          <w:szCs w:val="20"/>
          <w:color w:val="auto"/>
        </w:rPr>
      </w:pPr>
      <w:r>
        <w:rPr>
          <w:rFonts w:ascii="Times New Roman" w:cs="Times New Roman" w:eastAsia="Times New Roman" w:hAnsi="Times New Roman"/>
          <w:sz w:val="17"/>
          <w:szCs w:val="17"/>
          <w:color w:val="auto"/>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2022, the Company repurchased approximately 30.3 million shares of Class A Common Stock and Virtu Financial Units for approximately $854.4 million. As of September 30, 2022, the Company has approximately of $365.6 million remaining capacity for future purchases of shares of Class A Common Stock and Virtu Financial Units under the program.</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196"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Financial Instruments</w:t>
      </w:r>
    </w:p>
    <w:p>
      <w:pPr>
        <w:spacing w:after="0" w:line="254"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96"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1 — Unadjusted quoted prices in active markets that are accessible at the measurement date for identical, unrestricted assets or liabilities;</w:t>
      </w:r>
    </w:p>
    <w:p>
      <w:pPr>
        <w:spacing w:after="0" w:line="250"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Level 2 — Quoted prices in markets that are not active and financial instruments for which all significant inputs are observable, either directly or indirectly; or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3 — Prices or valuations that require inputs that are both significant to the fair value measurement and unobservable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72" w:name="page73"/>
    <w:bookmarkEnd w:id="72"/>
    <w:p>
      <w:pPr>
        <w:ind w:firstLine="629"/>
        <w:spacing w:after="0" w:line="249" w:lineRule="auto"/>
        <w:rPr>
          <w:sz w:val="20"/>
          <w:szCs w:val="20"/>
          <w:color w:val="auto"/>
        </w:rPr>
      </w:pPr>
      <w:r>
        <w:rPr>
          <w:rFonts w:ascii="Times New Roman" w:cs="Times New Roman" w:eastAsia="Times New Roman" w:hAnsi="Times New Roman"/>
          <w:sz w:val="17"/>
          <w:szCs w:val="17"/>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consolidated financial statements See Note 9 "Financial Assets and Liabilities" of Part I Item 1 “Financial Statements” of this Quarterly Report on Form 10-Q for further information about fair value measurements.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Income, Net</w:t>
      </w:r>
    </w:p>
    <w:p>
      <w:pPr>
        <w:spacing w:after="0" w:line="25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and Dividends Income/Interest and Dividends Expense</w:t>
      </w:r>
    </w:p>
    <w:p>
      <w:pPr>
        <w:spacing w:after="0" w:line="25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Commissions, net and Technology Services</w:t>
      </w:r>
    </w:p>
    <w:p>
      <w:pPr>
        <w:spacing w:after="0" w:line="252" w:lineRule="exact"/>
        <w:rPr>
          <w:sz w:val="20"/>
          <w:szCs w:val="20"/>
          <w:color w:val="auto"/>
        </w:rPr>
      </w:pPr>
    </w:p>
    <w:p>
      <w:pPr>
        <w:ind w:right="40" w:firstLine="629"/>
        <w:spacing w:after="0" w:line="268" w:lineRule="auto"/>
        <w:rPr>
          <w:sz w:val="20"/>
          <w:szCs w:val="20"/>
          <w:color w:val="auto"/>
        </w:rPr>
      </w:pPr>
      <w:r>
        <w:rPr>
          <w:rFonts w:ascii="Times New Roman" w:cs="Times New Roman" w:eastAsia="Times New Roman" w:hAnsi="Times New Roman"/>
          <w:sz w:val="17"/>
          <w:szCs w:val="17"/>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spacing w:after="0" w:line="200" w:lineRule="exact"/>
        <w:rPr>
          <w:sz w:val="20"/>
          <w:szCs w:val="20"/>
          <w:color w:val="auto"/>
        </w:rPr>
      </w:pPr>
    </w:p>
    <w:p>
      <w:pPr>
        <w:spacing w:after="0" w:line="210" w:lineRule="exact"/>
        <w:rPr>
          <w:sz w:val="20"/>
          <w:szCs w:val="20"/>
          <w:color w:val="auto"/>
        </w:rPr>
      </w:pPr>
    </w:p>
    <w:p>
      <w:pPr>
        <w:ind w:right="700" w:firstLine="629"/>
        <w:spacing w:after="0" w:line="296" w:lineRule="auto"/>
        <w:rPr>
          <w:sz w:val="20"/>
          <w:szCs w:val="20"/>
          <w:color w:val="auto"/>
        </w:rPr>
      </w:pPr>
      <w:r>
        <w:rPr>
          <w:rFonts w:ascii="Times New Roman" w:cs="Times New Roman" w:eastAsia="Times New Roman" w:hAnsi="Times New Roman"/>
          <w:sz w:val="17"/>
          <w:szCs w:val="17"/>
          <w:color w:val="auto"/>
        </w:rPr>
        <w:t>Workflow technology revenues consist of order and trade execution management and order routing services we provide through our front-end workflow solutions and network capabilities.</w:t>
      </w:r>
    </w:p>
    <w:p>
      <w:pPr>
        <w:spacing w:after="0" w:line="17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94"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7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4"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3" w:name="page74"/>
    <w:bookmarkEnd w:id="73"/>
    <w:p>
      <w:pPr>
        <w:ind w:right="180"/>
        <w:spacing w:after="0" w:line="296" w:lineRule="auto"/>
        <w:rPr>
          <w:sz w:val="20"/>
          <w:szCs w:val="20"/>
          <w:color w:val="auto"/>
        </w:rPr>
      </w:pPr>
      <w:r>
        <w:rPr>
          <w:rFonts w:ascii="Times New Roman" w:cs="Times New Roman" w:eastAsia="Times New Roman" w:hAnsi="Times New Roman"/>
          <w:sz w:val="17"/>
          <w:szCs w:val="17"/>
          <w:color w:val="auto"/>
        </w:rPr>
        <w:t>measure of progress on a monthly basis, since the analytics products and services are continually provided to the client. Point in time performance obligations are recognized when the analytics reports are delivered to the client.</w:t>
      </w:r>
    </w:p>
    <w:p>
      <w:pPr>
        <w:spacing w:after="0" w:line="173"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64" w:lineRule="exact"/>
        <w:rPr>
          <w:sz w:val="20"/>
          <w:szCs w:val="20"/>
          <w:color w:val="auto"/>
        </w:rPr>
      </w:pPr>
    </w:p>
    <w:p>
      <w:pPr>
        <w:ind w:left="1260" w:right="460" w:hanging="626"/>
        <w:spacing w:after="0" w:line="268" w:lineRule="auto"/>
        <w:tabs>
          <w:tab w:leader="none" w:pos="12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 value for each customer for the products and services it receives, which is priced using the value for similar stand-alone subscription arrangements; and</w:t>
      </w:r>
    </w:p>
    <w:p>
      <w:pPr>
        <w:ind w:left="1260" w:right="540" w:hanging="626"/>
        <w:spacing w:after="0" w:line="274" w:lineRule="auto"/>
        <w:tabs>
          <w:tab w:leader="none" w:pos="125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calculated ratio of the commission value for the products and services relative to the total amount of commissions generated from the customer.</w:t>
      </w:r>
    </w:p>
    <w:p>
      <w:pPr>
        <w:spacing w:after="0" w:line="191"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0"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We record as treasury stock shares repurchased from employees for the purpose of settling tax liabilities incurred upon the issuance of common stock, the vesting of RSUs or the exercise of stock 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54"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73"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0" w:lineRule="exact"/>
        <w:rPr>
          <w:sz w:val="20"/>
          <w:szCs w:val="20"/>
          <w:color w:val="auto"/>
        </w:rPr>
      </w:pPr>
    </w:p>
    <w:p>
      <w:pPr>
        <w:ind w:right="100" w:firstLine="629"/>
        <w:spacing w:after="0" w:line="250" w:lineRule="auto"/>
        <w:rPr>
          <w:sz w:val="20"/>
          <w:szCs w:val="20"/>
          <w:color w:val="auto"/>
        </w:rPr>
      </w:pPr>
      <w:r>
        <w:rPr>
          <w:rFonts w:ascii="Times New Roman" w:cs="Times New Roman" w:eastAsia="Times New Roman" w:hAnsi="Times New Roman"/>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4" w:name="page75"/>
    <w:bookmarkEnd w:id="74"/>
    <w:p>
      <w:pPr>
        <w:ind w:right="100"/>
        <w:spacing w:after="0" w:line="280" w:lineRule="auto"/>
        <w:rPr>
          <w:sz w:val="20"/>
          <w:szCs w:val="20"/>
          <w:color w:val="auto"/>
        </w:rPr>
      </w:pPr>
      <w:r>
        <w:rPr>
          <w:rFonts w:ascii="Times New Roman" w:cs="Times New Roman" w:eastAsia="Times New Roman" w:hAnsi="Times New Roman"/>
          <w:sz w:val="17"/>
          <w:szCs w:val="17"/>
          <w:color w:val="auto"/>
        </w:rPr>
        <w:t>estimates discussed above are reasonable. However, if actual results are not consistent with our estimates or assumptions, we may be exposed to losses or gains that could be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54"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254" w:lineRule="exact"/>
        <w:rPr>
          <w:sz w:val="20"/>
          <w:szCs w:val="20"/>
          <w:color w:val="auto"/>
        </w:rPr>
      </w:pPr>
    </w:p>
    <w:p>
      <w:pPr>
        <w:ind w:right="360" w:firstLine="629"/>
        <w:spacing w:after="0" w:line="270"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94" w:lineRule="exact"/>
        <w:rPr>
          <w:sz w:val="20"/>
          <w:szCs w:val="20"/>
          <w:color w:val="auto"/>
        </w:rPr>
      </w:pPr>
    </w:p>
    <w:p>
      <w:pPr>
        <w:jc w:val="both"/>
        <w:ind w:right="60" w:firstLine="629"/>
        <w:spacing w:after="0" w:line="276" w:lineRule="auto"/>
        <w:rPr>
          <w:sz w:val="20"/>
          <w:szCs w:val="20"/>
          <w:color w:val="auto"/>
        </w:rPr>
      </w:pPr>
      <w:r>
        <w:rPr>
          <w:rFonts w:ascii="Times New Roman" w:cs="Times New Roman" w:eastAsia="Times New Roman" w:hAnsi="Times New Roman"/>
          <w:sz w:val="17"/>
          <w:szCs w:val="17"/>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59" w:lineRule="exact"/>
        <w:rPr>
          <w:sz w:val="20"/>
          <w:szCs w:val="20"/>
          <w:color w:val="auto"/>
        </w:rPr>
      </w:pPr>
    </w:p>
    <w:p>
      <w:pPr>
        <w:ind w:left="1260" w:hanging="312"/>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accessing capital;</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exchange rates or other developments in equity and credit markets;</w:t>
      </w:r>
    </w:p>
    <w:p>
      <w:pPr>
        <w:spacing w:after="0" w:line="14" w:lineRule="exact"/>
        <w:rPr>
          <w:rFonts w:ascii="Times New Roman" w:cs="Times New Roman" w:eastAsia="Times New Roman" w:hAnsi="Times New Roman"/>
          <w:sz w:val="17"/>
          <w:szCs w:val="17"/>
          <w:color w:val="auto"/>
        </w:rPr>
      </w:pPr>
    </w:p>
    <w:p>
      <w:pPr>
        <w:ind w:left="640" w:firstLine="308"/>
        <w:spacing w:after="0" w:line="257" w:lineRule="auto"/>
        <w:tabs>
          <w:tab w:leader="none" w:pos="126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ind w:left="1260" w:hanging="312"/>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factors such as increases in raw materials, labor, or other costs that have a negative effect on earnings and cash flows;</w:t>
      </w:r>
    </w:p>
    <w:p>
      <w:pPr>
        <w:spacing w:after="0" w:line="14" w:lineRule="exact"/>
        <w:rPr>
          <w:rFonts w:ascii="Times New Roman" w:cs="Times New Roman" w:eastAsia="Times New Roman" w:hAnsi="Times New Roman"/>
          <w:sz w:val="17"/>
          <w:szCs w:val="17"/>
          <w:color w:val="auto"/>
        </w:rPr>
      </w:pPr>
    </w:p>
    <w:p>
      <w:pPr>
        <w:ind w:left="640" w:right="280" w:firstLine="308"/>
        <w:spacing w:after="0" w:line="257" w:lineRule="auto"/>
        <w:tabs>
          <w:tab w:leader="none" w:pos="126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financial performance such as negative or declining cash flows or a decline in actual or planned revenue or earnings compared with actual and projected results of relevant prior periods;</w:t>
      </w:r>
    </w:p>
    <w:p>
      <w:pPr>
        <w:ind w:left="640" w:right="220" w:firstLine="308"/>
        <w:spacing w:after="0" w:line="274" w:lineRule="auto"/>
        <w:tabs>
          <w:tab w:leader="none" w:pos="126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relevant entity-specific events such as changes in management, key personnel, strategy, or customers, contemplation of bankruptcy, or litigation.</w:t>
      </w:r>
    </w:p>
    <w:p>
      <w:pPr>
        <w:spacing w:after="0" w:line="191"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60" w:lineRule="exact"/>
        <w:rPr>
          <w:sz w:val="20"/>
          <w:szCs w:val="20"/>
          <w:color w:val="auto"/>
        </w:rPr>
      </w:pPr>
    </w:p>
    <w:p>
      <w:pPr>
        <w:ind w:right="180" w:firstLine="629"/>
        <w:spacing w:after="0" w:line="248" w:lineRule="auto"/>
        <w:rPr>
          <w:sz w:val="20"/>
          <w:szCs w:val="20"/>
          <w:color w:val="auto"/>
        </w:rPr>
      </w:pPr>
      <w:r>
        <w:rPr>
          <w:rFonts w:ascii="Times New Roman" w:cs="Times New Roman" w:eastAsia="Times New Roman" w:hAnsi="Times New Roman"/>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spacing w:after="0" w:line="214" w:lineRule="exact"/>
        <w:rPr>
          <w:sz w:val="20"/>
          <w:szCs w:val="20"/>
          <w:color w:val="auto"/>
        </w:rPr>
      </w:pPr>
    </w:p>
    <w:p>
      <w:pPr>
        <w:ind w:right="260" w:firstLine="629"/>
        <w:spacing w:after="0" w:line="276" w:lineRule="auto"/>
        <w:rPr>
          <w:sz w:val="20"/>
          <w:szCs w:val="20"/>
          <w:color w:val="auto"/>
        </w:rPr>
      </w:pPr>
      <w:r>
        <w:rPr>
          <w:rFonts w:ascii="Times New Roman" w:cs="Times New Roman" w:eastAsia="Times New Roman" w:hAnsi="Times New Roman"/>
          <w:sz w:val="17"/>
          <w:szCs w:val="17"/>
          <w:color w:val="auto"/>
        </w:rPr>
        <w:t>We assess goodwill for impairment on an annual basis as of July 1st and on an interim basis when certain events or circumstances exist. In the impairment assessment as of July 1, 2021, we performed a qualitative assessment as described above for each reporting unit. No impairment of goodwill was identified.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5" w:name="page76"/>
    <w:bookmarkEnd w:id="75"/>
    <w:p>
      <w:pPr>
        <w:ind w:firstLine="629"/>
        <w:spacing w:after="0" w:line="249" w:lineRule="auto"/>
        <w:rPr>
          <w:sz w:val="20"/>
          <w:szCs w:val="20"/>
          <w:color w:val="auto"/>
        </w:rPr>
      </w:pPr>
      <w:r>
        <w:rPr>
          <w:rFonts w:ascii="Times New Roman" w:cs="Times New Roman" w:eastAsia="Times New Roman" w:hAnsi="Times New Roman"/>
          <w:sz w:val="17"/>
          <w:szCs w:val="17"/>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Our largest finite-lived intangible asset is customer relationships, which is being amortized over an estimated useful life of ten years. Had we used a shorter estimated useful life of seven years, the Company would have recorded an additional $4.1 million and $12.3 million of amortization expense for the three and nine months ended September 30, 2022 and 2021, respectively. We test finite-lived intangible assets for impairment when impairment indicators are present, and if impaired, they are written down to fair value.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2" w:lineRule="exact"/>
        <w:rPr>
          <w:sz w:val="20"/>
          <w:szCs w:val="20"/>
          <w:color w:val="auto"/>
        </w:r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52"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7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20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90"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90"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00" w:lineRule="exact"/>
        <w:rPr>
          <w:sz w:val="20"/>
          <w:szCs w:val="20"/>
          <w:color w:val="auto"/>
        </w:rPr>
      </w:pPr>
    </w:p>
    <w:p>
      <w:pPr>
        <w:spacing w:after="0" w:line="213"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maintain inventories of exchange-listed and other equity securities, and to a lesser extent, fixed income securities and listed equity options. The fair value of these financial instruments at September 30, 2022 and December 31, 2021 was $4.8 billion and $4.3 billion, respectively, in long positions and $4.2 billion and $3.5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96" w:lineRule="exact"/>
        <w:rPr>
          <w:sz w:val="20"/>
          <w:szCs w:val="20"/>
          <w:color w:val="auto"/>
        </w:rPr>
      </w:pPr>
    </w:p>
    <w:p>
      <w:pPr>
        <w:jc w:val="both"/>
        <w:ind w:right="40" w:firstLine="629"/>
        <w:spacing w:after="0" w:line="270" w:lineRule="auto"/>
        <w:rPr>
          <w:sz w:val="20"/>
          <w:szCs w:val="20"/>
          <w:color w:val="auto"/>
        </w:rPr>
      </w:pPr>
      <w:r>
        <w:rPr>
          <w:rFonts w:ascii="Times New Roman" w:cs="Times New Roman" w:eastAsia="Times New Roman" w:hAnsi="Times New Roman"/>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94"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color w:val="auto"/>
        </w:rPr>
        <w:t>Interest Rate Risk, Derivative Instruments</w:t>
      </w:r>
    </w:p>
    <w:p>
      <w:pPr>
        <w:spacing w:after="0" w:line="25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6"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4"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i w:val="1"/>
          <w:iCs w:val="1"/>
          <w:color w:val="auto"/>
        </w:rPr>
        <w:t>Futures Contracts</w:t>
      </w:r>
      <w:r>
        <w:rPr>
          <w:rFonts w:ascii="Times New Roman" w:cs="Times New Roman" w:eastAsia="Times New Roman" w:hAnsi="Times New Roman"/>
          <w:sz w:val="17"/>
          <w:szCs w:val="17"/>
          <w:color w:val="auto"/>
        </w:rPr>
        <w:t>. As part of our proprietary market making trading strategies, we use futures contracts to gain exposure to changes in values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6" w:lineRule="exact"/>
        <w:rPr>
          <w:sz w:val="20"/>
          <w:szCs w:val="20"/>
          <w:color w:val="auto"/>
        </w:rPr>
      </w:pPr>
    </w:p>
    <w:p>
      <w:pPr>
        <w:ind w:right="260" w:firstLine="629"/>
        <w:spacing w:after="0" w:line="299" w:lineRule="auto"/>
        <w:rPr>
          <w:sz w:val="20"/>
          <w:szCs w:val="20"/>
          <w:color w:val="auto"/>
        </w:rPr>
      </w:pPr>
      <w:r>
        <w:rPr>
          <w:rFonts w:ascii="Times New Roman" w:cs="Times New Roman" w:eastAsia="Times New Roman" w:hAnsi="Times New Roman"/>
          <w:sz w:val="17"/>
          <w:szCs w:val="17"/>
          <w:i w:val="1"/>
          <w:iCs w:val="1"/>
          <w:color w:val="auto"/>
        </w:rPr>
        <w:t>Due from Broker-Dealers and Clearing Organizations</w:t>
      </w:r>
      <w:r>
        <w:rPr>
          <w:rFonts w:ascii="Times New Roman" w:cs="Times New Roman" w:eastAsia="Times New Roman" w:hAnsi="Times New Roman"/>
          <w:sz w:val="17"/>
          <w:szCs w:val="17"/>
          <w:color w:val="auto"/>
        </w:rPr>
        <w:t>. Management periodically evaluates our counterparty credit exposures to various brokers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clearing organizations with a view to limiting potential losses resulting from counterparty insolvency.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252"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96" w:lineRule="exact"/>
        <w:rPr>
          <w:sz w:val="20"/>
          <w:szCs w:val="20"/>
          <w:color w:val="auto"/>
        </w:rPr>
      </w:pPr>
    </w:p>
    <w:p>
      <w:pPr>
        <w:jc w:val="both"/>
        <w:ind w:right="320" w:firstLine="629"/>
        <w:spacing w:after="0" w:line="276" w:lineRule="auto"/>
        <w:rPr>
          <w:sz w:val="20"/>
          <w:szCs w:val="20"/>
          <w:color w:val="auto"/>
        </w:rPr>
      </w:pPr>
      <w:r>
        <w:rPr>
          <w:rFonts w:ascii="Times New Roman" w:cs="Times New Roman" w:eastAsia="Times New Roman" w:hAnsi="Times New Roman"/>
          <w:sz w:val="17"/>
          <w:szCs w:val="17"/>
          <w:color w:val="auto"/>
        </w:rPr>
        <w:t>Approximately 19.4% and 20.3% of our total revenues for the nine months ended September 30, 2022 and 2021, respectively, were denominated in non-U.S. dollar currencies. We estimate that a hypothetical 10% adverse change in the value of the U.S. dollar relative to our foreign denominated earnings would have resulted in decreases in total revenues of $36.3 million and $42.7 million for the nine months ended September 30, 2022 and 2021, respectively.</w:t>
      </w:r>
    </w:p>
    <w:p>
      <w:pPr>
        <w:spacing w:after="0" w:line="190"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Financial Instruments with Off Balance Sheet Risk</w:t>
      </w:r>
    </w:p>
    <w:p>
      <w:pPr>
        <w:spacing w:after="0" w:line="252"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4"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September 30, 2022. Based upon that evaluation, our Chief Executive Officer and Chief Financial Officer concluded that, as of September 30, 2022,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203"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Internal Control over Financial Reporting</w:t>
      </w:r>
    </w:p>
    <w:p>
      <w:pPr>
        <w:spacing w:after="0" w:line="252"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 13a-15(f) under the Exchange Act) occurred during the three months ended September 30, 2022 that has or is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2" w:lineRule="exact"/>
        <w:rPr>
          <w:sz w:val="20"/>
          <w:szCs w:val="20"/>
          <w:color w:val="auto"/>
        </w:rPr>
      </w:pPr>
    </w:p>
    <w:p>
      <w:pPr>
        <w:ind w:right="120" w:firstLine="629"/>
        <w:spacing w:after="0" w:line="296" w:lineRule="auto"/>
        <w:rPr>
          <w:sz w:val="20"/>
          <w:szCs w:val="20"/>
          <w:color w:val="auto"/>
        </w:rPr>
      </w:pPr>
      <w:r>
        <w:rPr>
          <w:rFonts w:ascii="Times New Roman" w:cs="Times New Roman" w:eastAsia="Times New Roman" w:hAnsi="Times New Roman"/>
          <w:sz w:val="17"/>
          <w:szCs w:val="17"/>
          <w:color w:val="auto"/>
        </w:rPr>
        <w:t>The information required by this item is set forth in the “Legal Proceedings” section in Note 14 "Commitments, Contingencies and Guarantees" to the Company’s condensed consolidated financial statements included in Part I Item 1 “Financial Statements”, which is incorporated by reference herein.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 have been no material changes to the Risk Factors described in Part I Item 1A. “Risk Factors” in our 2021 Form 10-K.</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2"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Total share repurchases for the three months ended September 30, 2022 were as follows:</w:t>
      </w:r>
    </w:p>
    <w:p>
      <w:pPr>
        <w:sectPr>
          <w:pgSz w:w="11900" w:h="16838" w:orient="portrait"/>
          <w:cols w:equalWidth="0" w:num="1">
            <w:col w:w="11240"/>
          </w:cols>
          <w:pgMar w:left="320" w:top="8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spacing w:after="0"/>
              <w:rPr>
                <w:sz w:val="16"/>
                <w:szCs w:val="16"/>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Shares Purchased (1)</w:t>
            </w:r>
          </w:p>
        </w:tc>
        <w:tc>
          <w:tcPr>
            <w:tcW w:w="220" w:type="dxa"/>
            <w:vAlign w:val="bottom"/>
          </w:tcPr>
          <w:p>
            <w:pPr>
              <w:spacing w:after="0"/>
              <w:rPr>
                <w:sz w:val="16"/>
                <w:szCs w:val="16"/>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1"/>
        </w:trPr>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July 1, 2022 - July 31, 2022</w:t>
            </w: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700,211</w:t>
            </w:r>
          </w:p>
        </w:tc>
        <w:tc>
          <w:tcPr>
            <w:tcW w:w="14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0" w:type="dxa"/>
            <w:vAlign w:val="bottom"/>
          </w:tcPr>
          <w:p>
            <w:pPr>
              <w:spacing w:after="0"/>
              <w:rPr>
                <w:sz w:val="1"/>
                <w:szCs w:val="1"/>
                <w:color w:val="auto"/>
              </w:rPr>
            </w:pPr>
          </w:p>
        </w:tc>
      </w:tr>
      <w:tr>
        <w:trPr>
          <w:trHeight w:val="196"/>
        </w:trPr>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Class C Common Stock/ Virtu Financial Units repurchases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-367030</wp:posOffset>
            </wp:positionV>
            <wp:extent cx="7111365" cy="133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1365" cy="1333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-109220</wp:posOffset>
            </wp:positionV>
            <wp:extent cx="7111365" cy="1244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1365" cy="124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2"/>
        </w:trPr>
        <w:tc>
          <w:tcPr>
            <w:tcW w:w="1560" w:type="dxa"/>
            <w:vAlign w:val="bottom"/>
            <w:gridSpan w:val="2"/>
            <w:vMerge w:val="continue"/>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Value of Shares that</w:t>
            </w:r>
          </w:p>
        </w:tc>
        <w:tc>
          <w:tcPr>
            <w:tcW w:w="0" w:type="dxa"/>
            <w:vAlign w:val="bottom"/>
          </w:tcPr>
          <w:p>
            <w:pPr>
              <w:spacing w:after="0"/>
              <w:rPr>
                <w:sz w:val="1"/>
                <w:szCs w:val="1"/>
                <w:color w:val="auto"/>
              </w:rPr>
            </w:pPr>
          </w:p>
        </w:tc>
      </w:tr>
      <w:tr>
        <w:trPr>
          <w:trHeight w:val="131"/>
        </w:trPr>
        <w:tc>
          <w:tcPr>
            <w:tcW w:w="15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May Yet Be Purchased</w:t>
            </w:r>
          </w:p>
        </w:tc>
        <w:tc>
          <w:tcPr>
            <w:tcW w:w="0" w:type="dxa"/>
            <w:vAlign w:val="bottom"/>
          </w:tcPr>
          <w:p>
            <w:pPr>
              <w:spacing w:after="0"/>
              <w:rPr>
                <w:sz w:val="1"/>
                <w:szCs w:val="1"/>
                <w:color w:val="auto"/>
              </w:rPr>
            </w:pPr>
          </w:p>
        </w:tc>
      </w:tr>
      <w:tr>
        <w:trPr>
          <w:trHeight w:val="144"/>
        </w:trPr>
        <w:tc>
          <w:tcPr>
            <w:tcW w:w="15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Publicly Announced</w:t>
            </w:r>
          </w:p>
        </w:tc>
        <w:tc>
          <w:tcPr>
            <w:tcW w:w="14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1"/>
        </w:trPr>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0" w:type="dxa"/>
            <w:vAlign w:val="bottom"/>
          </w:tcPr>
          <w:p>
            <w:pPr>
              <w:spacing w:after="0"/>
              <w:rPr>
                <w:sz w:val="1"/>
                <w:szCs w:val="1"/>
                <w:color w:val="auto"/>
              </w:rPr>
            </w:pPr>
          </w:p>
        </w:tc>
      </w:tr>
      <w:tr>
        <w:trPr>
          <w:trHeight w:val="368"/>
        </w:trPr>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700,000</w:t>
            </w:r>
          </w:p>
        </w:tc>
        <w:tc>
          <w:tcPr>
            <w:tcW w:w="100" w:type="dxa"/>
            <w:vAlign w:val="bottom"/>
          </w:tcPr>
          <w:p>
            <w:pPr>
              <w:spacing w:after="0"/>
              <w:rPr>
                <w:sz w:val="24"/>
                <w:szCs w:val="24"/>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$430,613,370</w:t>
            </w:r>
          </w:p>
        </w:tc>
        <w:tc>
          <w:tcPr>
            <w:tcW w:w="0" w:type="dxa"/>
            <w:vAlign w:val="bottom"/>
          </w:tcPr>
          <w:p>
            <w:pPr>
              <w:spacing w:after="0"/>
              <w:rPr>
                <w:sz w:val="1"/>
                <w:szCs w:val="1"/>
                <w:color w:val="auto"/>
              </w:rPr>
            </w:pPr>
          </w:p>
        </w:tc>
      </w:tr>
      <w:tr>
        <w:trPr>
          <w:trHeight w:val="196"/>
        </w:trPr>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080" w:space="120"/>
            <w:col w:w="3040"/>
          </w:cols>
          <w:pgMar w:left="320" w:top="866" w:right="339" w:bottom="1440" w:gutter="0" w:footer="0" w:header="0"/>
          <w:type w:val="continuous"/>
        </w:sectPr>
      </w:pP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August 1, 2022 - August 31, 2022</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9"/>
        </w:trPr>
        <w:tc>
          <w:tcPr>
            <w:tcW w:w="5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1,950,038</w:t>
            </w:r>
          </w:p>
        </w:tc>
        <w:tc>
          <w:tcPr>
            <w:tcW w:w="140" w:type="dxa"/>
            <w:vAlign w:val="bottom"/>
          </w:tcPr>
          <w:p>
            <w:pPr>
              <w:spacing w:after="0"/>
              <w:rPr>
                <w:sz w:val="16"/>
                <w:szCs w:val="16"/>
                <w:color w:val="auto"/>
              </w:rPr>
            </w:pPr>
          </w:p>
        </w:tc>
        <w:tc>
          <w:tcPr>
            <w:tcW w:w="5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1,924,056</w:t>
            </w:r>
          </w:p>
        </w:tc>
        <w:tc>
          <w:tcPr>
            <w:tcW w:w="100" w:type="dxa"/>
            <w:vAlign w:val="bottom"/>
          </w:tcPr>
          <w:p>
            <w:pPr>
              <w:spacing w:after="0"/>
              <w:rPr>
                <w:sz w:val="16"/>
                <w:szCs w:val="16"/>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$383,871,658</w:t>
            </w:r>
          </w:p>
        </w:tc>
      </w:tr>
      <w:tr>
        <w:trPr>
          <w:trHeight w:val="204"/>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Class C Common Stock/ Virtu Financial Units repurchases</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N/A</w:t>
            </w:r>
          </w:p>
        </w:tc>
        <w:tc>
          <w:tcPr>
            <w:tcW w:w="1480" w:type="dxa"/>
            <w:vAlign w:val="bottom"/>
            <w:shd w:val="clear" w:color="auto" w:fill="CCEEFF"/>
          </w:tcPr>
          <w:p>
            <w:pPr>
              <w:spacing w:after="0"/>
              <w:rPr>
                <w:sz w:val="17"/>
                <w:szCs w:val="17"/>
                <w:color w:val="auto"/>
              </w:rPr>
            </w:pPr>
          </w:p>
        </w:tc>
      </w:tr>
      <w:tr>
        <w:trPr>
          <w:trHeight w:val="262"/>
        </w:trPr>
        <w:tc>
          <w:tcPr>
            <w:tcW w:w="5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9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1, 2022 - September 30, 2022</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9"/>
        </w:trPr>
        <w:tc>
          <w:tcPr>
            <w:tcW w:w="5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824,570</w:t>
            </w:r>
          </w:p>
        </w:tc>
        <w:tc>
          <w:tcPr>
            <w:tcW w:w="140" w:type="dxa"/>
            <w:vAlign w:val="bottom"/>
          </w:tcPr>
          <w:p>
            <w:pPr>
              <w:spacing w:after="0"/>
              <w:rPr>
                <w:sz w:val="16"/>
                <w:szCs w:val="16"/>
                <w:color w:val="auto"/>
              </w:rPr>
            </w:pPr>
          </w:p>
        </w:tc>
        <w:tc>
          <w:tcPr>
            <w:tcW w:w="5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815,757</w:t>
            </w:r>
          </w:p>
        </w:tc>
        <w:tc>
          <w:tcPr>
            <w:tcW w:w="100" w:type="dxa"/>
            <w:vAlign w:val="bottom"/>
          </w:tcPr>
          <w:p>
            <w:pPr>
              <w:spacing w:after="0"/>
              <w:rPr>
                <w:sz w:val="16"/>
                <w:szCs w:val="16"/>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$365,637,637</w:t>
            </w:r>
          </w:p>
        </w:tc>
      </w:tr>
      <w:tr>
        <w:trPr>
          <w:trHeight w:val="204"/>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Class C Common Stock/ Virtu Financial Unit repurchases</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N/A</w:t>
            </w:r>
          </w:p>
        </w:tc>
        <w:tc>
          <w:tcPr>
            <w:tcW w:w="1480" w:type="dxa"/>
            <w:vAlign w:val="bottom"/>
            <w:shd w:val="clear" w:color="auto" w:fill="CCEEFF"/>
          </w:tcPr>
          <w:p>
            <w:pPr>
              <w:spacing w:after="0"/>
              <w:rPr>
                <w:sz w:val="17"/>
                <w:szCs w:val="17"/>
                <w:color w:val="auto"/>
              </w:rPr>
            </w:pPr>
          </w:p>
        </w:tc>
      </w:tr>
      <w:tr>
        <w:trPr>
          <w:trHeight w:val="19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Total Common Stock / Virtu Financial Unit repurchases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3,474,819</w:t>
            </w:r>
          </w:p>
        </w:tc>
        <w:tc>
          <w:tcPr>
            <w:tcW w:w="14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2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3,439.813</w:t>
            </w: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rPr>
              <w:t>$365,637,637</w:t>
            </w:r>
          </w:p>
        </w:tc>
      </w:tr>
      <w:tr>
        <w:trPr>
          <w:trHeight w:val="20"/>
        </w:trPr>
        <w:tc>
          <w:tcPr>
            <w:tcW w:w="5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right="140" w:firstLine="5"/>
        <w:spacing w:after="0" w:line="266" w:lineRule="auto"/>
        <w:tabs>
          <w:tab w:leader="none" w:pos="19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repurchase of 35,006 shares from employees in order to satisfy statutory tax withholding requirements upon the net settlement of equity awards for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80" w:name="page81"/>
    <w:bookmarkEnd w:id="80"/>
    <w:p>
      <w:pPr>
        <w:ind w:firstLine="629"/>
        <w:spacing w:after="0" w:line="260"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Additionally, on November 3, 2021 the Company's Board of Directors authorized the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2022, the Company repurchased approximately 30.3 million shares of Class A Common Stock and Virtu Financial Units for approximately $854.4 million. As of September 30, 2022, the Company has approximately $365.6 million remaining capacity for future purchases of shares of Class A Common Stock and Virtu Financial Units under the program.</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880" w:type="dxa"/>
            <w:vAlign w:val="bottom"/>
            <w:gridSpan w:val="6"/>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FEFEFE"/>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FEFEFE"/>
          </w:tcPr>
          <w:p>
            <w:pPr>
              <w:ind w:left="20"/>
              <w:spacing w:after="0" w:line="176" w:lineRule="exact"/>
              <w:rPr>
                <w:sz w:val="20"/>
                <w:szCs w:val="20"/>
                <w:color w:val="auto"/>
              </w:rPr>
            </w:pPr>
            <w:r>
              <w:rPr>
                <w:rFonts w:ascii="Times New Roman" w:cs="Times New Roman" w:eastAsia="Times New Roman" w:hAnsi="Times New Roman"/>
                <w:sz w:val="17"/>
                <w:szCs w:val="17"/>
                <w:color w:val="auto"/>
              </w:rPr>
              <w:t>31.1*</w:t>
            </w:r>
          </w:p>
        </w:tc>
        <w:tc>
          <w:tcPr>
            <w:tcW w:w="540" w:type="dxa"/>
            <w:vAlign w:val="bottom"/>
            <w:tcBorders>
              <w:right w:val="single" w:sz="8" w:color="FEFEFE"/>
            </w:tcBorders>
            <w:shd w:val="clear" w:color="auto" w:fill="FEFEFE"/>
          </w:tcPr>
          <w:p>
            <w:pPr>
              <w:spacing w:after="0"/>
              <w:rPr>
                <w:sz w:val="15"/>
                <w:szCs w:val="15"/>
                <w:color w:val="auto"/>
              </w:rPr>
            </w:pPr>
          </w:p>
        </w:tc>
        <w:tc>
          <w:tcPr>
            <w:tcW w:w="9240" w:type="dxa"/>
            <w:vAlign w:val="bottom"/>
            <w:gridSpan w:val="7"/>
            <w:shd w:val="clear" w:color="auto" w:fill="FEFEFE"/>
          </w:tcPr>
          <w:p>
            <w:pPr>
              <w:spacing w:after="0" w:line="176" w:lineRule="exact"/>
              <w:rPr>
                <w:sz w:val="20"/>
                <w:szCs w:val="20"/>
                <w:color w:val="auto"/>
              </w:rPr>
            </w:pPr>
            <w:r>
              <w:rPr>
                <w:rFonts w:ascii="Times New Roman" w:cs="Times New Roman" w:eastAsia="Times New Roman" w:hAnsi="Times New Roman"/>
                <w:sz w:val="17"/>
                <w:szCs w:val="17"/>
                <w:color w:val="0000FF"/>
              </w:rPr>
              <w:t>Certification of Chief Executive Officer required by Rule 13a-14(a)/15d-14(a) under the Securities Exchange Act of 1934, as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40" w:type="dxa"/>
            <w:vAlign w:val="bottom"/>
            <w:tcBorders>
              <w:top w:val="single" w:sz="8" w:color="0000FF"/>
            </w:tcBorders>
            <w:gridSpan w:val="4"/>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2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30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required by Rule 13a-14(a)/15d-14(a) under the Securities Exchange Act of 1934, as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00" w:type="dxa"/>
            <w:vAlign w:val="bottom"/>
            <w:tcBorders>
              <w:top w:val="single" w:sz="8" w:color="0000FF"/>
            </w:tcBorders>
            <w:gridSpan w:val="3"/>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60" w:type="dxa"/>
            <w:vAlign w:val="bottom"/>
            <w:tcBorders>
              <w:top w:val="single" w:sz="8" w:color="FEFEFE"/>
            </w:tcBorders>
            <w:gridSpan w:val="2"/>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30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60" w:type="dxa"/>
            <w:vAlign w:val="bottom"/>
            <w:tcBorders>
              <w:top w:val="single" w:sz="8" w:color="0000FF"/>
              <w:bottom w:val="single" w:sz="8" w:color="FEFEFE"/>
            </w:tcBorders>
            <w:gridSpan w:val="5"/>
            <w:shd w:val="clear" w:color="auto" w:fill="FEFEFE"/>
          </w:tcPr>
          <w:p>
            <w:pPr>
              <w:spacing w:after="0"/>
              <w:rPr>
                <w:sz w:val="13"/>
                <w:szCs w:val="13"/>
                <w:color w:val="auto"/>
              </w:rPr>
            </w:pPr>
          </w:p>
        </w:tc>
        <w:tc>
          <w:tcPr>
            <w:tcW w:w="220" w:type="dxa"/>
            <w:vAlign w:val="bottom"/>
            <w:tcBorders>
              <w:top w:val="single" w:sz="8" w:color="FEFEFE"/>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00" w:type="dxa"/>
            <w:vAlign w:val="bottom"/>
            <w:tcBorders>
              <w:top w:val="single" w:sz="8" w:color="0000FF"/>
              <w:bottom w:val="single" w:sz="8" w:color="FEFEFE"/>
            </w:tcBorders>
            <w:gridSpan w:val="4"/>
            <w:shd w:val="clear" w:color="auto" w:fill="FEFEFE"/>
          </w:tcPr>
          <w:p>
            <w:pPr>
              <w:spacing w:after="0"/>
              <w:rPr>
                <w:sz w:val="13"/>
                <w:szCs w:val="13"/>
                <w:color w:val="auto"/>
              </w:rPr>
            </w:pPr>
          </w:p>
        </w:tc>
        <w:tc>
          <w:tcPr>
            <w:tcW w:w="28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540" w:type="dxa"/>
            <w:vAlign w:val="bottom"/>
            <w:tcBorders>
              <w:right w:val="single" w:sz="8" w:color="FEFEFE"/>
            </w:tcBorders>
            <w:shd w:val="clear" w:color="auto" w:fill="FEFEFE"/>
          </w:tcPr>
          <w:p>
            <w:pPr>
              <w:spacing w:after="0"/>
              <w:rPr>
                <w:sz w:val="22"/>
                <w:szCs w:val="22"/>
                <w:color w:val="auto"/>
              </w:rPr>
            </w:pPr>
          </w:p>
        </w:tc>
        <w:tc>
          <w:tcPr>
            <w:tcW w:w="924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Schema</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Label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Definition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7"/>
            <w:vMerge w:val="restart"/>
            <w:shd w:val="clear" w:color="auto" w:fill="FEFEFE"/>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7"/>
                <w:szCs w:val="7"/>
                <w:color w:val="auto"/>
              </w:rPr>
            </w:pPr>
          </w:p>
        </w:tc>
        <w:tc>
          <w:tcPr>
            <w:tcW w:w="540" w:type="dxa"/>
            <w:vAlign w:val="bottom"/>
            <w:tcBorders>
              <w:right w:val="single" w:sz="8" w:color="FEFEFE"/>
            </w:tcBorders>
            <w:shd w:val="clear" w:color="auto" w:fill="FEFEFE"/>
          </w:tcPr>
          <w:p>
            <w:pPr>
              <w:spacing w:after="0"/>
              <w:rPr>
                <w:sz w:val="7"/>
                <w:szCs w:val="7"/>
                <w:color w:val="auto"/>
              </w:rPr>
            </w:pPr>
          </w:p>
        </w:tc>
        <w:tc>
          <w:tcPr>
            <w:tcW w:w="9240" w:type="dxa"/>
            <w:vAlign w:val="bottom"/>
            <w:gridSpan w:val="7"/>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8"/>
                <w:szCs w:val="8"/>
                <w:color w:val="auto"/>
              </w:rPr>
            </w:pPr>
          </w:p>
        </w:tc>
        <w:tc>
          <w:tcPr>
            <w:tcW w:w="540" w:type="dxa"/>
            <w:vAlign w:val="bottom"/>
            <w:tcBorders>
              <w:right w:val="single" w:sz="8" w:color="FEFEFE"/>
            </w:tcBorders>
            <w:shd w:val="clear" w:color="auto" w:fill="FEFEFE"/>
          </w:tcPr>
          <w:p>
            <w:pPr>
              <w:spacing w:after="0"/>
              <w:rPr>
                <w:sz w:val="8"/>
                <w:szCs w:val="8"/>
                <w:color w:val="auto"/>
              </w:rPr>
            </w:pPr>
          </w:p>
        </w:tc>
        <w:tc>
          <w:tcPr>
            <w:tcW w:w="1360" w:type="dxa"/>
            <w:vAlign w:val="bottom"/>
            <w:shd w:val="clear" w:color="auto" w:fill="FEFEFE"/>
          </w:tcPr>
          <w:p>
            <w:pPr>
              <w:spacing w:after="0"/>
              <w:rPr>
                <w:sz w:val="8"/>
                <w:szCs w:val="8"/>
                <w:color w:val="auto"/>
              </w:rPr>
            </w:pPr>
          </w:p>
        </w:tc>
        <w:tc>
          <w:tcPr>
            <w:tcW w:w="4320" w:type="dxa"/>
            <w:vAlign w:val="bottom"/>
            <w:shd w:val="clear" w:color="auto" w:fill="FEFEFE"/>
          </w:tcPr>
          <w:p>
            <w:pPr>
              <w:spacing w:after="0"/>
              <w:rPr>
                <w:sz w:val="8"/>
                <w:szCs w:val="8"/>
                <w:color w:val="auto"/>
              </w:rPr>
            </w:pPr>
          </w:p>
        </w:tc>
        <w:tc>
          <w:tcPr>
            <w:tcW w:w="3020" w:type="dxa"/>
            <w:vAlign w:val="bottom"/>
            <w:shd w:val="clear" w:color="auto" w:fill="FEFEFE"/>
          </w:tcPr>
          <w:p>
            <w:pPr>
              <w:spacing w:after="0"/>
              <w:rPr>
                <w:sz w:val="8"/>
                <w:szCs w:val="8"/>
                <w:color w:val="auto"/>
              </w:rPr>
            </w:pPr>
          </w:p>
        </w:tc>
        <w:tc>
          <w:tcPr>
            <w:tcW w:w="40" w:type="dxa"/>
            <w:vAlign w:val="bottom"/>
            <w:shd w:val="clear" w:color="auto" w:fill="FEFEFE"/>
          </w:tcPr>
          <w:p>
            <w:pPr>
              <w:spacing w:after="0"/>
              <w:rPr>
                <w:sz w:val="8"/>
                <w:szCs w:val="8"/>
                <w:color w:val="auto"/>
              </w:rPr>
            </w:pPr>
          </w:p>
        </w:tc>
        <w:tc>
          <w:tcPr>
            <w:tcW w:w="220" w:type="dxa"/>
            <w:vAlign w:val="bottom"/>
            <w:shd w:val="clear" w:color="auto" w:fill="FEFEFE"/>
          </w:tcPr>
          <w:p>
            <w:pPr>
              <w:spacing w:after="0"/>
              <w:rPr>
                <w:sz w:val="8"/>
                <w:szCs w:val="8"/>
                <w:color w:val="auto"/>
              </w:rPr>
            </w:pPr>
          </w:p>
        </w:tc>
        <w:tc>
          <w:tcPr>
            <w:tcW w:w="60" w:type="dxa"/>
            <w:vAlign w:val="bottom"/>
            <w:shd w:val="clear" w:color="auto" w:fill="FEFEFE"/>
          </w:tcPr>
          <w:p>
            <w:pPr>
              <w:spacing w:after="0"/>
              <w:rPr>
                <w:sz w:val="8"/>
                <w:szCs w:val="8"/>
                <w:color w:val="auto"/>
              </w:rPr>
            </w:pPr>
          </w:p>
        </w:tc>
        <w:tc>
          <w:tcPr>
            <w:tcW w:w="220" w:type="dxa"/>
            <w:vAlign w:val="bottom"/>
            <w:shd w:val="clear" w:color="auto" w:fill="FEFEFE"/>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81" w:name="page82"/>
    <w:bookmarkEnd w:id="81"/>
    <w:p>
      <w:pPr>
        <w:ind w:left="506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88"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Virtu Financial, Inc.</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4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November 3, 2022</w:t>
            </w:r>
          </w:p>
        </w:tc>
        <w:tc>
          <w:tcPr>
            <w:tcW w:w="1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11"/>
        </w:trPr>
        <w:tc>
          <w:tcPr>
            <w:tcW w:w="1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28"/>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4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November 3, 2022</w:t>
            </w:r>
          </w:p>
        </w:tc>
        <w:tc>
          <w:tcPr>
            <w:tcW w:w="1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P. Galvin</w:t>
            </w:r>
          </w:p>
        </w:tc>
      </w:tr>
      <w:tr>
        <w:trPr>
          <w:trHeight w:val="211"/>
        </w:trPr>
        <w:tc>
          <w:tcPr>
            <w:tcW w:w="1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Sean P. Galvin</w:t>
            </w:r>
          </w:p>
        </w:tc>
      </w:tr>
      <w:tr>
        <w:trPr>
          <w:trHeight w:val="228"/>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838"/>
        </w:trPr>
        <w:tc>
          <w:tcPr>
            <w:tcW w:w="1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81</w:t>
            </w:r>
          </w:p>
        </w:tc>
      </w:tr>
    </w:tbl>
    <w:p>
      <w:pPr>
        <w:sectPr>
          <w:pgSz w:w="11900" w:h="16838" w:orient="portrait"/>
          <w:cols w:equalWidth="0" w:num="1">
            <w:col w:w="10660"/>
          </w:cols>
          <w:pgMar w:left="320" w:top="866" w:right="9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A. Cifu, certify that:</w:t>
      </w:r>
    </w:p>
    <w:p>
      <w:pPr>
        <w:spacing w:after="0" w:line="250" w:lineRule="exact"/>
        <w:rPr>
          <w:sz w:val="20"/>
          <w:szCs w:val="20"/>
          <w:color w:val="auto"/>
        </w:rPr>
      </w:pPr>
    </w:p>
    <w:p>
      <w:pPr>
        <w:ind w:left="640" w:right="180" w:hanging="321"/>
        <w:spacing w:after="0" w:line="296"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September 30, 2022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3, 2022</w:t>
            </w:r>
          </w:p>
        </w:tc>
        <w:tc>
          <w:tcPr>
            <w:tcW w:w="254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11"/>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28"/>
        </w:trPr>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6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CFO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Galvin, certify that:</w:t>
      </w:r>
    </w:p>
    <w:p>
      <w:pPr>
        <w:spacing w:after="0" w:line="224" w:lineRule="exact"/>
        <w:rPr>
          <w:sz w:val="20"/>
          <w:szCs w:val="20"/>
          <w:color w:val="auto"/>
        </w:rPr>
      </w:pPr>
    </w:p>
    <w:p>
      <w:pPr>
        <w:ind w:left="640" w:right="180" w:hanging="321"/>
        <w:spacing w:after="0" w:line="296"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September 30, 2022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3, 2022</w:t>
            </w:r>
          </w:p>
        </w:tc>
        <w:tc>
          <w:tcPr>
            <w:tcW w:w="254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Sean P. Galvin</w:t>
            </w:r>
          </w:p>
        </w:tc>
      </w:tr>
      <w:tr>
        <w:trPr>
          <w:trHeight w:val="211"/>
        </w:trPr>
        <w:tc>
          <w:tcPr>
            <w:tcW w:w="36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Sean Galvin</w:t>
            </w:r>
          </w:p>
        </w:tc>
      </w:tr>
      <w:tr>
        <w:trPr>
          <w:trHeight w:val="228"/>
        </w:trPr>
        <w:tc>
          <w:tcPr>
            <w:tcW w:w="36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66"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September 30, 2022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0" w:lineRule="exact"/>
        <w:rPr>
          <w:sz w:val="20"/>
          <w:szCs w:val="20"/>
          <w:color w:val="auto"/>
        </w:rPr>
      </w:pPr>
    </w:p>
    <w:p>
      <w:pPr>
        <w:ind w:left="1280" w:hanging="175"/>
        <w:spacing w:after="0"/>
        <w:tabs>
          <w:tab w:leader="none" w:pos="12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20320</wp:posOffset>
            </wp:positionV>
            <wp:extent cx="34766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Douglas A. Cifu</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November 3, 2022</w:t>
      </w:r>
    </w:p>
    <w:p>
      <w:pPr>
        <w:sectPr>
          <w:pgSz w:w="11900" w:h="16838" w:orient="portrait"/>
          <w:cols w:equalWidth="0" w:num="1">
            <w:col w:w="11240"/>
          </w:cols>
          <w:pgMar w:left="320" w:top="866"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September 30, 2022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64" w:lineRule="exact"/>
        <w:rPr>
          <w:sz w:val="20"/>
          <w:szCs w:val="20"/>
          <w:color w:val="auto"/>
        </w:rPr>
      </w:pPr>
    </w:p>
    <w:p>
      <w:pPr>
        <w:ind w:left="1280" w:hanging="175"/>
        <w:spacing w:after="0"/>
        <w:tabs>
          <w:tab w:leader="none" w:pos="12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20320</wp:posOffset>
            </wp:positionV>
            <wp:extent cx="34931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9313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Sean Galvin</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November 3, 2022</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lvl w:ilvl="1">
      <w:lvlJc w:val="left"/>
      <w:lvlText w:val="(%2)"/>
      <w:numFmt w:val="decimal"/>
      <w:start w:val="1"/>
    </w:lvl>
  </w:abstractNum>
  <w:abstractNum w:abstractNumId="10">
    <w:nsid w:val="3F2DBA31"/>
    <w:multiLevelType w:val="hybridMultilevel"/>
    <w:lvl w:ilvl="0">
      <w:lvlJc w:val="left"/>
      <w:lvlText w:val="%1."/>
      <w:numFmt w:val="decimal"/>
      <w:start w:val="18"/>
    </w:lvl>
    <w:lvl w:ilvl="1">
      <w:lvlJc w:val="left"/>
      <w:lvlText w:val="%2"/>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3"/>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2022-11-03T14:12:09Z</dcterms:created>
  <dcterms:modified xsi:type="dcterms:W3CDTF">2022-11-03T14:12:09Z</dcterms:modified>
</cp:coreProperties>
</file>