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ind w:right="120"/>
        <w:spacing w:after="0"/>
        <w:rPr>
          <w:sz w:val="20"/>
          <w:szCs w:val="20"/>
          <w:color w:val="auto"/>
        </w:rPr>
      </w:pPr>
      <w:r>
        <w:rPr>
          <w:rFonts w:ascii="Arial" w:cs="Arial" w:eastAsia="Arial" w:hAnsi="Arial"/>
          <w:sz w:val="24"/>
          <w:szCs w:val="24"/>
          <w:b w:val="1"/>
          <w:bCs w:val="1"/>
          <w:color w:val="auto"/>
        </w:rPr>
        <w:t>FORM 10-Q</w:t>
      </w:r>
    </w:p>
    <w:p>
      <w:pPr>
        <w:spacing w:after="0" w:line="3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(Mark One)</w:t>
      </w:r>
    </w:p>
    <w:p>
      <w:pPr>
        <w:spacing w:after="0" w:line="99" w:lineRule="exact"/>
        <w:rPr>
          <w:sz w:val="24"/>
          <w:szCs w:val="24"/>
          <w:color w:val="auto"/>
        </w:rPr>
      </w:pPr>
    </w:p>
    <w:p>
      <w:pPr>
        <w:jc w:val="center"/>
        <w:ind w:left="3720" w:right="1160" w:hanging="2655"/>
        <w:spacing w:after="0" w:line="289" w:lineRule="auto"/>
        <w:tabs>
          <w:tab w:leader="none" w:pos="127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September 30,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 (d) OF THE SECURITIES EXCHANGE ACT OF 1934</w:t>
      </w:r>
    </w:p>
    <w:p>
      <w:pPr>
        <w:spacing w:after="0" w:line="34" w:lineRule="exact"/>
        <w:rPr>
          <w:sz w:val="24"/>
          <w:szCs w:val="24"/>
          <w:color w:val="auto"/>
        </w:rPr>
      </w:pPr>
    </w:p>
    <w:p>
      <w:pPr>
        <w:ind w:left="420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Virtu Financial, Inc.</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2"/>
          <w:szCs w:val="12"/>
          <w:color w:val="auto"/>
        </w:rPr>
        <w:t>(Exact name of registrant as specified in its charter)</w:t>
      </w:r>
    </w:p>
    <w:p>
      <w:pPr>
        <w:spacing w:after="0" w:line="31" w:lineRule="exact"/>
        <w:rPr>
          <w:sz w:val="24"/>
          <w:szCs w:val="24"/>
          <w:color w:val="auto"/>
        </w:rPr>
      </w:pPr>
    </w:p>
    <w:tbl>
      <w:tblPr>
        <w:tblLayout w:type="fixed"/>
        <w:tblInd w:w="1160" w:type="dxa"/>
        <w:tblCellMar>
          <w:top w:w="0" w:type="dxa"/>
          <w:left w:w="0" w:type="dxa"/>
          <w:bottom w:w="0" w:type="dxa"/>
          <w:right w:w="0" w:type="dxa"/>
        </w:tblCellMar>
      </w:tblPr>
      <w:tr>
        <w:trPr>
          <w:trHeight w:val="223"/>
        </w:trPr>
        <w:tc>
          <w:tcPr>
            <w:tcW w:w="4780" w:type="dxa"/>
            <w:vAlign w:val="bottom"/>
          </w:tcPr>
          <w:p>
            <w:pPr>
              <w:jc w:val="center"/>
              <w:ind w:right="1387"/>
              <w:spacing w:after="0"/>
              <w:rPr>
                <w:sz w:val="20"/>
                <w:szCs w:val="20"/>
                <w:color w:val="auto"/>
              </w:rPr>
            </w:pPr>
            <w:r>
              <w:rPr>
                <w:rFonts w:ascii="Arial" w:cs="Arial" w:eastAsia="Arial" w:hAnsi="Arial"/>
                <w:sz w:val="17"/>
                <w:szCs w:val="17"/>
                <w:b w:val="1"/>
                <w:bCs w:val="1"/>
                <w:color w:val="auto"/>
                <w:w w:val="96"/>
              </w:rPr>
              <w:t>Delaware</w:t>
            </w:r>
          </w:p>
        </w:tc>
        <w:tc>
          <w:tcPr>
            <w:tcW w:w="350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r>
      <w:tr>
        <w:trPr>
          <w:trHeight w:val="178"/>
        </w:trPr>
        <w:tc>
          <w:tcPr>
            <w:tcW w:w="4780" w:type="dxa"/>
            <w:vAlign w:val="bottom"/>
          </w:tcPr>
          <w:p>
            <w:pPr>
              <w:jc w:val="center"/>
              <w:ind w:right="1387"/>
              <w:spacing w:after="0"/>
              <w:rPr>
                <w:sz w:val="20"/>
                <w:szCs w:val="20"/>
                <w:color w:val="auto"/>
              </w:rPr>
            </w:pPr>
            <w:r>
              <w:rPr>
                <w:rFonts w:ascii="Arial" w:cs="Arial" w:eastAsia="Arial" w:hAnsi="Arial"/>
                <w:sz w:val="14"/>
                <w:szCs w:val="14"/>
                <w:color w:val="auto"/>
                <w:w w:val="91"/>
              </w:rPr>
              <w:t>(State or other jurisdiction of incorporation or organization)</w:t>
            </w:r>
          </w:p>
        </w:tc>
        <w:tc>
          <w:tcPr>
            <w:tcW w:w="3500" w:type="dxa"/>
            <w:vAlign w:val="bottom"/>
          </w:tcPr>
          <w:p>
            <w:pPr>
              <w:jc w:val="center"/>
              <w:ind w:left="1386"/>
              <w:spacing w:after="0"/>
              <w:rPr>
                <w:sz w:val="20"/>
                <w:szCs w:val="20"/>
                <w:color w:val="auto"/>
              </w:rPr>
            </w:pPr>
            <w:r>
              <w:rPr>
                <w:rFonts w:ascii="Arial" w:cs="Arial" w:eastAsia="Arial" w:hAnsi="Arial"/>
                <w:sz w:val="14"/>
                <w:szCs w:val="14"/>
                <w:color w:val="auto"/>
                <w:w w:val="94"/>
              </w:rPr>
              <w:t>(I.R.S. Employer Identification No.)</w:t>
            </w:r>
          </w:p>
        </w:tc>
      </w:tr>
      <w:tr>
        <w:trPr>
          <w:trHeight w:val="341"/>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3"/>
              </w:rPr>
              <w:t>One Liberty Plaza</w:t>
            </w:r>
          </w:p>
        </w:tc>
        <w:tc>
          <w:tcPr>
            <w:tcW w:w="3500" w:type="dxa"/>
            <w:vAlign w:val="bottom"/>
          </w:tcPr>
          <w:p>
            <w:pPr>
              <w:spacing w:after="0"/>
              <w:rPr>
                <w:sz w:val="24"/>
                <w:szCs w:val="24"/>
                <w:color w:val="auto"/>
              </w:rPr>
            </w:pPr>
          </w:p>
        </w:tc>
      </w:tr>
      <w:tr>
        <w:trPr>
          <w:trHeight w:val="210"/>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1"/>
              </w:rPr>
              <w:t>165 Broadway</w:t>
            </w:r>
          </w:p>
        </w:tc>
        <w:tc>
          <w:tcPr>
            <w:tcW w:w="3500" w:type="dxa"/>
            <w:vAlign w:val="bottom"/>
          </w:tcPr>
          <w:p>
            <w:pPr>
              <w:spacing w:after="0"/>
              <w:rPr>
                <w:sz w:val="18"/>
                <w:szCs w:val="18"/>
                <w:color w:val="auto"/>
              </w:rPr>
            </w:pPr>
          </w:p>
        </w:tc>
      </w:tr>
      <w:tr>
        <w:trPr>
          <w:trHeight w:val="196"/>
        </w:trPr>
        <w:tc>
          <w:tcPr>
            <w:tcW w:w="4780" w:type="dxa"/>
            <w:vAlign w:val="bottom"/>
          </w:tcPr>
          <w:p>
            <w:pPr>
              <w:ind w:left="1480"/>
              <w:spacing w:after="0"/>
              <w:rPr>
                <w:sz w:val="20"/>
                <w:szCs w:val="20"/>
                <w:color w:val="auto"/>
              </w:rPr>
            </w:pPr>
            <w:r>
              <w:rPr>
                <w:rFonts w:ascii="Arial" w:cs="Arial" w:eastAsia="Arial" w:hAnsi="Arial"/>
                <w:sz w:val="14"/>
                <w:szCs w:val="14"/>
                <w:b w:val="1"/>
                <w:bCs w:val="1"/>
                <w:color w:val="auto"/>
              </w:rPr>
              <w:t>New York, New York</w:t>
            </w:r>
          </w:p>
        </w:tc>
        <w:tc>
          <w:tcPr>
            <w:tcW w:w="3500" w:type="dxa"/>
            <w:vAlign w:val="bottom"/>
          </w:tcPr>
          <w:p>
            <w:pPr>
              <w:jc w:val="right"/>
              <w:ind w:right="1226"/>
              <w:spacing w:after="0"/>
              <w:rPr>
                <w:sz w:val="20"/>
                <w:szCs w:val="20"/>
                <w:color w:val="auto"/>
              </w:rPr>
            </w:pPr>
            <w:r>
              <w:rPr>
                <w:rFonts w:ascii="Arial" w:cs="Arial" w:eastAsia="Arial" w:hAnsi="Arial"/>
                <w:sz w:val="14"/>
                <w:szCs w:val="14"/>
                <w:b w:val="1"/>
                <w:bCs w:val="1"/>
                <w:color w:val="auto"/>
              </w:rPr>
              <w:t>10006</w:t>
            </w:r>
          </w:p>
        </w:tc>
      </w:tr>
      <w:tr>
        <w:trPr>
          <w:trHeight w:val="183"/>
        </w:trPr>
        <w:tc>
          <w:tcPr>
            <w:tcW w:w="4780" w:type="dxa"/>
            <w:vAlign w:val="bottom"/>
          </w:tcPr>
          <w:p>
            <w:pPr>
              <w:jc w:val="center"/>
              <w:ind w:right="447"/>
              <w:spacing w:after="0"/>
              <w:rPr>
                <w:sz w:val="20"/>
                <w:szCs w:val="20"/>
                <w:color w:val="auto"/>
              </w:rPr>
            </w:pPr>
            <w:r>
              <w:rPr>
                <w:rFonts w:ascii="Arial" w:cs="Arial" w:eastAsia="Arial" w:hAnsi="Arial"/>
                <w:sz w:val="14"/>
                <w:szCs w:val="14"/>
                <w:color w:val="auto"/>
                <w:w w:val="92"/>
              </w:rPr>
              <w:t>(Address of principal executive offices)</w:t>
            </w:r>
          </w:p>
        </w:tc>
        <w:tc>
          <w:tcPr>
            <w:tcW w:w="3500" w:type="dxa"/>
            <w:vAlign w:val="bottom"/>
          </w:tcPr>
          <w:p>
            <w:pPr>
              <w:jc w:val="center"/>
              <w:ind w:left="486"/>
              <w:spacing w:after="0"/>
              <w:rPr>
                <w:sz w:val="20"/>
                <w:szCs w:val="20"/>
                <w:color w:val="auto"/>
              </w:rPr>
            </w:pPr>
            <w:r>
              <w:rPr>
                <w:rFonts w:ascii="Arial" w:cs="Arial" w:eastAsia="Arial" w:hAnsi="Arial"/>
                <w:sz w:val="14"/>
                <w:szCs w:val="14"/>
                <w:color w:val="auto"/>
                <w:w w:val="93"/>
              </w:rPr>
              <w:t>(Zip Code)</w:t>
            </w:r>
          </w:p>
        </w:tc>
      </w:tr>
    </w:tbl>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(Registrant’s telephone number, including area code)</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42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8"/>
              </w:rPr>
              <w:t>Trading symbol(s)</w:t>
            </w:r>
          </w:p>
        </w:tc>
        <w:tc>
          <w:tcPr>
            <w:tcW w:w="120" w:type="dxa"/>
            <w:vAlign w:val="bottom"/>
            <w:tcBorders>
              <w:bottom w:val="single" w:sz="8" w:color="CCEEFF"/>
            </w:tcBorders>
          </w:tcPr>
          <w:p>
            <w:pPr>
              <w:spacing w:after="0"/>
              <w:rPr>
                <w:sz w:val="16"/>
                <w:szCs w:val="16"/>
                <w:color w:val="auto"/>
              </w:rPr>
            </w:pPr>
          </w:p>
        </w:tc>
        <w:tc>
          <w:tcPr>
            <w:tcW w:w="406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8"/>
        </w:trPr>
        <w:tc>
          <w:tcPr>
            <w:tcW w:w="4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Class A common stock, par value $0.00001 per share</w:t>
            </w:r>
          </w:p>
        </w:tc>
        <w:tc>
          <w:tcPr>
            <w:tcW w:w="2240" w:type="dxa"/>
            <w:vAlign w:val="bottom"/>
            <w:gridSpan w:val="2"/>
            <w:shd w:val="clear" w:color="auto" w:fill="CCEEFF"/>
          </w:tcPr>
          <w:p>
            <w:pPr>
              <w:jc w:val="center"/>
              <w:ind w:left="126"/>
              <w:spacing w:after="0"/>
              <w:rPr>
                <w:sz w:val="20"/>
                <w:szCs w:val="20"/>
                <w:color w:val="auto"/>
              </w:rPr>
            </w:pPr>
            <w:r>
              <w:rPr>
                <w:rFonts w:ascii="Arial" w:cs="Arial" w:eastAsia="Arial" w:hAnsi="Arial"/>
                <w:sz w:val="16"/>
                <w:szCs w:val="16"/>
                <w:color w:val="auto"/>
                <w:w w:val="98"/>
              </w:rPr>
              <w:t>VIRT</w:t>
            </w:r>
          </w:p>
        </w:tc>
        <w:tc>
          <w:tcPr>
            <w:tcW w:w="4060" w:type="dxa"/>
            <w:vAlign w:val="bottom"/>
            <w:shd w:val="clear" w:color="auto" w:fill="CCEEFF"/>
          </w:tcPr>
          <w:p>
            <w:pPr>
              <w:jc w:val="center"/>
              <w:ind w:left="206"/>
              <w:spacing w:after="0"/>
              <w:rPr>
                <w:sz w:val="20"/>
                <w:szCs w:val="20"/>
                <w:color w:val="auto"/>
              </w:rPr>
            </w:pPr>
            <w:r>
              <w:rPr>
                <w:rFonts w:ascii="Arial" w:cs="Arial" w:eastAsia="Arial" w:hAnsi="Arial"/>
                <w:sz w:val="16"/>
                <w:szCs w:val="16"/>
                <w:color w:val="auto"/>
                <w:w w:val="94"/>
              </w:rPr>
              <w:t>The NASDAQ Stock Market LLC</w:t>
            </w:r>
          </w:p>
        </w:tc>
      </w:tr>
    </w:tbl>
    <w:p>
      <w:pPr>
        <w:spacing w:after="0" w:line="95" w:lineRule="exact"/>
        <w:rPr>
          <w:sz w:val="24"/>
          <w:szCs w:val="24"/>
          <w:color w:val="auto"/>
        </w:rPr>
      </w:pPr>
    </w:p>
    <w:p>
      <w:pPr>
        <w:jc w:val="both"/>
        <w:ind w:right="180" w:firstLine="314"/>
        <w:spacing w:after="0" w:line="29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ind w:right="520" w:firstLine="314"/>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6" w:lineRule="exact"/>
        <w:rPr>
          <w:sz w:val="24"/>
          <w:szCs w:val="24"/>
          <w:color w:val="auto"/>
        </w:rPr>
      </w:pPr>
    </w:p>
    <w:p>
      <w:pPr>
        <w:ind w:right="260" w:firstLine="314"/>
        <w:spacing w:after="0" w:line="37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p>
      <w:pPr>
        <w:jc w:val="right"/>
        <w:ind w:left="1180" w:right="880"/>
        <w:spacing w:after="0" w:line="236"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100" w:firstLine="314"/>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2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2000" w:type="dxa"/>
            <w:vAlign w:val="bottom"/>
          </w:tcPr>
          <w:p>
            <w:pPr>
              <w:ind w:left="520"/>
              <w:spacing w:after="0"/>
              <w:rPr>
                <w:sz w:val="20"/>
                <w:szCs w:val="20"/>
                <w:color w:val="auto"/>
              </w:rPr>
            </w:pPr>
            <w:r>
              <w:rPr>
                <w:rFonts w:ascii="Arial" w:cs="Arial" w:eastAsia="Arial" w:hAnsi="Arial"/>
                <w:sz w:val="14"/>
                <w:szCs w:val="14"/>
                <w:b w:val="1"/>
                <w:bCs w:val="1"/>
                <w:color w:val="auto"/>
                <w:w w:val="87"/>
              </w:rPr>
              <w:t>Shares outstanding as of</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42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November 3, 2021</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44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A common stock, par value $0.00001 per share</w:t>
            </w:r>
          </w:p>
        </w:tc>
        <w:tc>
          <w:tcPr>
            <w:tcW w:w="20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w w:val="87"/>
              </w:rPr>
              <w:t>112,339,058</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4400" w:type="dxa"/>
            <w:vAlign w:val="bottom"/>
            <w:gridSpan w:val="2"/>
          </w:tcPr>
          <w:p>
            <w:pPr>
              <w:ind w:left="480"/>
              <w:spacing w:after="0"/>
              <w:rPr>
                <w:sz w:val="20"/>
                <w:szCs w:val="20"/>
                <w:color w:val="auto"/>
              </w:rPr>
            </w:pPr>
            <w:r>
              <w:rPr>
                <w:rFonts w:ascii="Arial" w:cs="Arial" w:eastAsia="Arial" w:hAnsi="Arial"/>
                <w:sz w:val="16"/>
                <w:szCs w:val="16"/>
                <w:color w:val="auto"/>
              </w:rPr>
              <w:t>Class C common stock, par value $0.00001 per share</w:t>
            </w:r>
          </w:p>
        </w:tc>
        <w:tc>
          <w:tcPr>
            <w:tcW w:w="2000" w:type="dxa"/>
            <w:vAlign w:val="bottom"/>
          </w:tcPr>
          <w:p>
            <w:pPr>
              <w:jc w:val="center"/>
              <w:ind w:left="405"/>
              <w:spacing w:after="0"/>
              <w:rPr>
                <w:sz w:val="20"/>
                <w:szCs w:val="20"/>
                <w:color w:val="auto"/>
              </w:rPr>
            </w:pPr>
            <w:r>
              <w:rPr>
                <w:rFonts w:ascii="Arial" w:cs="Arial" w:eastAsia="Arial" w:hAnsi="Arial"/>
                <w:sz w:val="16"/>
                <w:szCs w:val="16"/>
                <w:color w:val="auto"/>
                <w:w w:val="89"/>
              </w:rPr>
              <w:t>9,763,065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44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D common stock, par value $0.00001 per share</w:t>
            </w:r>
          </w:p>
        </w:tc>
        <w:tc>
          <w:tcPr>
            <w:tcW w:w="20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w w:val="87"/>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4" w:right="2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 ENDED September 30, 2021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PAGE</w:t>
            </w:r>
          </w:p>
        </w:tc>
      </w:tr>
      <w:tr>
        <w:trPr>
          <w:trHeight w:val="182"/>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NUMBER</w:t>
            </w:r>
          </w:p>
        </w:tc>
      </w:tr>
      <w:tr>
        <w:trPr>
          <w:trHeight w:val="400"/>
        </w:trPr>
        <w:tc>
          <w:tcPr>
            <w:tcW w:w="660" w:type="dxa"/>
            <w:vAlign w:val="bottom"/>
            <w:gridSpan w:val="2"/>
          </w:tcPr>
          <w:p>
            <w:pPr>
              <w:spacing w:after="0"/>
              <w:rPr>
                <w:sz w:val="20"/>
                <w:szCs w:val="20"/>
                <w:color w:val="auto"/>
              </w:rPr>
            </w:pPr>
            <w:r>
              <w:rPr>
                <w:rFonts w:ascii="Arial" w:cs="Arial" w:eastAsia="Arial" w:hAnsi="Arial"/>
                <w:sz w:val="17"/>
                <w:szCs w:val="17"/>
                <w:color w:val="0000FF"/>
                <w:w w:val="98"/>
              </w:rPr>
              <w:t>PART I -</w:t>
            </w:r>
          </w:p>
        </w:tc>
        <w:tc>
          <w:tcPr>
            <w:tcW w:w="760" w:type="dxa"/>
            <w:vAlign w:val="bottom"/>
            <w:gridSpan w:val="2"/>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FINANCIAL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3">
              <w:r>
                <w:rPr>
                  <w:rFonts w:ascii="Arial" w:cs="Arial" w:eastAsia="Arial" w:hAnsi="Arial"/>
                  <w:sz w:val="17"/>
                  <w:szCs w:val="17"/>
                  <w:color w:val="0000FF"/>
                  <w:w w:val="99"/>
                </w:rPr>
                <w:t>Item 1.</w:t>
              </w:r>
            </w:hyperlink>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Financial Statements</w:t>
              </w:r>
            </w:hyperlink>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Financial Condition (Unaudited)</w:t>
              </w:r>
            </w:hyperlink>
          </w:p>
        </w:tc>
        <w:tc>
          <w:tcPr>
            <w:tcW w:w="350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20" w:type="dxa"/>
            <w:vAlign w:val="bottom"/>
            <w:tcBorders>
              <w:bottom w:val="single" w:sz="8" w:color="0000FF"/>
            </w:tcBorders>
            <w:gridSpan w:val="16"/>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Condensed Consolidated Statements of Comprehensive Income (Loss) (Unaudited)</w:t>
              </w:r>
            </w:hyperlink>
          </w:p>
        </w:tc>
        <w:tc>
          <w:tcPr>
            <w:tcW w:w="2740" w:type="dxa"/>
            <w:vAlign w:val="bottom"/>
            <w:gridSpan w:val="2"/>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bottom w:val="single" w:sz="8" w:color="0000FF"/>
            </w:tcBorders>
            <w:gridSpan w:val="14"/>
          </w:tcPr>
          <w:p>
            <w:pPr>
              <w:spacing w:after="0"/>
              <w:rPr>
                <w:rFonts w:ascii="Arial" w:cs="Arial" w:eastAsia="Arial" w:hAnsi="Arial"/>
                <w:sz w:val="17"/>
                <w:szCs w:val="17"/>
                <w:color w:val="0000FF"/>
                <w:w w:val="92"/>
              </w:rPr>
            </w:pPr>
            <w:hyperlink w:anchor="page6">
              <w:r>
                <w:rPr>
                  <w:rFonts w:ascii="Arial" w:cs="Arial" w:eastAsia="Arial" w:hAnsi="Arial"/>
                  <w:sz w:val="17"/>
                  <w:szCs w:val="17"/>
                  <w:color w:val="0000FF"/>
                  <w:w w:val="92"/>
                </w:rPr>
                <w:t>Condensed Consolidated Statements of Changes in Equity (Unaudited)</w:t>
              </w:r>
            </w:hyperlink>
          </w:p>
        </w:tc>
        <w:tc>
          <w:tcPr>
            <w:tcW w:w="3600" w:type="dxa"/>
            <w:vAlign w:val="bottom"/>
            <w:gridSpan w:val="4"/>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8"/>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Condensed Consolidated Statements of Cash Flows (Unaudited)</w:t>
              </w:r>
            </w:hyperlink>
          </w:p>
        </w:tc>
        <w:tc>
          <w:tcPr>
            <w:tcW w:w="116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rPr>
                <w:rFonts w:ascii="Arial" w:cs="Arial" w:eastAsia="Arial" w:hAnsi="Arial"/>
                <w:sz w:val="17"/>
                <w:szCs w:val="17"/>
                <w:color w:val="0000FF"/>
                <w:w w:val="91"/>
              </w:rPr>
            </w:pPr>
            <w:hyperlink w:anchor="page11">
              <w:r>
                <w:rPr>
                  <w:rFonts w:ascii="Arial" w:cs="Arial" w:eastAsia="Arial" w:hAnsi="Arial"/>
                  <w:sz w:val="17"/>
                  <w:szCs w:val="17"/>
                  <w:color w:val="0000FF"/>
                  <w:w w:val="91"/>
                </w:rPr>
                <w:t>Notes to Condensed Consolidated Financial Statements (Unaudited)</w:t>
              </w:r>
            </w:hyperlink>
          </w:p>
        </w:tc>
        <w:tc>
          <w:tcPr>
            <w:tcW w:w="3800" w:type="dxa"/>
            <w:vAlign w:val="bottom"/>
            <w:gridSpan w:val="5"/>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11">
              <w:r>
                <w:rPr>
                  <w:rFonts w:ascii="Arial" w:cs="Arial" w:eastAsia="Arial" w:hAnsi="Arial"/>
                  <w:sz w:val="17"/>
                  <w:szCs w:val="17"/>
                  <w:color w:val="0000FF"/>
                </w:rPr>
                <w:t>11</w:t>
              </w:r>
            </w:hyperlink>
          </w:p>
        </w:tc>
      </w:tr>
      <w:tr>
        <w:trPr>
          <w:trHeight w:val="425"/>
        </w:trPr>
        <w:tc>
          <w:tcPr>
            <w:tcW w:w="540" w:type="dxa"/>
            <w:vAlign w:val="bottom"/>
          </w:tcPr>
          <w:p>
            <w:pPr>
              <w:spacing w:after="0"/>
              <w:rPr>
                <w:rFonts w:ascii="Arial" w:cs="Arial" w:eastAsia="Arial" w:hAnsi="Arial"/>
                <w:sz w:val="17"/>
                <w:szCs w:val="17"/>
                <w:color w:val="0000FF"/>
                <w:w w:val="99"/>
              </w:rPr>
            </w:pPr>
            <w:hyperlink w:anchor="page47">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r>
      <w:tr>
        <w:trPr>
          <w:trHeight w:val="425"/>
        </w:trPr>
        <w:tc>
          <w:tcPr>
            <w:tcW w:w="540" w:type="dxa"/>
            <w:vAlign w:val="bottom"/>
            <w:tcBorders>
              <w:top w:val="single" w:sz="8" w:color="0000FF"/>
            </w:tcBorders>
          </w:tcPr>
          <w:p>
            <w:pPr>
              <w:spacing w:after="0"/>
              <w:rPr>
                <w:rFonts w:ascii="Arial" w:cs="Arial" w:eastAsia="Arial" w:hAnsi="Arial"/>
                <w:sz w:val="17"/>
                <w:szCs w:val="17"/>
                <w:color w:val="0000FF"/>
                <w:w w:val="99"/>
              </w:rPr>
            </w:pPr>
            <w:hyperlink w:anchor="page76">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6260" w:type="dxa"/>
            <w:vAlign w:val="bottom"/>
            <w:tcBorders>
              <w:top w:val="single" w:sz="8" w:color="0000FF"/>
            </w:tcBorders>
            <w:gridSpan w:val="17"/>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Quantitative and Qualitative Disclosures About Market Risk</w:t>
              </w:r>
            </w:hyperlink>
          </w:p>
        </w:tc>
        <w:tc>
          <w:tcPr>
            <w:tcW w:w="230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76</w:t>
              </w:r>
            </w:hyperlink>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79">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0"/>
              </w:rPr>
            </w:pPr>
            <w:hyperlink w:anchor="page79">
              <w:r>
                <w:rPr>
                  <w:rFonts w:ascii="Arial" w:cs="Arial" w:eastAsia="Arial" w:hAnsi="Arial"/>
                  <w:sz w:val="17"/>
                  <w:szCs w:val="17"/>
                  <w:color w:val="0000FF"/>
                  <w:w w:val="90"/>
                </w:rPr>
                <w:t>Controls and Procedures</w:t>
              </w:r>
            </w:hyperlink>
          </w:p>
        </w:tc>
        <w:tc>
          <w:tcPr>
            <w:tcW w:w="2500" w:type="dxa"/>
            <w:vAlign w:val="bottom"/>
            <w:tcBorders>
              <w:top w:val="single" w:sz="8" w:color="0000FF"/>
            </w:tcBorders>
            <w:gridSpan w:val="4"/>
          </w:tcPr>
          <w:p>
            <w:pPr>
              <w:spacing w:after="0"/>
              <w:rPr>
                <w:sz w:val="24"/>
                <w:szCs w:val="24"/>
                <w:color w:val="auto"/>
              </w:rPr>
            </w:pPr>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9">
              <w:r>
                <w:rPr>
                  <w:rFonts w:ascii="Arial" w:cs="Arial" w:eastAsia="Arial" w:hAnsi="Arial"/>
                  <w:sz w:val="17"/>
                  <w:szCs w:val="17"/>
                  <w:color w:val="0000FF"/>
                </w:rPr>
                <w:t>78</w:t>
              </w:r>
            </w:hyperlink>
          </w:p>
        </w:tc>
      </w:tr>
      <w:tr>
        <w:trPr>
          <w:trHeight w:val="425"/>
        </w:trPr>
        <w:tc>
          <w:tcPr>
            <w:tcW w:w="720" w:type="dxa"/>
            <w:vAlign w:val="bottom"/>
            <w:gridSpan w:val="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PART II -</w:t>
              </w:r>
            </w:hyperlink>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OTHER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1.</w:t>
              </w:r>
            </w:hyperlink>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0"/>
              </w:rPr>
            </w:pPr>
            <w:hyperlink w:anchor="page80">
              <w:r>
                <w:rPr>
                  <w:rFonts w:ascii="Arial" w:cs="Arial" w:eastAsia="Arial" w:hAnsi="Arial"/>
                  <w:sz w:val="17"/>
                  <w:szCs w:val="17"/>
                  <w:color w:val="0000FF"/>
                  <w:w w:val="90"/>
                </w:rPr>
                <w:t>Legal Proceedings</w:t>
              </w:r>
            </w:hyperlink>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0"/>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660" w:type="dxa"/>
            <w:vAlign w:val="bottom"/>
            <w:tcBorders>
              <w:bottom w:val="single" w:sz="8" w:color="0000FF"/>
            </w:tcBorders>
            <w:gridSpan w:val="2"/>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Item 1A.</w:t>
              </w:r>
            </w:hyperlink>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80">
              <w:r>
                <w:rPr>
                  <w:rFonts w:ascii="Arial" w:cs="Arial" w:eastAsia="Arial" w:hAnsi="Arial"/>
                  <w:sz w:val="17"/>
                  <w:szCs w:val="17"/>
                  <w:color w:val="0000FF"/>
                  <w:w w:val="90"/>
                </w:rPr>
                <w:t>Risk Factors</w:t>
              </w:r>
            </w:hyperlink>
          </w:p>
        </w:tc>
        <w:tc>
          <w:tcPr>
            <w:tcW w:w="7680" w:type="dxa"/>
            <w:vAlign w:val="bottom"/>
            <w:gridSpan w:val="16"/>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rFonts w:ascii="Arial" w:cs="Arial" w:eastAsia="Arial" w:hAnsi="Arial"/>
                <w:sz w:val="17"/>
                <w:szCs w:val="17"/>
                <w:color w:val="0000FF"/>
                <w:w w:val="91"/>
              </w:rPr>
            </w:pPr>
            <w:hyperlink w:anchor="page80">
              <w:r>
                <w:rPr>
                  <w:rFonts w:ascii="Arial" w:cs="Arial" w:eastAsia="Arial" w:hAnsi="Arial"/>
                  <w:sz w:val="17"/>
                  <w:szCs w:val="17"/>
                  <w:color w:val="0000FF"/>
                  <w:w w:val="91"/>
                </w:rPr>
                <w:t>Unregistered Sales of Equity Securities and Use of Proceeds</w:t>
              </w:r>
            </w:hyperlink>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80">
              <w:r>
                <w:rPr>
                  <w:rFonts w:ascii="Arial" w:cs="Arial" w:eastAsia="Arial" w:hAnsi="Arial"/>
                  <w:sz w:val="17"/>
                  <w:szCs w:val="17"/>
                  <w:color w:val="0000FF"/>
                  <w:w w:val="92"/>
                </w:rPr>
                <w:t>Defaults Upon Senior Securities</w:t>
              </w:r>
            </w:hyperlink>
          </w:p>
        </w:tc>
        <w:tc>
          <w:tcPr>
            <w:tcW w:w="6300" w:type="dxa"/>
            <w:vAlign w:val="bottom"/>
            <w:gridSpan w:val="8"/>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79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0">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rFonts w:ascii="Arial" w:cs="Arial" w:eastAsia="Arial" w:hAnsi="Arial"/>
                <w:sz w:val="17"/>
                <w:szCs w:val="17"/>
                <w:color w:val="0000FF"/>
                <w:w w:val="93"/>
              </w:rPr>
            </w:pPr>
            <w:hyperlink w:anchor="page80">
              <w:r>
                <w:rPr>
                  <w:rFonts w:ascii="Arial" w:cs="Arial" w:eastAsia="Arial" w:hAnsi="Arial"/>
                  <w:sz w:val="17"/>
                  <w:szCs w:val="17"/>
                  <w:color w:val="0000FF"/>
                  <w:w w:val="93"/>
                </w:rPr>
                <w:t>Mine Safety Disclosures</w:t>
              </w:r>
            </w:hyperlink>
          </w:p>
        </w:tc>
        <w:tc>
          <w:tcPr>
            <w:tcW w:w="6840" w:type="dxa"/>
            <w:vAlign w:val="bottom"/>
            <w:gridSpan w:val="11"/>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0">
              <w:r>
                <w:rPr>
                  <w:rFonts w:ascii="Arial" w:cs="Arial" w:eastAsia="Arial" w:hAnsi="Arial"/>
                  <w:sz w:val="17"/>
                  <w:szCs w:val="17"/>
                  <w:color w:val="0000FF"/>
                </w:rPr>
                <w:t>80</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1">
              <w:r>
                <w:rPr>
                  <w:rFonts w:ascii="Arial" w:cs="Arial" w:eastAsia="Arial" w:hAnsi="Arial"/>
                  <w:sz w:val="17"/>
                  <w:szCs w:val="17"/>
                  <w:color w:val="0000FF"/>
                  <w:w w:val="99"/>
                </w:rPr>
                <w:t>Item 5.</w:t>
              </w:r>
            </w:hyperlink>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95"/>
              </w:rPr>
            </w:pPr>
            <w:hyperlink w:anchor="page81">
              <w:r>
                <w:rPr>
                  <w:rFonts w:ascii="Arial" w:cs="Arial" w:eastAsia="Arial" w:hAnsi="Arial"/>
                  <w:sz w:val="17"/>
                  <w:szCs w:val="17"/>
                  <w:color w:val="0000FF"/>
                  <w:w w:val="95"/>
                </w:rPr>
                <w:t>Other Information</w:t>
              </w:r>
            </w:hyperlink>
          </w:p>
        </w:tc>
        <w:tc>
          <w:tcPr>
            <w:tcW w:w="7280" w:type="dxa"/>
            <w:vAlign w:val="bottom"/>
            <w:gridSpan w:val="14"/>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1">
              <w:r>
                <w:rPr>
                  <w:rFonts w:ascii="Arial" w:cs="Arial" w:eastAsia="Arial" w:hAnsi="Arial"/>
                  <w:sz w:val="17"/>
                  <w:szCs w:val="17"/>
                  <w:color w:val="0000FF"/>
                </w:rPr>
                <w:t>80</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81">
              <w:r>
                <w:rPr>
                  <w:rFonts w:ascii="Arial" w:cs="Arial" w:eastAsia="Arial" w:hAnsi="Arial"/>
                  <w:sz w:val="17"/>
                  <w:szCs w:val="17"/>
                  <w:color w:val="0000FF"/>
                  <w:w w:val="99"/>
                </w:rPr>
                <w:t>Item 6.</w:t>
              </w:r>
            </w:hyperlink>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7"/>
                <w:szCs w:val="17"/>
                <w:color w:val="0000FF"/>
                <w:w w:val="94"/>
              </w:rPr>
            </w:pPr>
            <w:hyperlink w:anchor="page81">
              <w:r>
                <w:rPr>
                  <w:rFonts w:ascii="Arial" w:cs="Arial" w:eastAsia="Arial" w:hAnsi="Arial"/>
                  <w:sz w:val="17"/>
                  <w:szCs w:val="17"/>
                  <w:color w:val="0000FF"/>
                  <w:w w:val="94"/>
                </w:rPr>
                <w:t>Exhibits</w:t>
              </w:r>
            </w:hyperlink>
          </w:p>
        </w:tc>
        <w:tc>
          <w:tcPr>
            <w:tcW w:w="7980" w:type="dxa"/>
            <w:vAlign w:val="bottom"/>
            <w:gridSpan w:val="1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81">
              <w:r>
                <w:rPr>
                  <w:rFonts w:ascii="Arial" w:cs="Arial" w:eastAsia="Arial" w:hAnsi="Arial"/>
                  <w:sz w:val="17"/>
                  <w:szCs w:val="17"/>
                  <w:color w:val="0000FF"/>
                </w:rPr>
                <w:t>80</w:t>
              </w:r>
            </w:hyperlink>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SIGNATURES</w:t>
              </w:r>
            </w:hyperlink>
          </w:p>
        </w:tc>
        <w:tc>
          <w:tcPr>
            <w:tcW w:w="1160" w:type="dxa"/>
            <w:vAlign w:val="bottom"/>
          </w:tcPr>
          <w:p>
            <w:pPr>
              <w:jc w:val="right"/>
              <w:spacing w:after="0"/>
              <w:rPr>
                <w:rFonts w:ascii="Arial" w:cs="Arial" w:eastAsia="Arial" w:hAnsi="Arial"/>
                <w:sz w:val="17"/>
                <w:szCs w:val="17"/>
                <w:color w:val="0000FF"/>
              </w:rPr>
            </w:pPr>
            <w:hyperlink w:anchor="page81">
              <w:r>
                <w:rPr>
                  <w:rFonts w:ascii="Arial" w:cs="Arial" w:eastAsia="Arial" w:hAnsi="Arial"/>
                  <w:sz w:val="17"/>
                  <w:szCs w:val="17"/>
                  <w:color w:val="0000FF"/>
                </w:rPr>
                <w:t>81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PART I</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55"/>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ITEM 1. FINANCIAL STATEMENTS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Index to Condensed Consolidated Financial Statements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83"/>
        </w:trPr>
        <w:tc>
          <w:tcPr>
            <w:tcW w:w="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NUMBER</w:t>
            </w:r>
          </w:p>
        </w:tc>
      </w:tr>
      <w:tr>
        <w:trPr>
          <w:trHeight w:val="387"/>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Financial Condition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Comprehensive Income (Loss)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5800" w:type="dxa"/>
            <w:vAlign w:val="bottom"/>
            <w:gridSpan w:val="5"/>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Changes in Equity (Unaudited)</w:t>
              </w:r>
            </w:hyperlink>
          </w:p>
        </w:tc>
        <w:tc>
          <w:tcPr>
            <w:tcW w:w="4160" w:type="dxa"/>
            <w:vAlign w:val="bottom"/>
          </w:tcPr>
          <w:p>
            <w:pPr>
              <w:spacing w:after="0"/>
              <w:rPr>
                <w:sz w:val="24"/>
                <w:szCs w:val="24"/>
                <w:color w:val="auto"/>
              </w:rPr>
            </w:pPr>
          </w:p>
        </w:tc>
        <w:tc>
          <w:tcPr>
            <w:tcW w:w="1220" w:type="dxa"/>
            <w:vAlign w:val="bottom"/>
            <w:gridSpan w:val="4"/>
          </w:tcPr>
          <w:p>
            <w:pPr>
              <w:jc w:val="right"/>
              <w:ind w:right="4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4480" w:type="dxa"/>
            <w:vAlign w:val="bottom"/>
          </w:tcPr>
          <w:p>
            <w:pPr>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Condensed Consolidated Statements of Cash Flows (Unaudited)</w:t>
              </w:r>
            </w:hyperlink>
          </w:p>
        </w:tc>
        <w:tc>
          <w:tcPr>
            <w:tcW w:w="460" w:type="dxa"/>
            <w:vAlign w:val="bottom"/>
            <w:gridSpan w:val="2"/>
          </w:tcPr>
          <w:p>
            <w:pPr>
              <w:spacing w:after="0"/>
              <w:rPr>
                <w:sz w:val="24"/>
                <w:szCs w:val="24"/>
                <w:color w:val="auto"/>
              </w:rPr>
            </w:pPr>
          </w:p>
        </w:tc>
        <w:tc>
          <w:tcPr>
            <w:tcW w:w="5020" w:type="dxa"/>
            <w:vAlign w:val="bottom"/>
            <w:gridSpan w:val="3"/>
          </w:tcPr>
          <w:p>
            <w:pPr>
              <w:spacing w:after="0"/>
              <w:rPr>
                <w:sz w:val="24"/>
                <w:szCs w:val="24"/>
                <w:color w:val="auto"/>
              </w:rPr>
            </w:pPr>
          </w:p>
        </w:tc>
        <w:tc>
          <w:tcPr>
            <w:tcW w:w="1220" w:type="dxa"/>
            <w:vAlign w:val="bottom"/>
            <w:gridSpan w:val="4"/>
          </w:tcPr>
          <w:p>
            <w:pPr>
              <w:jc w:val="right"/>
              <w:ind w:right="40"/>
              <w:spacing w:after="0"/>
              <w:rPr>
                <w:rFonts w:ascii="Arial" w:cs="Arial" w:eastAsia="Arial" w:hAnsi="Arial"/>
                <w:sz w:val="17"/>
                <w:szCs w:val="17"/>
                <w:color w:val="0000FF"/>
              </w:rPr>
            </w:pPr>
            <w:hyperlink w:anchor="page9">
              <w:r>
                <w:rPr>
                  <w:rFonts w:ascii="Arial" w:cs="Arial" w:eastAsia="Arial" w:hAnsi="Arial"/>
                  <w:sz w:val="17"/>
                  <w:szCs w:val="17"/>
                  <w:color w:val="0000FF"/>
                </w:rPr>
                <w:t>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11">
              <w:r>
                <w:rPr>
                  <w:rFonts w:ascii="Arial" w:cs="Arial" w:eastAsia="Arial" w:hAnsi="Arial"/>
                  <w:sz w:val="17"/>
                  <w:szCs w:val="17"/>
                  <w:color w:val="0000FF"/>
                </w:rPr>
                <w:t>Notes to Condensed Consolidated Financial Statements (Unaudited)</w:t>
              </w:r>
            </w:hyperlink>
          </w:p>
        </w:tc>
        <w:tc>
          <w:tcPr>
            <w:tcW w:w="1220" w:type="dxa"/>
            <w:vAlign w:val="bottom"/>
            <w:gridSpan w:val="4"/>
          </w:tcPr>
          <w:p>
            <w:pPr>
              <w:jc w:val="right"/>
              <w:ind w:right="40"/>
              <w:spacing w:after="0"/>
              <w:rPr>
                <w:rFonts w:ascii="Arial" w:cs="Arial" w:eastAsia="Arial" w:hAnsi="Arial"/>
                <w:sz w:val="17"/>
                <w:szCs w:val="17"/>
                <w:color w:val="0000FF"/>
              </w:rPr>
            </w:pPr>
            <w:hyperlink w:anchor="page11">
              <w:r>
                <w:rPr>
                  <w:rFonts w:ascii="Arial" w:cs="Arial" w:eastAsia="Arial" w:hAnsi="Arial"/>
                  <w:sz w:val="17"/>
                  <w:szCs w:val="17"/>
                  <w:color w:val="0000FF"/>
                </w:rPr>
                <w:t>11</w:t>
              </w:r>
            </w:hyperlink>
          </w:p>
        </w:tc>
      </w:tr>
      <w:tr>
        <w:trPr>
          <w:trHeight w:val="870"/>
        </w:trPr>
        <w:tc>
          <w:tcPr>
            <w:tcW w:w="60" w:type="dxa"/>
            <w:vAlign w:val="bottom"/>
          </w:tcPr>
          <w:p>
            <w:pPr>
              <w:spacing w:after="0"/>
              <w:rPr>
                <w:sz w:val="24"/>
                <w:szCs w:val="24"/>
                <w:color w:val="auto"/>
              </w:rPr>
            </w:pPr>
          </w:p>
        </w:tc>
        <w:tc>
          <w:tcPr>
            <w:tcW w:w="4740" w:type="dxa"/>
            <w:vAlign w:val="bottom"/>
            <w:tcBorders>
              <w:top w:val="single" w:sz="8" w:color="0000FF"/>
            </w:tcBorders>
            <w:gridSpan w:val="2"/>
          </w:tcPr>
          <w:p>
            <w:pPr>
              <w:spacing w:after="0"/>
              <w:rPr>
                <w:sz w:val="24"/>
                <w:szCs w:val="24"/>
                <w:color w:val="auto"/>
              </w:rPr>
            </w:pPr>
          </w:p>
        </w:tc>
        <w:tc>
          <w:tcPr>
            <w:tcW w:w="1060" w:type="dxa"/>
            <w:vAlign w:val="bottom"/>
            <w:gridSpan w:val="3"/>
          </w:tcPr>
          <w:p>
            <w:pPr>
              <w:jc w:val="right"/>
              <w:ind w:right="113"/>
              <w:spacing w:after="0"/>
              <w:rPr>
                <w:sz w:val="20"/>
                <w:szCs w:val="20"/>
                <w:color w:val="auto"/>
              </w:rPr>
            </w:pPr>
            <w:r>
              <w:rPr>
                <w:rFonts w:ascii="Arial" w:cs="Arial" w:eastAsia="Arial" w:hAnsi="Arial"/>
                <w:sz w:val="17"/>
                <w:szCs w:val="17"/>
                <w:color w:val="auto"/>
              </w:rPr>
              <w:t>2</w:t>
            </w:r>
          </w:p>
        </w:tc>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889,559</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70,477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117,446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1,425,016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170,194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22,866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1,684,006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Financial instruments owned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2,369,192</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owned and pledged</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959,056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746,539</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214,478</w:t>
            </w: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89"/>
              </w:rPr>
              <w:t>Property, equipment and capitalized software (net of accumulated depreciation of $470,524 and $455,961 as of September 30, 2021</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103,963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113,590</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and December 31, 2020, 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268,864</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1,148,926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1,148,926</w:t>
            </w: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96"/>
              </w:rPr>
              <w:t>Intangibles (net of accumulated amortization of $236,581 and $183,494 as of September 30, 2021 and December 31, 2020,</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402,912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454,499</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176,279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193,070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assets ($87,926 and $68,316, at fair value, as of September 30, 2021 and December 31, 2020, respectively)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303,194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317,747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10,429,477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312,814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64,686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948,256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583,268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461,235</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876,446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182,939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118,826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sold, not yet purchased</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2,871,649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2,923,708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271,165</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413,998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491,818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315,340</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borrowings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1,604,062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1,639,280</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8,628,764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8,110,760</w:t>
            </w:r>
          </w:p>
        </w:tc>
        <w:tc>
          <w:tcPr>
            <w:tcW w:w="0" w:type="dxa"/>
            <w:vAlign w:val="bottom"/>
          </w:tcPr>
          <w:p>
            <w:pPr>
              <w:spacing w:after="0"/>
              <w:rPr>
                <w:sz w:val="1"/>
                <w:szCs w:val="1"/>
                <w:color w:val="auto"/>
              </w:rPr>
            </w:pPr>
          </w:p>
        </w:tc>
      </w:tr>
      <w:tr>
        <w:trPr>
          <w:trHeight w:val="157"/>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1"/>
              </w:rPr>
              <w:t>Class A common stock (par value $0.00001), Authorized — 1,000,000,000 and 1,000,000,000 shares, Issued — 127,872,786 and</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Arial" w:cs="Arial" w:eastAsia="Arial" w:hAnsi="Arial"/>
                <w:sz w:val="16"/>
                <w:szCs w:val="16"/>
                <w:color w:val="auto"/>
                <w:w w:val="95"/>
              </w:rPr>
              <w:t>125,627,277 shares, Outstanding — 113,220,345 and 122,012,180 shares at September 30, 2021 and December 31, 2020,</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89"/>
              </w:rPr>
              <w:t>Class B common stock (par value $0.00001), Authorized — 175,000,000 and 175,000,000 shares, Issued and Outstanding — 0 and</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 shares at September 30, 2021 and December 31, 2020, respectively</w:t>
            </w: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9,763,065 and 10,226,939 shares at September 30, 2021 and December 31, 2020, respectively</w:t>
            </w: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60,091,740 and 60,091,740 shares at September 30, 2021 and December 31, 2020, respectively</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w w:val="99"/>
              </w:rPr>
              <w:t>Treasury stock, at cost, 14,652,441 and 3,615,097 shares at September 30, 2021 and December 31, 2020, respectively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(392,468)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(88,923)</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1,160,567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690,568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422,381</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(25,487)</w:t>
            </w:r>
          </w:p>
        </w:tc>
        <w:tc>
          <w:tcPr>
            <w:tcW w:w="0" w:type="dxa"/>
            <w:vAlign w:val="bottom"/>
          </w:tcPr>
          <w:p>
            <w:pPr>
              <w:spacing w:after="0"/>
              <w:rPr>
                <w:sz w:val="1"/>
                <w:szCs w:val="1"/>
                <w:color w:val="auto"/>
              </w:rPr>
            </w:pPr>
          </w:p>
        </w:tc>
      </w:tr>
      <w:tr>
        <w:trPr>
          <w:trHeight w:val="196"/>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1,485,328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315,385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386,498</w:t>
            </w:r>
          </w:p>
        </w:tc>
        <w:tc>
          <w:tcPr>
            <w:tcW w:w="0" w:type="dxa"/>
            <w:vAlign w:val="bottom"/>
          </w:tcPr>
          <w:p>
            <w:pPr>
              <w:spacing w:after="0"/>
              <w:rPr>
                <w:sz w:val="1"/>
                <w:szCs w:val="1"/>
                <w:color w:val="auto"/>
              </w:rPr>
            </w:pP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1,800,713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1,855,038</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10,429,477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2260" w:type="dxa"/>
            <w:vAlign w:val="bottom"/>
            <w:gridSpan w:val="5"/>
          </w:tcPr>
          <w:p>
            <w:pPr>
              <w:jc w:val="right"/>
              <w:ind w:right="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07"/>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2020</w:t>
            </w:r>
          </w:p>
        </w:tc>
      </w:tr>
      <w:tr>
        <w:trPr>
          <w:trHeight w:val="205"/>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Trading income, net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394,265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441,295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1,591,840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1,987,756</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46,788</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Commissions, net and technology services</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135,923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133,853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452,333</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75,758</w:t>
            </w:r>
          </w:p>
        </w:tc>
      </w:tr>
      <w:tr>
        <w:trPr>
          <w:trHeight w:val="199"/>
        </w:trPr>
        <w:tc>
          <w:tcPr>
            <w:tcW w:w="6060" w:type="dxa"/>
            <w:vAlign w:val="bottom"/>
            <w:gridSpan w:val="2"/>
          </w:tcPr>
          <w:p>
            <w:pPr>
              <w:ind w:left="320"/>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544,344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656,112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2,105,881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2,562,635</w:t>
            </w:r>
          </w:p>
        </w:tc>
      </w:tr>
      <w:tr>
        <w:trPr>
          <w:trHeight w:val="213"/>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158,862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573,769</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Communication and data processing</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55,627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159,824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162,336</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327,091</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Interest and dividends expense</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26,586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97,656</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73,480</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49,764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50,728</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56,177</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Termination of office leases</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27,282</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Transaction advisory fees and expenses</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2,737</w:t>
            </w: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67,764</w:t>
            </w:r>
          </w:p>
        </w:tc>
      </w:tr>
      <w:tr>
        <w:trPr>
          <w:trHeight w:val="199"/>
        </w:trPr>
        <w:tc>
          <w:tcPr>
            <w:tcW w:w="6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399,245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1,335,994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1,439,363</w:t>
            </w:r>
          </w:p>
        </w:tc>
      </w:tr>
      <w:tr>
        <w:trPr>
          <w:trHeight w:val="206"/>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145,099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769,887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1,123,272</w:t>
            </w:r>
          </w:p>
        </w:tc>
      </w:tr>
      <w:tr>
        <w:trPr>
          <w:trHeight w:val="206"/>
        </w:trPr>
        <w:tc>
          <w:tcPr>
            <w:tcW w:w="6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200,044</w:t>
            </w:r>
          </w:p>
        </w:tc>
      </w:tr>
      <w:tr>
        <w:trPr>
          <w:trHeight w:val="20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123,138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923,228</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(82,999)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(386,311)</w:t>
            </w:r>
          </w:p>
        </w:tc>
      </w:tr>
      <w:tr>
        <w:trPr>
          <w:trHeight w:val="213"/>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70,507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116,709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372,822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536,917</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13"/>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60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115,770,457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122,686,931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119,148,571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121,328,895</w:t>
            </w:r>
          </w:p>
        </w:tc>
      </w:tr>
      <w:tr>
        <w:trPr>
          <w:trHeight w:val="206"/>
        </w:trPr>
        <w:tc>
          <w:tcPr>
            <w:tcW w:w="606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w w:val="89"/>
              </w:rPr>
              <w:t>116,623,115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123,772,005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120,373,160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121,939,839</w:t>
            </w:r>
          </w:p>
        </w:tc>
      </w:tr>
      <w:tr>
        <w:trPr>
          <w:trHeight w:val="213"/>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123,138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199,708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641,276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923,228</w:t>
            </w:r>
          </w:p>
        </w:tc>
      </w:tr>
      <w:tr>
        <w:trPr>
          <w:trHeight w:val="213"/>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6060" w:type="dxa"/>
            <w:vAlign w:val="bottom"/>
            <w:gridSpan w:val="2"/>
          </w:tcPr>
          <w:p>
            <w:pPr>
              <w:ind w:left="120"/>
              <w:spacing w:after="0"/>
              <w:rPr>
                <w:sz w:val="20"/>
                <w:szCs w:val="20"/>
                <w:color w:val="auto"/>
              </w:rPr>
            </w:pPr>
            <w:r>
              <w:rPr>
                <w:rFonts w:ascii="Arial" w:cs="Arial" w:eastAsia="Arial" w:hAnsi="Arial"/>
                <w:sz w:val="16"/>
                <w:szCs w:val="16"/>
                <w:color w:val="auto"/>
              </w:rPr>
              <w:t>Foreign exchange translation adjustment, net of taxes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3,860</w:t>
            </w:r>
          </w:p>
        </w:tc>
      </w:tr>
      <w:tr>
        <w:trPr>
          <w:trHeight w:val="213"/>
        </w:trPr>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change in unrealized cash flow hedges gain (loss), net of taxes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(64,425)</w:t>
            </w:r>
          </w:p>
        </w:tc>
      </w:tr>
      <w:tr>
        <w:trPr>
          <w:trHeight w:val="199"/>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118,793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207,834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648,021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862,663</w:t>
            </w:r>
          </w:p>
        </w:tc>
      </w:tr>
      <w:tr>
        <w:trPr>
          <w:trHeight w:val="210"/>
        </w:trPr>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(360,302)</w:t>
            </w:r>
          </w:p>
        </w:tc>
      </w:tr>
      <w:tr>
        <w:trPr>
          <w:trHeight w:val="20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67,786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121,073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376,469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502,361</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6" w:name="page7"/>
    <w:bookmarkEnd w:id="6"/>
    <w:p>
      <w:pPr>
        <w:ind w:left="26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Three and Nine Months Ended September 30, 2021 and 2020</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Arial" w:cs="Arial" w:eastAsia="Arial" w:hAnsi="Arial"/>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C Common Stock</w:t>
            </w:r>
          </w:p>
        </w:tc>
        <w:tc>
          <w:tcPr>
            <w:tcW w:w="128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D Common Stock</w:t>
            </w:r>
          </w:p>
        </w:tc>
        <w:tc>
          <w:tcPr>
            <w:tcW w:w="1260" w:type="dxa"/>
            <w:vAlign w:val="bottom"/>
            <w:gridSpan w:val="5"/>
            <w:vMerge w:val="restart"/>
          </w:tcPr>
          <w:p>
            <w:pPr>
              <w:ind w:left="26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7"/>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6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1"/>
                <w:szCs w:val="11"/>
                <w:color w:val="auto"/>
              </w:rPr>
            </w:pPr>
          </w:p>
        </w:tc>
        <w:tc>
          <w:tcPr>
            <w:tcW w:w="500" w:type="dxa"/>
            <w:vAlign w:val="bottom"/>
          </w:tcPr>
          <w:p>
            <w:pPr>
              <w:jc w:val="right"/>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125,627,277</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10,226,939</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(3,615,097)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(88,923)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1,160,567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422,381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(25,487)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1,468,540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386,498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1,855,038</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580" w:type="dxa"/>
            <w:vAlign w:val="bottom"/>
          </w:tcPr>
          <w:p>
            <w:pPr>
              <w:jc w:val="right"/>
              <w:spacing w:after="0"/>
              <w:rPr>
                <w:sz w:val="20"/>
                <w:szCs w:val="20"/>
                <w:color w:val="auto"/>
              </w:rPr>
            </w:pPr>
            <w:r>
              <w:rPr>
                <w:rFonts w:ascii="Arial" w:cs="Arial" w:eastAsia="Arial" w:hAnsi="Arial"/>
                <w:sz w:val="10"/>
                <w:szCs w:val="10"/>
                <w:color w:val="auto"/>
              </w:rPr>
              <w:t>1,896,407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27,450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(615,794)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(2,277,409)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(63,359)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(16,059)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580" w:type="dxa"/>
            <w:vAlign w:val="bottom"/>
          </w:tcPr>
          <w:p>
            <w:pPr>
              <w:jc w:val="right"/>
              <w:spacing w:after="0"/>
              <w:rPr>
                <w:sz w:val="20"/>
                <w:szCs w:val="20"/>
                <w:color w:val="auto"/>
              </w:rPr>
            </w:pPr>
            <w:r>
              <w:rPr>
                <w:rFonts w:ascii="Arial" w:cs="Arial" w:eastAsia="Arial" w:hAnsi="Arial"/>
                <w:sz w:val="10"/>
                <w:szCs w:val="10"/>
                <w:color w:val="auto"/>
              </w:rPr>
              <w:t>154,372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2,933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income</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169,827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409,232</w:t>
            </w: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(1,511)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adjustment</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9,299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21,906</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flow hedges gains (losses)</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Unit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(159,239)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(189,386)</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noncontrolling interest</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91,757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(91,757)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employee exchanges</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March 31, 2021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127,154,019</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10,135,182</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(5,892,506)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(152,282)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1,190,950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615,580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(15,045)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1,639,205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404,874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2,044,079</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580" w:type="dxa"/>
            <w:vAlign w:val="bottom"/>
          </w:tcPr>
          <w:p>
            <w:pPr>
              <w:jc w:val="right"/>
              <w:spacing w:after="0"/>
              <w:rPr>
                <w:sz w:val="20"/>
                <w:szCs w:val="20"/>
                <w:color w:val="auto"/>
              </w:rPr>
            </w:pPr>
            <w:r>
              <w:rPr>
                <w:rFonts w:ascii="Arial" w:cs="Arial" w:eastAsia="Arial" w:hAnsi="Arial"/>
                <w:sz w:val="10"/>
                <w:szCs w:val="10"/>
                <w:color w:val="auto"/>
              </w:rPr>
              <w:t>32,916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7,444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7,444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7,444</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Class C common</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(45,622)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(1,323)</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Treasury stock purchases</w:t>
            </w:r>
          </w:p>
        </w:tc>
        <w:tc>
          <w:tcPr>
            <w:tcW w:w="580" w:type="dxa"/>
            <w:vAlign w:val="bottom"/>
          </w:tcPr>
          <w:p>
            <w:pPr>
              <w:jc w:val="right"/>
              <w:spacing w:after="0"/>
              <w:rPr>
                <w:sz w:val="20"/>
                <w:szCs w:val="20"/>
                <w:color w:val="auto"/>
              </w:rPr>
            </w:pPr>
            <w:r>
              <w:rPr>
                <w:rFonts w:ascii="Arial" w:cs="Arial" w:eastAsia="Arial" w:hAnsi="Arial"/>
                <w:sz w:val="10"/>
                <w:szCs w:val="10"/>
                <w:color w:val="auto"/>
              </w:rPr>
              <w:t>(5,489)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Pr>
          <w:p>
            <w:pPr>
              <w:ind w:left="40"/>
              <w:spacing w:after="0"/>
              <w:rPr>
                <w:sz w:val="20"/>
                <w:szCs w:val="20"/>
                <w:color w:val="auto"/>
              </w:rPr>
            </w:pPr>
            <w:r>
              <w:rPr>
                <w:rFonts w:ascii="Arial" w:cs="Arial" w:eastAsia="Arial" w:hAnsi="Arial"/>
                <w:sz w:val="10"/>
                <w:szCs w:val="10"/>
                <w:color w:val="auto"/>
                <w:w w:val="97"/>
              </w:rPr>
              <w:t>(3,358,003)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(101,305)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(101,419)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(101,419)</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 options 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253,625</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4,819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4,819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4,819</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62,910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62,910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45,997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108,907</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(4,115)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(4,115)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(7,206)</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Unit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Awards)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(29,483)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(29,483)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(103,062)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(132,545)</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290,524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corresponding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number of Class C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(290,524)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employee exchanges</w:t>
            </w: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00" w:type="dxa"/>
            <w:vAlign w:val="bottom"/>
          </w:tcPr>
          <w:p>
            <w:pPr>
              <w:ind w:left="20"/>
              <w:spacing w:after="0"/>
              <w:rPr>
                <w:sz w:val="20"/>
                <w:szCs w:val="20"/>
                <w:color w:val="auto"/>
              </w:rPr>
            </w:pPr>
            <w:r>
              <w:rPr>
                <w:rFonts w:ascii="Arial" w:cs="Arial" w:eastAsia="Arial" w:hAnsi="Arial"/>
                <w:sz w:val="10"/>
                <w:szCs w:val="10"/>
                <w:color w:val="auto"/>
              </w:rPr>
              <w:t>Balance at June 30, 2021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127,725,595</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9,799,036</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97"/>
              </w:rPr>
              <w:t>(9,250,509)</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8"/>
              </w:rPr>
              <w:t>(253,587)</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1,201,890</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648,893</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(19,117)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1,578,081</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344,741</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1,922,822</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Share based compensation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103,154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6,803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6,803</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6,803</w:t>
            </w: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Repurchase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(12,980)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(370)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(370)</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stock</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(17,954)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0"/>
                <w:szCs w:val="10"/>
                <w:color w:val="auto"/>
                <w:w w:val="97"/>
              </w:rPr>
              <w:t>(5,401,932)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8"/>
              </w:rPr>
              <w:t>(138,881)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(496)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(139,377)</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(139,377)</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580" w:type="dxa"/>
            <w:vAlign w:val="bottom"/>
          </w:tcPr>
          <w:p>
            <w:pPr>
              <w:jc w:val="right"/>
              <w:spacing w:after="0"/>
              <w:rPr>
                <w:sz w:val="20"/>
                <w:szCs w:val="20"/>
                <w:color w:val="auto"/>
              </w:rPr>
            </w:pPr>
            <w:r>
              <w:rPr>
                <w:rFonts w:ascii="Arial" w:cs="Arial" w:eastAsia="Arial" w:hAnsi="Arial"/>
                <w:sz w:val="10"/>
                <w:szCs w:val="10"/>
                <w:color w:val="auto"/>
              </w:rPr>
              <w:t>39,000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40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741</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income</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70,507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70,507</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52,631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123,138</w:t>
            </w: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(4,912)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(4,912)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(2,931)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(7,843)</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adjustment</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2,191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2,191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1,307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3,498</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flow hedges gains (losses)</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stock and participating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Restricted Stock Unit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Restricted Stock Award)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distributions from Virtu</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color w:val="auto"/>
              </w:rPr>
              <w:t>(28,336)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(28,336)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(80,363)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(108,699)</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interest</w:t>
            </w: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70485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7" w:right="41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40" w:type="dxa"/>
            <w:vAlign w:val="bottom"/>
            <w:gridSpan w:val="8"/>
            <w:vMerge w:val="restart"/>
          </w:tcPr>
          <w:p>
            <w:pPr>
              <w:jc w:val="right"/>
              <w:ind w:right="140"/>
              <w:spacing w:after="0"/>
              <w:rPr>
                <w:sz w:val="20"/>
                <w:szCs w:val="20"/>
                <w:color w:val="auto"/>
              </w:rPr>
            </w:pPr>
            <w:r>
              <w:rPr>
                <w:rFonts w:ascii="Arial" w:cs="Arial" w:eastAsia="Arial" w:hAnsi="Arial"/>
                <w:sz w:val="10"/>
                <w:szCs w:val="10"/>
                <w:b w:val="1"/>
                <w:bCs w:val="1"/>
                <w:color w:val="auto"/>
                <w:w w:val="95"/>
              </w:rPr>
              <w:t>Class C Common Stock</w:t>
            </w:r>
          </w:p>
        </w:tc>
        <w:tc>
          <w:tcPr>
            <w:tcW w:w="40" w:type="dxa"/>
            <w:vAlign w:val="bottom"/>
          </w:tcPr>
          <w:p>
            <w:pPr>
              <w:spacing w:after="0"/>
              <w:rPr>
                <w:sz w:val="9"/>
                <w:szCs w:val="9"/>
                <w:color w:val="auto"/>
              </w:rPr>
            </w:pPr>
          </w:p>
        </w:tc>
        <w:tc>
          <w:tcPr>
            <w:tcW w:w="1240" w:type="dxa"/>
            <w:vAlign w:val="bottom"/>
            <w:gridSpan w:val="8"/>
            <w:vMerge w:val="restart"/>
          </w:tcPr>
          <w:p>
            <w:pPr>
              <w:ind w:left="40"/>
              <w:spacing w:after="0"/>
              <w:rPr>
                <w:sz w:val="20"/>
                <w:szCs w:val="20"/>
                <w:color w:val="auto"/>
              </w:rPr>
            </w:pPr>
            <w:r>
              <w:rPr>
                <w:rFonts w:ascii="Arial" w:cs="Arial" w:eastAsia="Arial" w:hAnsi="Arial"/>
                <w:sz w:val="10"/>
                <w:szCs w:val="10"/>
                <w:b w:val="1"/>
                <w:bCs w:val="1"/>
                <w:color w:val="auto"/>
              </w:rPr>
              <w:t>Class D Common Stock</w:t>
            </w:r>
          </w:p>
        </w:tc>
        <w:tc>
          <w:tcPr>
            <w:tcW w:w="40" w:type="dxa"/>
            <w:vAlign w:val="bottom"/>
          </w:tcPr>
          <w:p>
            <w:pPr>
              <w:spacing w:after="0"/>
              <w:rPr>
                <w:sz w:val="9"/>
                <w:szCs w:val="9"/>
                <w:color w:val="auto"/>
              </w:rPr>
            </w:pPr>
          </w:p>
        </w:tc>
        <w:tc>
          <w:tcPr>
            <w:tcW w:w="1240" w:type="dxa"/>
            <w:vAlign w:val="bottom"/>
            <w:gridSpan w:val="7"/>
            <w:vMerge w:val="restart"/>
          </w:tcPr>
          <w:p>
            <w:pPr>
              <w:ind w:left="22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62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9"/>
                <w:szCs w:val="9"/>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Amounts</w:t>
            </w:r>
          </w:p>
        </w:tc>
        <w:tc>
          <w:tcPr>
            <w:tcW w:w="40" w:type="dxa"/>
            <w:vAlign w:val="bottom"/>
          </w:tcPr>
          <w:p>
            <w:pPr>
              <w:spacing w:after="0"/>
              <w:rPr>
                <w:sz w:val="9"/>
                <w:szCs w:val="9"/>
                <w:color w:val="auto"/>
              </w:rPr>
            </w:pPr>
          </w:p>
        </w:tc>
        <w:tc>
          <w:tcPr>
            <w:tcW w:w="6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9"/>
                <w:szCs w:val="9"/>
                <w:color w:val="auto"/>
              </w:rPr>
            </w:pPr>
          </w:p>
        </w:tc>
        <w:tc>
          <w:tcPr>
            <w:tcW w:w="580" w:type="dxa"/>
            <w:vAlign w:val="bottom"/>
            <w:gridSpan w:val="4"/>
            <w:vMerge w:val="restart"/>
          </w:tcPr>
          <w:p>
            <w:pPr>
              <w:ind w:left="20"/>
              <w:spacing w:after="0"/>
              <w:rPr>
                <w:sz w:val="20"/>
                <w:szCs w:val="20"/>
                <w:color w:val="auto"/>
              </w:rPr>
            </w:pPr>
            <w:r>
              <w:rPr>
                <w:rFonts w:ascii="Arial" w:cs="Arial" w:eastAsia="Arial" w:hAnsi="Arial"/>
                <w:sz w:val="10"/>
                <w:szCs w:val="10"/>
                <w:b w:val="1"/>
                <w:bCs w:val="1"/>
                <w:color w:val="auto"/>
              </w:rPr>
              <w:t>Amounts</w:t>
            </w:r>
          </w:p>
        </w:tc>
        <w:tc>
          <w:tcPr>
            <w:tcW w:w="40" w:type="dxa"/>
            <w:vAlign w:val="bottom"/>
          </w:tcPr>
          <w:p>
            <w:pPr>
              <w:spacing w:after="0"/>
              <w:rPr>
                <w:sz w:val="9"/>
                <w:szCs w:val="9"/>
                <w:color w:val="auto"/>
              </w:rPr>
            </w:pPr>
          </w:p>
        </w:tc>
        <w:tc>
          <w:tcPr>
            <w:tcW w:w="6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1"/>
                <w:szCs w:val="11"/>
                <w:color w:val="auto"/>
              </w:rPr>
            </w:pPr>
          </w:p>
        </w:tc>
        <w:tc>
          <w:tcPr>
            <w:tcW w:w="50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600" w:type="dxa"/>
            <w:vAlign w:val="bottom"/>
            <w:shd w:val="clear" w:color="auto" w:fill="CCEEFF"/>
          </w:tcPr>
          <w:p>
            <w:pPr>
              <w:ind w:left="140"/>
              <w:spacing w:after="0" w:line="89" w:lineRule="exact"/>
              <w:rPr>
                <w:sz w:val="20"/>
                <w:szCs w:val="20"/>
                <w:color w:val="auto"/>
              </w:rPr>
            </w:pPr>
            <w:r>
              <w:rPr>
                <w:rFonts w:ascii="Arial" w:cs="Arial" w:eastAsia="Arial" w:hAnsi="Arial"/>
                <w:sz w:val="10"/>
                <w:szCs w:val="10"/>
                <w:color w:val="auto"/>
              </w:rPr>
              <w:t>Issuance of common stock in</w:t>
            </w: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22,991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vMerge w:val="restart"/>
          </w:tcPr>
          <w:p>
            <w:pPr>
              <w:jc w:val="right"/>
              <w:spacing w:after="0"/>
              <w:rPr>
                <w:sz w:val="20"/>
                <w:szCs w:val="20"/>
                <w:color w:val="auto"/>
              </w:rPr>
            </w:pPr>
            <w:r>
              <w:rPr>
                <w:rFonts w:ascii="Arial" w:cs="Arial" w:eastAsia="Arial" w:hAnsi="Arial"/>
                <w:sz w:val="10"/>
                <w:szCs w:val="10"/>
                <w:color w:val="auto"/>
              </w:rPr>
              <w:t>(22,991)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September 30, 2021</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93"/>
              </w:rPr>
              <w:t>127,872,786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9,763,065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95"/>
              </w:rPr>
              <w:t>(14,652,441)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3"/>
              </w:rPr>
              <w:t>(392,468)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94"/>
              </w:rPr>
              <w:t>1,209,064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1,485,328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315,385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94"/>
              </w:rPr>
              <w:t>1,800,713</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40" w:type="dxa"/>
            <w:vAlign w:val="bottom"/>
            <w:gridSpan w:val="8"/>
            <w:vMerge w:val="restart"/>
          </w:tcPr>
          <w:p>
            <w:pPr>
              <w:jc w:val="right"/>
              <w:ind w:right="120"/>
              <w:spacing w:after="0"/>
              <w:rPr>
                <w:sz w:val="20"/>
                <w:szCs w:val="20"/>
                <w:color w:val="auto"/>
              </w:rPr>
            </w:pPr>
            <w:r>
              <w:rPr>
                <w:rFonts w:ascii="Arial" w:cs="Arial" w:eastAsia="Arial" w:hAnsi="Arial"/>
                <w:sz w:val="10"/>
                <w:szCs w:val="10"/>
                <w:b w:val="1"/>
                <w:bCs w:val="1"/>
                <w:color w:val="auto"/>
                <w:w w:val="97"/>
              </w:rPr>
              <w:t>Class C Common Stock</w:t>
            </w:r>
          </w:p>
        </w:tc>
        <w:tc>
          <w:tcPr>
            <w:tcW w:w="40" w:type="dxa"/>
            <w:vAlign w:val="bottom"/>
          </w:tcPr>
          <w:p>
            <w:pPr>
              <w:spacing w:after="0"/>
              <w:rPr>
                <w:sz w:val="9"/>
                <w:szCs w:val="9"/>
                <w:color w:val="auto"/>
              </w:rPr>
            </w:pPr>
          </w:p>
        </w:tc>
        <w:tc>
          <w:tcPr>
            <w:tcW w:w="1240" w:type="dxa"/>
            <w:vAlign w:val="bottom"/>
            <w:gridSpan w:val="8"/>
            <w:vMerge w:val="restart"/>
          </w:tcPr>
          <w:p>
            <w:pPr>
              <w:jc w:val="right"/>
              <w:ind w:right="100"/>
              <w:spacing w:after="0"/>
              <w:rPr>
                <w:sz w:val="20"/>
                <w:szCs w:val="20"/>
                <w:color w:val="auto"/>
              </w:rPr>
            </w:pPr>
            <w:r>
              <w:rPr>
                <w:rFonts w:ascii="Arial" w:cs="Arial" w:eastAsia="Arial" w:hAnsi="Arial"/>
                <w:sz w:val="10"/>
                <w:szCs w:val="10"/>
                <w:b w:val="1"/>
                <w:bCs w:val="1"/>
                <w:color w:val="auto"/>
                <w:w w:val="99"/>
              </w:rPr>
              <w:t>Class D Common Stock</w:t>
            </w:r>
          </w:p>
        </w:tc>
        <w:tc>
          <w:tcPr>
            <w:tcW w:w="40" w:type="dxa"/>
            <w:vAlign w:val="bottom"/>
          </w:tcPr>
          <w:p>
            <w:pPr>
              <w:spacing w:after="0"/>
              <w:rPr>
                <w:sz w:val="9"/>
                <w:szCs w:val="9"/>
                <w:color w:val="auto"/>
              </w:rPr>
            </w:pPr>
          </w:p>
        </w:tc>
        <w:tc>
          <w:tcPr>
            <w:tcW w:w="1240" w:type="dxa"/>
            <w:vAlign w:val="bottom"/>
            <w:gridSpan w:val="7"/>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62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0"/>
                <w:szCs w:val="10"/>
                <w:b w:val="1"/>
                <w:bCs w:val="1"/>
                <w:color w:val="auto"/>
                <w:w w:val="92"/>
              </w:rPr>
              <w:t>Amounts</w:t>
            </w:r>
          </w:p>
        </w:tc>
        <w:tc>
          <w:tcPr>
            <w:tcW w:w="40" w:type="dxa"/>
            <w:vAlign w:val="bottom"/>
          </w:tcPr>
          <w:p>
            <w:pPr>
              <w:spacing w:after="0"/>
              <w:rPr>
                <w:sz w:val="9"/>
                <w:szCs w:val="9"/>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0"/>
                <w:szCs w:val="10"/>
                <w:b w:val="1"/>
                <w:bCs w:val="1"/>
                <w:color w:val="auto"/>
                <w:w w:val="92"/>
              </w:rPr>
              <w:t>Amounts</w:t>
            </w:r>
          </w:p>
        </w:tc>
        <w:tc>
          <w:tcPr>
            <w:tcW w:w="40" w:type="dxa"/>
            <w:vAlign w:val="bottom"/>
          </w:tcPr>
          <w:p>
            <w:pPr>
              <w:spacing w:after="0"/>
              <w:rPr>
                <w:sz w:val="9"/>
                <w:szCs w:val="9"/>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Amounts</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w:t>
            </w:r>
          </w:p>
        </w:tc>
        <w:tc>
          <w:tcPr>
            <w:tcW w:w="100" w:type="dxa"/>
            <w:vAlign w:val="bottom"/>
          </w:tcPr>
          <w:p>
            <w:pPr>
              <w:spacing w:after="0"/>
              <w:rPr>
                <w:sz w:val="11"/>
                <w:szCs w:val="11"/>
                <w:color w:val="auto"/>
              </w:rPr>
            </w:pPr>
          </w:p>
        </w:tc>
        <w:tc>
          <w:tcPr>
            <w:tcW w:w="50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2019</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120,435,912</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9"/>
              </w:rPr>
              <w:t>12,887,178</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60,091,740</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(2,178,771)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(55,005)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1,077,398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(90,374)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931,374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297,562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1,228,936</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1,854,961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21,357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(642,869)</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213,129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3,206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Warrants issued</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11,486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167,169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388,238</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(4,512)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(10,396)</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(24,134)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(55,602)</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Awards) and distributions from</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Virtu Financial to</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(19,165)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(48,767)</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noncontrolling 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724,327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(724,327)</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00" w:type="dxa"/>
            <w:vAlign w:val="bottom"/>
          </w:tcPr>
          <w:p>
            <w:pPr>
              <w:ind w:left="20"/>
              <w:spacing w:after="0"/>
              <w:rPr>
                <w:sz w:val="20"/>
                <w:szCs w:val="20"/>
                <w:color w:val="auto"/>
              </w:rPr>
            </w:pPr>
            <w:r>
              <w:rPr>
                <w:rFonts w:ascii="Arial" w:cs="Arial" w:eastAsia="Arial" w:hAnsi="Arial"/>
                <w:sz w:val="10"/>
                <w:szCs w:val="10"/>
                <w:color w:val="auto"/>
              </w:rPr>
              <w:t>Balance at March 31, 2020</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3"/>
              </w:rPr>
              <w:t>122,585,460</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12,162,851</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gridSpan w:val="2"/>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60,091,740</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(2,178,771)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(55,005)</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1,113,447</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91,292</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(37,999)</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1,111,737</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416,920</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1,528,657</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36,771</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7,839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7,839</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7,839</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(8,727)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(360)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404,794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7,691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7,691</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199,142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199,142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136,143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335,285</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3,674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3,674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2,770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6,444</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(5,242)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(5,242)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(3,895)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(9,137)</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and participating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Units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Award)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distributions from Virtu</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(30,201)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(30,201)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(145,211)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(175,412)</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1,635,912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20" w:type="dxa"/>
            <w:vAlign w:val="bottom"/>
            <w:gridSpan w:val="3"/>
            <w:vMerge w:val="restart"/>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(1,635,912)</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00" w:type="dxa"/>
            <w:vAlign w:val="bottom"/>
          </w:tcPr>
          <w:p>
            <w:pPr>
              <w:ind w:left="20"/>
              <w:spacing w:after="0"/>
              <w:rPr>
                <w:sz w:val="20"/>
                <w:szCs w:val="20"/>
                <w:color w:val="auto"/>
              </w:rPr>
            </w:pPr>
            <w:r>
              <w:rPr>
                <w:rFonts w:ascii="Arial" w:cs="Arial" w:eastAsia="Arial" w:hAnsi="Arial"/>
                <w:sz w:val="10"/>
                <w:szCs w:val="10"/>
                <w:color w:val="auto"/>
              </w:rPr>
              <w:t>Balance at June 30, 2020</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3"/>
              </w:rPr>
              <w:t>124,654,210</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10,526,939</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gridSpan w:val="2"/>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60,091,740</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(2,178,771)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(55,005)</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1,128,977</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259,873</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(39,567)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1,294,280</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406,727</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1,701,007</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234,981</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10,568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10,568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10,568</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Pr>
          <w:p>
            <w:pPr>
              <w:jc w:val="right"/>
              <w:spacing w:after="0"/>
              <w:rPr>
                <w:sz w:val="20"/>
                <w:szCs w:val="20"/>
                <w:color w:val="auto"/>
              </w:rPr>
            </w:pPr>
            <w:r>
              <w:rPr>
                <w:rFonts w:ascii="Arial" w:cs="Arial" w:eastAsia="Arial" w:hAnsi="Arial"/>
                <w:sz w:val="10"/>
                <w:szCs w:val="10"/>
                <w:color w:val="auto"/>
              </w:rPr>
              <w:t>(79,570)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20" w:type="dxa"/>
            <w:vAlign w:val="bottom"/>
            <w:gridSpan w:val="3"/>
          </w:tcPr>
          <w:p>
            <w:pPr>
              <w:ind w:left="4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(2,418)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(2,418)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Arial" w:cs="Arial" w:eastAsia="Arial" w:hAnsi="Arial"/>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C Common Stock</w:t>
            </w:r>
          </w:p>
        </w:tc>
        <w:tc>
          <w:tcPr>
            <w:tcW w:w="1280" w:type="dxa"/>
            <w:vAlign w:val="bottom"/>
            <w:gridSpan w:val="5"/>
            <w:vMerge w:val="restart"/>
          </w:tcPr>
          <w:p>
            <w:pPr>
              <w:jc w:val="right"/>
              <w:ind w:right="140"/>
              <w:spacing w:after="0"/>
              <w:rPr>
                <w:sz w:val="20"/>
                <w:szCs w:val="20"/>
                <w:color w:val="auto"/>
              </w:rPr>
            </w:pPr>
            <w:r>
              <w:rPr>
                <w:rFonts w:ascii="Arial" w:cs="Arial" w:eastAsia="Arial" w:hAnsi="Arial"/>
                <w:sz w:val="10"/>
                <w:szCs w:val="10"/>
                <w:b w:val="1"/>
                <w:bCs w:val="1"/>
                <w:color w:val="auto"/>
                <w:w w:val="99"/>
              </w:rPr>
              <w:t>Class D Common Stock</w:t>
            </w:r>
          </w:p>
        </w:tc>
        <w:tc>
          <w:tcPr>
            <w:tcW w:w="124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6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6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2"/>
          </w:tcPr>
          <w:p>
            <w:pPr>
              <w:jc w:val="center"/>
              <w:ind w:right="80"/>
              <w:spacing w:after="0" w:line="72" w:lineRule="exact"/>
              <w:rPr>
                <w:sz w:val="20"/>
                <w:szCs w:val="20"/>
                <w:color w:val="auto"/>
              </w:rPr>
            </w:pPr>
            <w:r>
              <w:rPr>
                <w:rFonts w:ascii="Arial" w:cs="Arial" w:eastAsia="Arial" w:hAnsi="Arial"/>
                <w:sz w:val="8"/>
                <w:szCs w:val="8"/>
                <w:b w:val="1"/>
                <w:bCs w:val="1"/>
                <w:color w:val="auto"/>
              </w:rPr>
              <w:t>Financial Inc.</w:t>
            </w: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0"/>
                <w:szCs w:val="10"/>
                <w:b w:val="1"/>
                <w:bCs w:val="1"/>
                <w:color w:val="auto"/>
                <w:w w:val="95"/>
              </w:rPr>
              <w:t>Noncontrolling</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2"/>
              </w:rPr>
              <w:t>Amounts</w:t>
            </w: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2"/>
              </w:rPr>
              <w:t>Amounts</w:t>
            </w:r>
          </w:p>
        </w:tc>
        <w:tc>
          <w:tcPr>
            <w:tcW w:w="6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Amounts</w:t>
            </w: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Amounts</w:t>
            </w:r>
          </w:p>
        </w:tc>
        <w:tc>
          <w:tcPr>
            <w:tcW w:w="74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(Accumulated</w:t>
            </w:r>
          </w:p>
        </w:tc>
        <w:tc>
          <w:tcPr>
            <w:tcW w:w="8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Comprehensive</w:t>
            </w:r>
          </w:p>
        </w:tc>
        <w:tc>
          <w:tcPr>
            <w:tcW w:w="74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4"/>
              </w:rPr>
              <w:t>Stockholders'</w:t>
            </w:r>
          </w:p>
        </w:tc>
        <w:tc>
          <w:tcPr>
            <w:tcW w:w="80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68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Equity</w:t>
            </w:r>
          </w:p>
        </w:tc>
        <w:tc>
          <w:tcPr>
            <w:tcW w:w="14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Interest</w:t>
            </w:r>
          </w:p>
        </w:tc>
        <w:tc>
          <w:tcPr>
            <w:tcW w:w="600" w:type="dxa"/>
            <w:vAlign w:val="bottom"/>
          </w:tcPr>
          <w:p>
            <w:pPr>
              <w:jc w:val="right"/>
              <w:ind w:right="10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1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189,704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3,604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3,604</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3,604</w:t>
            </w:r>
          </w:p>
        </w:tc>
        <w:tc>
          <w:tcPr>
            <w:tcW w:w="0" w:type="dxa"/>
            <w:vAlign w:val="bottom"/>
          </w:tcPr>
          <w:p>
            <w:pPr>
              <w:spacing w:after="0"/>
              <w:rPr>
                <w:sz w:val="1"/>
                <w:szCs w:val="1"/>
                <w:color w:val="auto"/>
              </w:rPr>
            </w:pPr>
          </w:p>
        </w:tc>
      </w:tr>
      <w:tr>
        <w:trPr>
          <w:trHeight w:val="135"/>
        </w:trPr>
        <w:tc>
          <w:tcPr>
            <w:tcW w:w="160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116,709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116,709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82,999</w:t>
            </w:r>
          </w:p>
        </w:tc>
        <w:tc>
          <w:tcPr>
            <w:tcW w:w="80" w:type="dxa"/>
            <w:vAlign w:val="bottom"/>
          </w:tcPr>
          <w:p>
            <w:pPr>
              <w:spacing w:after="0"/>
              <w:rPr>
                <w:sz w:val="11"/>
                <w:szCs w:val="11"/>
                <w:color w:val="auto"/>
              </w:rPr>
            </w:pP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199,708</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4,213</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4,213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3,599</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7,812</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163</w:t>
            </w:r>
          </w:p>
        </w:tc>
        <w:tc>
          <w:tcPr>
            <w:tcW w:w="80" w:type="dxa"/>
            <w:vAlign w:val="bottom"/>
          </w:tcPr>
          <w:p>
            <w:pPr>
              <w:spacing w:after="0"/>
              <w:rPr>
                <w:sz w:val="9"/>
                <w:szCs w:val="9"/>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314</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and Class B common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stock and participating</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Unit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Restricted Stock Award)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distributions from Virtu</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(30,347)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(30,347)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(83,441)</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(113,788)</w:t>
            </w:r>
          </w:p>
        </w:tc>
        <w:tc>
          <w:tcPr>
            <w:tcW w:w="0" w:type="dxa"/>
            <w:vAlign w:val="bottom"/>
          </w:tcPr>
          <w:p>
            <w:pPr>
              <w:spacing w:after="0"/>
              <w:rPr>
                <w:sz w:val="1"/>
                <w:szCs w:val="1"/>
                <w:color w:val="auto"/>
              </w:rPr>
            </w:pPr>
          </w:p>
        </w:tc>
      </w:tr>
      <w:tr>
        <w:trPr>
          <w:trHeight w:val="13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vMerge w:val="continue"/>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60,000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0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w w:val="99"/>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(60,000)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600" w:type="dxa"/>
            <w:vAlign w:val="bottom"/>
            <w:tcBorders>
              <w:bottom w:val="single" w:sz="8" w:color="CCEEFF"/>
            </w:tcBorders>
            <w:gridSpan w:val="2"/>
            <w:vMerge w:val="continue"/>
            <w:shd w:val="clear" w:color="auto" w:fill="CCEEFF"/>
          </w:tcPr>
          <w:p>
            <w:pPr>
              <w:spacing w:after="0"/>
              <w:rPr>
                <w:sz w:val="13"/>
                <w:szCs w:val="13"/>
                <w:color w:val="auto"/>
              </w:rPr>
            </w:pPr>
          </w:p>
        </w:tc>
        <w:tc>
          <w:tcPr>
            <w:tcW w:w="6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Arial" w:cs="Arial" w:eastAsia="Arial" w:hAnsi="Arial"/>
                <w:sz w:val="10"/>
                <w:szCs w:val="10"/>
                <w:color w:val="auto"/>
              </w:rPr>
              <w:t>Balance at September 30, 2020</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3"/>
              </w:rPr>
              <w:t>125,059,325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9"/>
              </w:rPr>
              <w:t>10,466,939</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9"/>
              </w:rPr>
              <w:t>60,091,740</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0"/>
                <w:szCs w:val="10"/>
                <w:color w:val="auto"/>
                <w:w w:val="93"/>
              </w:rPr>
              <w:t>(2,178,771)</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99"/>
              </w:rPr>
              <w:t>$  (55,005)</w:t>
            </w:r>
          </w:p>
        </w:tc>
        <w:tc>
          <w:tcPr>
            <w:tcW w:w="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8"/>
              </w:rPr>
              <w:t>$ 1,143,149</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343,817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(35,203)</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   1,396,760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410,047</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98"/>
              </w:rPr>
              <w:t>$ 1,806,807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6"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3"/>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177"/>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641,276</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923,228</w:t>
            </w:r>
          </w:p>
        </w:tc>
      </w:tr>
      <w:tr>
        <w:trPr>
          <w:trHeight w:val="212"/>
        </w:trPr>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50,728</w:t>
            </w:r>
          </w:p>
        </w:tc>
      </w:tr>
      <w:tr>
        <w:trPr>
          <w:trHeight w:val="181"/>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53,087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56,177</w:t>
            </w:r>
          </w:p>
        </w:tc>
      </w:tr>
      <w:tr>
        <w:trPr>
          <w:trHeight w:val="18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Debt issue cost related to debt refinancing and prepayment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w:t>
            </w:r>
          </w:p>
        </w:tc>
      </w:tr>
      <w:tr>
        <w:trPr>
          <w:trHeight w:val="181"/>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Amortization of debt issuance costs and deferred financing fees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24,164</w:t>
            </w:r>
          </w:p>
        </w:tc>
      </w:tr>
      <w:tr>
        <w:trPr>
          <w:trHeight w:val="18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Termination of office leases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81"/>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38,260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37,510</w:t>
            </w:r>
          </w:p>
        </w:tc>
      </w:tr>
      <w:tr>
        <w:trPr>
          <w:trHeight w:val="18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22,204</w:t>
            </w:r>
          </w:p>
        </w:tc>
      </w:tr>
      <w:tr>
        <w:trPr>
          <w:trHeight w:val="181"/>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Gain on sale of MATCHNow</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(58,652)</w:t>
            </w:r>
          </w:p>
        </w:tc>
      </w:tr>
      <w:tr>
        <w:trPr>
          <w:trHeight w:val="18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(14,750)</w:t>
            </w:r>
          </w:p>
        </w:tc>
      </w:tr>
      <w:tr>
        <w:trPr>
          <w:trHeight w:val="181"/>
        </w:trPr>
        <w:tc>
          <w:tcPr>
            <w:tcW w:w="7080" w:type="dxa"/>
            <w:vAlign w:val="bottom"/>
            <w:gridSpan w:val="2"/>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602,920</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(147,328)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125,619</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(563,297)</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Trading assets, at fair value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(862,163)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(51,507)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Receivables from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(73,408)</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27,457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(67,469)</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loaned</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69,180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(894,310)</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126,253</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Payables to broker-dealers and clearing organizations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236,722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(216,143)</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Payables to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52,261</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Trading liabilities, at fair value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(52,059)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292,177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(34,738)</w:t>
            </w:r>
          </w:p>
        </w:tc>
      </w:tr>
      <w:tr>
        <w:trPr>
          <w:trHeight w:val="181"/>
        </w:trPr>
        <w:tc>
          <w:tcPr>
            <w:tcW w:w="7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(71,968)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109,276</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483,598</w:t>
            </w:r>
          </w:p>
        </w:tc>
      </w:tr>
      <w:tr>
        <w:trPr>
          <w:trHeight w:val="210"/>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Development of capitalized software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(27,463)</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(21,717)</w:t>
            </w: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Proceeds from sale of MATCHNow</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60,592</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investing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(7,968)</w:t>
            </w:r>
          </w:p>
        </w:tc>
      </w:tr>
      <w:tr>
        <w:trPr>
          <w:trHeight w:val="174"/>
        </w:trPr>
        <w:tc>
          <w:tcPr>
            <w:tcW w:w="7080" w:type="dxa"/>
            <w:vAlign w:val="bottom"/>
            <w:gridSpan w:val="2"/>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3,444</w:t>
            </w:r>
          </w:p>
        </w:tc>
      </w:tr>
      <w:tr>
        <w:trPr>
          <w:trHeight w:val="212"/>
        </w:trPr>
        <w:tc>
          <w:tcPr>
            <w:tcW w:w="6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3"/>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4"/>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Dividends to stockholders and distributions from Virtu Financial to noncontrolling interest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(430,630)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(337,966)</w:t>
            </w: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Repurchase of Class C common stock</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(12,579)</w:t>
            </w: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Stock options exercised</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14,502</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Short-term borrowings, net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49,388</w:t>
            </w:r>
          </w:p>
        </w:tc>
      </w:tr>
      <w:tr>
        <w:trPr>
          <w:trHeight w:val="181"/>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Repayment of long term borrowings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(36,737)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(288,500)</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Tax receivable agreement obligations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(13,286)</w:t>
            </w:r>
          </w:p>
        </w:tc>
      </w:tr>
      <w:tr>
        <w:trPr>
          <w:trHeight w:val="181"/>
        </w:trPr>
        <w:tc>
          <w:tcPr>
            <w:tcW w:w="7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Debt issuance costs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(9,779)</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(598,220)</w:t>
            </w:r>
          </w:p>
        </w:tc>
      </w:tr>
      <w:tr>
        <w:trPr>
          <w:trHeight w:val="210"/>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w:t>
            </w:r>
          </w:p>
        </w:tc>
      </w:tr>
      <w:tr>
        <w:trPr>
          <w:trHeight w:val="210"/>
        </w:trPr>
        <w:tc>
          <w:tcPr>
            <w:tcW w:w="6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(252,692)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(107,318)</w:t>
            </w:r>
          </w:p>
        </w:tc>
      </w:tr>
      <w:tr>
        <w:trPr>
          <w:trHeight w:val="181"/>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1,007,005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773,280</w:t>
            </w:r>
          </w:p>
        </w:tc>
      </w:tr>
      <w:tr>
        <w:trPr>
          <w:trHeight w:val="20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754,313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665,962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Supplementary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-95885</wp:posOffset>
            </wp:positionV>
            <wp:extent cx="6080125" cy="116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0125"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7" w:right="115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3"/>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174"/>
        </w:trPr>
        <w:tc>
          <w:tcPr>
            <w:tcW w:w="69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Cash paid for interest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115,890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137,750</w:t>
            </w:r>
          </w:p>
        </w:tc>
      </w:tr>
      <w:tr>
        <w:trPr>
          <w:trHeight w:val="186"/>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paid for taxes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207,387</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8"/>
        </w:trPr>
        <w:tc>
          <w:tcPr>
            <w:tcW w:w="7080" w:type="dxa"/>
            <w:vAlign w:val="bottom"/>
            <w:gridSpan w:val="2"/>
          </w:tcPr>
          <w:p>
            <w:pPr>
              <w:ind w:left="14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9,672</w:t>
            </w:r>
          </w:p>
        </w:tc>
      </w:tr>
    </w:tbl>
    <w:p>
      <w:pPr>
        <w:spacing w:after="0" w:line="24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7" w:right="11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50" w:lineRule="exact"/>
        <w:rPr>
          <w:sz w:val="20"/>
          <w:szCs w:val="20"/>
          <w:color w:val="auto"/>
        </w:rPr>
      </w:pPr>
    </w:p>
    <w:p>
      <w:pPr>
        <w:ind w:right="60" w:firstLine="629"/>
        <w:spacing w:after="0" w:line="289"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2021, VFI owned approximately 62.6% of the membership interests of Virtu Financial. VFI is the sole managing member of Virtu Financial and operates and controls all of the businesses and affairs of Virtu Financial and its subsidiaries (the “Group”).</w:t>
      </w:r>
    </w:p>
    <w:p>
      <w:pPr>
        <w:spacing w:after="0" w:line="188"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completed two significant acquisitions over the past five years that have expanded and complemented Virtu Financial's original electronic trading and marking making business. On July 20, 2017 (the “KCG Closing Date”), the Company completed the all-cash acquisition of KCG Holdings, Inc. (“KCG”) (the “Acquisition of KCG”). On March 1, 2019 (the “ITG Closing Date”), the Company completed the acquisition of Investment Technology Group, Inc. and its subsidiaries (“ITG”) in an all-cash transaction valued at $30.30 per ITG share, for a total of approximately $1.0 billion (the “ITG Acquisition”). ITG's business contributes to the Company's Execution Services segment.</w:t>
      </w:r>
    </w:p>
    <w:p>
      <w:pPr>
        <w:spacing w:after="0" w:line="204" w:lineRule="exact"/>
        <w:rPr>
          <w:sz w:val="20"/>
          <w:szCs w:val="20"/>
          <w:color w:val="auto"/>
        </w:rPr>
      </w:pPr>
    </w:p>
    <w:p>
      <w:pPr>
        <w:ind w:right="140" w:firstLine="629"/>
        <w:spacing w:after="0" w:line="261" w:lineRule="auto"/>
        <w:rPr>
          <w:sz w:val="20"/>
          <w:szCs w:val="20"/>
          <w:color w:val="auto"/>
        </w:rPr>
      </w:pPr>
      <w:r>
        <w:rPr>
          <w:rFonts w:ascii="Arial" w:cs="Arial" w:eastAsia="Arial" w:hAnsi="Arial"/>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50"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2020. The condensed consolidated financial statements of the Company include its equity interests in Virtu Financial and its subsidiaries. As sole managing member of Virtu Financial, the Company exerts control over the Group’s operations. The Company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960"/>
        <w:spacing w:after="0" w:line="289" w:lineRule="auto"/>
        <w:rPr>
          <w:sz w:val="20"/>
          <w:szCs w:val="20"/>
          <w:color w:val="auto"/>
        </w:rPr>
      </w:pPr>
      <w:r>
        <w:rPr>
          <w:rFonts w:ascii="Arial" w:cs="Arial" w:eastAsia="Arial" w:hAnsi="Arial"/>
          <w:sz w:val="17"/>
          <w:szCs w:val="17"/>
          <w:color w:val="auto"/>
        </w:rPr>
        <w:t>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84"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7" w:lineRule="exact"/>
        <w:rPr>
          <w:sz w:val="20"/>
          <w:szCs w:val="20"/>
          <w:color w:val="auto"/>
        </w:rPr>
      </w:pPr>
    </w:p>
    <w:p>
      <w:pPr>
        <w:ind w:firstLine="629"/>
        <w:spacing w:after="0" w:line="247" w:lineRule="auto"/>
        <w:rPr>
          <w:sz w:val="20"/>
          <w:szCs w:val="20"/>
          <w:color w:val="auto"/>
        </w:rPr>
      </w:pPr>
      <w:r>
        <w:rPr>
          <w:rFonts w:ascii="Arial" w:cs="Arial" w:eastAsia="Arial" w:hAnsi="Arial"/>
          <w:sz w:val="17"/>
          <w:szCs w:val="17"/>
          <w:color w:val="auto"/>
        </w:rPr>
        <w:t>Effective for the quarter ended March 31, 2021, the Company changed the presentation of its Condensed Consolidated Statements of Changes in Equity and Condensed Consolidated Statements of Cash Flows. As a result, the Company combined $30.3 million of Dividends to stockholders and $83.4 million of Distribution from Virtu Financial to noncontrolling interest, and $90.1 million of Dividends to stockholders and $247.8 million of Distribution from Virtu Financial to noncontrolling interest into one line, Dividends to stockholders and distribution from Virtu Financial to noncontrolling interest for the three and nine months ended September 30, 2020, respectively. Dividends and distributions from Virtu Financial to noncontrolling interest both represent cash payments by the Company to its equity owners which reduce Total equity.</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2" w:lineRule="exact"/>
        <w:rPr>
          <w:sz w:val="20"/>
          <w:szCs w:val="20"/>
          <w:color w:val="auto"/>
        </w:rPr>
      </w:pPr>
    </w:p>
    <w:p>
      <w:pPr>
        <w:ind w:right="840" w:firstLine="629"/>
        <w:spacing w:after="0" w:line="306" w:lineRule="auto"/>
        <w:rPr>
          <w:sz w:val="20"/>
          <w:szCs w:val="20"/>
          <w:color w:val="auto"/>
        </w:rPr>
      </w:pPr>
      <w:r>
        <w:rPr>
          <w:rFonts w:ascii="Arial" w:cs="Arial" w:eastAsia="Arial" w:hAnsi="Arial"/>
          <w:sz w:val="16"/>
          <w:szCs w:val="16"/>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56" w:lineRule="exact"/>
        <w:rPr>
          <w:sz w:val="20"/>
          <w:szCs w:val="20"/>
          <w:color w:val="auto"/>
        </w:rPr>
      </w:pPr>
    </w:p>
    <w:p>
      <w:pPr>
        <w:ind w:right="340" w:firstLine="629"/>
        <w:spacing w:after="0" w:line="26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December 2019, the FASB issued Accounting Standards Update ("ASU")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740): Simplifying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The ASU removes certain exceptions related to the approach for intraperiod tax allocation, the methodology for calculating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Company adopted this ASU on January 1, 2021 and it did not have a material impact on its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September 30, 2021</w:t>
      </w:r>
    </w:p>
    <w:p>
      <w:pPr>
        <w:spacing w:after="0" w:line="256"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b w:val="1"/>
          <w:bCs w:val="1"/>
          <w:i w:val="1"/>
          <w:iCs w:val="1"/>
          <w:color w:val="auto"/>
        </w:rPr>
        <w:t xml:space="preserve">Reference Rate Reform </w:t>
      </w:r>
      <w:r>
        <w:rPr>
          <w:rFonts w:ascii="Arial" w:cs="Arial" w:eastAsia="Arial" w:hAnsi="Arial"/>
          <w:sz w:val="16"/>
          <w:szCs w:val="16"/>
          <w:color w:val="auto"/>
        </w:rPr>
        <w:t>- In March 2020, the FASB issued ASU 2020-04,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Reference Rate Reform (Topic 848): Facilitation of the Effects of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Rate Reform on Financial Reporting</w:t>
      </w:r>
      <w:r>
        <w:rPr>
          <w:rFonts w:ascii="Arial" w:cs="Arial" w:eastAsia="Arial" w:hAnsi="Arial"/>
          <w:sz w:val="16"/>
          <w:szCs w:val="16"/>
          <w:color w:val="auto"/>
        </w:rPr>
        <w:t>, which is designed to ease the potential burden in accounting for the transition away from LIBOR. The ASU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is evaluating the impact of these ASUs, but does not expect it to have a material impact on its Condensed Consolidated Financial Statements and related disclosures.</w:t>
      </w:r>
    </w:p>
    <w:p>
      <w:pPr>
        <w:spacing w:after="0" w:line="19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Convertible Instruments </w:t>
      </w:r>
      <w:r>
        <w:rPr>
          <w:rFonts w:ascii="Arial" w:cs="Arial" w:eastAsia="Arial" w:hAnsi="Arial"/>
          <w:sz w:val="17"/>
          <w:szCs w:val="17"/>
          <w:color w:val="auto"/>
        </w:rPr>
        <w:t>- In August 2020, the FASB issued ASU 2020-06,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Debt - Debt with Conversion and Other Options (Subtopic 470-20)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Derivatives and Hedging - Contracts in Entity's Own Equity (Subtopic 815-40). </w:t>
      </w:r>
      <w:r>
        <w:rPr>
          <w:rFonts w:ascii="Arial" w:cs="Arial" w:eastAsia="Arial" w:hAnsi="Arial"/>
          <w:sz w:val="17"/>
          <w:szCs w:val="17"/>
          <w:color w:val="auto"/>
        </w:rPr>
        <w:t>The ASU simplifies accounting for certain financial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of liabilities and equity, including convertible instruments and contracts in an entity's own equity and updates selected earnings per share ("EPS") guidance. The ASU is effective for periods beginning after December 15, 2021. The Company is currently evaluating the impact of the new standard on its Condensed Consolidated Financial Statements and related disclosures.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Sale of MATCHNow</w:t>
      </w:r>
    </w:p>
    <w:p>
      <w:pPr>
        <w:spacing w:after="0" w:line="125"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In May 2020, the Company entered into a Securities Purchase Agreement ("SPA") with Cboe Global Markets, Inc. (“CBOE”) pursuant to which the Company agreed to sell 100% of the outstanding interests in TriAct Canada Marketplace LP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and TCM Corp., which operate an equities alternative trading system (“MATCHNow”) in Canada. Pursuant to the terms of the SPA, the Company also agreed to enter into a licensing agreement for the licensing of certain software and intellectual property used in support of MATCHNow.</w:t>
      </w:r>
    </w:p>
    <w:p>
      <w:pPr>
        <w:spacing w:after="0" w:line="184"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On August 4, 2020 (the "MATCHNow Closing Date"), the Company completed the sale of MATCHNow to CBOE for total gross proceeds of $60.6 million in cash, with additional contingent consideration of up to approximately $23.0 million. The Company incurred one-time transaction costs including professional fees related to the sale of $2.5 million, which were recorded in Transaction advisory fees and expenses on the Condensed Consolidated Statements of Comprehensive Income. The Company recognized a gain on sale of $58.7 million, which was recorded in Other, net on the Condensed Consolidated Statements of Comprehensive Income for the year ended September 30, 2020.</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summary of the carrying value of MATCHNow and gain on sale of MATCHNow is as follows:</w:t>
      </w:r>
    </w:p>
    <w:p>
      <w:pPr>
        <w:spacing w:after="0" w:line="288"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p>
    <w:tbl>
      <w:tblPr>
        <w:tblLayout w:type="fixed"/>
        <w:tblInd w:w="2760" w:type="dxa"/>
        <w:tblCellMar>
          <w:top w:w="0" w:type="dxa"/>
          <w:left w:w="0" w:type="dxa"/>
          <w:bottom w:w="0" w:type="dxa"/>
          <w:right w:w="0" w:type="dxa"/>
        </w:tblCellMar>
      </w:tblPr>
      <w:tr>
        <w:trPr>
          <w:trHeight w:val="209"/>
        </w:trPr>
        <w:tc>
          <w:tcPr>
            <w:tcW w:w="37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Total sale proceeds received</w:t>
            </w:r>
          </w:p>
        </w:tc>
        <w:tc>
          <w:tcPr>
            <w:tcW w:w="142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98"/>
              </w:rPr>
              <w:t>60,592</w:t>
            </w:r>
          </w:p>
        </w:tc>
        <w:tc>
          <w:tcPr>
            <w:tcW w:w="0" w:type="dxa"/>
            <w:vAlign w:val="bottom"/>
          </w:tcPr>
          <w:p>
            <w:pPr>
              <w:spacing w:after="0"/>
              <w:rPr>
                <w:sz w:val="1"/>
                <w:szCs w:val="1"/>
                <w:color w:val="auto"/>
              </w:rPr>
            </w:pPr>
          </w:p>
        </w:tc>
      </w:tr>
      <w:tr>
        <w:trPr>
          <w:trHeight w:val="160"/>
        </w:trPr>
        <w:tc>
          <w:tcPr>
            <w:tcW w:w="3760" w:type="dxa"/>
            <w:vAlign w:val="bottom"/>
          </w:tcPr>
          <w:p>
            <w:pPr>
              <w:ind w:left="640"/>
              <w:spacing w:after="0" w:line="161" w:lineRule="exact"/>
              <w:rPr>
                <w:sz w:val="20"/>
                <w:szCs w:val="20"/>
                <w:color w:val="auto"/>
              </w:rPr>
            </w:pPr>
            <w:r>
              <w:rPr>
                <w:rFonts w:ascii="Arial" w:cs="Arial" w:eastAsia="Arial" w:hAnsi="Arial"/>
                <w:sz w:val="16"/>
                <w:szCs w:val="16"/>
                <w:color w:val="auto"/>
              </w:rPr>
              <w:t>Total carrying value of MATCHNow as of</w:t>
            </w:r>
          </w:p>
        </w:tc>
        <w:tc>
          <w:tcPr>
            <w:tcW w:w="1420" w:type="dxa"/>
            <w:vAlign w:val="bottom"/>
          </w:tcPr>
          <w:p>
            <w:pPr>
              <w:spacing w:after="0"/>
              <w:rPr>
                <w:sz w:val="13"/>
                <w:szCs w:val="13"/>
                <w:color w:val="auto"/>
              </w:rPr>
            </w:pPr>
          </w:p>
        </w:tc>
        <w:tc>
          <w:tcPr>
            <w:tcW w:w="1200" w:type="dxa"/>
            <w:vAlign w:val="bottom"/>
            <w:vMerge w:val="restart"/>
          </w:tcPr>
          <w:p>
            <w:pPr>
              <w:ind w:left="700"/>
              <w:spacing w:after="0"/>
              <w:rPr>
                <w:sz w:val="20"/>
                <w:szCs w:val="20"/>
                <w:color w:val="auto"/>
              </w:rPr>
            </w:pPr>
            <w:r>
              <w:rPr>
                <w:rFonts w:ascii="Arial" w:cs="Arial" w:eastAsia="Arial" w:hAnsi="Arial"/>
                <w:sz w:val="16"/>
                <w:szCs w:val="16"/>
                <w:color w:val="auto"/>
                <w:w w:val="94"/>
              </w:rPr>
              <w:t>(1,940)</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MATCHNow Closing Date</w:t>
            </w:r>
          </w:p>
        </w:tc>
        <w:tc>
          <w:tcPr>
            <w:tcW w:w="1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sale of MATCHNow</w:t>
            </w: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8"/>
              </w:rPr>
              <w:t>58,652</w:t>
            </w:r>
          </w:p>
        </w:tc>
        <w:tc>
          <w:tcPr>
            <w:tcW w:w="0" w:type="dxa"/>
            <w:vAlign w:val="bottom"/>
          </w:tcPr>
          <w:p>
            <w:pPr>
              <w:spacing w:after="0"/>
              <w:rPr>
                <w:sz w:val="1"/>
                <w:szCs w:val="1"/>
                <w:color w:val="auto"/>
              </w:rPr>
            </w:pPr>
          </w:p>
        </w:tc>
      </w:tr>
      <w:tr>
        <w:trPr>
          <w:trHeight w:val="206"/>
        </w:trPr>
        <w:tc>
          <w:tcPr>
            <w:tcW w:w="376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Transaction costs</w:t>
            </w:r>
          </w:p>
        </w:tc>
        <w:tc>
          <w:tcPr>
            <w:tcW w:w="1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4"/>
              </w:rPr>
              <w:t>(2,453)</w:t>
            </w: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640"/>
              <w:spacing w:after="0" w:line="144" w:lineRule="exact"/>
              <w:rPr>
                <w:sz w:val="20"/>
                <w:szCs w:val="20"/>
                <w:color w:val="auto"/>
              </w:rPr>
            </w:pPr>
            <w:r>
              <w:rPr>
                <w:rFonts w:ascii="Arial" w:cs="Arial" w:eastAsia="Arial" w:hAnsi="Arial"/>
                <w:sz w:val="16"/>
                <w:szCs w:val="16"/>
                <w:color w:val="auto"/>
              </w:rPr>
              <w:t>Gain on sale of MATCHNow, net of</w:t>
            </w:r>
          </w:p>
        </w:tc>
        <w:tc>
          <w:tcPr>
            <w:tcW w:w="1420" w:type="dxa"/>
            <w:vAlign w:val="bottom"/>
            <w:vMerge w:val="restart"/>
            <w:shd w:val="clear" w:color="auto" w:fill="CCEEFF"/>
          </w:tcPr>
          <w:p>
            <w:pPr>
              <w:jc w:val="right"/>
              <w:ind w:right="6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w w:val="98"/>
              </w:rPr>
              <w:t>56,199</w:t>
            </w:r>
          </w:p>
        </w:tc>
        <w:tc>
          <w:tcPr>
            <w:tcW w:w="0" w:type="dxa"/>
            <w:vAlign w:val="bottom"/>
          </w:tcPr>
          <w:p>
            <w:pPr>
              <w:spacing w:after="0"/>
              <w:rPr>
                <w:sz w:val="1"/>
                <w:szCs w:val="1"/>
                <w:color w:val="auto"/>
              </w:rPr>
            </w:pPr>
          </w:p>
        </w:tc>
      </w:tr>
      <w:tr>
        <w:trPr>
          <w:trHeight w:val="200"/>
        </w:trPr>
        <w:tc>
          <w:tcPr>
            <w:tcW w:w="37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transaction costs</w:t>
            </w: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20" w:firstLine="629"/>
        <w:spacing w:after="0" w:line="257" w:lineRule="auto"/>
        <w:rPr>
          <w:sz w:val="20"/>
          <w:szCs w:val="20"/>
          <w:color w:val="auto"/>
        </w:rPr>
      </w:pPr>
      <w:r>
        <w:rPr>
          <w:rFonts w:ascii="Arial" w:cs="Arial" w:eastAsia="Arial" w:hAnsi="Arial"/>
          <w:sz w:val="17"/>
          <w:szCs w:val="17"/>
          <w:color w:val="auto"/>
        </w:rPr>
        <w:t>Contingent consideration may be earned based on the future performance of MATCHNow following the MATCHNow Closing Date. Deferred payments will be assessed quarterly until December 31, 2022 and recorded in Other, net on the Condensed Consolidated Statements of Comprehensive Income when the contingency is resolved and payments become payable by CBOE.</w:t>
      </w:r>
    </w:p>
    <w:p>
      <w:pPr>
        <w:spacing w:after="0" w:line="197" w:lineRule="exact"/>
        <w:rPr>
          <w:sz w:val="20"/>
          <w:szCs w:val="20"/>
          <w:color w:val="auto"/>
        </w:rPr>
      </w:pPr>
    </w:p>
    <w:p>
      <w:pPr>
        <w:ind w:right="20" w:firstLine="629"/>
        <w:spacing w:after="0" w:line="257" w:lineRule="auto"/>
        <w:rPr>
          <w:sz w:val="20"/>
          <w:szCs w:val="20"/>
          <w:color w:val="auto"/>
        </w:rPr>
      </w:pPr>
      <w:r>
        <w:rPr>
          <w:rFonts w:ascii="Arial" w:cs="Arial" w:eastAsia="Arial" w:hAnsi="Arial"/>
          <w:sz w:val="17"/>
          <w:szCs w:val="17"/>
          <w:color w:val="auto"/>
        </w:rPr>
        <w:t>In addition, the Company entered into a Transition Services Agreement ("TSA") with CBOE, pursuant to which the Company agreed to provide certain telecom and general and administrative services for a defined period. Income from performing services under the TSA are recorded in Other, net on the Condensed Consolidated Statements of Comprehensive Income.</w:t>
      </w:r>
    </w:p>
    <w:p>
      <w:pPr>
        <w:spacing w:after="0" w:line="6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With the licensing of certain software and intellectual property associated with MATCHNow, the Company performed an assessment of impairment of long-lived intangible assets acquired in connection with the ITG acquisition, of which MATCHNow technology was a component. No impairment was recognized for the three and nine months ended September 30, 2020.</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Earnings per Share</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below table contains a reconciliation of net income (loss) before noncontrolling interest to net income (loss) available for common stockholders:</w:t>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30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3"/>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177"/>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145,099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252,515</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center"/>
              <w:ind w:left="350"/>
              <w:spacing w:after="0"/>
              <w:rPr>
                <w:sz w:val="20"/>
                <w:szCs w:val="20"/>
                <w:color w:val="auto"/>
              </w:rPr>
            </w:pPr>
            <w:r>
              <w:rPr>
                <w:rFonts w:ascii="Arial" w:cs="Arial" w:eastAsia="Arial" w:hAnsi="Arial"/>
                <w:sz w:val="14"/>
                <w:szCs w:val="14"/>
                <w:color w:val="auto"/>
                <w:w w:val="90"/>
              </w:rPr>
              <w:t>769,887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1,123,272</w:t>
            </w:r>
          </w:p>
        </w:tc>
      </w:tr>
      <w:tr>
        <w:trPr>
          <w:trHeight w:val="181"/>
        </w:trPr>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52,807</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370"/>
              <w:spacing w:after="0"/>
              <w:rPr>
                <w:sz w:val="20"/>
                <w:szCs w:val="20"/>
                <w:color w:val="auto"/>
              </w:rPr>
            </w:pPr>
            <w:r>
              <w:rPr>
                <w:rFonts w:ascii="Arial" w:cs="Arial" w:eastAsia="Arial" w:hAnsi="Arial"/>
                <w:sz w:val="14"/>
                <w:szCs w:val="14"/>
                <w:color w:val="auto"/>
                <w:w w:val="86"/>
              </w:rPr>
              <w:t>128,611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200,044</w:t>
            </w:r>
          </w:p>
        </w:tc>
      </w:tr>
      <w:tr>
        <w:trPr>
          <w:trHeight w:val="179"/>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199,708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350"/>
              <w:spacing w:after="0"/>
              <w:rPr>
                <w:sz w:val="20"/>
                <w:szCs w:val="20"/>
                <w:color w:val="auto"/>
              </w:rPr>
            </w:pPr>
            <w:r>
              <w:rPr>
                <w:rFonts w:ascii="Arial" w:cs="Arial" w:eastAsia="Arial" w:hAnsi="Arial"/>
                <w:sz w:val="14"/>
                <w:szCs w:val="14"/>
                <w:color w:val="auto"/>
                <w:w w:val="90"/>
              </w:rPr>
              <w:t>641,276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923,228</w:t>
            </w: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3"/>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(82,999)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330"/>
              <w:spacing w:after="0"/>
              <w:rPr>
                <w:sz w:val="20"/>
                <w:szCs w:val="20"/>
                <w:color w:val="auto"/>
              </w:rPr>
            </w:pPr>
            <w:r>
              <w:rPr>
                <w:rFonts w:ascii="Arial" w:cs="Arial" w:eastAsia="Arial" w:hAnsi="Arial"/>
                <w:sz w:val="14"/>
                <w:szCs w:val="14"/>
                <w:color w:val="auto"/>
                <w:w w:val="93"/>
              </w:rPr>
              <w:t>(268,454)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(386,311)</w:t>
            </w: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01"/>
        </w:trPr>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available for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70,507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116,709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4"/>
                <w:szCs w:val="14"/>
                <w:color w:val="auto"/>
                <w:w w:val="90"/>
              </w:rPr>
              <w:t>372,822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536,917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calculation of basic and diluted earnings per share is presented below:</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3"/>
        </w:trPr>
        <w:tc>
          <w:tcPr>
            <w:tcW w:w="608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Basic earnings (loss) per share:</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gridSpan w:val="4"/>
          </w:tcPr>
          <w:p>
            <w:pPr>
              <w:spacing w:after="0"/>
              <w:rPr>
                <w:sz w:val="20"/>
                <w:szCs w:val="20"/>
                <w:color w:val="auto"/>
              </w:rPr>
            </w:pPr>
            <w:r>
              <w:rPr>
                <w:rFonts w:ascii="Arial" w:cs="Arial" w:eastAsia="Arial" w:hAnsi="Arial"/>
                <w:sz w:val="14"/>
                <w:szCs w:val="14"/>
                <w:color w:val="auto"/>
              </w:rPr>
              <w:t>Net income available for common stockholders</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70,507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116,709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372,822</w:t>
            </w:r>
          </w:p>
        </w:tc>
        <w:tc>
          <w:tcPr>
            <w:tcW w:w="40" w:type="dxa"/>
            <w:vAlign w:val="bottom"/>
          </w:tcPr>
          <w:p>
            <w:pPr>
              <w:spacing w:after="0"/>
              <w:rPr>
                <w:sz w:val="15"/>
                <w:szCs w:val="15"/>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536,917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(10,335)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11"/>
        </w:trPr>
        <w:tc>
          <w:tcPr>
            <w:tcW w:w="6080" w:type="dxa"/>
            <w:vAlign w:val="bottom"/>
            <w:gridSpan w:val="4"/>
          </w:tcPr>
          <w:p>
            <w:pPr>
              <w:spacing w:after="0" w:line="111" w:lineRule="exact"/>
              <w:rPr>
                <w:sz w:val="20"/>
                <w:szCs w:val="20"/>
                <w:color w:val="auto"/>
              </w:rPr>
            </w:pPr>
            <w:r>
              <w:rPr>
                <w:rFonts w:ascii="Arial" w:cs="Arial" w:eastAsia="Arial" w:hAnsi="Arial"/>
                <w:sz w:val="12"/>
                <w:szCs w:val="12"/>
                <w:color w:val="auto"/>
              </w:rPr>
              <w:t>Net income available for common stockholders, net of dividends and undistributed earnings allocated to</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68,285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113,292</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362,487</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522,707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6080" w:type="dxa"/>
            <w:vAlign w:val="bottom"/>
            <w:gridSpan w:val="4"/>
          </w:tcPr>
          <w:p>
            <w:pPr>
              <w:spacing w:after="0"/>
              <w:rPr>
                <w:sz w:val="20"/>
                <w:szCs w:val="20"/>
                <w:color w:val="auto"/>
              </w:rPr>
            </w:pPr>
            <w:r>
              <w:rPr>
                <w:rFonts w:ascii="Arial" w:cs="Arial" w:eastAsia="Arial" w:hAnsi="Arial"/>
                <w:sz w:val="14"/>
                <w:szCs w:val="14"/>
                <w:color w:val="auto"/>
              </w:rPr>
              <w:t>participating securities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80" w:type="dxa"/>
            <w:vAlign w:val="bottom"/>
            <w:gridSpan w:val="4"/>
          </w:tcPr>
          <w:p>
            <w:pPr>
              <w:spacing w:after="0"/>
              <w:rPr>
                <w:sz w:val="20"/>
                <w:szCs w:val="20"/>
                <w:color w:val="auto"/>
              </w:rPr>
            </w:pPr>
            <w:r>
              <w:rPr>
                <w:rFonts w:ascii="Arial" w:cs="Arial" w:eastAsia="Arial" w:hAnsi="Arial"/>
                <w:sz w:val="14"/>
                <w:szCs w:val="14"/>
                <w:color w:val="auto"/>
              </w:rPr>
              <w:t>Weighted average shares of common stock outstanding: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Class A</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115,770,457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122,686,931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119,148,571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121,328,895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Basic earnings (loss) per share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8"/>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04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5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Diluted earnings (loss) per share:</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040" w:type="dxa"/>
            <w:vAlign w:val="bottom"/>
            <w:gridSpan w:val="3"/>
          </w:tcPr>
          <w:p>
            <w:pPr>
              <w:spacing w:after="0" w:line="131" w:lineRule="exact"/>
              <w:rPr>
                <w:sz w:val="20"/>
                <w:szCs w:val="20"/>
                <w:color w:val="auto"/>
              </w:rPr>
            </w:pPr>
            <w:r>
              <w:rPr>
                <w:rFonts w:ascii="Arial" w:cs="Arial" w:eastAsia="Arial" w:hAnsi="Arial"/>
                <w:sz w:val="14"/>
                <w:szCs w:val="14"/>
                <w:color w:val="auto"/>
                <w:w w:val="93"/>
              </w:rPr>
              <w:t>Net income available for common stockholders, net of dividends and undistributed earnings allocated to</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68,285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restart"/>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113,292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362,487</w:t>
            </w:r>
          </w:p>
        </w:tc>
        <w:tc>
          <w:tcPr>
            <w:tcW w:w="40" w:type="dxa"/>
            <w:vAlign w:val="bottom"/>
          </w:tcPr>
          <w:p>
            <w:pPr>
              <w:spacing w:after="0"/>
              <w:rPr>
                <w:sz w:val="11"/>
                <w:szCs w:val="11"/>
                <w:color w:val="auto"/>
              </w:rPr>
            </w:pPr>
          </w:p>
        </w:tc>
        <w:tc>
          <w:tcPr>
            <w:tcW w:w="340" w:type="dxa"/>
            <w:vAlign w:val="bottom"/>
            <w:gridSpan w:val="3"/>
            <w:vMerge w:val="restart"/>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522,707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participating securities</w:t>
            </w:r>
          </w:p>
        </w:tc>
        <w:tc>
          <w:tcPr>
            <w:tcW w:w="1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Weighted average shares of common stock outstanding: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Class A</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40" w:type="dxa"/>
            <w:vAlign w:val="bottom"/>
            <w:gridSpan w:val="3"/>
          </w:tcPr>
          <w:p>
            <w:pPr>
              <w:ind w:left="320"/>
              <w:spacing w:after="0"/>
              <w:rPr>
                <w:sz w:val="20"/>
                <w:szCs w:val="20"/>
                <w:color w:val="auto"/>
              </w:rPr>
            </w:pPr>
            <w:r>
              <w:rPr>
                <w:rFonts w:ascii="Arial" w:cs="Arial" w:eastAsia="Arial" w:hAnsi="Arial"/>
                <w:sz w:val="14"/>
                <w:szCs w:val="14"/>
                <w:color w:val="auto"/>
              </w:rPr>
              <w:t>Issued and outstanding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115,770,457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122,686,931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119,148,571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121,328,895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6040" w:type="dxa"/>
            <w:vAlign w:val="bottom"/>
            <w:gridSpan w:val="3"/>
            <w:shd w:val="clear" w:color="auto" w:fill="CCEEFF"/>
          </w:tcPr>
          <w:p>
            <w:pPr>
              <w:ind w:left="320"/>
              <w:spacing w:after="0" w:line="133" w:lineRule="exact"/>
              <w:rPr>
                <w:sz w:val="20"/>
                <w:szCs w:val="20"/>
                <w:color w:val="auto"/>
              </w:rPr>
            </w:pPr>
            <w:r>
              <w:rPr>
                <w:rFonts w:ascii="Arial" w:cs="Arial" w:eastAsia="Arial" w:hAnsi="Arial"/>
                <w:sz w:val="14"/>
                <w:szCs w:val="14"/>
                <w:color w:val="auto"/>
                <w:w w:val="97"/>
              </w:rPr>
              <w:t>Issuable pursuant to Amended and Restated 2015 Management Incentive Plan, Amended and</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040" w:type="dxa"/>
            <w:vAlign w:val="bottom"/>
            <w:gridSpan w:val="3"/>
            <w:shd w:val="clear" w:color="auto" w:fill="CCEEFF"/>
          </w:tcPr>
          <w:p>
            <w:pPr>
              <w:ind w:left="320"/>
              <w:spacing w:after="0" w:line="131" w:lineRule="exact"/>
              <w:rPr>
                <w:sz w:val="20"/>
                <w:szCs w:val="20"/>
                <w:color w:val="auto"/>
              </w:rPr>
            </w:pPr>
            <w:r>
              <w:rPr>
                <w:rFonts w:ascii="Arial" w:cs="Arial" w:eastAsia="Arial" w:hAnsi="Arial"/>
                <w:sz w:val="14"/>
                <w:szCs w:val="14"/>
                <w:color w:val="auto"/>
                <w:w w:val="99"/>
              </w:rPr>
              <w:t>Restated Investment Technology Group, Inc. 2007 Omnibus Equity Compensation Plan, and</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852,657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1,085,074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1,224,589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610,944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Warrants issued in connection with the Founder Member Loan</w:t>
            </w: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116,623,114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123,772,005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120,373,160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121,939,839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Diluted earnings (loss) per share</w:t>
            </w: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Tax Receivable Agreements</w:t>
      </w:r>
    </w:p>
    <w:p>
      <w:pPr>
        <w:spacing w:after="0" w:line="361" w:lineRule="exact"/>
        <w:rPr>
          <w:sz w:val="20"/>
          <w:szCs w:val="20"/>
          <w:color w:val="auto"/>
        </w:rPr>
      </w:pPr>
    </w:p>
    <w:p>
      <w:pPr>
        <w:ind w:right="720" w:firstLine="629"/>
        <w:spacing w:after="0" w:line="289" w:lineRule="auto"/>
        <w:rPr>
          <w:sz w:val="20"/>
          <w:szCs w:val="20"/>
          <w:color w:val="auto"/>
        </w:rPr>
      </w:pPr>
      <w:r>
        <w:rPr>
          <w:rFonts w:ascii="Arial" w:cs="Arial" w:eastAsia="Arial" w:hAnsi="Arial"/>
          <w:sz w:val="17"/>
          <w:szCs w:val="17"/>
          <w:color w:val="auto"/>
        </w:rPr>
        <w:t>For a detailed discussion of the Company's tax receivable agreements, see Note 7 "Tax Receivable Agreements" in our consolidated financial statements included in Part II, Item 8 of our Annual Report on Form 10-K for the year ended December 31, 2020.</w:t>
      </w:r>
    </w:p>
    <w:p>
      <w:pPr>
        <w:spacing w:after="0" w:line="184"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For purposes of the tax receivable agreements,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2" w:lineRule="exact"/>
        <w:rPr>
          <w:sz w:val="20"/>
          <w:szCs w:val="20"/>
          <w:color w:val="auto"/>
        </w:rPr>
      </w:pPr>
    </w:p>
    <w:p>
      <w:pPr>
        <w:ind w:right="200" w:firstLine="669"/>
        <w:spacing w:after="0" w:line="273" w:lineRule="auto"/>
        <w:rPr>
          <w:sz w:val="20"/>
          <w:szCs w:val="20"/>
          <w:color w:val="auto"/>
        </w:rPr>
      </w:pPr>
      <w:r>
        <w:rPr>
          <w:rFonts w:ascii="Arial" w:cs="Arial" w:eastAsia="Arial" w:hAnsi="Arial"/>
          <w:sz w:val="17"/>
          <w:szCs w:val="17"/>
          <w:color w:val="auto"/>
        </w:rPr>
        <w:t>The Company made its first payment of $7.0 million in February 2017, its second payment of $12.4 million in September 2018, its third payment of $13.3 million in March 2020, and its fourth payment of $16.5 million in April 2021. Tax receivable payments are expected to range from approximately $0.9 million to $21.7 million per year over the next 15 years.</w:t>
      </w:r>
    </w:p>
    <w:p>
      <w:pPr>
        <w:spacing w:after="0" w:line="19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At September 30, 2021 and December 31, 2020, the Company’s remaining deferred tax assets that relate to the matters described above were approximately $184.3 million and $199.1 million, respectively, and the Company’s liabilities over the next 15 years pursuant to the tax receivable agreements were approximately $254.7 million and $271.2 million, respectively. The amounts recorded as of September 30, 2021 and December 31, 2020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 and Intangible Assets</w:t>
      </w:r>
    </w:p>
    <w:p>
      <w:pPr>
        <w:spacing w:after="0" w:line="25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The Company has two operating segments: (i) Market Making; (ii) Execution Services; and one non-operating segment: Corporate. As of September 30, 2021 and December 31, 2020, the Company’s total amount of goodwill recorded was $1,148.9 million. No goodwill impairment was recognized during the three and nine months ended September 30, 2021 and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details of goodwill by segment as of September 30, 2021 and December 31, 2020:</w:t>
      </w:r>
    </w:p>
    <w:p>
      <w:pPr>
        <w:spacing w:after="0" w:line="43"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Execution Services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0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755,292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393,634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As of September 30, 2021 and December 31, 2020, the Company's total amount of intangible assets recorded was $402.9 million and $454.5 million, respectively. Acquired intangible assets consisted of the following as of September 30, 2021 and December 31, 2020:</w:t>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As of September 30, 2021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5"/>
                <w:szCs w:val="15"/>
                <w:color w:val="auto"/>
              </w:rPr>
            </w:pPr>
          </w:p>
        </w:tc>
        <w:tc>
          <w:tcPr>
            <w:tcW w:w="1080" w:type="dxa"/>
            <w:vAlign w:val="bottom"/>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(130,182)</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356,418</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(97,966)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38,034</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(236,581)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402,912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(94,299)</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392,301</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53,597</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8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637,993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454,499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Amortization expense relating to finite-lived intangible assets was approximately $16.9 million and $18.3 million for the three months ended September 30, 2021 and 2020, respectfully, and $53.1 million and $56.2 million for the nine months ended September 30, 2021 and 2020,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expects to record amortization expense as follows over the remaining current year and the next five subsequent years:</w:t>
      </w:r>
    </w:p>
    <w:p>
      <w:pPr>
        <w:spacing w:after="0" w:line="279" w:lineRule="exact"/>
        <w:rPr>
          <w:sz w:val="20"/>
          <w:szCs w:val="20"/>
          <w:color w:val="auto"/>
        </w:rPr>
      </w:pPr>
    </w:p>
    <w:tbl>
      <w:tblPr>
        <w:tblLayout w:type="fixed"/>
        <w:tblInd w:w="3420" w:type="dxa"/>
        <w:tblCellMar>
          <w:top w:w="0" w:type="dxa"/>
          <w:left w:w="0" w:type="dxa"/>
          <w:bottom w:w="0" w:type="dxa"/>
          <w:right w:w="0" w:type="dxa"/>
        </w:tblCellMar>
      </w:tblPr>
      <w:tr>
        <w:trPr>
          <w:trHeight w:val="188"/>
        </w:trPr>
        <w:tc>
          <w:tcPr>
            <w:tcW w:w="2020" w:type="dxa"/>
            <w:vAlign w:val="bottom"/>
          </w:tcPr>
          <w:p>
            <w:pPr>
              <w:ind w:left="3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Remainder of 2021</w:t>
            </w:r>
          </w:p>
        </w:tc>
        <w:tc>
          <w:tcPr>
            <w:tcW w:w="146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16,580</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2022</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64,852</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2023</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63,960</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2024</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50,845</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2025</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47,879</w:t>
            </w:r>
          </w:p>
        </w:tc>
      </w:tr>
      <w:tr>
        <w:trPr>
          <w:trHeight w:val="178"/>
        </w:trPr>
        <w:tc>
          <w:tcPr>
            <w:tcW w:w="2020" w:type="dxa"/>
            <w:vAlign w:val="bottom"/>
          </w:tcPr>
          <w:p>
            <w:pPr>
              <w:ind w:left="340"/>
              <w:spacing w:after="0"/>
              <w:rPr>
                <w:sz w:val="20"/>
                <w:szCs w:val="20"/>
                <w:color w:val="auto"/>
              </w:rPr>
            </w:pPr>
            <w:r>
              <w:rPr>
                <w:rFonts w:ascii="Arial" w:cs="Arial" w:eastAsia="Arial" w:hAnsi="Arial"/>
                <w:sz w:val="14"/>
                <w:szCs w:val="14"/>
                <w:color w:val="auto"/>
              </w:rPr>
              <w:t>2026</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47,879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Receivables from/Payables to Broker-Dealers and Clearing Organizations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is a summary of receivables from and payables to brokers-dealers and clearing organizations at September 30, 2021 and December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Arial" w:cs="Arial" w:eastAsia="Arial" w:hAnsi="Arial"/>
                <w:sz w:val="14"/>
                <w:szCs w:val="14"/>
                <w:b w:val="1"/>
                <w:bCs w:val="1"/>
                <w:color w:val="auto"/>
                <w:w w:val="96"/>
              </w:rPr>
              <w:t>December 31, 2020</w:t>
            </w:r>
          </w:p>
        </w:tc>
      </w:tr>
      <w:tr>
        <w:trPr>
          <w:trHeight w:val="182"/>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557,316</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697,293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239,697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248,943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118,777</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444,138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372,965</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29,066</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receivables from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1,452,426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1,684,006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3"/>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to prime brokers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410,772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69,147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77,257</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228,070</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receive</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304,598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156,804</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3,543</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payables to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1,094,971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876,446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prime brokerage credit facilities (described in Note 9 "Borrowings") of approximately $202.5 million and $134.7 million as of September 30, 2021 and December 31, 2020,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Collateralized Transactions</w:t>
      </w:r>
    </w:p>
    <w:p>
      <w:pPr>
        <w:spacing w:after="0" w:line="256" w:lineRule="exact"/>
        <w:rPr>
          <w:sz w:val="20"/>
          <w:szCs w:val="20"/>
          <w:color w:val="auto"/>
        </w:rPr>
      </w:pPr>
    </w:p>
    <w:p>
      <w:pPr>
        <w:ind w:right="380" w:firstLine="629"/>
        <w:spacing w:after="0" w:line="273"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2021 and December 31, 2020, substantially all of the securities received as collateral have been repledged.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the collateralized transactions at September 30, 2021 and December 31, 2020 are summarized as follows:</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81"/>
        </w:trPr>
        <w:tc>
          <w:tcPr>
            <w:tcW w:w="7560" w:type="dxa"/>
            <w:vAlign w:val="bottom"/>
            <w:gridSpan w:val="2"/>
          </w:tcPr>
          <w:p>
            <w:pPr>
              <w:ind w:left="220"/>
              <w:spacing w:after="0"/>
              <w:rPr>
                <w:sz w:val="20"/>
                <w:szCs w:val="20"/>
                <w:color w:val="auto"/>
              </w:rPr>
            </w:pPr>
            <w:r>
              <w:rPr>
                <w:rFonts w:ascii="Arial" w:cs="Arial" w:eastAsia="Arial" w:hAnsi="Arial"/>
                <w:sz w:val="14"/>
                <w:szCs w:val="14"/>
                <w:color w:val="auto"/>
              </w:rPr>
              <w:t>Securities borrowed</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1,221,032</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1,374,266</w:t>
            </w:r>
          </w:p>
        </w:tc>
      </w:tr>
      <w:tr>
        <w:trPr>
          <w:trHeight w:val="183"/>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w:t>
            </w:r>
          </w:p>
        </w:tc>
      </w:tr>
      <w:tr>
        <w:trPr>
          <w:trHeight w:val="176"/>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1,391,226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1,397,132</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Financial instruments owned and pledged, where the counterparty has the right to repledge, at September 30, 2021 and December 31, 2020 consisted of the following:</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947,661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734,024</w:t>
            </w:r>
          </w:p>
        </w:tc>
      </w:tr>
      <w:tr>
        <w:trPr>
          <w:trHeight w:val="181"/>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12,515</w:t>
            </w:r>
          </w:p>
        </w:tc>
      </w:tr>
      <w:tr>
        <w:trPr>
          <w:trHeight w:val="201"/>
        </w:trPr>
        <w:tc>
          <w:tcPr>
            <w:tcW w:w="7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959,056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Borrowings, net</w:t>
      </w:r>
    </w:p>
    <w:p>
      <w:pPr>
        <w:spacing w:after="0" w:line="250" w:lineRule="exact"/>
        <w:rPr>
          <w:sz w:val="20"/>
          <w:szCs w:val="20"/>
          <w:color w:val="auto"/>
        </w:rPr>
      </w:pPr>
    </w:p>
    <w:p>
      <w:pPr>
        <w:ind w:right="40" w:firstLine="629"/>
        <w:spacing w:after="0" w:line="275" w:lineRule="auto"/>
        <w:rPr>
          <w:sz w:val="20"/>
          <w:szCs w:val="20"/>
          <w:color w:val="auto"/>
        </w:rPr>
      </w:pPr>
      <w:r>
        <w:rPr>
          <w:rFonts w:ascii="Arial" w:cs="Arial" w:eastAsia="Arial" w:hAnsi="Arial"/>
          <w:sz w:val="17"/>
          <w:szCs w:val="17"/>
          <w:color w:val="auto"/>
        </w:rPr>
        <w:t>The following summarizes the Company's short-term borrowing balances outstanding, net of related debt issuance costs, with each described in further detail below.</w:t>
      </w: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176,119</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136,695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136,695</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312,814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28,673</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64,686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Broker-Dealer Credit Facilities</w:t>
      </w:r>
    </w:p>
    <w:p>
      <w:pPr>
        <w:spacing w:after="0" w:line="250"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$600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 interest at the adjusted LIBOR or base rate plus 1.25% per annum.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195" w:lineRule="exact"/>
        <w:rPr>
          <w:sz w:val="20"/>
          <w:szCs w:val="20"/>
          <w:color w:val="auto"/>
        </w:rPr>
      </w:pPr>
    </w:p>
    <w:p>
      <w:pPr>
        <w:jc w:val="both"/>
        <w:ind w:right="20" w:firstLine="629"/>
        <w:spacing w:after="0" w:line="297" w:lineRule="auto"/>
        <w:rPr>
          <w:sz w:val="20"/>
          <w:szCs w:val="20"/>
          <w:color w:val="auto"/>
        </w:rPr>
      </w:pPr>
      <w:r>
        <w:rPr>
          <w:rFonts w:ascii="Arial" w:cs="Arial" w:eastAsia="Arial" w:hAnsi="Arial"/>
          <w:sz w:val="16"/>
          <w:szCs w:val="16"/>
          <w:color w:val="auto"/>
        </w:rPr>
        <w:t>On March 10, 2020, VAL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18 "Capital Structure".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balances are included within Short-term borrowings on the Condensed Consolidated Statements of Financial Condition.</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At September 30,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176,119</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176,119</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At December 31,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3"/>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3"/>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177"/>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81"/>
        </w:trPr>
        <w:tc>
          <w:tcPr>
            <w:tcW w:w="538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1,007</w:t>
            </w:r>
          </w:p>
        </w:tc>
      </w:tr>
      <w:tr>
        <w:trPr>
          <w:trHeight w:val="18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r>
        <w:trPr>
          <w:trHeight w:val="181"/>
        </w:trPr>
        <w:tc>
          <w:tcPr>
            <w:tcW w:w="5380" w:type="dxa"/>
            <w:vAlign w:val="bottom"/>
            <w:gridSpan w:val="2"/>
          </w:tcPr>
          <w:p>
            <w:pPr>
              <w:ind w:left="140"/>
              <w:spacing w:after="0"/>
              <w:rPr>
                <w:sz w:val="20"/>
                <w:szCs w:val="20"/>
                <w:color w:val="auto"/>
              </w:rPr>
            </w:pPr>
            <w:r>
              <w:rPr>
                <w:rFonts w:ascii="Arial" w:cs="Arial" w:eastAsia="Arial" w:hAnsi="Arial"/>
                <w:sz w:val="14"/>
                <w:szCs w:val="14"/>
                <w:color w:val="auto"/>
              </w:rPr>
              <w:t>Demand Loan</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1"/>
        </w:trPr>
        <w:tc>
          <w:tcPr>
            <w:tcW w:w="5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Bank Loans</w:t>
      </w:r>
    </w:p>
    <w:p>
      <w:pPr>
        <w:spacing w:after="0" w:line="250"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September 30, 2021, there was $136.7 million associated with international settlement activities outstanding under these facilities at a weighted average interest rate of approximately 1.2%. At December 31, 2020, there was $28.7 million associated with international settlement activities outstanding under these facilities at a weighted average interest rate of approximately 2.4%. These short-term bank loan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Prime Brokerage Credit Facilities</w:t>
      </w:r>
    </w:p>
    <w:p>
      <w:pPr>
        <w:spacing w:after="0" w:line="250" w:lineRule="exact"/>
        <w:rPr>
          <w:sz w:val="20"/>
          <w:szCs w:val="20"/>
          <w:color w:val="auto"/>
        </w:rPr>
      </w:pPr>
    </w:p>
    <w:p>
      <w:pPr>
        <w:jc w:val="both"/>
        <w:ind w:right="360" w:firstLine="629"/>
        <w:spacing w:after="0" w:line="297"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At September 30, 2021</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2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w:t>
            </w:r>
          </w:p>
        </w:tc>
        <w:tc>
          <w:tcPr>
            <w:tcW w:w="260" w:type="dxa"/>
            <w:vAlign w:val="bottom"/>
          </w:tcPr>
          <w:p>
            <w:pPr>
              <w:spacing w:after="0"/>
              <w:rPr>
                <w:sz w:val="15"/>
                <w:szCs w:val="15"/>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5"/>
                <w:szCs w:val="15"/>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7"/>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202,480</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At December 31, 2020</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1"/>
              </w:rPr>
              <w:t>Available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from/Payables to broker-dealers and clearing organizations within the Condensed Consolidated Statements of Financial Condition.</w:t>
      </w:r>
    </w:p>
    <w:p>
      <w:pPr>
        <w:spacing w:after="0" w:line="250" w:lineRule="exact"/>
        <w:rPr>
          <w:sz w:val="20"/>
          <w:szCs w:val="20"/>
          <w:color w:val="auto"/>
        </w:rPr>
      </w:pPr>
    </w:p>
    <w:p>
      <w:pPr>
        <w:jc w:val="both"/>
        <w:ind w:right="80" w:firstLine="629"/>
        <w:spacing w:after="0" w:line="289" w:lineRule="auto"/>
        <w:rPr>
          <w:sz w:val="20"/>
          <w:szCs w:val="20"/>
          <w:color w:val="auto"/>
        </w:rPr>
      </w:pPr>
      <w:r>
        <w:rPr>
          <w:rFonts w:ascii="Arial" w:cs="Arial" w:eastAsia="Arial" w:hAnsi="Arial"/>
          <w:sz w:val="17"/>
          <w:szCs w:val="17"/>
          <w:color w:val="auto"/>
        </w:rPr>
        <w:t>Interest expense in relation to the facilities was approximately $1.4 million and $1.2 million for the three months ended September 30, 2021 and 2020, and $3.5 million and $3.8 million for the nine months ended September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At September 30,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860" w:type="dxa"/>
            <w:vAlign w:val="bottom"/>
            <w:gridSpan w:val="2"/>
            <w:vMerge w:val="continue"/>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40" w:type="dxa"/>
            <w:vAlign w:val="bottom"/>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177"/>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3.08%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1,599,774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(23,187)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1,572,638</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31,424</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1,631,224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(23,213)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1,604,062</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3.15%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1,636,512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(26,367)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1,605,422</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33,858</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1,670,410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1,639,280</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5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In connection with the ITG Acquisition, Virtu Financial, VFH Parent LLC, a Delaware limited liability company and a subsidiary of Virtu Financial ("VFH") and Impala Borrower LLC, a subsidiary of the Company (the "Acquisition Borrower") entered into a Credit Agreement (the "Credit Agreement"), with the lenders party thereto, Jefferies Finance LLC, as administrative agent and Jefferies Finance LLC and RBC Capital Markets, as 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92"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 VFH’s material non-regulated domestic restricted subsidiaries and secured by substantially all of the assets of VFH and the guarantors, in each case, subject to certain exceptions.</w:t>
      </w:r>
    </w:p>
    <w:p>
      <w:pPr>
        <w:spacing w:after="0" w:line="204"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As of September 30, 2021, $1,600 million was outstanding under the First Lien Term Loan Facility. The revolving commitments will terminate on March 1, 2022. There were no outstanding borrowings under the First Lien Revolving Facility as of September 30, 2021 or December 31, 2020.</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4" w:lineRule="exact"/>
        <w:rPr>
          <w:sz w:val="20"/>
          <w:szCs w:val="20"/>
          <w:color w:val="auto"/>
        </w:rPr>
      </w:pPr>
    </w:p>
    <w:p>
      <w:pPr>
        <w:ind w:right="40" w:firstLine="629"/>
        <w:spacing w:after="0" w:line="302" w:lineRule="auto"/>
        <w:rPr>
          <w:sz w:val="20"/>
          <w:szCs w:val="20"/>
          <w:color w:val="auto"/>
        </w:rPr>
      </w:pPr>
      <w:r>
        <w:rPr>
          <w:rFonts w:ascii="Arial" w:cs="Arial" w:eastAsia="Arial" w:hAnsi="Arial"/>
          <w:sz w:val="15"/>
          <w:szCs w:val="15"/>
          <w:color w:val="auto"/>
        </w:rPr>
        <w:t>In October 2019, the Company entered into a five-year $525 million floating-to-fixed interest rate swap agreement. The Company also entered into a five-year $1,000 million floating-to-fixed interest rate swap agreement in January 2020. As these two interest rate swaps met the criteria to be considered qualifying cash flow hedges under ASC 815 in 2020, they effectively fix interest payment obligations on $525.0 million and $1,000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50"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($31.5 million) as of September 30, 2021 and ¥3.5 billion ($33.9 million) as of December 31, 2020. The Company had a gain of $0.1 million and a loss of $0.8 million during the three months ended September 30, 2021, and 2020, respectively, and a gain of $2.4 million and a loss of $1.0 million during the nine months ended September 30, 2021 and 2020, respectively, due to changes in foreign currency rates.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2021, aggregate future required minimum principal payments based on the terms of the long-term borrowings were as follows:</w:t>
      </w:r>
    </w:p>
    <w:p>
      <w:pPr>
        <w:spacing w:after="0" w:line="291" w:lineRule="exact"/>
        <w:rPr>
          <w:sz w:val="20"/>
          <w:szCs w:val="20"/>
          <w:color w:val="auto"/>
        </w:rPr>
      </w:pPr>
    </w:p>
    <w:tbl>
      <w:tblPr>
        <w:tblLayout w:type="fixed"/>
        <w:tblInd w:w="3440" w:type="dxa"/>
        <w:tblCellMar>
          <w:top w:w="0" w:type="dxa"/>
          <w:left w:w="0" w:type="dxa"/>
          <w:bottom w:w="0" w:type="dxa"/>
          <w:right w:w="0" w:type="dxa"/>
        </w:tblCellMar>
      </w:tblPr>
      <w:tr>
        <w:trPr>
          <w:trHeight w:val="188"/>
        </w:trPr>
        <w:tc>
          <w:tcPr>
            <w:tcW w:w="256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620" w:type="dxa"/>
            <w:vAlign w:val="bottom"/>
          </w:tcPr>
          <w:p>
            <w:pPr>
              <w:jc w:val="right"/>
              <w:ind w:right="250"/>
              <w:spacing w:after="0"/>
              <w:rPr>
                <w:sz w:val="20"/>
                <w:szCs w:val="20"/>
                <w:color w:val="auto"/>
              </w:rPr>
            </w:pPr>
            <w:r>
              <w:rPr>
                <w:rFonts w:ascii="Arial" w:cs="Arial" w:eastAsia="Arial" w:hAnsi="Arial"/>
                <w:sz w:val="14"/>
                <w:szCs w:val="14"/>
                <w:b w:val="1"/>
                <w:bCs w:val="1"/>
                <w:color w:val="auto"/>
                <w:w w:val="97"/>
              </w:rPr>
              <w:t>September 30, 2021</w:t>
            </w:r>
          </w:p>
        </w:tc>
        <w:tc>
          <w:tcPr>
            <w:tcW w:w="0" w:type="dxa"/>
            <w:vAlign w:val="bottom"/>
          </w:tcPr>
          <w:p>
            <w:pPr>
              <w:spacing w:after="0"/>
              <w:rPr>
                <w:sz w:val="1"/>
                <w:szCs w:val="1"/>
                <w:color w:val="auto"/>
              </w:rPr>
            </w:pPr>
          </w:p>
        </w:tc>
      </w:tr>
      <w:tr>
        <w:trPr>
          <w:trHeight w:val="182"/>
        </w:trPr>
        <w:tc>
          <w:tcPr>
            <w:tcW w:w="24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Remainder of 2021</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31,450</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60" w:type="dxa"/>
            <w:vAlign w:val="bottom"/>
            <w:tcBorders>
              <w:bottom w:val="single" w:sz="8" w:color="CCEEFF"/>
            </w:tcBorders>
            <w:gridSpan w:val="2"/>
          </w:tcPr>
          <w:p>
            <w:pPr>
              <w:ind w:left="640"/>
              <w:spacing w:after="0"/>
              <w:rPr>
                <w:sz w:val="20"/>
                <w:szCs w:val="20"/>
                <w:color w:val="auto"/>
              </w:rPr>
            </w:pPr>
            <w:r>
              <w:rPr>
                <w:rFonts w:ascii="Arial" w:cs="Arial" w:eastAsia="Arial" w:hAnsi="Arial"/>
                <w:sz w:val="14"/>
                <w:szCs w:val="14"/>
                <w:color w:val="auto"/>
              </w:rPr>
              <w:t>Thereafter</w:t>
            </w: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1,599,774</w:t>
            </w:r>
          </w:p>
        </w:tc>
        <w:tc>
          <w:tcPr>
            <w:tcW w:w="0" w:type="dxa"/>
            <w:vAlign w:val="bottom"/>
          </w:tcPr>
          <w:p>
            <w:pPr>
              <w:spacing w:after="0"/>
              <w:rPr>
                <w:sz w:val="1"/>
                <w:szCs w:val="1"/>
                <w:color w:val="auto"/>
              </w:rPr>
            </w:pPr>
          </w:p>
        </w:tc>
      </w:tr>
      <w:tr>
        <w:trPr>
          <w:trHeight w:val="113"/>
        </w:trPr>
        <w:tc>
          <w:tcPr>
            <w:tcW w:w="2560" w:type="dxa"/>
            <w:vAlign w:val="bottom"/>
            <w:gridSpan w:val="2"/>
            <w:shd w:val="clear" w:color="auto" w:fill="CCEEFF"/>
          </w:tcPr>
          <w:p>
            <w:pPr>
              <w:ind w:left="640"/>
              <w:spacing w:after="0" w:line="114" w:lineRule="exact"/>
              <w:rPr>
                <w:sz w:val="20"/>
                <w:szCs w:val="20"/>
                <w:color w:val="auto"/>
              </w:rPr>
            </w:pPr>
            <w:r>
              <w:rPr>
                <w:rFonts w:ascii="Arial" w:cs="Arial" w:eastAsia="Arial" w:hAnsi="Arial"/>
                <w:sz w:val="13"/>
                <w:szCs w:val="13"/>
                <w:color w:val="auto"/>
              </w:rPr>
              <w:t>Total principal of long-term</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1,631,224</w:t>
            </w:r>
          </w:p>
        </w:tc>
        <w:tc>
          <w:tcPr>
            <w:tcW w:w="0" w:type="dxa"/>
            <w:vAlign w:val="bottom"/>
          </w:tcPr>
          <w:p>
            <w:pPr>
              <w:spacing w:after="0"/>
              <w:rPr>
                <w:sz w:val="1"/>
                <w:szCs w:val="1"/>
                <w:color w:val="auto"/>
              </w:rPr>
            </w:pPr>
          </w:p>
        </w:tc>
      </w:tr>
      <w:tr>
        <w:trPr>
          <w:trHeight w:val="177"/>
        </w:trPr>
        <w:tc>
          <w:tcPr>
            <w:tcW w:w="256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borrowings</w:t>
            </w: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50"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95"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September 30, 2021: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220" w:type="dxa"/>
            <w:vAlign w:val="bottom"/>
          </w:tcPr>
          <w:p>
            <w:pPr>
              <w:jc w:val="right"/>
              <w:ind w:right="3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00" w:type="dxa"/>
            <w:vAlign w:val="bottom"/>
          </w:tcPr>
          <w:p>
            <w:pPr>
              <w:spacing w:after="0"/>
              <w:rPr>
                <w:sz w:val="11"/>
                <w:szCs w:val="11"/>
                <w:color w:val="auto"/>
              </w:rPr>
            </w:pP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220" w:type="dxa"/>
            <w:vAlign w:val="bottom"/>
          </w:tcPr>
          <w:p>
            <w:pPr>
              <w:jc w:val="right"/>
              <w:ind w:right="33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2,117,572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2,553,817</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216,125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236,072</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8,712</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(300,399)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8,320</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661,117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(300,399)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3,018,838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576,478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371,183</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947,661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11,395</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581,867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377,189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959,056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85,317</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2,609</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87,926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1,336,070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825,070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2,161,140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285,997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298,744</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349,299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(308,611)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7,741</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49,140</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(308,611)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2,871,649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43,608</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43,608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220" w:type="dxa"/>
            <w:vAlign w:val="bottom"/>
          </w:tcPr>
          <w:p>
            <w:pPr>
              <w:jc w:val="right"/>
              <w:ind w:right="3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00" w:type="dxa"/>
            <w:vAlign w:val="bottom"/>
          </w:tcPr>
          <w:p>
            <w:pPr>
              <w:spacing w:after="0"/>
              <w:rPr>
                <w:sz w:val="11"/>
                <w:szCs w:val="11"/>
                <w:color w:val="auto"/>
              </w:rPr>
            </w:pP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220" w:type="dxa"/>
            <w:vAlign w:val="bottom"/>
          </w:tcPr>
          <w:p>
            <w:pPr>
              <w:jc w:val="right"/>
              <w:ind w:right="33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761,484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1,194,105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1,955,589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151,723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199,782</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922,393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2,369,192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496,943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237,081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734,024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12,515</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1,307,082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2,445,050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83,173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103,157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9,241</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1,399,496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2,923,708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63,513</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63,513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JNX Investment</w:t>
      </w:r>
    </w:p>
    <w:p>
      <w:pPr>
        <w:spacing w:after="0" w:line="250"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September 30, 2020 and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information on the valuation techniques, significant unobservable inputs and their ranges for the JNX Investment:</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19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85,317</w:t>
            </w:r>
          </w:p>
        </w:tc>
        <w:tc>
          <w:tcPr>
            <w:tcW w:w="1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 - 22.7%</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14.4% - 14.4%</w:t>
            </w:r>
          </w:p>
        </w:tc>
        <w:tc>
          <w:tcPr>
            <w:tcW w:w="138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4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9.8x - 44.5x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17.2x</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132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December 31, 2020</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9"/>
              </w:rPr>
              <w:t>Valuation Technique</w:t>
            </w:r>
          </w:p>
        </w:tc>
        <w:tc>
          <w:tcPr>
            <w:tcW w:w="19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66,030</w:t>
            </w:r>
          </w:p>
        </w:tc>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(9.0)% - 39.0%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700" w:type="dxa"/>
            <w:vAlign w:val="bottom"/>
          </w:tcPr>
          <w:p>
            <w:pPr>
              <w:ind w:left="20"/>
              <w:spacing w:after="0"/>
              <w:rPr>
                <w:sz w:val="20"/>
                <w:szCs w:val="20"/>
                <w:color w:val="auto"/>
              </w:rPr>
            </w:pPr>
            <w:r>
              <w:rPr>
                <w:rFonts w:ascii="Arial" w:cs="Arial" w:eastAsia="Arial" w:hAnsi="Arial"/>
                <w:sz w:val="14"/>
                <w:szCs w:val="14"/>
                <w:color w:val="auto"/>
              </w:rPr>
              <w:t>- 14.4%</w:t>
            </w:r>
          </w:p>
        </w:tc>
        <w:tc>
          <w:tcPr>
            <w:tcW w:w="136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2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- 21.9x</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13.8x</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6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Changes in the fair value of the JNX Investment are included within Other, net in the Condensed Consolidated Statements of Comprehensive Income.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presents the changes in the Company's Level 3 financial instruments measured at fair value on a recurring basis: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Three Months Ended September 30, 2021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June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28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held at September</w:t>
            </w:r>
          </w:p>
        </w:tc>
        <w:tc>
          <w:tcPr>
            <w:tcW w:w="0" w:type="dxa"/>
            <w:vAlign w:val="bottom"/>
          </w:tcPr>
          <w:p>
            <w:pPr>
              <w:spacing w:after="0"/>
              <w:rPr>
                <w:sz w:val="1"/>
                <w:szCs w:val="1"/>
                <w:color w:val="auto"/>
              </w:rPr>
            </w:pPr>
          </w:p>
        </w:tc>
      </w:tr>
      <w:tr>
        <w:trPr>
          <w:trHeight w:val="183"/>
        </w:trPr>
        <w:tc>
          <w:tcPr>
            <w:tcW w:w="2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70"/>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(out of) Level 3</w:t>
            </w: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7,004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85,317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7,004</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7,004</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9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-183515</wp:posOffset>
            </wp:positionV>
            <wp:extent cx="5631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Three Months Ended September 30, 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June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28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held at September</w:t>
            </w:r>
          </w:p>
        </w:tc>
        <w:tc>
          <w:tcPr>
            <w:tcW w:w="0" w:type="dxa"/>
            <w:vAlign w:val="bottom"/>
          </w:tcPr>
          <w:p>
            <w:pPr>
              <w:spacing w:after="0"/>
              <w:rPr>
                <w:sz w:val="1"/>
                <w:szCs w:val="1"/>
                <w:color w:val="auto"/>
              </w:rPr>
            </w:pPr>
          </w:p>
        </w:tc>
      </w:tr>
      <w:tr>
        <w:trPr>
          <w:trHeight w:val="183"/>
        </w:trPr>
        <w:tc>
          <w:tcPr>
            <w:tcW w:w="2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70"/>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(out of) Level 3</w:t>
            </w: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30, 2020</w:t>
            </w:r>
          </w:p>
        </w:tc>
        <w:tc>
          <w:tcPr>
            <w:tcW w:w="0" w:type="dxa"/>
            <w:vAlign w:val="bottom"/>
          </w:tcPr>
          <w:p>
            <w:pPr>
              <w:spacing w:after="0"/>
              <w:rPr>
                <w:sz w:val="1"/>
                <w:szCs w:val="1"/>
                <w:color w:val="auto"/>
              </w:rPr>
            </w:pPr>
          </w:p>
        </w:tc>
      </w:tr>
      <w:tr>
        <w:trPr>
          <w:trHeight w:val="176"/>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51,599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13,104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9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64,703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13,104</w:t>
            </w:r>
          </w:p>
        </w:tc>
        <w:tc>
          <w:tcPr>
            <w:tcW w:w="0" w:type="dxa"/>
            <w:vAlign w:val="bottom"/>
          </w:tcPr>
          <w:p>
            <w:pPr>
              <w:spacing w:after="0"/>
              <w:rPr>
                <w:sz w:val="1"/>
                <w:szCs w:val="1"/>
                <w:color w:val="auto"/>
              </w:rPr>
            </w:pPr>
          </w:p>
        </w:tc>
      </w:tr>
      <w:tr>
        <w:trPr>
          <w:trHeight w:val="185"/>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13,104</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9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-183515</wp:posOffset>
            </wp:positionV>
            <wp:extent cx="56311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89"/>
              </w:rPr>
              <w:t>Nine Months Ended September 30, 2021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held at September</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176"/>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85,317</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19,287</w:t>
            </w:r>
          </w:p>
        </w:tc>
        <w:tc>
          <w:tcPr>
            <w:tcW w:w="0" w:type="dxa"/>
            <w:vAlign w:val="bottom"/>
          </w:tcPr>
          <w:p>
            <w:pPr>
              <w:spacing w:after="0"/>
              <w:rPr>
                <w:sz w:val="1"/>
                <w:szCs w:val="1"/>
                <w:color w:val="auto"/>
              </w:rPr>
            </w:pPr>
          </w:p>
        </w:tc>
      </w:tr>
      <w:tr>
        <w:trPr>
          <w:trHeight w:val="185"/>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19,287</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9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89"/>
              </w:rPr>
              <w:t>Nine Months Ended September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held at September</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10"/>
              <w:spacing w:after="0"/>
              <w:rPr>
                <w:sz w:val="20"/>
                <w:szCs w:val="20"/>
                <w:color w:val="auto"/>
              </w:rPr>
            </w:pPr>
            <w:r>
              <w:rPr>
                <w:rFonts w:ascii="Arial" w:cs="Arial" w:eastAsia="Arial" w:hAnsi="Arial"/>
                <w:sz w:val="14"/>
                <w:szCs w:val="14"/>
                <w:b w:val="1"/>
                <w:bCs w:val="1"/>
                <w:color w:val="auto"/>
                <w:w w:val="91"/>
              </w:rPr>
              <w:t>30, 2020</w:t>
            </w:r>
          </w:p>
        </w:tc>
        <w:tc>
          <w:tcPr>
            <w:tcW w:w="0" w:type="dxa"/>
            <w:vAlign w:val="bottom"/>
          </w:tcPr>
          <w:p>
            <w:pPr>
              <w:spacing w:after="0"/>
              <w:rPr>
                <w:sz w:val="1"/>
                <w:szCs w:val="1"/>
                <w:color w:val="auto"/>
              </w:rPr>
            </w:pPr>
          </w:p>
        </w:tc>
      </w:tr>
      <w:tr>
        <w:trPr>
          <w:trHeight w:val="177"/>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18,458</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64,703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60" w:firstLine="2"/>
        <w:spacing w:after="0" w:line="230" w:lineRule="auto"/>
        <w:tabs>
          <w:tab w:leader="none" w:pos="218"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9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September 30, 2021:</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September 30, 2021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Identical Assets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1"/>
        </w:trPr>
        <w:tc>
          <w:tcPr>
            <w:tcW w:w="4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683,836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683,836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70,477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70,477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70,477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borrowed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1,277,601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1,277,601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1,277,601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170,194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170,194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170,194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1,452,426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1,452,426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Receivables from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414,244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414,244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414,244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assets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4,083,205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4,083,205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754,728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3,328,477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314,695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Long-term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1,604,062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1,629,224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1,629,224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loaned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1,017,436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1,017,436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1,017,436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583,268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583,268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583,268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broker-dealers and clearing organizations (2)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1,094,971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1,094,971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532,533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00"/>
              <w:spacing w:after="0"/>
              <w:rPr>
                <w:sz w:val="20"/>
                <w:szCs w:val="20"/>
                <w:color w:val="auto"/>
              </w:rPr>
            </w:pPr>
            <w:r>
              <w:rPr>
                <w:rFonts w:ascii="Arial" w:cs="Arial" w:eastAsia="Arial" w:hAnsi="Arial"/>
                <w:sz w:val="14"/>
                <w:szCs w:val="14"/>
                <w:color w:val="auto"/>
              </w:rPr>
              <w:t>Payables to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182,939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182,939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182,939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liabilities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4,804,394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4,831,437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532,533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4,298,904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-98425</wp:posOffset>
            </wp:positionV>
            <wp:extent cx="7061835" cy="116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1835" cy="11620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-330835</wp:posOffset>
            </wp:positionV>
            <wp:extent cx="7061835" cy="116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1835"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Quoted Prices in</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889,559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1,684,006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1,684,006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173,578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1,510,428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 from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Other assets (1)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1,180,583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3,194,523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Short-term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64,686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loaned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Payables to broker dealer and clearing organizations (2)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876,446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876,446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872,929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20"/>
              <w:spacing w:after="0"/>
              <w:rPr>
                <w:sz w:val="20"/>
                <w:szCs w:val="20"/>
                <w:color w:val="auto"/>
              </w:rPr>
            </w:pPr>
            <w:r>
              <w:rPr>
                <w:rFonts w:ascii="Arial" w:cs="Arial" w:eastAsia="Arial" w:hAnsi="Arial"/>
                <w:sz w:val="14"/>
                <w:szCs w:val="14"/>
                <w:color w:val="auto"/>
              </w:rPr>
              <w:t>Other liabilities (3)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4,117,937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4,151,500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4,147,983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16" w:lineRule="exact"/>
        <w:rPr>
          <w:rFonts w:ascii="Arial" w:cs="Arial" w:eastAsia="Arial" w:hAnsi="Arial"/>
          <w:sz w:val="14"/>
          <w:szCs w:val="14"/>
          <w:color w:val="auto"/>
        </w:rPr>
      </w:pPr>
    </w:p>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20" w:hanging="198"/>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36130" cy="116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1620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-322580</wp:posOffset>
            </wp:positionV>
            <wp:extent cx="41503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50" w:lineRule="exact"/>
        <w:rPr>
          <w:sz w:val="20"/>
          <w:szCs w:val="20"/>
          <w:color w:val="auto"/>
        </w:rPr>
      </w:pPr>
    </w:p>
    <w:p>
      <w:pPr>
        <w:ind w:right="180" w:firstLine="629"/>
        <w:spacing w:after="0" w:line="308" w:lineRule="auto"/>
        <w:rPr>
          <w:sz w:val="20"/>
          <w:szCs w:val="20"/>
          <w:color w:val="auto"/>
        </w:rPr>
      </w:pPr>
      <w:r>
        <w:rPr>
          <w:rFonts w:ascii="Arial" w:cs="Arial" w:eastAsia="Arial" w:hAnsi="Arial"/>
          <w:sz w:val="15"/>
          <w:szCs w:val="15"/>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following tables set forth the gross and net presentation of certain financial assets and financial liabilities as of September 30, 2021 and December 31, 2020:</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1,277,601</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1,277,601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(1,221,032)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48,472</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170,194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170,194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(170,194)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(300,399)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10,831</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1,767,345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(300,399)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1,466,946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(1,391,226)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1620" w:type="dxa"/>
            <w:vAlign w:val="bottom"/>
            <w:gridSpan w:val="3"/>
            <w:vMerge w:val="restart"/>
          </w:tcPr>
          <w:p>
            <w:pPr>
              <w:jc w:val="center"/>
              <w:ind w:right="100"/>
              <w:spacing w:after="0" w:line="118" w:lineRule="exact"/>
              <w:rPr>
                <w:sz w:val="20"/>
                <w:szCs w:val="20"/>
                <w:color w:val="auto"/>
              </w:rPr>
            </w:pPr>
            <w:r>
              <w:rPr>
                <w:rFonts w:ascii="Arial" w:cs="Arial" w:eastAsia="Arial" w:hAnsi="Arial"/>
                <w:sz w:val="13"/>
                <w:szCs w:val="13"/>
                <w:b w:val="1"/>
                <w:bCs w:val="1"/>
                <w:color w:val="auto"/>
                <w:w w:val="96"/>
              </w:rPr>
              <w:t>Liabilities Presented in</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8"/>
              </w:rPr>
              <w:t>the Consolidated</w:t>
            </w:r>
          </w:p>
        </w:tc>
        <w:tc>
          <w:tcPr>
            <w:tcW w:w="18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1"/>
              </w:rPr>
              <w:t>Statement of Financial</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1,017,436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1,017,436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(995,181)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(12,655)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583,268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583,268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(583,268)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organizations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43,608</w:t>
            </w: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(308,611)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7,741</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49,140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49,140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40,820</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2,009,804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(308,611)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1,701,193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(1,578,449)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(1,374,266)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41,064</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90,460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40" w:type="dxa"/>
            <w:vAlign w:val="bottom"/>
          </w:tcPr>
          <w:p>
            <w:pPr>
              <w:spacing w:after="0"/>
              <w:rPr>
                <w:sz w:val="11"/>
                <w:szCs w:val="11"/>
                <w:color w:val="auto"/>
              </w:rPr>
            </w:pPr>
          </w:p>
        </w:tc>
        <w:tc>
          <w:tcPr>
            <w:tcW w:w="2620" w:type="dxa"/>
            <w:vAlign w:val="bottom"/>
            <w:gridSpan w:val="5"/>
          </w:tcPr>
          <w:p>
            <w:pPr>
              <w:jc w:val="center"/>
              <w:ind w:right="24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6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6"/>
              </w:rPr>
              <w:t>Condensed Consolidated</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40" w:type="dxa"/>
            <w:vAlign w:val="bottom"/>
          </w:tcPr>
          <w:p>
            <w:pPr>
              <w:spacing w:after="0"/>
              <w:rPr>
                <w:sz w:val="11"/>
                <w:szCs w:val="11"/>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9"/>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(921,593)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(17,800)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8,863</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Interest rate swaps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(63,162)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ind w:left="860"/>
              <w:spacing w:after="0"/>
              <w:rPr>
                <w:sz w:val="20"/>
                <w:szCs w:val="20"/>
                <w:color w:val="auto"/>
              </w:rPr>
            </w:pPr>
            <w:r>
              <w:rPr>
                <w:rFonts w:ascii="Arial" w:cs="Arial" w:eastAsia="Arial" w:hAnsi="Arial"/>
                <w:sz w:val="14"/>
                <w:szCs w:val="14"/>
                <w:color w:val="auto"/>
                <w:w w:val="93"/>
              </w:rPr>
              <w:t>(292,870)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9"/>
        </w:trPr>
        <w:tc>
          <w:tcPr>
            <w:tcW w:w="27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1,775,210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w w:val="93"/>
              </w:rPr>
              <w:t>(292,870)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1,482,340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(1,382,828)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4"/>
                <w:szCs w:val="14"/>
                <w:b w:val="1"/>
                <w:bCs w:val="1"/>
                <w:color w:val="auto"/>
                <w:w w:val="90"/>
              </w:rPr>
              <w:t>September 30, 2021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3"/>
              </w:rPr>
              <w:t>Remaining Contractual Maturity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Overnight and</w:t>
            </w:r>
          </w:p>
        </w:tc>
        <w:tc>
          <w:tcPr>
            <w:tcW w:w="2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70"/>
              <w:spacing w:after="0" w:line="125" w:lineRule="exact"/>
              <w:rPr>
                <w:sz w:val="20"/>
                <w:szCs w:val="20"/>
                <w:color w:val="auto"/>
              </w:rPr>
            </w:pPr>
            <w:r>
              <w:rPr>
                <w:rFonts w:ascii="Arial" w:cs="Arial" w:eastAsia="Arial" w:hAnsi="Arial"/>
                <w:sz w:val="14"/>
                <w:szCs w:val="14"/>
                <w:b w:val="1"/>
                <w:bCs w:val="1"/>
                <w:color w:val="auto"/>
                <w:w w:val="87"/>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Continuous</w:t>
            </w:r>
          </w:p>
        </w:tc>
        <w:tc>
          <w:tcPr>
            <w:tcW w:w="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Days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181"/>
        </w:trPr>
        <w:tc>
          <w:tcPr>
            <w:tcW w:w="3500" w:type="dxa"/>
            <w:vAlign w:val="bottom"/>
            <w:gridSpan w:val="3"/>
          </w:tcPr>
          <w:p>
            <w:pPr>
              <w:ind w:left="14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198,268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198,268</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198,268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583,268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40"/>
              <w:spacing w:after="0"/>
              <w:rPr>
                <w:sz w:val="20"/>
                <w:szCs w:val="20"/>
                <w:color w:val="auto"/>
              </w:rPr>
            </w:pPr>
            <w:r>
              <w:rPr>
                <w:rFonts w:ascii="Arial" w:cs="Arial" w:eastAsia="Arial" w:hAnsi="Arial"/>
                <w:sz w:val="14"/>
                <w:szCs w:val="14"/>
                <w:color w:val="auto"/>
              </w:rPr>
              <w:t>Equity securities</w:t>
            </w:r>
          </w:p>
        </w:tc>
        <w:tc>
          <w:tcPr>
            <w:tcW w:w="18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1,017,436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199"/>
              <w:spacing w:after="0"/>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1,017,436</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1,017,436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1,017,436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4"/>
                <w:szCs w:val="14"/>
                <w:b w:val="1"/>
                <w:bCs w:val="1"/>
                <w:color w:val="auto"/>
                <w:w w:val="88"/>
              </w:rPr>
              <w:t>December 31,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4"/>
              </w:rPr>
              <w:t>Remaining Contractual Maturity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Overnight and</w:t>
            </w:r>
          </w:p>
        </w:tc>
        <w:tc>
          <w:tcPr>
            <w:tcW w:w="2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50"/>
              <w:spacing w:after="0" w:line="125" w:lineRule="exact"/>
              <w:rPr>
                <w:sz w:val="20"/>
                <w:szCs w:val="20"/>
                <w:color w:val="auto"/>
              </w:rPr>
            </w:pPr>
            <w:r>
              <w:rPr>
                <w:rFonts w:ascii="Arial" w:cs="Arial" w:eastAsia="Arial" w:hAnsi="Arial"/>
                <w:sz w:val="14"/>
                <w:szCs w:val="14"/>
                <w:b w:val="1"/>
                <w:bCs w:val="1"/>
                <w:color w:val="auto"/>
                <w:w w:val="91"/>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Continuous</w:t>
            </w:r>
          </w:p>
        </w:tc>
        <w:tc>
          <w:tcPr>
            <w:tcW w:w="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Days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1"/>
        </w:trPr>
        <w:tc>
          <w:tcPr>
            <w:tcW w:w="3500" w:type="dxa"/>
            <w:vAlign w:val="bottom"/>
            <w:gridSpan w:val="3"/>
          </w:tcPr>
          <w:p>
            <w:pPr>
              <w:ind w:left="12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86,235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86,235</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86,235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September 30, 2021 and December 31, 2020:</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2"/>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Assets</w:t>
            </w: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4"/>
        </w:trPr>
        <w:tc>
          <w:tcPr>
            <w:tcW w:w="284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1,371,507</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2,208,899</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Commodity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137,010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173,889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6,237,389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Currency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847,313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2,823,277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16,292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102,476</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934,627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746,723</w:t>
            </w: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311,230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28,029,260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30,596,681</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Liabilities</w:t>
            </w: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5"/>
        </w:trPr>
        <w:tc>
          <w:tcPr>
            <w:tcW w:w="284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398,517</w:t>
            </w:r>
          </w:p>
        </w:tc>
        <w:tc>
          <w:tcPr>
            <w:tcW w:w="100" w:type="dxa"/>
            <w:vAlign w:val="bottom"/>
          </w:tcPr>
          <w:p>
            <w:pPr>
              <w:spacing w:after="0"/>
              <w:rPr>
                <w:sz w:val="11"/>
                <w:szCs w:val="11"/>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90,219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Commodity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(533,414)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9,633,999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Currency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(6,057)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2,664,776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2,269,898</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51,091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49,140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936,594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736,997</w:t>
            </w: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28,031,821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30,572,490</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w w:val="95"/>
              </w:rPr>
              <w:t>Derivative instruments designated as hedging</w:t>
            </w: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Interest rate swaps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43,608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4" w:lineRule="exact"/>
        <w:rPr>
          <w:sz w:val="20"/>
          <w:szCs w:val="20"/>
          <w:color w:val="auto"/>
        </w:rPr>
      </w:pPr>
    </w:p>
    <w:p>
      <w:pPr>
        <w:ind w:right="420" w:firstLine="629"/>
        <w:spacing w:after="0" w:line="325" w:lineRule="auto"/>
        <w:rPr>
          <w:sz w:val="20"/>
          <w:szCs w:val="20"/>
          <w:color w:val="auto"/>
        </w:rPr>
      </w:pPr>
      <w:r>
        <w:rPr>
          <w:rFonts w:ascii="Arial" w:cs="Arial" w:eastAsia="Arial" w:hAnsi="Arial"/>
          <w:sz w:val="15"/>
          <w:szCs w:val="15"/>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and nine months ended September 30, 2021 and 2020.</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125"/>
        </w:trPr>
        <w:tc>
          <w:tcPr>
            <w:tcW w:w="28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0"/>
                <w:szCs w:val="10"/>
                <w:color w:val="auto"/>
              </w:rPr>
            </w:pPr>
          </w:p>
        </w:tc>
        <w:tc>
          <w:tcPr>
            <w:tcW w:w="2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r>
      <w:tr>
        <w:trPr>
          <w:trHeight w:val="183"/>
        </w:trPr>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hedging instruments:</w:t>
            </w: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1"/>
        </w:trPr>
        <w:tc>
          <w:tcPr>
            <w:tcW w:w="2980" w:type="dxa"/>
            <w:vAlign w:val="bottom"/>
            <w:gridSpan w:val="2"/>
          </w:tcPr>
          <w:p>
            <w:pPr>
              <w:spacing w:after="0"/>
              <w:rPr>
                <w:sz w:val="20"/>
                <w:szCs w:val="20"/>
                <w:color w:val="auto"/>
              </w:rPr>
            </w:pPr>
            <w:r>
              <w:rPr>
                <w:rFonts w:ascii="Arial" w:cs="Arial" w:eastAsia="Arial" w:hAnsi="Arial"/>
                <w:sz w:val="14"/>
                <w:szCs w:val="14"/>
                <w:color w:val="auto"/>
              </w:rPr>
              <w:t>Futures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84,875</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(12,262)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213,569</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11,440</w:t>
            </w:r>
          </w:p>
        </w:tc>
      </w:tr>
      <w:tr>
        <w:trPr>
          <w:trHeight w:val="186"/>
        </w:trPr>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Currency forwards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62,465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255,044</w:t>
            </w:r>
          </w:p>
        </w:tc>
      </w:tr>
      <w:tr>
        <w:trPr>
          <w:trHeight w:val="181"/>
        </w:trPr>
        <w:tc>
          <w:tcPr>
            <w:tcW w:w="298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35,343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61,643</w:t>
            </w:r>
          </w:p>
        </w:tc>
      </w:tr>
      <w:tr>
        <w:trPr>
          <w:trHeight w:val="183"/>
        </w:trPr>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swap on term loan</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r>
      <w:tr>
        <w:trPr>
          <w:trHeight w:val="176"/>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44,257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84,129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287,944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326,710</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31"/>
        </w:trPr>
        <w:tc>
          <w:tcPr>
            <w:tcW w:w="2980" w:type="dxa"/>
            <w:vAlign w:val="bottom"/>
            <w:gridSpan w:val="2"/>
          </w:tcPr>
          <w:p>
            <w:pPr>
              <w:spacing w:after="0" w:line="131" w:lineRule="exact"/>
              <w:rPr>
                <w:sz w:val="20"/>
                <w:szCs w:val="20"/>
                <w:color w:val="auto"/>
              </w:rPr>
            </w:pPr>
            <w:r>
              <w:rPr>
                <w:rFonts w:ascii="Arial" w:cs="Arial" w:eastAsia="Arial" w:hAnsi="Arial"/>
                <w:sz w:val="14"/>
                <w:szCs w:val="14"/>
                <w:b w:val="1"/>
                <w:bCs w:val="1"/>
                <w:color w:val="auto"/>
                <w:w w:val="96"/>
              </w:rPr>
              <w:t>Derivative instruments designated as hedging</w:t>
            </w: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3"/>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4"/>
        </w:trPr>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swaps (1)</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21,453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(64,425)</w:t>
            </w:r>
          </w:p>
        </w:tc>
      </w:tr>
      <w:tr>
        <w:trPr>
          <w:trHeight w:val="174"/>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(64,425)</w:t>
            </w:r>
          </w:p>
        </w:tc>
      </w:tr>
      <w:tr>
        <w:trPr>
          <w:trHeight w:val="22"/>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firstLine="5"/>
        <w:spacing w:after="0" w:line="242" w:lineRule="auto"/>
        <w:tabs>
          <w:tab w:leader="none" w:pos="19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recorded within Other comprehensive income on the Condensed Consolidated Statements of Comprehensive Income beginning in the first quarter of 2020.</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Variable Interest Entities</w:t>
      </w:r>
    </w:p>
    <w:p>
      <w:pPr>
        <w:spacing w:after="0" w:line="32" w:lineRule="exact"/>
        <w:rPr>
          <w:sz w:val="20"/>
          <w:szCs w:val="20"/>
          <w:color w:val="auto"/>
        </w:rPr>
      </w:pPr>
    </w:p>
    <w:p>
      <w:pPr>
        <w:jc w:val="both"/>
        <w:ind w:right="160" w:firstLine="629"/>
        <w:spacing w:after="0" w:line="290"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86"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7" w:lineRule="exact"/>
        <w:rPr>
          <w:sz w:val="20"/>
          <w:szCs w:val="20"/>
          <w:color w:val="auto"/>
        </w:rPr>
      </w:pPr>
    </w:p>
    <w:p>
      <w:pPr>
        <w:ind w:right="300" w:firstLine="629"/>
        <w:spacing w:after="0" w:line="267" w:lineRule="auto"/>
        <w:rPr>
          <w:sz w:val="20"/>
          <w:szCs w:val="20"/>
          <w:color w:val="auto"/>
        </w:rPr>
      </w:pPr>
      <w:r>
        <w:rPr>
          <w:rFonts w:ascii="Arial" w:cs="Arial" w:eastAsia="Arial" w:hAnsi="Arial"/>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September 30, 2021, the Company held noncontrolling interests of 10% and 50%, respectively, in these JVs.</w:t>
      </w:r>
    </w:p>
    <w:p>
      <w:pPr>
        <w:spacing w:after="0" w:line="20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September 30, 2021, the Company held approximately a 10% noncontrolling interest in this JV.</w:t>
      </w:r>
    </w:p>
    <w:p>
      <w:pPr>
        <w:spacing w:after="0" w:line="18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The Company has an interest in a JV that is developing a member-owned equities exchange with the goal of increasing competition and transparency, while reducing fixed costs and simplifying execution of equity trading in the U.S. As of September 30, 2021, the Company held approximately a 14.1% noncontrolling interest in this JV.</w:t>
      </w:r>
    </w:p>
    <w:p>
      <w:pPr>
        <w:spacing w:after="0" w:line="197"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04"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September 30,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30,388</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154,789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2020:</w:t>
      </w: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175,547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5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For more information on revenue recognition and the nature of services provided, see Note 2 "Summary of Significant Accounting Policies" and Note 14 "Revenues from Contracts with Customers" to the Consolidated Financial Statements of the Company's 2020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50"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following tables present the Company’s revenue from contracts with customers disaggregated by service, by timing of revenue recognition, reconciled to the Company’s segments, for the three and nine months ended September 30, 2021 and 2020:</w:t>
      </w:r>
    </w:p>
    <w:p>
      <w:pPr>
        <w:spacing w:after="0" w:line="30"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 2021</w:t>
            </w: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2000" w:type="dxa"/>
            <w:vAlign w:val="bottom"/>
            <w:gridSpan w:val="3"/>
          </w:tcPr>
          <w:p>
            <w:pPr>
              <w:ind w:left="700"/>
              <w:spacing w:after="0"/>
              <w:rPr>
                <w:sz w:val="20"/>
                <w:szCs w:val="20"/>
                <w:color w:val="auto"/>
              </w:rPr>
            </w:pPr>
            <w:r>
              <w:rPr>
                <w:rFonts w:ascii="Arial" w:cs="Arial" w:eastAsia="Arial" w:hAnsi="Arial"/>
                <w:sz w:val="14"/>
                <w:szCs w:val="14"/>
                <w:b w:val="1"/>
                <w:bCs w:val="1"/>
                <w:color w:val="auto"/>
                <w:w w:val="99"/>
              </w:rPr>
              <w:t>Execution Services</w:t>
            </w:r>
          </w:p>
        </w:tc>
        <w:tc>
          <w:tcPr>
            <w:tcW w:w="8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90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5"/>
        </w:trPr>
        <w:tc>
          <w:tcPr>
            <w:tcW w:w="2020" w:type="dxa"/>
            <w:vAlign w:val="bottom"/>
            <w:tcBorders>
              <w:top w:val="single" w:sz="8" w:color="auto"/>
            </w:tcBorders>
          </w:tcPr>
          <w:p>
            <w:pPr>
              <w:ind w:left="640"/>
              <w:spacing w:after="0" w:line="125" w:lineRule="exact"/>
              <w:rPr>
                <w:sz w:val="20"/>
                <w:szCs w:val="20"/>
                <w:color w:val="auto"/>
              </w:rPr>
            </w:pPr>
            <w:r>
              <w:rPr>
                <w:rFonts w:ascii="Arial" w:cs="Arial" w:eastAsia="Arial" w:hAnsi="Arial"/>
                <w:sz w:val="14"/>
                <w:szCs w:val="14"/>
                <w:b w:val="1"/>
                <w:bCs w:val="1"/>
                <w:color w:val="auto"/>
              </w:rPr>
              <w:t>Revenues from</w:t>
            </w: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contracts with customers:</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Commissions, net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102,368</w:t>
            </w:r>
          </w:p>
        </w:tc>
        <w:tc>
          <w:tcPr>
            <w:tcW w:w="0" w:type="dxa"/>
            <w:vAlign w:val="bottom"/>
          </w:tcPr>
          <w:p>
            <w:pPr>
              <w:spacing w:after="0"/>
              <w:rPr>
                <w:sz w:val="1"/>
                <w:szCs w:val="1"/>
                <w:color w:val="auto"/>
              </w:rPr>
            </w:pPr>
          </w:p>
        </w:tc>
      </w:tr>
      <w:tr>
        <w:trPr>
          <w:trHeight w:val="181"/>
        </w:trPr>
        <w:tc>
          <w:tcPr>
            <w:tcW w:w="2100" w:type="dxa"/>
            <w:vAlign w:val="bottom"/>
            <w:gridSpan w:val="2"/>
          </w:tcPr>
          <w:p>
            <w:pPr>
              <w:ind w:left="760"/>
              <w:spacing w:after="0"/>
              <w:rPr>
                <w:sz w:val="20"/>
                <w:szCs w:val="20"/>
                <w:color w:val="auto"/>
              </w:rPr>
            </w:pPr>
            <w:r>
              <w:rPr>
                <w:rFonts w:ascii="Arial" w:cs="Arial" w:eastAsia="Arial" w:hAnsi="Arial"/>
                <w:sz w:val="14"/>
                <w:szCs w:val="14"/>
                <w:color w:val="auto"/>
              </w:rPr>
              <w:t>Workflow technology</w:t>
            </w:r>
          </w:p>
        </w:tc>
        <w:tc>
          <w:tcPr>
            <w:tcW w:w="7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23,149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23,149</w:t>
            </w:r>
          </w:p>
        </w:tc>
        <w:tc>
          <w:tcPr>
            <w:tcW w:w="0" w:type="dxa"/>
            <w:vAlign w:val="bottom"/>
          </w:tcPr>
          <w:p>
            <w:pPr>
              <w:spacing w:after="0"/>
              <w:rPr>
                <w:sz w:val="1"/>
                <w:szCs w:val="1"/>
                <w:color w:val="auto"/>
              </w:rPr>
            </w:pPr>
          </w:p>
        </w:tc>
      </w:tr>
      <w:tr>
        <w:trPr>
          <w:trHeight w:val="186"/>
        </w:trPr>
        <w:tc>
          <w:tcPr>
            <w:tcW w:w="2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Analytics</w:t>
            </w:r>
          </w:p>
        </w:tc>
        <w:tc>
          <w:tcPr>
            <w:tcW w:w="7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10,406</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10,406</w:t>
            </w:r>
          </w:p>
        </w:tc>
        <w:tc>
          <w:tcPr>
            <w:tcW w:w="0" w:type="dxa"/>
            <w:vAlign w:val="bottom"/>
          </w:tcPr>
          <w:p>
            <w:pPr>
              <w:spacing w:after="0"/>
              <w:rPr>
                <w:sz w:val="1"/>
                <w:szCs w:val="1"/>
                <w:color w:val="auto"/>
              </w:rPr>
            </w:pPr>
          </w:p>
        </w:tc>
      </w:tr>
      <w:tr>
        <w:trPr>
          <w:trHeight w:val="111"/>
        </w:trPr>
        <w:tc>
          <w:tcPr>
            <w:tcW w:w="2100" w:type="dxa"/>
            <w:vAlign w:val="bottom"/>
            <w:gridSpan w:val="2"/>
          </w:tcPr>
          <w:p>
            <w:pPr>
              <w:ind w:left="840"/>
              <w:spacing w:after="0" w:line="111" w:lineRule="exact"/>
              <w:rPr>
                <w:sz w:val="20"/>
                <w:szCs w:val="20"/>
                <w:color w:val="auto"/>
              </w:rPr>
            </w:pPr>
            <w:r>
              <w:rPr>
                <w:rFonts w:ascii="Arial" w:cs="Arial" w:eastAsia="Arial" w:hAnsi="Arial"/>
                <w:sz w:val="12"/>
                <w:szCs w:val="12"/>
                <w:color w:val="auto"/>
              </w:rPr>
              <w:t>Total revenue from</w:t>
            </w:r>
          </w:p>
        </w:tc>
        <w:tc>
          <w:tcPr>
            <w:tcW w:w="7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8,894</w:t>
            </w: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127,029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135,923</w:t>
            </w:r>
          </w:p>
        </w:tc>
        <w:tc>
          <w:tcPr>
            <w:tcW w:w="0" w:type="dxa"/>
            <w:vAlign w:val="bottom"/>
          </w:tcPr>
          <w:p>
            <w:pPr>
              <w:spacing w:after="0"/>
              <w:rPr>
                <w:sz w:val="1"/>
                <w:szCs w:val="1"/>
                <w:color w:val="auto"/>
              </w:rPr>
            </w:pPr>
          </w:p>
        </w:tc>
      </w:tr>
      <w:tr>
        <w:trPr>
          <w:trHeight w:val="181"/>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contracts with customers</w:t>
            </w: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840"/>
              <w:spacing w:after="0" w:line="131" w:lineRule="exact"/>
              <w:rPr>
                <w:sz w:val="20"/>
                <w:szCs w:val="20"/>
                <w:color w:val="auto"/>
              </w:rPr>
            </w:pPr>
            <w:r>
              <w:rPr>
                <w:rFonts w:ascii="Arial" w:cs="Arial" w:eastAsia="Arial" w:hAnsi="Arial"/>
                <w:sz w:val="14"/>
                <w:szCs w:val="14"/>
                <w:color w:val="auto"/>
              </w:rPr>
              <w:t>Other sources of</w:t>
            </w:r>
          </w:p>
        </w:tc>
        <w:tc>
          <w:tcPr>
            <w:tcW w:w="7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400,396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5,520</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408,421</w:t>
            </w:r>
          </w:p>
        </w:tc>
        <w:tc>
          <w:tcPr>
            <w:tcW w:w="0" w:type="dxa"/>
            <w:vAlign w:val="bottom"/>
          </w:tcPr>
          <w:p>
            <w:pPr>
              <w:spacing w:after="0"/>
              <w:rPr>
                <w:sz w:val="1"/>
                <w:szCs w:val="1"/>
                <w:color w:val="auto"/>
              </w:rPr>
            </w:pPr>
          </w:p>
        </w:tc>
      </w:tr>
      <w:tr>
        <w:trPr>
          <w:trHeight w:val="181"/>
        </w:trPr>
        <w:tc>
          <w:tcPr>
            <w:tcW w:w="2100" w:type="dxa"/>
            <w:vAlign w:val="bottom"/>
            <w:gridSpan w:val="2"/>
          </w:tcPr>
          <w:p>
            <w:pPr>
              <w:ind w:left="200"/>
              <w:spacing w:after="0"/>
              <w:rPr>
                <w:sz w:val="20"/>
                <w:szCs w:val="20"/>
                <w:color w:val="auto"/>
              </w:rPr>
            </w:pPr>
            <w:r>
              <w:rPr>
                <w:rFonts w:ascii="Arial" w:cs="Arial" w:eastAsia="Arial" w:hAnsi="Arial"/>
                <w:sz w:val="14"/>
                <w:szCs w:val="14"/>
                <w:color w:val="auto"/>
              </w:rPr>
              <w:t>revenue</w:t>
            </w:r>
          </w:p>
        </w:tc>
        <w:tc>
          <w:tcPr>
            <w:tcW w:w="7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00" w:type="dxa"/>
            <w:vAlign w:val="bottom"/>
            <w:gridSpan w:val="2"/>
          </w:tcPr>
          <w:p>
            <w:pPr>
              <w:ind w:left="840"/>
              <w:spacing w:after="0"/>
              <w:rPr>
                <w:sz w:val="20"/>
                <w:szCs w:val="20"/>
                <w:color w:val="auto"/>
              </w:rPr>
            </w:pPr>
            <w:r>
              <w:rPr>
                <w:rFonts w:ascii="Arial" w:cs="Arial" w:eastAsia="Arial" w:hAnsi="Arial"/>
                <w:sz w:val="14"/>
                <w:szCs w:val="14"/>
                <w:color w:val="auto"/>
              </w:rPr>
              <w:t>Total revenues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132,549</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544,344</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640"/>
              <w:spacing w:after="0" w:line="131" w:lineRule="exact"/>
              <w:rPr>
                <w:sz w:val="20"/>
                <w:szCs w:val="20"/>
                <w:color w:val="auto"/>
              </w:rPr>
            </w:pPr>
            <w:r>
              <w:rPr>
                <w:rFonts w:ascii="Arial" w:cs="Arial" w:eastAsia="Arial" w:hAnsi="Arial"/>
                <w:sz w:val="14"/>
                <w:szCs w:val="14"/>
                <w:b w:val="1"/>
                <w:bCs w:val="1"/>
                <w:color w:val="auto"/>
              </w:rPr>
              <w:t>Timing of revenue</w:t>
            </w: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recognition:</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00" w:type="dxa"/>
            <w:vAlign w:val="bottom"/>
            <w:gridSpan w:val="2"/>
            <w:shd w:val="clear" w:color="auto" w:fill="CCEEFF"/>
          </w:tcPr>
          <w:p>
            <w:pPr>
              <w:ind w:left="760"/>
              <w:spacing w:after="0" w:line="131" w:lineRule="exact"/>
              <w:rPr>
                <w:sz w:val="20"/>
                <w:szCs w:val="20"/>
                <w:color w:val="auto"/>
              </w:rPr>
            </w:pPr>
            <w:r>
              <w:rPr>
                <w:rFonts w:ascii="Arial" w:cs="Arial" w:eastAsia="Arial" w:hAnsi="Arial"/>
                <w:sz w:val="14"/>
                <w:szCs w:val="14"/>
                <w:color w:val="auto"/>
              </w:rPr>
              <w:t>Services transferred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114,010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525,805</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at a point in time</w:t>
            </w:r>
          </w:p>
        </w:tc>
        <w:tc>
          <w:tcPr>
            <w:tcW w:w="76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ind w:left="760"/>
              <w:spacing w:after="0" w:line="131" w:lineRule="exact"/>
              <w:rPr>
                <w:sz w:val="20"/>
                <w:szCs w:val="20"/>
                <w:color w:val="auto"/>
              </w:rPr>
            </w:pPr>
            <w:r>
              <w:rPr>
                <w:rFonts w:ascii="Arial" w:cs="Arial" w:eastAsia="Arial" w:hAnsi="Arial"/>
                <w:sz w:val="14"/>
                <w:szCs w:val="14"/>
                <w:color w:val="auto"/>
              </w:rPr>
              <w:t>Services transferred</w:t>
            </w:r>
          </w:p>
        </w:tc>
        <w:tc>
          <w:tcPr>
            <w:tcW w:w="76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18,539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18,539</w:t>
            </w:r>
          </w:p>
        </w:tc>
        <w:tc>
          <w:tcPr>
            <w:tcW w:w="0" w:type="dxa"/>
            <w:vAlign w:val="bottom"/>
          </w:tcPr>
          <w:p>
            <w:pPr>
              <w:spacing w:after="0"/>
              <w:rPr>
                <w:sz w:val="1"/>
                <w:szCs w:val="1"/>
                <w:color w:val="auto"/>
              </w:rPr>
            </w:pPr>
          </w:p>
        </w:tc>
      </w:tr>
      <w:tr>
        <w:trPr>
          <w:trHeight w:val="181"/>
        </w:trPr>
        <w:tc>
          <w:tcPr>
            <w:tcW w:w="2100" w:type="dxa"/>
            <w:vAlign w:val="bottom"/>
            <w:gridSpan w:val="2"/>
          </w:tcPr>
          <w:p>
            <w:pPr>
              <w:ind w:left="120"/>
              <w:spacing w:after="0"/>
              <w:rPr>
                <w:sz w:val="20"/>
                <w:szCs w:val="20"/>
                <w:color w:val="auto"/>
              </w:rPr>
            </w:pPr>
            <w:r>
              <w:rPr>
                <w:rFonts w:ascii="Arial" w:cs="Arial" w:eastAsia="Arial" w:hAnsi="Arial"/>
                <w:sz w:val="14"/>
                <w:szCs w:val="14"/>
                <w:color w:val="auto"/>
              </w:rPr>
              <w:t>over time</w:t>
            </w:r>
          </w:p>
        </w:tc>
        <w:tc>
          <w:tcPr>
            <w:tcW w:w="7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00" w:type="dxa"/>
            <w:vAlign w:val="bottom"/>
            <w:tcBorders>
              <w:top w:val="single" w:sz="8" w:color="CCEEFF"/>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Total revenues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544,344</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20320</wp:posOffset>
            </wp:positionV>
            <wp:extent cx="2545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jc w:val="right"/>
        <w:ind w:right="700"/>
        <w:spacing w:after="0"/>
        <w:rPr>
          <w:sz w:val="20"/>
          <w:szCs w:val="20"/>
          <w:color w:val="auto"/>
        </w:rPr>
      </w:pPr>
      <w:r>
        <w:rPr>
          <w:rFonts w:ascii="Arial" w:cs="Arial" w:eastAsia="Arial" w:hAnsi="Arial"/>
          <w:sz w:val="14"/>
          <w:szCs w:val="14"/>
          <w:color w:val="auto"/>
        </w:rPr>
        <w:t>Total revenue from contracts with customers</w:t>
      </w:r>
    </w:p>
    <w:p>
      <w:pPr>
        <w:spacing w:after="0" w:line="28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00" w:lineRule="exact"/>
        <w:rPr>
          <w:sz w:val="20"/>
          <w:szCs w:val="20"/>
          <w:color w:val="auto"/>
        </w:rPr>
      </w:pPr>
    </w:p>
    <w:p>
      <w:pPr>
        <w:spacing w:after="0" w:line="32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 revenue from contracts with customers</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Total revenues</w:t>
      </w:r>
    </w:p>
    <w:p>
      <w:pPr>
        <w:spacing w:after="0" w:line="35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Revenues from contracts with customers:</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Commissions, net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Workflow technology</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Analytics</w:t>
      </w:r>
    </w:p>
    <w:p>
      <w:pPr>
        <w:spacing w:after="0" w:line="35" w:lineRule="exact"/>
        <w:rPr>
          <w:sz w:val="20"/>
          <w:szCs w:val="20"/>
          <w:color w:val="auto"/>
        </w:rPr>
      </w:pPr>
    </w:p>
    <w:p>
      <w:pPr>
        <w:jc w:val="right"/>
        <w:ind w:right="700"/>
        <w:spacing w:after="0"/>
        <w:rPr>
          <w:sz w:val="20"/>
          <w:szCs w:val="20"/>
          <w:color w:val="auto"/>
        </w:rPr>
      </w:pPr>
      <w:r>
        <w:rPr>
          <w:rFonts w:ascii="Arial" w:cs="Arial" w:eastAsia="Arial" w:hAnsi="Arial"/>
          <w:sz w:val="13"/>
          <w:szCs w:val="13"/>
          <w:color w:val="auto"/>
        </w:rPr>
        <w:t>Total revenue from contracts with customers</w:t>
      </w:r>
    </w:p>
    <w:p>
      <w:pPr>
        <w:spacing w:after="0" w:line="29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Other sources of revenue</w:t>
      </w:r>
    </w:p>
    <w:p>
      <w:pPr>
        <w:spacing w:after="0" w:line="32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Timing of revenue recognition:</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at a point in time</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Services transferred over time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9,391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91,460</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100,851</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23,044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23,044</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9,958</w:t>
            </w:r>
          </w:p>
        </w:tc>
      </w:tr>
      <w:tr>
        <w:trPr>
          <w:trHeight w:val="177"/>
        </w:trPr>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124,462</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133,853</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465,207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58,218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522,259</w:t>
            </w:r>
          </w:p>
        </w:tc>
      </w:tr>
      <w:tr>
        <w:trPr>
          <w:trHeight w:val="272"/>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474,598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182,680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656,112</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474,598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164,018</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(1,166)</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637,450</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18,662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18,662</w:t>
            </w:r>
          </w:p>
        </w:tc>
      </w:tr>
      <w:tr>
        <w:trPr>
          <w:trHeight w:val="179"/>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474,598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182,680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656,112</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32,111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332,000</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364,111</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75,572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75,572</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31,004</w:t>
            </w:r>
          </w:p>
        </w:tc>
      </w:tr>
      <w:tr>
        <w:trPr>
          <w:trHeight w:val="177"/>
        </w:trPr>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438,576</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470,687</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1,603,444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21,342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1,635,194</w:t>
            </w:r>
          </w:p>
        </w:tc>
      </w:tr>
      <w:tr>
        <w:trPr>
          <w:trHeight w:val="272"/>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3"/>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1,635,555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459,918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2,105,881</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1,635,555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404,371</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10,408</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2,050,334</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55,547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55,547</w:t>
            </w:r>
          </w:p>
        </w:tc>
      </w:tr>
      <w:tr>
        <w:trPr>
          <w:trHeight w:val="179"/>
        </w:trPr>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1,635,555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459,918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2,105,881</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7"/>
              </w:rPr>
              <w:t>Nine Months Ended September 30,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350"/>
        </w:trPr>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9,526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333,823</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343,349</w:t>
            </w:r>
          </w:p>
        </w:tc>
      </w:tr>
      <w:tr>
        <w:trPr>
          <w:trHeight w:val="18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78,376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78,376</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30,608</w:t>
            </w:r>
          </w:p>
        </w:tc>
      </w:tr>
      <w:tr>
        <w:trPr>
          <w:trHeight w:val="177"/>
        </w:trPr>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9,526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442,807</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452,333</w:t>
            </w:r>
          </w:p>
        </w:tc>
      </w:tr>
      <w:tr>
        <w:trPr>
          <w:trHeight w:val="44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2,054,774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2,110,302</w:t>
            </w:r>
          </w:p>
        </w:tc>
      </w:tr>
      <w:tr>
        <w:trPr>
          <w:trHeight w:val="272"/>
        </w:trPr>
        <w:tc>
          <w:tcPr>
            <w:tcW w:w="14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gridSpan w:val="3"/>
          </w:tcPr>
          <w:p>
            <w:pPr>
              <w:spacing w:after="0"/>
              <w:rPr>
                <w:sz w:val="23"/>
                <w:szCs w:val="23"/>
                <w:color w:val="auto"/>
              </w:rPr>
            </w:pPr>
          </w:p>
        </w:tc>
        <w:tc>
          <w:tcPr>
            <w:tcW w:w="1080" w:type="dxa"/>
            <w:vAlign w:val="bottom"/>
          </w:tcPr>
          <w:p>
            <w:pPr>
              <w:spacing w:after="0"/>
              <w:rPr>
                <w:sz w:val="23"/>
                <w:szCs w:val="23"/>
                <w:color w:val="auto"/>
              </w:rPr>
            </w:pPr>
          </w:p>
        </w:tc>
      </w:tr>
      <w:tr>
        <w:trPr>
          <w:trHeight w:val="174"/>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2,064,300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500,621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2,562,635</w:t>
            </w:r>
          </w:p>
        </w:tc>
      </w:tr>
      <w:tr>
        <w:trPr>
          <w:trHeight w:val="22"/>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5"/>
        </w:trPr>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2,064,300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444,683</w:t>
            </w:r>
          </w:p>
        </w:tc>
        <w:tc>
          <w:tcPr>
            <w:tcW w:w="12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(2,286)</w:t>
            </w:r>
          </w:p>
        </w:tc>
        <w:tc>
          <w:tcPr>
            <w:tcW w:w="20" w:type="dxa"/>
            <w:vAlign w:val="bottom"/>
          </w:tcPr>
          <w:p>
            <w:pPr>
              <w:spacing w:after="0"/>
              <w:rPr>
                <w:sz w:val="24"/>
                <w:szCs w:val="24"/>
                <w:color w:val="auto"/>
              </w:rPr>
            </w:pPr>
          </w:p>
        </w:tc>
        <w:tc>
          <w:tcPr>
            <w:tcW w:w="4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2,506,697</w:t>
            </w: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55,938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55,938</w:t>
            </w:r>
          </w:p>
        </w:tc>
      </w:tr>
      <w:tr>
        <w:trPr>
          <w:trHeight w:val="179"/>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2,064,300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500,621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2,562,635</w:t>
            </w:r>
          </w:p>
        </w:tc>
      </w:tr>
      <w:tr>
        <w:trPr>
          <w:trHeight w:val="22"/>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-6203950</wp:posOffset>
            </wp:positionV>
            <wp:extent cx="6279515" cy="116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-5971540</wp:posOffset>
            </wp:positionV>
            <wp:extent cx="6279515" cy="116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-5730240</wp:posOffset>
            </wp:positionV>
            <wp:extent cx="6279515" cy="166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-5447030</wp:posOffset>
            </wp:positionV>
            <wp:extent cx="6279515" cy="166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-5139690</wp:posOffset>
            </wp:positionV>
            <wp:extent cx="6279515" cy="166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9515" cy="16637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-4856480</wp:posOffset>
            </wp:positionV>
            <wp:extent cx="6279515" cy="116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-4624070</wp:posOffset>
            </wp:positionV>
            <wp:extent cx="6279515" cy="141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-3800475</wp:posOffset>
            </wp:positionV>
            <wp:extent cx="6279515" cy="116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-3567430</wp:posOffset>
            </wp:positionV>
            <wp:extent cx="6279515" cy="124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-3276600</wp:posOffset>
            </wp:positionV>
            <wp:extent cx="6279515" cy="116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-2993390</wp:posOffset>
            </wp:positionV>
            <wp:extent cx="6279515" cy="141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-2686050</wp:posOffset>
            </wp:positionV>
            <wp:extent cx="6279515" cy="116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-2453005</wp:posOffset>
            </wp:positionV>
            <wp:extent cx="6279515" cy="116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-4041775</wp:posOffset>
            </wp:positionV>
            <wp:extent cx="6279515" cy="12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-1621155</wp:posOffset>
            </wp:positionV>
            <wp:extent cx="6279515" cy="1162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-1388110</wp:posOffset>
            </wp:positionV>
            <wp:extent cx="6279515" cy="124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79515" cy="12446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-1097280</wp:posOffset>
            </wp:positionV>
            <wp:extent cx="6279515" cy="116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-814705</wp:posOffset>
            </wp:positionV>
            <wp:extent cx="6279515" cy="141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79515" cy="1416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-506730</wp:posOffset>
            </wp:positionV>
            <wp:extent cx="6279515" cy="116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-273685</wp:posOffset>
            </wp:positionV>
            <wp:extent cx="6279515" cy="116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79515" cy="11620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-1862455</wp:posOffset>
            </wp:positionV>
            <wp:extent cx="6279515" cy="124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7951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70485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2">
            <w:col w:w="4080" w:space="720"/>
            <w:col w:w="5780"/>
          </w:cols>
          <w:pgMar w:left="320" w:top="127" w:right="99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50"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As of September 30, 2021 and 2020, the aggregate amount of the transaction price allocated to the performance obligations relating to workflow technology and analytics revenues that are unsatisfied (or partially unsatisfied) was not material.</w:t>
      </w:r>
    </w:p>
    <w:p>
      <w:pPr>
        <w:spacing w:after="0" w:line="18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Company recognized $0.5 million and $0.6 million of revenue related to performance obligations satisfied in previous period for the three months ended September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7" w:lineRule="exact"/>
        <w:rPr>
          <w:sz w:val="20"/>
          <w:szCs w:val="20"/>
          <w:color w:val="auto"/>
        </w:rPr>
      </w:pPr>
    </w:p>
    <w:p>
      <w:pPr>
        <w:ind w:right="160" w:firstLine="629"/>
        <w:spacing w:after="0" w:line="359" w:lineRule="auto"/>
        <w:rPr>
          <w:sz w:val="20"/>
          <w:szCs w:val="20"/>
          <w:color w:val="auto"/>
        </w:rPr>
      </w:pPr>
      <w:r>
        <w:rPr>
          <w:rFonts w:ascii="Arial" w:cs="Arial" w:eastAsia="Arial" w:hAnsi="Arial"/>
          <w:sz w:val="15"/>
          <w:szCs w:val="15"/>
          <w:color w:val="auto"/>
        </w:rPr>
        <w:t>Receivables related to revenues from contracts with customers amounted to $49.1 million and $57.3 million as of September 30, 2021 and December 31, 2020, respectively. The Company did not identify any contract assets. There were no impairment losses on receivables as of September 30, 2021.</w:t>
      </w:r>
    </w:p>
    <w:p>
      <w:pPr>
        <w:spacing w:after="0" w:line="13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Deferred revenue primarily relates to deferred commissions allocated to analytics products and subscription fees billed in advance of satisfying the performance obligations. Deferred revenue related to contracts with customers was $10.0 million and $9.3 million as of September 30, 2021 and December 31, 2020, respectively. The Company recognized revenue of $9.2 million and $8.6 million for the three months ended September 30, 2021 and 2020 respectively, and $24.4 million and $23.6 million during the nine months ended September 30, 2021 and 2020, respectively that had been initially recorded as deferred revenue.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identified any costs to obtain or fulfill its contracts under ASC 606.</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56"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2021 and 2020,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provisions for income taxes and effective tax rates were $22.0 million, 15.1%, and $52.8 million, 20.9% for the three months ended September 30, 2021 and 2020, respectively, and $128.6 million, 16.7% and $200.0 million, 17.8% for the nine months ended September 30, 2021 and 2020, respectively. Income tax expense is also affected by the differing effective tax rates in foreign, state and local jurisdictions where certain of the Company’s subsidiaries are subject to corporate taxation.</w:t>
      </w:r>
    </w:p>
    <w:p>
      <w:pPr>
        <w:spacing w:after="0" w:line="212" w:lineRule="exact"/>
        <w:rPr>
          <w:sz w:val="20"/>
          <w:szCs w:val="20"/>
          <w:color w:val="auto"/>
        </w:rPr>
      </w:pPr>
    </w:p>
    <w:p>
      <w:pPr>
        <w:ind w:right="80" w:firstLine="629"/>
        <w:spacing w:after="0" w:line="283" w:lineRule="auto"/>
        <w:rPr>
          <w:sz w:val="20"/>
          <w:szCs w:val="20"/>
          <w:color w:val="auto"/>
        </w:rPr>
      </w:pPr>
      <w:r>
        <w:rPr>
          <w:rFonts w:ascii="Arial" w:cs="Arial" w:eastAsia="Arial" w:hAnsi="Arial"/>
          <w:sz w:val="16"/>
          <w:szCs w:val="16"/>
          <w:color w:val="auto"/>
        </w:rPr>
        <w:t>Included in Other assets on the Condensed Consolidated Statements of Financial Condition at September 30, 2021 and December 31, 2020 are current income tax receivables of $49.8 million and $83.1 million, respectively. The balances at September 30, 2021 and December 31, 2020 primarily comprised income tax benefits due to the Company from federal, state, local, and foreign tax jurisdictions based on income before taxes. Included in Accounts payable, accrued expenses and other liabilities on the Condensed Consolidated Statements of Financial Condition at September 30, 2021 and December 31, 2020 are current tax liabilities of $12.6 million and $37.9 million, respectively. The balances at September 30, 2021 and December 31, 2020 primarily comprise income taxes owed to federal, state and local, and foreign tax jurisdictions based on income before taxes.</w:t>
      </w:r>
    </w:p>
    <w:p>
      <w:pPr>
        <w:spacing w:after="0" w:line="192" w:lineRule="exact"/>
        <w:rPr>
          <w:sz w:val="20"/>
          <w:szCs w:val="20"/>
          <w:color w:val="auto"/>
        </w:rPr>
      </w:pPr>
    </w:p>
    <w:p>
      <w:pPr>
        <w:ind w:right="140" w:firstLine="629"/>
        <w:spacing w:after="0" w:line="325"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(see Note 5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00" w:firstLine="629"/>
        <w:spacing w:after="0" w:line="281"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2021 and December 31, 2020, the Company did not have any U.S. federal net operating loss carryforwards and therefore the Company did not record a deferred tax asset related to federal net operating loss carryforwards. At September 30, 2021 and December 31, 2020,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195"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As a result of the ITG Acquisition, the Company had non-U.S. net operating losses at September 30, 2021 and December 31, 2020 of $71.6 million and $75.1 million, respectively, and recorded a related deferred tax asset of $14.3 million and $15.2 million, respectively. A valuation allowance of $14.3 million and $15.1 million was recorded against this deferred tax asset at September 30, 2021 and December 31, 2020, respectively, as it is more likely than not that a portion of this deferred tax asset will not be realized. As a result of the Acquisition of KCG, the Company had non-U.S. net operating losses at September 30, 2021 and December 31, 2020 of $239.3 million and $239.0 million, respectively, and recorded a related deferred tax asset of $44.9 million and $44.9 million, respectively. A full valuation allowance was also recorded against this deferred tax asset at September 30, 2021 and December 31, 2020 as it is more likely than not that this deferred tax asset will not be realized.</w:t>
      </w:r>
    </w:p>
    <w:p>
      <w:pPr>
        <w:spacing w:after="0" w:line="209"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No valuation allowance against the remaining deferred taxes was recorded as of September 30, 2021 and December 31, 2020 because it is more likely than not that these deferred tax assets will be fully realized.</w:t>
      </w:r>
    </w:p>
    <w:p>
      <w:pPr>
        <w:spacing w:after="0" w:line="184"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The Company is subject to taxation in U.S. federal, state, local and foreign jurisdictions. As of September 30, 2021, the Company’s tax years for 2015 through 2019 and 2017 through 2019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2019.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77" w:lineRule="exact"/>
        <w:rPr>
          <w:sz w:val="20"/>
          <w:szCs w:val="20"/>
          <w:color w:val="auto"/>
        </w:rPr>
      </w:pPr>
    </w:p>
    <w:p>
      <w:pPr>
        <w:ind w:right="300" w:firstLine="629"/>
        <w:spacing w:after="0" w:line="297"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81"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Company had $8.3 million of unrecognized tax benefits as of September 30, 2021, all of which would affect the Company’s effective tax rate if recognized. The Company has determined that there are no uncertain tax positions that would have a material impact on the Company’s financial position as of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Contingencies and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On November 30, 2020, the Company was named as a defendant in </w:t>
      </w:r>
      <w:r>
        <w:rPr>
          <w:rFonts w:ascii="Arial" w:cs="Arial" w:eastAsia="Arial" w:hAnsi="Arial"/>
          <w:sz w:val="17"/>
          <w:szCs w:val="17"/>
          <w:i w:val="1"/>
          <w:iCs w:val="1"/>
          <w:color w:val="auto"/>
        </w:rPr>
        <w:t>In re United States Oil Fund, LP Securities Litigation</w:t>
      </w:r>
      <w:r>
        <w:rPr>
          <w:rFonts w:ascii="Arial" w:cs="Arial" w:eastAsia="Arial" w:hAnsi="Arial"/>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its opposition to the motion on March 30, 2021. The Company believes that the claims are without merit and is defending itself vigorously.</w:t>
      </w:r>
    </w:p>
    <w:p>
      <w:pPr>
        <w:spacing w:after="0" w:line="208"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On August 31, 2021, the Company was named as a defendant in </w:t>
      </w:r>
      <w:r>
        <w:rPr>
          <w:rFonts w:ascii="Arial" w:cs="Arial" w:eastAsia="Arial" w:hAnsi="Arial"/>
          <w:sz w:val="16"/>
          <w:szCs w:val="16"/>
          <w:i w:val="1"/>
          <w:iCs w:val="1"/>
          <w:color w:val="auto"/>
        </w:rPr>
        <w:t>Alers v. Robinhood Financial, LLC et al</w:t>
      </w:r>
      <w:r>
        <w:rPr>
          <w:rFonts w:ascii="Arial" w:cs="Arial" w:eastAsia="Arial" w:hAnsi="Arial"/>
          <w:sz w:val="16"/>
          <w:szCs w:val="16"/>
          <w:color w:val="auto"/>
        </w:rPr>
        <w:t xml:space="preserve"> No. 21-cv-61848. The complaint was filed in federal district court in Florida on behalf of a putative class, and asserts claims against the Company and numerous other financial institutions alleging a breach of fiduciary duty by Robinhood and aiding and abetting thereof by the Company and other market making firms. The complaint did not specify the amount of alleged damages. The Company believes that the claims are without merit and is defending itself vigorously. In October 2021, Robinhood and the market-maker defendants moved to transfer the case to the Northern District of California, or in the alternative, to dismiss the complaint.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50"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the retail trading environment in the U.S. and relationships between retail broker-dealers and market making firms, high frequency trading, best execution, internalization, alternative trading system (“ATS”) manner of operations, market fragmentation and complexity, colocation, cybersecurity, access to market data feeds and remuneration arrangements, such as payment for order flow and other payment and rebate structures and arrangements.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50"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20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disclosed in its operating agreement. The overall maximum amount of the obligations (if any) cannot reasonably be estimated as it will depend on the facts and circumstances that give rise to any future claims.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256"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2020 Annual Report on Form 10-K.</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assets and liabilities are summarized as follows: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gridSpan w:val="2"/>
          </w:tcPr>
          <w:p>
            <w:pPr>
              <w:ind w:left="1260"/>
              <w:spacing w:after="0"/>
              <w:rPr>
                <w:sz w:val="20"/>
                <w:szCs w:val="20"/>
                <w:color w:val="auto"/>
              </w:rPr>
            </w:pPr>
            <w:r>
              <w:rPr>
                <w:rFonts w:ascii="Arial" w:cs="Arial" w:eastAsia="Arial" w:hAnsi="Arial"/>
                <w:sz w:val="14"/>
                <w:szCs w:val="14"/>
                <w:b w:val="1"/>
                <w:bCs w:val="1"/>
                <w:color w:val="auto"/>
              </w:rPr>
              <w:t>Financial Statement Location</w:t>
            </w: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Arial" w:cs="Arial" w:eastAsia="Arial" w:hAnsi="Arial"/>
                <w:sz w:val="14"/>
                <w:szCs w:val="14"/>
                <w:b w:val="1"/>
                <w:bCs w:val="1"/>
                <w:color w:val="auto"/>
                <w:w w:val="99"/>
              </w:rPr>
              <w:t>December 31, 2020</w:t>
            </w:r>
          </w:p>
        </w:tc>
      </w:tr>
      <w:tr>
        <w:trPr>
          <w:trHeight w:val="182"/>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00" w:type="dxa"/>
            <w:vAlign w:val="bottom"/>
            <w:tcBorders>
              <w:top w:val="single" w:sz="8" w:color="CCEEFF"/>
            </w:tcBorders>
            <w:shd w:val="clear" w:color="auto" w:fill="CCEEFF"/>
          </w:tcPr>
          <w:p>
            <w:pPr>
              <w:spacing w:after="0"/>
              <w:rPr>
                <w:sz w:val="15"/>
                <w:szCs w:val="15"/>
                <w:color w:val="auto"/>
              </w:rPr>
            </w:pPr>
          </w:p>
        </w:tc>
        <w:tc>
          <w:tcPr>
            <w:tcW w:w="4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r>
      <w:tr>
        <w:trPr>
          <w:trHeight w:val="181"/>
        </w:trPr>
        <w:tc>
          <w:tcPr>
            <w:tcW w:w="2840" w:type="dxa"/>
            <w:vAlign w:val="bottom"/>
            <w:gridSpan w:val="2"/>
          </w:tcPr>
          <w:p>
            <w:pPr>
              <w:ind w:left="120"/>
              <w:spacing w:after="0"/>
              <w:rPr>
                <w:sz w:val="20"/>
                <w:szCs w:val="20"/>
                <w:color w:val="auto"/>
              </w:rPr>
            </w:pPr>
            <w:r>
              <w:rPr>
                <w:rFonts w:ascii="Arial" w:cs="Arial" w:eastAsia="Arial" w:hAnsi="Arial"/>
                <w:sz w:val="14"/>
                <w:szCs w:val="14"/>
                <w:color w:val="auto"/>
              </w:rPr>
              <w:t>Operating lease right-of-use assets</w:t>
            </w:r>
          </w:p>
        </w:tc>
        <w:tc>
          <w:tcPr>
            <w:tcW w:w="440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247,531</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268,864</w:t>
            </w:r>
          </w:p>
        </w:tc>
      </w:tr>
      <w:tr>
        <w:trPr>
          <w:trHeight w:val="186"/>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315,340</w:t>
            </w:r>
          </w:p>
        </w:tc>
      </w:tr>
      <w:tr>
        <w:trPr>
          <w:trHeight w:val="262"/>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183"/>
        </w:trPr>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4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2840" w:type="dxa"/>
            <w:vAlign w:val="bottom"/>
            <w:gridSpan w:val="2"/>
          </w:tcPr>
          <w:p>
            <w:pPr>
              <w:ind w:left="120"/>
              <w:spacing w:after="0"/>
              <w:rPr>
                <w:sz w:val="20"/>
                <w:szCs w:val="20"/>
                <w:color w:val="auto"/>
              </w:rPr>
            </w:pPr>
            <w:r>
              <w:rPr>
                <w:rFonts w:ascii="Arial" w:cs="Arial" w:eastAsia="Arial" w:hAnsi="Arial"/>
                <w:sz w:val="14"/>
                <w:szCs w:val="14"/>
                <w:color w:val="auto"/>
              </w:rPr>
              <w:t>Property and equipment, at cost</w:t>
            </w:r>
          </w:p>
        </w:tc>
        <w:tc>
          <w:tcPr>
            <w:tcW w:w="4400" w:type="dxa"/>
            <w:vAlign w:val="bottom"/>
            <w:gridSpan w:val="2"/>
          </w:tcPr>
          <w:p>
            <w:pPr>
              <w:spacing w:after="0"/>
              <w:rPr>
                <w:sz w:val="20"/>
                <w:szCs w:val="20"/>
                <w:color w:val="auto"/>
              </w:rPr>
            </w:pPr>
            <w:r>
              <w:rPr>
                <w:rFonts w:ascii="Arial" w:cs="Arial" w:eastAsia="Arial" w:hAnsi="Arial"/>
                <w:sz w:val="14"/>
                <w:szCs w:val="14"/>
                <w:color w:val="auto"/>
              </w:rPr>
              <w:t>Property, equipment, and capitalized software, net</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18,479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36,093</w:t>
            </w:r>
          </w:p>
        </w:tc>
      </w:tr>
      <w:tr>
        <w:trPr>
          <w:trHeight w:val="186"/>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Accumulated depreciation</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equipment, and capitalized software, net</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(24,585)</w:t>
            </w:r>
          </w:p>
        </w:tc>
      </w:tr>
      <w:tr>
        <w:trPr>
          <w:trHeight w:val="178"/>
        </w:trPr>
        <w:tc>
          <w:tcPr>
            <w:tcW w:w="2840" w:type="dxa"/>
            <w:vAlign w:val="bottom"/>
            <w:gridSpan w:val="2"/>
          </w:tcPr>
          <w:p>
            <w:pPr>
              <w:ind w:left="120"/>
              <w:spacing w:after="0"/>
              <w:rPr>
                <w:sz w:val="20"/>
                <w:szCs w:val="20"/>
                <w:color w:val="auto"/>
              </w:rPr>
            </w:pPr>
            <w:r>
              <w:rPr>
                <w:rFonts w:ascii="Arial" w:cs="Arial" w:eastAsia="Arial" w:hAnsi="Arial"/>
                <w:sz w:val="14"/>
                <w:szCs w:val="14"/>
                <w:color w:val="auto"/>
              </w:rPr>
              <w:t>Finance lease liabilities</w:t>
            </w:r>
          </w:p>
        </w:tc>
        <w:tc>
          <w:tcPr>
            <w:tcW w:w="4400" w:type="dxa"/>
            <w:vAlign w:val="bottom"/>
            <w:gridSpan w:val="2"/>
          </w:tcPr>
          <w:p>
            <w:pPr>
              <w:spacing w:after="0"/>
              <w:rPr>
                <w:sz w:val="20"/>
                <w:szCs w:val="20"/>
                <w:color w:val="auto"/>
              </w:rPr>
            </w:pPr>
            <w:r>
              <w:rPr>
                <w:rFonts w:ascii="Arial" w:cs="Arial" w:eastAsia="Arial" w:hAnsi="Arial"/>
                <w:sz w:val="14"/>
                <w:szCs w:val="14"/>
                <w:color w:val="auto"/>
              </w:rPr>
              <w:t>Accounts payable, accrued expenses, and other liabilities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7,705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11,687</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Arial" w:cs="Arial" w:eastAsia="Arial" w:hAnsi="Arial"/>
                <w:sz w:val="14"/>
                <w:szCs w:val="14"/>
                <w:b w:val="1"/>
                <w:bCs w:val="1"/>
                <w:color w:val="auto"/>
              </w:rPr>
              <w:t>September 30, 2021</w:t>
            </w:r>
          </w:p>
        </w:tc>
        <w:tc>
          <w:tcPr>
            <w:tcW w:w="2000" w:type="dxa"/>
            <w:vAlign w:val="bottom"/>
          </w:tcPr>
          <w:p>
            <w:pPr>
              <w:jc w:val="right"/>
              <w:ind w:right="37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2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r>
      <w:tr>
        <w:trPr>
          <w:trHeight w:val="181"/>
        </w:trPr>
        <w:tc>
          <w:tcPr>
            <w:tcW w:w="4280" w:type="dxa"/>
            <w:vAlign w:val="bottom"/>
          </w:tcPr>
          <w:p>
            <w:pPr>
              <w:ind w:left="120"/>
              <w:spacing w:after="0"/>
              <w:rPr>
                <w:sz w:val="20"/>
                <w:szCs w:val="20"/>
                <w:color w:val="auto"/>
              </w:rPr>
            </w:pPr>
            <w:r>
              <w:rPr>
                <w:rFonts w:ascii="Arial" w:cs="Arial" w:eastAsia="Arial" w:hAnsi="Arial"/>
                <w:sz w:val="14"/>
                <w:szCs w:val="14"/>
                <w:color w:val="auto"/>
              </w:rPr>
              <w:t>Operating leases</w:t>
            </w:r>
          </w:p>
        </w:tc>
        <w:tc>
          <w:tcPr>
            <w:tcW w:w="2100" w:type="dxa"/>
            <w:vAlign w:val="bottom"/>
            <w:gridSpan w:val="2"/>
          </w:tcPr>
          <w:p>
            <w:pPr>
              <w:jc w:val="right"/>
              <w:ind w:right="120"/>
              <w:spacing w:after="0"/>
              <w:rPr>
                <w:sz w:val="20"/>
                <w:szCs w:val="20"/>
                <w:color w:val="auto"/>
              </w:rPr>
            </w:pPr>
            <w:r>
              <w:rPr>
                <w:rFonts w:ascii="Arial" w:cs="Arial" w:eastAsia="Arial" w:hAnsi="Arial"/>
                <w:sz w:val="14"/>
                <w:szCs w:val="14"/>
                <w:color w:val="auto"/>
              </w:rPr>
              <w:t>6.68 years</w:t>
            </w:r>
          </w:p>
        </w:tc>
        <w:tc>
          <w:tcPr>
            <w:tcW w:w="2000" w:type="dxa"/>
            <w:vAlign w:val="bottom"/>
          </w:tcPr>
          <w:p>
            <w:pPr>
              <w:jc w:val="right"/>
              <w:spacing w:after="0"/>
              <w:rPr>
                <w:sz w:val="20"/>
                <w:szCs w:val="20"/>
                <w:color w:val="auto"/>
              </w:rPr>
            </w:pPr>
            <w:r>
              <w:rPr>
                <w:rFonts w:ascii="Arial" w:cs="Arial" w:eastAsia="Arial" w:hAnsi="Arial"/>
                <w:sz w:val="14"/>
                <w:szCs w:val="14"/>
                <w:color w:val="auto"/>
              </w:rPr>
              <w:t>6.9 years</w:t>
            </w:r>
          </w:p>
        </w:tc>
      </w:tr>
      <w:tr>
        <w:trPr>
          <w:trHeight w:val="186"/>
        </w:trPr>
        <w:tc>
          <w:tcPr>
            <w:tcW w:w="4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years</w:t>
            </w:r>
          </w:p>
        </w:tc>
      </w:tr>
      <w:tr>
        <w:trPr>
          <w:trHeight w:val="181"/>
        </w:trPr>
        <w:tc>
          <w:tcPr>
            <w:tcW w:w="428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6"/>
        </w:trPr>
        <w:tc>
          <w:tcPr>
            <w:tcW w:w="4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5.49 %</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5.67 %</w:t>
            </w:r>
          </w:p>
        </w:tc>
      </w:tr>
      <w:tr>
        <w:trPr>
          <w:trHeight w:val="178"/>
        </w:trPr>
        <w:tc>
          <w:tcPr>
            <w:tcW w:w="4280" w:type="dxa"/>
            <w:vAlign w:val="bottom"/>
          </w:tcPr>
          <w:p>
            <w:pPr>
              <w:ind w:left="120"/>
              <w:spacing w:after="0"/>
              <w:rPr>
                <w:sz w:val="20"/>
                <w:szCs w:val="20"/>
                <w:color w:val="auto"/>
              </w:rPr>
            </w:pPr>
            <w:r>
              <w:rPr>
                <w:rFonts w:ascii="Arial" w:cs="Arial" w:eastAsia="Arial" w:hAnsi="Arial"/>
                <w:sz w:val="14"/>
                <w:szCs w:val="14"/>
                <w:color w:val="auto"/>
              </w:rPr>
              <w:t>Finance leases</w:t>
            </w:r>
          </w:p>
        </w:tc>
        <w:tc>
          <w:tcPr>
            <w:tcW w:w="2000" w:type="dxa"/>
            <w:vAlign w:val="bottom"/>
          </w:tcPr>
          <w:p>
            <w:pPr>
              <w:jc w:val="right"/>
              <w:spacing w:after="0"/>
              <w:rPr>
                <w:sz w:val="20"/>
                <w:szCs w:val="20"/>
                <w:color w:val="auto"/>
              </w:rPr>
            </w:pPr>
            <w:r>
              <w:rPr>
                <w:rFonts w:ascii="Arial" w:cs="Arial" w:eastAsia="Arial" w:hAnsi="Arial"/>
                <w:sz w:val="14"/>
                <w:szCs w:val="14"/>
                <w:color w:val="auto"/>
              </w:rPr>
              <w:t>2.41 %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3.13 %</w:t>
            </w: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expense are as follows: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2020</w:t>
            </w:r>
          </w:p>
        </w:tc>
      </w:tr>
      <w:tr>
        <w:trPr>
          <w:trHeight w:val="177"/>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Fixed</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18,994</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18,521</w:t>
            </w:r>
          </w:p>
        </w:tc>
        <w:tc>
          <w:tcPr>
            <w:tcW w:w="10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56,772</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55,333</w:t>
            </w:r>
          </w:p>
        </w:tc>
      </w:tr>
      <w:tr>
        <w:trPr>
          <w:trHeight w:val="186"/>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w:t>
            </w:r>
          </w:p>
        </w:tc>
        <w:tc>
          <w:tcPr>
            <w:tcW w:w="3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6,614</w:t>
            </w: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Impairment of ROU Asset</w:t>
            </w:r>
          </w:p>
        </w:tc>
        <w:tc>
          <w:tcPr>
            <w:tcW w:w="34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04"/>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cost</w:t>
            </w: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20,907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61,947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11,994</w:t>
            </w:r>
          </w:p>
        </w:tc>
      </w:tr>
      <w:tr>
        <w:trPr>
          <w:trHeight w:val="210"/>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1"/>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Amortization of ROU Asset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8,838</w:t>
            </w:r>
          </w:p>
        </w:tc>
      </w:tr>
      <w:tr>
        <w:trPr>
          <w:trHeight w:val="183"/>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339</w:t>
            </w:r>
          </w:p>
        </w:tc>
      </w:tr>
      <w:tr>
        <w:trPr>
          <w:trHeight w:val="179"/>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 Finance lease cost</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9,177</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Future minimum lease payments under operating and finance leases with non-cancelable lease terms, as of September 30, 2021, are as follows:</w:t>
      </w:r>
    </w:p>
    <w:p>
      <w:pPr>
        <w:spacing w:after="0" w:line="279" w:lineRule="exact"/>
        <w:rPr>
          <w:sz w:val="20"/>
          <w:szCs w:val="20"/>
          <w:color w:val="auto"/>
        </w:rPr>
      </w:pPr>
    </w:p>
    <w:tbl>
      <w:tblPr>
        <w:tblLayout w:type="fixed"/>
        <w:tblInd w:w="2580" w:type="dxa"/>
        <w:tblCellMar>
          <w:top w:w="0" w:type="dxa"/>
          <w:left w:w="0" w:type="dxa"/>
          <w:bottom w:w="0" w:type="dxa"/>
          <w:right w:w="0" w:type="dxa"/>
        </w:tblCellMar>
      </w:tblPr>
      <w:tr>
        <w:trPr>
          <w:trHeight w:val="188"/>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Arial" w:cs="Arial" w:eastAsia="Arial" w:hAnsi="Arial"/>
                <w:sz w:val="14"/>
                <w:szCs w:val="14"/>
                <w:b w:val="1"/>
                <w:bCs w:val="1"/>
                <w:color w:val="auto"/>
                <w:w w:val="97"/>
              </w:rPr>
              <w:t>Finance Leases</w:t>
            </w:r>
          </w:p>
        </w:tc>
      </w:tr>
      <w:tr>
        <w:trPr>
          <w:trHeight w:val="179"/>
        </w:trPr>
        <w:tc>
          <w:tcPr>
            <w:tcW w:w="2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17,078</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1,468</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68,128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1,818</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31,859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 and thereafter</w:t>
            </w: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payments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354,038</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7,974</w:t>
            </w:r>
          </w:p>
        </w:tc>
      </w:tr>
      <w:tr>
        <w:trPr>
          <w:trHeight w:val="183"/>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(61,071)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179"/>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292,967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7,705</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Cash</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a reconciliation of cash and cash equivalents together with restricted or segregated cash</w:t>
      </w:r>
    </w:p>
    <w:p>
      <w:pPr>
        <w:spacing w:after="0" w:line="2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as reported within the Condensed Consolidated Statements of Financial Condition to the sum of the same such amounts shown in the Condensed Consolidated Statements of Cash Flows.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2020</w:t>
            </w:r>
          </w:p>
        </w:tc>
      </w:tr>
      <w:tr>
        <w:trPr>
          <w:trHeight w:val="182"/>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889,559</w:t>
            </w:r>
          </w:p>
        </w:tc>
      </w:tr>
      <w:tr>
        <w:trPr>
          <w:trHeight w:val="181"/>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70,477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117,446</w:t>
            </w:r>
          </w:p>
        </w:tc>
      </w:tr>
      <w:tr>
        <w:trPr>
          <w:trHeight w:val="20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1,007,005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25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83.0% of the combined voting power of our common stock as a result of its ownership of our Class C and Class D Common Stock. The Company holds approximately a 62.6% interest in Virtu Financial at September 30, 2021.</w:t>
      </w:r>
    </w:p>
    <w:p>
      <w:pPr>
        <w:spacing w:after="0" w:line="204"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September 30, 2021 and December 31, 2020, there were 4,795,839 and 5,259,713 Virtu Financial Units outstanding held by Employee Holdco (as defined below), respectively, and 463,874 and 2,420,239 of such Virtu Financial Units and corresponding Class C Common Stock were exchanged into Class A Common Stock, forfeited or repurchased during the nine months ended September 30,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21,000,000 shares of Class A Common Stock, subject to additional sublimits, including limits on the total option grant to any one participant in a single year and the total performance award to any one participant in a single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20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2021, the Company repurchased approximately 12.5 million shares of Class A Common Stock and Virtu Financial Units for approximately $337.5 million. As of September 30, 2021, the Company has approximately $132.5 million remaining capacity for future purchases of shares of Class A Common Stock and Virtu Financial Units under the program.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50" w:lineRule="exact"/>
        <w:rPr>
          <w:sz w:val="20"/>
          <w:szCs w:val="20"/>
          <w:color w:val="auto"/>
        </w:rPr>
      </w:pPr>
    </w:p>
    <w:p>
      <w:pPr>
        <w:jc w:val="both"/>
        <w:ind w:right="280" w:firstLine="629"/>
        <w:spacing w:after="0" w:line="297" w:lineRule="auto"/>
        <w:rPr>
          <w:sz w:val="20"/>
          <w:szCs w:val="20"/>
          <w:color w:val="auto"/>
        </w:rPr>
      </w:pPr>
      <w:r>
        <w:rPr>
          <w:rFonts w:ascii="Arial" w:cs="Arial" w:eastAsia="Arial" w:hAnsi="Arial"/>
          <w:sz w:val="16"/>
          <w:szCs w:val="16"/>
          <w:color w:val="auto"/>
        </w:rPr>
        <w:t>During the nine months ended September 30, 2021 and 2020, pursuant to the exchange agreement by and among the Company, Virtu Financial and holders of Virtu Financial Units, certain current and former employees elected to exchange 405,272 and 2,420,239 units, respectively in Virtu Financial held directly or on their behalf by Virtu Employee Holdco LLC (“Employee Holdco”) on a one-for-one basis for shares of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Issuance</w:t>
      </w:r>
    </w:p>
    <w:p>
      <w:pPr>
        <w:spacing w:after="0" w:line="250"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On March 20, 2020, in connection with and in consideration of the Founder Member’s commitments under the Founder Member Loan Facility (as described in Note 9 "Borrowings"),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9 "Borrowings"), and as a result no such increase in the number of shares which may be purchased has occurred or will occur pursuant to the terms of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to purchase up to 3,000,000 shares of the Company's Class A Common Stock on any date after May 22, 2020 up to and including January 15, 2022. The Warrant and Class A Common Stock issuable pursuant to the Warrant were offered, and will be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0" w:lineRule="exact"/>
        <w:rPr>
          <w:sz w:val="20"/>
          <w:szCs w:val="20"/>
          <w:color w:val="auto"/>
        </w:rPr>
      </w:pPr>
    </w:p>
    <w:p>
      <w:pPr>
        <w:ind w:right="200" w:firstLine="629"/>
        <w:spacing w:after="0" w:line="267" w:lineRule="auto"/>
        <w:rPr>
          <w:sz w:val="20"/>
          <w:szCs w:val="20"/>
          <w:color w:val="auto"/>
        </w:rPr>
      </w:pPr>
      <w:r>
        <w:rPr>
          <w:rFonts w:ascii="Arial" w:cs="Arial" w:eastAsia="Arial" w:hAnsi="Arial"/>
          <w:sz w:val="17"/>
          <w:szCs w:val="17"/>
          <w:color w:val="auto"/>
        </w:rPr>
        <w:t>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color w:val="auto"/>
        </w:rPr>
        <w:t>expired, and recorded as expense within Debt issue cost related to debt refinancing, prepayment and commitment fees in the Condensed Consolidated 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the changes in Other Comprehensive Income (Loss) for the three and nine months ended September 30, 2021 and 2020:</w:t>
      </w:r>
    </w:p>
    <w:p>
      <w:pPr>
        <w:spacing w:after="0" w:line="158"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 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(22,761)</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(21,838)</w:t>
            </w:r>
          </w:p>
        </w:tc>
        <w:tc>
          <w:tcPr>
            <w:tcW w:w="0" w:type="dxa"/>
            <w:vAlign w:val="bottom"/>
          </w:tcPr>
          <w:p>
            <w:pPr>
              <w:spacing w:after="0"/>
              <w:rPr>
                <w:sz w:val="1"/>
                <w:szCs w:val="1"/>
                <w:color w:val="auto"/>
              </w:rPr>
            </w:pPr>
          </w:p>
        </w:tc>
      </w:tr>
    </w:tbl>
    <w:p>
      <w:pPr>
        <w:jc w:val="both"/>
        <w:ind w:left="720" w:right="680" w:firstLine="9"/>
        <w:spacing w:after="0" w:line="225" w:lineRule="auto"/>
        <w:tabs>
          <w:tab w:leader="none" w:pos="893" w:val="left"/>
        </w:tabs>
        <w:numPr>
          <w:ilvl w:val="0"/>
          <w:numId w:val="11"/>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Condensed Consolidated Statements of Comprehensive Income. As of September 30, 2021, the Company expects approximately $15.0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 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change in unrealized cash flow hedges gains (losses)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4"/>
                <w:szCs w:val="14"/>
                <w:color w:val="auto"/>
                <w:w w:val="94"/>
              </w:rPr>
              <w:t>(1,797)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(36,559)</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810"/>
              <w:spacing w:after="0"/>
              <w:rPr>
                <w:sz w:val="20"/>
                <w:szCs w:val="20"/>
                <w:color w:val="auto"/>
              </w:rPr>
            </w:pPr>
            <w:r>
              <w:rPr>
                <w:rFonts w:ascii="Arial" w:cs="Arial" w:eastAsia="Arial" w:hAnsi="Arial"/>
                <w:sz w:val="14"/>
                <w:szCs w:val="14"/>
                <w:color w:val="auto"/>
                <w:w w:val="91"/>
              </w:rPr>
              <w:t>4,213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04"/>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Arial" w:cs="Arial" w:eastAsia="Arial" w:hAnsi="Arial"/>
                <w:sz w:val="14"/>
                <w:szCs w:val="14"/>
                <w:color w:val="auto"/>
                <w:w w:val="91"/>
              </w:rPr>
              <w:t>2,416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September 30, 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10,766</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(22,761)</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(21,838)</w:t>
            </w:r>
          </w:p>
        </w:tc>
        <w:tc>
          <w:tcPr>
            <w:tcW w:w="0" w:type="dxa"/>
            <w:vAlign w:val="bottom"/>
          </w:tcPr>
          <w:p>
            <w:pPr>
              <w:spacing w:after="0"/>
              <w:rPr>
                <w:sz w:val="1"/>
                <w:szCs w:val="1"/>
                <w:color w:val="auto"/>
              </w:rPr>
            </w:pPr>
          </w:p>
        </w:tc>
      </w:tr>
    </w:tbl>
    <w:p>
      <w:pPr>
        <w:ind w:left="720" w:right="700" w:firstLine="9"/>
        <w:spacing w:after="0" w:line="225" w:lineRule="auto"/>
        <w:tabs>
          <w:tab w:leader="none" w:pos="893"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 As of September 30, 2021, the Company expects approximately $15.0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September 30, 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change in unrealized cash flow hedges gains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5,846</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(36,559)</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(35,203)</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3"/>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Arial" w:cs="Arial" w:eastAsia="Arial" w:hAnsi="Arial"/>
          <w:sz w:val="12"/>
          <w:szCs w:val="12"/>
          <w:color w:val="auto"/>
        </w:rPr>
      </w:pPr>
    </w:p>
    <w:p>
      <w:pPr>
        <w:spacing w:after="0" w:line="233" w:lineRule="exact"/>
        <w:rPr>
          <w:rFonts w:ascii="Arial" w:cs="Arial" w:eastAsia="Arial" w:hAnsi="Arial"/>
          <w:sz w:val="12"/>
          <w:szCs w:val="12"/>
          <w:color w:val="auto"/>
        </w:rPr>
      </w:pPr>
    </w:p>
    <w:p>
      <w:pPr>
        <w:ind w:left="260" w:hanging="255"/>
        <w:spacing w:after="0"/>
        <w:tabs>
          <w:tab w:leader="none" w:pos="2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-477520</wp:posOffset>
            </wp:positionV>
            <wp:extent cx="3876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6"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stock options for the nine months ended September 30, 2021 and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0"/>
              </w:rPr>
              <w:t>Options Outstanding</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1"/>
                <w:szCs w:val="1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9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Remaining Contractual</w:t>
            </w: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Exercise Price Per Share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100" w:type="dxa"/>
            <w:vAlign w:val="bottom"/>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9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5.24</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(807,627)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(807,627)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September 30,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2,426,152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4.49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September 30,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1,877,155</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3.49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1,877,155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 The stock options to purchase shares of Class A Common Stock were fully vested in 2019.</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Restricted Stock Units and Restricted Stock Awards</w:t>
      </w:r>
    </w:p>
    <w:p>
      <w:pPr>
        <w:spacing w:after="0" w:line="25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Pursuant to the Amended and Restated 2015 Management Incentive Plan as described in Note 18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2021 and 2020, respectively, there were 633,938 and 967,526 shares of immediately vested Class A Common Stock granted as part of year-end compensation. In addition, the Company accrued compensation expense of $6.3 million for the three months ended September 30, 2021 and reduced accrued compensation expense by $11.4 million for the three months ended September 30, 2020, and accrued compensation expense of $17.7 million and $14.4 million for the nine months ended September 30, 2021 and 2020,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following table summarizes activity related to RSUs (including the Assumed Awards) and RSAs for the nine months ended September 30, 2021 and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RSUs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89"/>
              </w:rPr>
              <w:t>Average Fair</w:t>
            </w:r>
          </w:p>
        </w:tc>
        <w:tc>
          <w:tcPr>
            <w:tcW w:w="0" w:type="dxa"/>
            <w:vAlign w:val="bottom"/>
          </w:tcPr>
          <w:p>
            <w:pPr>
              <w:spacing w:after="0"/>
              <w:rPr>
                <w:sz w:val="1"/>
                <w:szCs w:val="1"/>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RSAs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7"/>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2,993,489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81"/>
        </w:trPr>
        <w:tc>
          <w:tcPr>
            <w:tcW w:w="8600" w:type="dxa"/>
            <w:vAlign w:val="bottom"/>
          </w:tcPr>
          <w:p>
            <w:pPr>
              <w:ind w:left="1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3,300,894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81"/>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(2,124,843)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0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September 30, 2020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3,778,317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81"/>
        </w:trPr>
        <w:tc>
          <w:tcPr>
            <w:tcW w:w="8600" w:type="dxa"/>
            <w:vAlign w:val="bottom"/>
          </w:tcPr>
          <w:p>
            <w:pPr>
              <w:ind w:left="140"/>
              <w:spacing w:after="0"/>
              <w:rPr>
                <w:sz w:val="20"/>
                <w:szCs w:val="20"/>
                <w:color w:val="auto"/>
              </w:rPr>
            </w:pPr>
            <w:r>
              <w:rPr>
                <w:rFonts w:ascii="Arial" w:cs="Arial" w:eastAsia="Arial" w:hAnsi="Arial"/>
                <w:sz w:val="14"/>
                <w:szCs w:val="14"/>
                <w:color w:val="auto"/>
              </w:rPr>
              <w:t>Granted (1)</w:t>
            </w:r>
          </w:p>
        </w:tc>
        <w:tc>
          <w:tcPr>
            <w:tcW w:w="1380" w:type="dxa"/>
            <w:vAlign w:val="bottom"/>
          </w:tcPr>
          <w:p>
            <w:pPr>
              <w:jc w:val="right"/>
              <w:spacing w:after="0"/>
              <w:rPr>
                <w:sz w:val="20"/>
                <w:szCs w:val="20"/>
                <w:color w:val="auto"/>
              </w:rPr>
            </w:pPr>
            <w:r>
              <w:rPr>
                <w:rFonts w:ascii="Arial" w:cs="Arial" w:eastAsia="Arial" w:hAnsi="Arial"/>
                <w:sz w:val="14"/>
                <w:szCs w:val="14"/>
                <w:color w:val="auto"/>
              </w:rPr>
              <w:t>2,442,953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186"/>
        </w:trPr>
        <w:tc>
          <w:tcPr>
            <w:tcW w:w="8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0" w:type="dxa"/>
            <w:vAlign w:val="bottom"/>
          </w:tcPr>
          <w:p>
            <w:pPr>
              <w:spacing w:after="0"/>
              <w:rPr>
                <w:sz w:val="1"/>
                <w:szCs w:val="1"/>
                <w:color w:val="auto"/>
              </w:rPr>
            </w:pPr>
          </w:p>
        </w:tc>
      </w:tr>
      <w:tr>
        <w:trPr>
          <w:trHeight w:val="181"/>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(2,032,477)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18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September 30,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3,612,264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2"/>
          <w:szCs w:val="12"/>
          <w:color w:val="auto"/>
        </w:rPr>
        <w:t>(1) Excluded in the number of RSUs and RSAs are 350,000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40" w:lineRule="exact"/>
        <w:rPr>
          <w:sz w:val="20"/>
          <w:szCs w:val="20"/>
          <w:color w:val="auto"/>
        </w:rPr>
      </w:pPr>
    </w:p>
    <w:p>
      <w:pPr>
        <w:jc w:val="both"/>
        <w:ind w:right="40" w:firstLine="629"/>
        <w:spacing w:after="0" w:line="265" w:lineRule="auto"/>
        <w:rPr>
          <w:sz w:val="20"/>
          <w:szCs w:val="20"/>
          <w:color w:val="auto"/>
        </w:rPr>
      </w:pPr>
      <w:r>
        <w:rPr>
          <w:rFonts w:ascii="Arial" w:cs="Arial" w:eastAsia="Arial" w:hAnsi="Arial"/>
          <w:sz w:val="17"/>
          <w:szCs w:val="17"/>
          <w:color w:val="auto"/>
        </w:rPr>
        <w:t>The Company recognized $6.7 million and $9.0 million for the three months ended September 30, 2021 and 2020 and $20.5 million and $25.8 million for the nine months ended September 30, 2021 and 2020, respectively, of compensation expense in relation to RSUs. As of September 30, 2021 and December 31, 2020, total unrecognized share-based compensation expense related to unvested RSUs was $51.4 million and $37.1 million, respectively, and this amount is to be recognized over a weighted average period of 1.1 years and 1.0 year, respectively. Awards in which the specific performance conditions have not been met are not included in unrecognized share-based compensation expense.</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November 13, 2020, the Company adopted the Virtu Financial, Inc. Deferred Compensation Plan (the "DCP"). The DCP permits eligible executive officers and other employees to defer cash or equity based compensation beginning in the calendar year ending December 31, 2021, subject to certain limitations and restrictions. Deferrals may also be directed to notional investments in certain of the employee investment opportunities. No amounts have been recognized as compensation cost under the DCP as of September 30, 2021.</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Regulatory Requirement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Subsidiary</w:t>
      </w:r>
    </w:p>
    <w:p>
      <w:pPr>
        <w:spacing w:after="0" w:line="250"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September 30, 2021. The required amount is determined under the exchange rules as the greater of (i) $1 million or (ii) $75,000 for every 0.1% of NYSE transaction dollar volume in each of the securities for which the Company is registered as the DMM.</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September 30, 2021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484,482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482,757</w:t>
            </w:r>
          </w:p>
        </w:tc>
        <w:tc>
          <w:tcPr>
            <w:tcW w:w="0" w:type="dxa"/>
            <w:vAlign w:val="bottom"/>
          </w:tcPr>
          <w:p>
            <w:pPr>
              <w:spacing w:after="0"/>
              <w:rPr>
                <w:sz w:val="1"/>
                <w:szCs w:val="1"/>
                <w:color w:val="auto"/>
              </w:rPr>
            </w:pPr>
          </w:p>
        </w:tc>
      </w:tr>
    </w:tbl>
    <w:p>
      <w:pPr>
        <w:spacing w:after="0" w:line="367" w:lineRule="exact"/>
        <w:rPr>
          <w:sz w:val="20"/>
          <w:szCs w:val="20"/>
          <w:color w:val="auto"/>
        </w:rPr>
      </w:pPr>
    </w:p>
    <w:p>
      <w:pPr>
        <w:jc w:val="both"/>
        <w:ind w:right="120" w:firstLine="629"/>
        <w:spacing w:after="0" w:line="325" w:lineRule="auto"/>
        <w:rPr>
          <w:sz w:val="20"/>
          <w:szCs w:val="20"/>
          <w:color w:val="auto"/>
        </w:rPr>
      </w:pPr>
      <w:r>
        <w:rPr>
          <w:rFonts w:ascii="Arial" w:cs="Arial" w:eastAsia="Arial" w:hAnsi="Arial"/>
          <w:sz w:val="15"/>
          <w:szCs w:val="15"/>
          <w:color w:val="auto"/>
        </w:rPr>
        <w:t xml:space="preserve">As of September 30, 2021, VAL had $60.9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$8.8 million of cash in reserve bank accounts for the benefit of proprietary accounts of brokers.</w:t>
      </w:r>
      <w:r>
        <w:rPr>
          <w:rFonts w:ascii="Arial" w:cs="Arial" w:eastAsia="Arial" w:hAnsi="Arial"/>
          <w:sz w:val="15"/>
          <w:szCs w:val="15"/>
          <w:i w:val="1"/>
          <w:iCs w:val="1"/>
          <w:color w:val="auto"/>
        </w:rPr>
        <w:t xml:space="preserve"> </w:t>
      </w:r>
      <w:r>
        <w:rPr>
          <w:rFonts w:ascii="Arial" w:cs="Arial" w:eastAsia="Arial" w:hAnsi="Arial"/>
          <w:sz w:val="15"/>
          <w:szCs w:val="15"/>
          <w:color w:val="auto"/>
        </w:rPr>
        <w:t>The balances are included within Cash restricted or segregated under regulations and other on the Condensed Consolidated Statements of Financial Condition.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December 31, 2020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621,253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120" w:firstLine="629"/>
        <w:spacing w:after="0" w:line="359" w:lineRule="auto"/>
        <w:rPr>
          <w:sz w:val="20"/>
          <w:szCs w:val="20"/>
          <w:color w:val="auto"/>
        </w:rPr>
      </w:pPr>
      <w:r>
        <w:rPr>
          <w:rFonts w:ascii="Arial" w:cs="Arial" w:eastAsia="Arial" w:hAnsi="Arial"/>
          <w:sz w:val="15"/>
          <w:szCs w:val="15"/>
          <w:color w:val="auto"/>
        </w:rPr>
        <w:t xml:space="preserve">As of December 31, 2020, VAL had $96.2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$20.4 million of cash in reserve bank accounts for the benefit of proprietary accounts of brokers.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Subsidiaries</w:t>
      </w:r>
    </w:p>
    <w:p>
      <w:pPr>
        <w:spacing w:after="0" w:line="250"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4" w:lineRule="exact"/>
        <w:rPr>
          <w:sz w:val="20"/>
          <w:szCs w:val="20"/>
          <w:color w:val="auto"/>
        </w:rPr>
      </w:pPr>
    </w:p>
    <w:p>
      <w:pPr>
        <w:ind w:firstLine="629"/>
        <w:spacing w:after="0" w:line="275"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September 30, 2021 were as follows:</w:t>
      </w:r>
    </w:p>
    <w:tbl>
      <w:tblPr>
        <w:tblLayout w:type="fixed"/>
        <w:tblInd w:w="180" w:type="dxa"/>
        <w:tblCellMar>
          <w:top w:w="0" w:type="dxa"/>
          <w:left w:w="0" w:type="dxa"/>
          <w:bottom w:w="0" w:type="dxa"/>
          <w:right w:w="0" w:type="dxa"/>
        </w:tblCellMar>
      </w:tblPr>
      <w:tr>
        <w:trPr>
          <w:trHeight w:val="14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16,911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16,714</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 (1)</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45,430</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 (1)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109,229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58,083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51,146</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30,717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21,941</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73"/>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(1) Preliminary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As of September 30, 2021, Virtu ITG Europe Limited and Virtu ITG Canada Corp had $0.2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7" w:lineRule="exact"/>
        <w:rPr>
          <w:sz w:val="20"/>
          <w:szCs w:val="20"/>
          <w:color w:val="auto"/>
        </w:rPr>
      </w:pPr>
    </w:p>
    <w:p>
      <w:pPr>
        <w:ind w:right="40" w:firstLine="629"/>
        <w:spacing w:after="0" w:line="275"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December 31, 2020 were as follows:</w:t>
      </w:r>
    </w:p>
    <w:tbl>
      <w:tblPr>
        <w:tblLayout w:type="fixed"/>
        <w:tblInd w:w="180" w:type="dxa"/>
        <w:tblCellMar>
          <w:top w:w="0" w:type="dxa"/>
          <w:left w:w="0" w:type="dxa"/>
          <w:bottom w:w="0" w:type="dxa"/>
          <w:right w:w="0" w:type="dxa"/>
        </w:tblCellMar>
      </w:tblPr>
      <w:tr>
        <w:trPr>
          <w:trHeight w:val="14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12,944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12,748</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25,353</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94,528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41,038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53,490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30,606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17,877</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0" w:type="dxa"/>
            <w:vAlign w:val="bottom"/>
          </w:tcPr>
          <w:p>
            <w:pPr>
              <w:spacing w:after="0"/>
              <w:rPr>
                <w:sz w:val="1"/>
                <w:szCs w:val="1"/>
                <w:color w:val="auto"/>
              </w:rPr>
            </w:pPr>
          </w:p>
        </w:tc>
      </w:tr>
      <w:tr>
        <w:trPr>
          <w:trHeight w:val="178"/>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As of December 31, 2020, Virtu ITG Europe Limited and Virtu ITG Canada Corp had $0.2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Geographic Information and Business Segments</w:t>
      </w:r>
    </w:p>
    <w:p>
      <w:pPr>
        <w:spacing w:after="0" w:line="256"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2021 and 2020</w:t>
      </w:r>
      <w:r>
        <w:rPr>
          <w:rFonts w:ascii="Arial" w:cs="Arial" w:eastAsia="Arial" w:hAnsi="Arial"/>
          <w:sz w:val="15"/>
          <w:szCs w:val="15"/>
          <w:color w:val="auto"/>
        </w:rPr>
        <w:t>:</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3"/>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7"/>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433,013</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484,594</w:t>
            </w:r>
          </w:p>
        </w:tc>
        <w:tc>
          <w:tcPr>
            <w:tcW w:w="16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1,678,650</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2,045,330</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233,783</w:t>
            </w: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Singapore</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30,696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26,630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102,965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140,492</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71,268</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103,331</w:t>
            </w:r>
          </w:p>
        </w:tc>
      </w:tr>
      <w:tr>
        <w:trPr>
          <w:trHeight w:val="181"/>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Australia</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10,107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31,868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32,186</w:t>
            </w:r>
          </w:p>
        </w:tc>
      </w:tr>
      <w:tr>
        <w:trPr>
          <w:trHeight w:val="18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r>
      <w:tr>
        <w:trPr>
          <w:trHeight w:val="181"/>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3,569</w:t>
            </w:r>
          </w:p>
        </w:tc>
      </w:tr>
      <w:tr>
        <w:trPr>
          <w:trHeight w:val="20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544,344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656,112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2,105,881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2,562,635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 as an agent for issuers in connection with at-the-market offerings and buyback programs.</w:t>
      </w:r>
    </w:p>
    <w:p>
      <w:pPr>
        <w:spacing w:after="0" w:line="202"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4" w:lineRule="exact"/>
        <w:rPr>
          <w:sz w:val="20"/>
          <w:szCs w:val="20"/>
          <w:color w:val="auto"/>
        </w:rPr>
      </w:pPr>
    </w:p>
    <w:p>
      <w:pPr>
        <w:ind w:right="160" w:firstLine="629"/>
        <w:spacing w:after="0" w:line="297"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2021 and 2020 and are summarized in the following table: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4"/>
                <w:szCs w:val="14"/>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3"/>
        </w:trPr>
        <w:tc>
          <w:tcPr>
            <w:tcW w:w="6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Making</w:t>
            </w: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132,549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544,344</w:t>
            </w: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145,099</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474,598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182,680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656,112</w:t>
            </w:r>
          </w:p>
        </w:tc>
        <w:tc>
          <w:tcPr>
            <w:tcW w:w="0" w:type="dxa"/>
            <w:vAlign w:val="bottom"/>
          </w:tcPr>
          <w:p>
            <w:pPr>
              <w:spacing w:after="0"/>
              <w:rPr>
                <w:sz w:val="1"/>
                <w:szCs w:val="1"/>
                <w:color w:val="auto"/>
              </w:rPr>
            </w:pPr>
          </w:p>
        </w:tc>
      </w:tr>
      <w:tr>
        <w:trPr>
          <w:trHeight w:val="186"/>
        </w:trPr>
        <w:tc>
          <w:tcPr>
            <w:tcW w:w="6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252,515</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Pre-tax earnings by segment for the nine months ended September 30, 2021 and 2020 are summarized in the following table:</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Consolidated Total</w:t>
            </w:r>
          </w:p>
        </w:tc>
      </w:tr>
      <w:tr>
        <w:trPr>
          <w:trHeight w:val="181"/>
        </w:trPr>
        <w:tc>
          <w:tcPr>
            <w:tcW w:w="4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1,635,555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2,105,881</w:t>
            </w: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713,723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51,941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769,887</w:t>
            </w:r>
          </w:p>
        </w:tc>
      </w:tr>
      <w:tr>
        <w:trPr>
          <w:trHeight w:val="212"/>
        </w:trPr>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2,064,300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2,562,635</w:t>
            </w:r>
          </w:p>
        </w:tc>
      </w:tr>
      <w:tr>
        <w:trPr>
          <w:trHeight w:val="178"/>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1,010,871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137,879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1,123,272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Related Party Transactions</w:t>
      </w:r>
    </w:p>
    <w:p>
      <w:pPr>
        <w:spacing w:after="0" w:line="256" w:lineRule="exact"/>
        <w:rPr>
          <w:sz w:val="20"/>
          <w:szCs w:val="20"/>
          <w:color w:val="auto"/>
        </w:rPr>
      </w:pPr>
    </w:p>
    <w:p>
      <w:pPr>
        <w:ind w:right="180" w:firstLine="629"/>
        <w:spacing w:after="0" w:line="322" w:lineRule="auto"/>
        <w:rPr>
          <w:sz w:val="20"/>
          <w:szCs w:val="20"/>
          <w:color w:val="auto"/>
        </w:rPr>
      </w:pPr>
      <w:r>
        <w:rPr>
          <w:rFonts w:ascii="Arial" w:cs="Arial" w:eastAsia="Arial" w:hAnsi="Arial"/>
          <w:sz w:val="16"/>
          <w:szCs w:val="16"/>
          <w:color w:val="auto"/>
        </w:rPr>
        <w:t>The Company incurs expenses and maintains balances with its affiliates in the ordinary course of business. As of September 30, 2021, and December 31, 2020 the Company had net payables to its affiliates of $0.8 million and net receivables from its affiliates of $2.3 million, respectively.</w:t>
      </w:r>
    </w:p>
    <w:p>
      <w:pPr>
        <w:spacing w:after="0" w:line="161" w:lineRule="exact"/>
        <w:rPr>
          <w:sz w:val="20"/>
          <w:szCs w:val="20"/>
          <w:color w:val="auto"/>
        </w:rPr>
      </w:pPr>
    </w:p>
    <w:p>
      <w:pPr>
        <w:ind w:right="200" w:firstLine="629"/>
        <w:spacing w:after="0" w:line="267" w:lineRule="auto"/>
        <w:rPr>
          <w:sz w:val="20"/>
          <w:szCs w:val="20"/>
          <w:color w:val="auto"/>
        </w:rPr>
      </w:pPr>
      <w:r>
        <w:rPr>
          <w:rFonts w:ascii="Arial" w:cs="Arial" w:eastAsia="Arial" w:hAnsi="Arial"/>
          <w:sz w:val="17"/>
          <w:szCs w:val="17"/>
          <w:color w:val="auto"/>
        </w:rPr>
        <w:t>The Company has held a minority interest in JNX since 2016 (see Note 10 "Financial Assets and Liabilities"). The Company pays exchange fees to JNX for the trading activities conducted on its proprietary trading system. The Company paid $2.9 million and $4.1 million for the three months ended September 30, 2021 and 2020, respectively, and $9.1 million and $13.8 million for the nine months ended September 30, 2021 and 2020, respectively, to JNX for these trading activities.</w:t>
      </w:r>
    </w:p>
    <w:p>
      <w:pPr>
        <w:spacing w:after="0" w:line="204" w:lineRule="exact"/>
        <w:rPr>
          <w:sz w:val="20"/>
          <w:szCs w:val="20"/>
          <w:color w:val="auto"/>
        </w:rPr>
      </w:pPr>
    </w:p>
    <w:p>
      <w:pPr>
        <w:ind w:right="300" w:firstLine="629"/>
        <w:spacing w:after="0" w:line="289" w:lineRule="auto"/>
        <w:rPr>
          <w:sz w:val="20"/>
          <w:szCs w:val="20"/>
          <w:color w:val="auto"/>
        </w:rPr>
      </w:pPr>
      <w:r>
        <w:rPr>
          <w:rFonts w:ascii="Arial" w:cs="Arial" w:eastAsia="Arial" w:hAnsi="Arial"/>
          <w:sz w:val="16"/>
          <w:szCs w:val="16"/>
          <w:color w:val="auto"/>
        </w:rPr>
        <w:t>The Company makes payments to two JVs (see Note 12 "Variable Interest Entities") to fund the construction of the microwave communication networks, and to purchase microwave communication networks, which are recorded within Communications and data processing on the Condensed Consolidated Statements of Comprehensive Income. The Company made payments of $10.5 million and $4.7 million the three months ended September 30, 2021 and 2020, respectively, and $19.9 million and $14.0 million for the nine months ended September 30, 2021 and 2020, respectively, to these JVs.</w:t>
      </w:r>
    </w:p>
    <w:p>
      <w:pPr>
        <w:spacing w:after="0" w:line="188" w:lineRule="exact"/>
        <w:rPr>
          <w:sz w:val="20"/>
          <w:szCs w:val="20"/>
          <w:color w:val="auto"/>
        </w:rPr>
      </w:pPr>
    </w:p>
    <w:p>
      <w:pPr>
        <w:ind w:right="560" w:firstLine="629"/>
        <w:spacing w:after="0" w:line="297" w:lineRule="auto"/>
        <w:rPr>
          <w:sz w:val="20"/>
          <w:szCs w:val="20"/>
          <w:color w:val="auto"/>
        </w:rPr>
      </w:pPr>
      <w:r>
        <w:rPr>
          <w:rFonts w:ascii="Arial" w:cs="Arial" w:eastAsia="Arial" w:hAnsi="Arial"/>
          <w:sz w:val="16"/>
          <w:szCs w:val="16"/>
          <w:color w:val="auto"/>
        </w:rPr>
        <w:t>The Company purchases network connections services from affiliates of Level 3 Communications (“Level 3”). Temasek and its affiliates have a significant ownership interest in Level 3. The Company paid $0.5 million and $0.4 million for the three months ended September 30, 2021 and 2020, respectively, and $1.2 million for both the nine months ended September 30, 2021 and 2020, respectively, to Level 3 for these services.</w:t>
      </w:r>
    </w:p>
    <w:p>
      <w:pPr>
        <w:spacing w:after="0" w:line="181"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The Company makes commission-sharing arrangement ("CSA") payments to affiliates of DBS Group Holdings ("DBS"). Temasek and its affiliates have a significant ownership interest in DBS. Payments for the three and nine months ended September 30, 2021 were immaterial. The Company made payments of $13.0 thousand and $0.2 million for the three and nine months ended September 30, 2020, respectively.</w:t>
      </w:r>
    </w:p>
    <w:p>
      <w:pPr>
        <w:spacing w:after="0" w:line="197"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color w:val="auto"/>
        </w:rPr>
        <w:t>Ordinal Holdings I, LP is a stockholder in the Company with board representation. On August 12, 2021, the Company entered into a Purchase Agreement with Ordinal Holdings I, LP to repurchase 1.5 million shares of the Company's Class A common stock for $39.2 million in accordance with the Company's previously disclosed share repurchase program. See Note 18 "Capital Structure" for a further discussion of the Company's share repurchase program.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Subsequent Events</w:t>
      </w:r>
    </w:p>
    <w:p>
      <w:pPr>
        <w:spacing w:after="0" w:line="256"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7"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On November 3, 2021, the Company’s Board of Directors declared a dividend of $0.24 per share of Class A Common Stock and Class B Common Stock and per participating Restricted Stock Unit and Restricted Stock Award that will be paid on December 15, 2021 to holders of record as of December 1, 2021.</w:t>
      </w:r>
    </w:p>
    <w:p>
      <w:pPr>
        <w:spacing w:after="0" w:line="197"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On November 3, 2021, the Company's Board of Directors authorized the expansion of the Company's current share repurchase program, increasing the total authorized amount by $750 million to $1,220 million and extended the duration through November 3, 2023. Since the inception of the program through November 3, 2021, the company repurchased approximately 13.4 million shares of Class A Common Stock and Virtu Financial Units for approximately $361.4 million. As of November 3, 2021, the Company has approximately $858.6 million remaining capacity for future purchase of shares of Class A Common Stock and Virtu Financial Units under the program.</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The following management’s discussion and analysis covers the three and nine months ended September 30, 2021 and 2020 and should be read in conjunction with the consolidated financial statements of Virtu Financial, Inc. (the “Company”) for the period ended September 30, 2021, which are included in Part I, Item 1 of this Quarterly Report on Form 10-Q, and the audited consolidated financial statements and accompanying notes and MD&amp;A for the year ended December 31, 2020, which are included in Items 8 and 7, respectively, of the Company's Annual Report on Form 10-K for the year ended December 31, 2020.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2020, as filed with the Securities and Exchange Commission (“SEC”) on February 25, 2021 (the “2020 Form 10-K”), could affect our actual financial results or results of operations and cash flows, and could cause actual results to differ materially from those in such forward-looking statements, including but not limited to:</w:t>
      </w:r>
    </w:p>
    <w:p>
      <w:pPr>
        <w:spacing w:after="0" w:line="73" w:lineRule="exact"/>
        <w:rPr>
          <w:sz w:val="20"/>
          <w:szCs w:val="20"/>
          <w:color w:val="auto"/>
        </w:rPr>
      </w:pPr>
    </w:p>
    <w:p>
      <w:pPr>
        <w:ind w:left="940" w:hanging="149"/>
        <w:spacing w:after="0" w:line="267"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volatility in levels of overall trading activity;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limited to risks related to funding and liquidity;</w:t>
      </w:r>
    </w:p>
    <w:p>
      <w:pPr>
        <w:spacing w:after="0" w:line="130" w:lineRule="exact"/>
        <w:rPr>
          <w:rFonts w:ascii="Arial" w:cs="Arial" w:eastAsia="Arial" w:hAnsi="Arial"/>
          <w:sz w:val="16"/>
          <w:szCs w:val="16"/>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118" w:lineRule="exact"/>
        <w:rPr>
          <w:rFonts w:ascii="Arial" w:cs="Arial" w:eastAsia="Arial" w:hAnsi="Arial"/>
          <w:sz w:val="17"/>
          <w:szCs w:val="17"/>
          <w:color w:val="auto"/>
        </w:rPr>
      </w:pPr>
    </w:p>
    <w:p>
      <w:pPr>
        <w:jc w:val="both"/>
        <w:ind w:left="940" w:right="400" w:hanging="149"/>
        <w:spacing w:after="0" w:line="273"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6" w:lineRule="exact"/>
        <w:rPr>
          <w:rFonts w:ascii="Arial" w:cs="Arial" w:eastAsia="Arial" w:hAnsi="Arial"/>
          <w:sz w:val="17"/>
          <w:szCs w:val="17"/>
          <w:color w:val="auto"/>
        </w:rPr>
      </w:pPr>
    </w:p>
    <w:p>
      <w:pPr>
        <w:ind w:left="940" w:hanging="149"/>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8" w:lineRule="exact"/>
        <w:rPr>
          <w:rFonts w:ascii="Arial" w:cs="Arial" w:eastAsia="Arial" w:hAnsi="Arial"/>
          <w:sz w:val="17"/>
          <w:szCs w:val="17"/>
          <w:color w:val="auto"/>
        </w:rPr>
      </w:pPr>
    </w:p>
    <w:p>
      <w:pPr>
        <w:ind w:left="940" w:right="20" w:hanging="149"/>
        <w:spacing w:after="0" w:line="297" w:lineRule="auto"/>
        <w:tabs>
          <w:tab w:leader="none" w:pos="9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the Acquisition of KCG and ITG Acquisition (as defined below) on ongoing business operations generally, including our ability to achieve cost-saving synergies related to these historical acquisitions, and the assumption of potential liabilities and risks relating to these historical acquisitions, and the significant costs and significant indebtedness that we have incurred in connection therewith;</w:t>
      </w:r>
    </w:p>
    <w:p>
      <w:pPr>
        <w:spacing w:after="0" w:line="50" w:lineRule="exact"/>
        <w:rPr>
          <w:rFonts w:ascii="Arial" w:cs="Arial" w:eastAsia="Arial" w:hAnsi="Arial"/>
          <w:sz w:val="16"/>
          <w:szCs w:val="16"/>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dependence on third-party infrastructure or systems;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8" w:lineRule="exact"/>
        <w:rPr>
          <w:rFonts w:ascii="Arial" w:cs="Arial" w:eastAsia="Arial" w:hAnsi="Arial"/>
          <w:sz w:val="17"/>
          <w:szCs w:val="17"/>
          <w:color w:val="auto"/>
        </w:rPr>
      </w:pPr>
    </w:p>
    <w:p>
      <w:pPr>
        <w:ind w:left="940" w:right="240" w:hanging="149"/>
        <w:spacing w:after="0" w:line="28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3"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8" w:lineRule="exact"/>
        <w:rPr>
          <w:rFonts w:ascii="Arial" w:cs="Arial" w:eastAsia="Arial" w:hAnsi="Arial"/>
          <w:sz w:val="17"/>
          <w:szCs w:val="17"/>
          <w:color w:val="auto"/>
        </w:rPr>
      </w:pPr>
    </w:p>
    <w:p>
      <w:pPr>
        <w:ind w:left="940" w:right="100" w:hanging="149"/>
        <w:spacing w:after="0" w:line="267"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50"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For a discussion on the potential impacts of the COVID-19 outbreak on our business, see Part I Item 1A “Risk Factors” of our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6"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9"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1"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4"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50"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9"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5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50"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ITG and KCG</w:t>
      </w:r>
    </w:p>
    <w:p>
      <w:pPr>
        <w:spacing w:after="0" w:line="256"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On March 1, 2019, the "ITG Closing Date", we announced the completion of Investment Technology Group, Inc. and its subsidiaries ("ITG") in an all-cash transaction valued at $30.30 per ITG share, for a total of approximately $1.0 billion (the "ITG Acquisition"). In connection with the ITG Acquisition, Virtu Financial, VFH Parent LLC, a Delaware limited liability company and a subsidiary of Virtu Financial ("VFH"), and Imapala Borrower LLC (the "Acquisition Borrower"), a subsidiary of the Company, entered into a Credit Agreement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202"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As described below, the Credit Agreement was amended on October 9, 2019, on which date VFH borrowed an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20, 2017 (the “KCG Closing Date”), the Company completed the all-cash acquisition of KCG Holdings, Inc. (“KCG”)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KCG”).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2015 Management Incentive Plan</w:t>
      </w:r>
    </w:p>
    <w:p>
      <w:pPr>
        <w:spacing w:after="0" w:line="256"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14"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September 30, 2021, options to purchase 1,628,750 shares in the aggregate were forfeited and 5,722,095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Investment Technology Group, Inc. 2007 Omnibus Equity Compensation Plan</w:t>
      </w:r>
    </w:p>
    <w:p>
      <w:pPr>
        <w:spacing w:after="0" w:line="256"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50" w:lineRule="exact"/>
        <w:rPr>
          <w:sz w:val="20"/>
          <w:szCs w:val="20"/>
          <w:color w:val="auto"/>
        </w:rPr>
      </w:pPr>
    </w:p>
    <w:p>
      <w:pPr>
        <w:ind w:right="140" w:firstLine="629"/>
        <w:spacing w:after="0" w:line="261"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September 30, 2021 in the amount of $60.1 million; (ii) deferred tax assets reflected on our Condensed Consolidated Statements of Financial Condition as of September 30, 2021 in the amount of $167.5 million and tax receivable agreement obligation in the amount of $254.7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September 30, 2021; and (iv) provision for corporate income tax in the amount of $17.7 million and $97.5 million reflected on our Condensed Consolidated Statements of Comprehensive Income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The following table shows our i) Total revenue, ii) Total operating expenses, and iii) Income before income taxes and noncontrolling interest by segment for the three and nine months ended September 30, 2021 and 2020:</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2"/>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474,598</w:t>
            </w:r>
          </w:p>
        </w:tc>
        <w:tc>
          <w:tcPr>
            <w:tcW w:w="12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1,635,555</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2,064,300</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273,415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312,866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921,832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1,053,429</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135,875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161,732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713,723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1,010,871</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132,549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182,680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459,918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500,621</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125,017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80,651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407,977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362,742</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102,029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51,941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137,879</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(2,286)</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23,192</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(11,246)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(25,478)</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544,344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656,112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2,105,881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2,562,635</w:t>
            </w:r>
          </w:p>
        </w:tc>
      </w:tr>
      <w:tr>
        <w:trPr>
          <w:trHeight w:val="183"/>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399,245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1,335,994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1,439,363</w:t>
            </w:r>
          </w:p>
        </w:tc>
      </w:tr>
      <w:tr>
        <w:trPr>
          <w:trHeight w:val="179"/>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145,099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252,515</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769,887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1,123,272</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our results of operations for the three and nine months ended September 30, 2021 and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3"/>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6"/>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4"/>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394,265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441,295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1,591,840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1,987,756</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10,932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26,246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46,788</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135,923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133,853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452,333</w:t>
            </w:r>
          </w:p>
        </w:tc>
      </w:tr>
      <w:tr>
        <w:trPr>
          <w:trHeight w:val="181"/>
        </w:trPr>
        <w:tc>
          <w:tcPr>
            <w:tcW w:w="5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4,452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70,032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75,758</w:t>
            </w:r>
          </w:p>
        </w:tc>
      </w:tr>
      <w:tr>
        <w:trPr>
          <w:trHeight w:val="179"/>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544,344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656,112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2,105,881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2,562,635</w:t>
            </w:r>
          </w:p>
        </w:tc>
      </w:t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158,862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196,448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588,885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573,769</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 and data processing</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55,627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51,647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159,824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162,336</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84,552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35,798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273,172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327,091</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expense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26,586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27,374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97,656</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Operations and administrative</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18,228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24,612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65,636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73,480</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50,728</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16,933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18,265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53,087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56,177</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343</w:t>
            </w: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9,916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27,282</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2,737</w:t>
            </w:r>
          </w:p>
        </w:tc>
      </w:tr>
      <w:tr>
        <w:trPr>
          <w:trHeight w:val="181"/>
        </w:trPr>
        <w:tc>
          <w:tcPr>
            <w:tcW w:w="5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20,179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20,358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59,784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67,764</w:t>
            </w:r>
          </w:p>
        </w:tc>
      </w:tr>
      <w:tr>
        <w:trPr>
          <w:trHeight w:val="179"/>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399,245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403,597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1,335,994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1,439,363</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145,099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252,515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1,123,272</w:t>
            </w:r>
          </w:p>
        </w:tc>
      </w:tr>
      <w:tr>
        <w:trPr>
          <w:trHeight w:val="183"/>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21,961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52,807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128,611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200,044</w:t>
            </w:r>
          </w:p>
        </w:tc>
      </w:tr>
      <w:tr>
        <w:trPr>
          <w:trHeight w:val="179"/>
        </w:trPr>
        <w:tc>
          <w:tcPr>
            <w:tcW w:w="526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123,138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199,708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641,276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923,228</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5"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64" w:lineRule="exact"/>
        <w:rPr>
          <w:sz w:val="20"/>
          <w:szCs w:val="20"/>
          <w:color w:val="auto"/>
        </w:rPr>
      </w:pPr>
    </w:p>
    <w:p>
      <w:pPr>
        <w:ind w:right="140" w:firstLine="629"/>
        <w:spacing w:after="0" w:line="285"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represents revenue earned from bid/ask spreads. Trading income is generated in the normal course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Our trading income, net, results from gains and losses associated with trading strategies, which are designed to capture small bid ask spreads, while hedging risks. Trading income, net, accounted for 76% and 78% of our total revenues for the nine months ended September 30, 2021 and 2020, respectively.</w:t>
      </w:r>
    </w:p>
    <w:p>
      <w:pPr>
        <w:spacing w:after="0" w:line="191"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 income arises from holding market making positions over dates on which dividends are paid to shareholders of record.</w:t>
      </w:r>
    </w:p>
    <w:p>
      <w:pPr>
        <w:spacing w:after="0" w:line="204"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12" w:lineRule="exact"/>
        <w:rPr>
          <w:sz w:val="20"/>
          <w:szCs w:val="20"/>
          <w:color w:val="auto"/>
        </w:rPr>
      </w:pPr>
    </w:p>
    <w:p>
      <w:pPr>
        <w:ind w:right="460" w:firstLine="629"/>
        <w:spacing w:after="0" w:line="273"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7"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have interests in multiple strategic investments and telecommunications joint ventures (“JVs”). We record our pro-rata share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JV’s earnings or losses within other, net, while fees related to the use of communication services provided by the JVs are recorded within communications and data processing.</w:t>
      </w:r>
    </w:p>
    <w:p>
      <w:pPr>
        <w:spacing w:after="0" w:line="184" w:lineRule="exact"/>
        <w:rPr>
          <w:sz w:val="20"/>
          <w:szCs w:val="20"/>
          <w:color w:val="auto"/>
        </w:rPr>
      </w:pPr>
    </w:p>
    <w:p>
      <w:pPr>
        <w:ind w:right="220" w:firstLine="629"/>
        <w:spacing w:after="0" w:line="263" w:lineRule="auto"/>
        <w:rPr>
          <w:sz w:val="20"/>
          <w:szCs w:val="20"/>
          <w:color w:val="auto"/>
        </w:rPr>
      </w:pPr>
      <w:r>
        <w:rPr>
          <w:rFonts w:ascii="Arial" w:cs="Arial" w:eastAsia="Arial" w:hAnsi="Arial"/>
          <w:sz w:val="16"/>
          <w:szCs w:val="16"/>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9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Other, net can also include gains on sales of businesses, revenues from service agreements related to the sale of businesses, and the gain or loss on the ineffective portion of derivatives used as cash flow hedging instruments.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are our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5" w:lineRule="exact"/>
        <w:rPr>
          <w:sz w:val="20"/>
          <w:szCs w:val="20"/>
          <w:color w:val="auto"/>
        </w:rPr>
      </w:pPr>
    </w:p>
    <w:p>
      <w:pPr>
        <w:ind w:right="60" w:firstLine="629"/>
        <w:spacing w:after="0" w:line="289"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204" w:lineRule="exact"/>
        <w:rPr>
          <w:sz w:val="20"/>
          <w:szCs w:val="20"/>
          <w:color w:val="auto"/>
        </w:rPr>
      </w:pPr>
    </w:p>
    <w:p>
      <w:pPr>
        <w:ind w:right="140" w:firstLine="629"/>
        <w:spacing w:after="0" w:line="32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61"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expenses.</w:t>
      </w:r>
    </w:p>
    <w:p>
      <w:pPr>
        <w:spacing w:after="0" w:line="18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08"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20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7" w:lineRule="exact"/>
        <w:rPr>
          <w:sz w:val="20"/>
          <w:szCs w:val="20"/>
          <w:color w:val="auto"/>
        </w:rPr>
      </w:pPr>
    </w:p>
    <w:p>
      <w:pPr>
        <w:jc w:val="both"/>
        <w:ind w:right="240" w:firstLine="629"/>
        <w:spacing w:after="0" w:line="325" w:lineRule="auto"/>
        <w:rPr>
          <w:sz w:val="20"/>
          <w:szCs w:val="20"/>
          <w:color w:val="auto"/>
        </w:rPr>
      </w:pPr>
      <w:r>
        <w:rPr>
          <w:rFonts w:ascii="Arial" w:cs="Arial" w:eastAsia="Arial" w:hAnsi="Arial"/>
          <w:sz w:val="15"/>
          <w:szCs w:val="15"/>
          <w:b w:val="1"/>
          <w:bCs w:val="1"/>
          <w:i w:val="1"/>
          <w:iCs w:val="1"/>
          <w:color w:val="auto"/>
        </w:rPr>
        <w:t xml:space="preserve">Debt issue costs related to debt refinancing, prepayment and commitment fees. </w:t>
      </w:r>
      <w:r>
        <w:rPr>
          <w:rFonts w:ascii="Arial" w:cs="Arial" w:eastAsia="Arial" w:hAnsi="Arial"/>
          <w:sz w:val="15"/>
          <w:szCs w:val="15"/>
          <w:color w:val="auto"/>
        </w:rPr>
        <w:t>As a result of the refinancing or early termination of our long-term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6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or more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5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w:t>
      </w:r>
    </w:p>
    <w:p>
      <w:pPr>
        <w:spacing w:after="0" w:line="184" w:lineRule="exact"/>
        <w:rPr>
          <w:sz w:val="20"/>
          <w:szCs w:val="20"/>
          <w:color w:val="auto"/>
        </w:rPr>
      </w:pPr>
    </w:p>
    <w:p>
      <w:pPr>
        <w:jc w:val="both"/>
        <w:ind w:right="180" w:firstLine="629"/>
        <w:spacing w:after="0" w:line="29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ind w:right="300"/>
        <w:spacing w:after="0" w:line="274"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7"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56"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84" w:lineRule="exact"/>
        <w:rPr>
          <w:sz w:val="20"/>
          <w:szCs w:val="20"/>
          <w:color w:val="auto"/>
        </w:rPr>
      </w:pPr>
    </w:p>
    <w:p>
      <w:pPr>
        <w:ind w:left="1020" w:hanging="229"/>
        <w:spacing w:after="0" w:line="281" w:lineRule="auto"/>
        <w:tabs>
          <w:tab w:leader="none" w:pos="10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3" w:lineRule="exact"/>
        <w:rPr>
          <w:rFonts w:ascii="Arial" w:cs="Arial" w:eastAsia="Arial" w:hAnsi="Arial"/>
          <w:sz w:val="16"/>
          <w:szCs w:val="16"/>
          <w:color w:val="auto"/>
        </w:rPr>
      </w:pPr>
    </w:p>
    <w:p>
      <w:pPr>
        <w:ind w:left="1020" w:right="100" w:hanging="229"/>
        <w:spacing w:after="0" w:line="308" w:lineRule="auto"/>
        <w:tabs>
          <w:tab w:leader="none" w:pos="10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45" w:lineRule="exact"/>
        <w:rPr>
          <w:rFonts w:ascii="Arial" w:cs="Arial" w:eastAsia="Arial" w:hAnsi="Arial"/>
          <w:sz w:val="15"/>
          <w:szCs w:val="15"/>
          <w:color w:val="auto"/>
        </w:rPr>
      </w:pPr>
    </w:p>
    <w:p>
      <w:pPr>
        <w:ind w:left="1020" w:right="260" w:hanging="229"/>
        <w:spacing w:after="0" w:line="267" w:lineRule="auto"/>
        <w:tabs>
          <w:tab w:leader="none" w:pos="10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73" w:lineRule="exact"/>
        <w:rPr>
          <w:rFonts w:ascii="Arial" w:cs="Arial" w:eastAsia="Arial" w:hAnsi="Arial"/>
          <w:sz w:val="17"/>
          <w:szCs w:val="17"/>
          <w:color w:val="auto"/>
        </w:rPr>
      </w:pPr>
    </w:p>
    <w:p>
      <w:pPr>
        <w:ind w:left="1020" w:hanging="229"/>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204" w:lineRule="exact"/>
        <w:rPr>
          <w:sz w:val="20"/>
          <w:szCs w:val="20"/>
          <w:color w:val="auto"/>
        </w:rPr>
      </w:pPr>
    </w:p>
    <w:p>
      <w:pPr>
        <w:ind w:left="1020" w:hanging="22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020" w:right="380" w:hanging="229"/>
        <w:spacing w:after="0" w:line="289" w:lineRule="auto"/>
        <w:tabs>
          <w:tab w:leader="none" w:pos="10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3" w:lineRule="exact"/>
        <w:rPr>
          <w:rFonts w:ascii="Arial" w:cs="Arial" w:eastAsia="Arial" w:hAnsi="Arial"/>
          <w:sz w:val="17"/>
          <w:szCs w:val="17"/>
          <w:color w:val="auto"/>
        </w:rPr>
      </w:pPr>
    </w:p>
    <w:p>
      <w:pPr>
        <w:ind w:left="1020" w:right="60" w:hanging="229"/>
        <w:spacing w:after="0" w:line="359" w:lineRule="auto"/>
        <w:tabs>
          <w:tab w:leader="none" w:pos="10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8" w:lineRule="exact"/>
        <w:rPr>
          <w:rFonts w:ascii="Arial" w:cs="Arial" w:eastAsia="Arial" w:hAnsi="Arial"/>
          <w:sz w:val="17"/>
          <w:szCs w:val="17"/>
          <w:color w:val="auto"/>
        </w:rPr>
      </w:pPr>
    </w:p>
    <w:p>
      <w:pPr>
        <w:ind w:left="1020" w:hanging="229"/>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08"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The following table reconciles the Condensed Consolidated Statements of Comprehensive Income to arrive at Adjusted Net Trading Income, EBITDA, Adjusted EBITDA, and Operating Margins for the three and nine months ended September 30,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3"/>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394,265</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441,295</w:t>
            </w:r>
          </w:p>
        </w:tc>
        <w:tc>
          <w:tcPr>
            <w:tcW w:w="14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1,591,840</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1,987,756</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10,932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26,246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46,788</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18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135,923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133,853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470,687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452,333</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(158,862)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(196,448)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(588,885)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(573,769)</w:t>
            </w:r>
          </w:p>
        </w:tc>
      </w:tr>
      <w:tr>
        <w:trPr>
          <w:trHeight w:val="181"/>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Interest and dividends expense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(26,586)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(27,374)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(75,585)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(97,656)</w:t>
            </w:r>
          </w:p>
        </w:tc>
      </w:tr>
      <w:tr>
        <w:trPr>
          <w:trHeight w:val="20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354,444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362,258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1,424,303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1,815,452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123,138</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199,708</w:t>
            </w:r>
          </w:p>
        </w:tc>
        <w:tc>
          <w:tcPr>
            <w:tcW w:w="14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641,276</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923,228</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20,179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20,358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59,784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67,764</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18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9,916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4,981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27,282</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16,636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16,656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49,764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50,728</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8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16,933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18,265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53,087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56,177</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21,961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52,807</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128,611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200,044</w:t>
            </w:r>
          </w:p>
        </w:tc>
      </w:tr>
      <w:tr>
        <w:trPr>
          <w:trHeight w:val="174"/>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200,084</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317,710</w:t>
            </w:r>
          </w:p>
        </w:tc>
        <w:tc>
          <w:tcPr>
            <w:tcW w:w="14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937,503</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1,325,223</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Severance</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3,030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7,192</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18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2,463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2,737</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5,126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343</w:t>
            </w: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Gain on sale of MATCHNow</w:t>
            </w:r>
          </w:p>
        </w:tc>
        <w:tc>
          <w:tcPr>
            <w:tcW w:w="18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(58,652)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(58,652)</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(11,138)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(12,827)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(10,157)</w:t>
            </w:r>
          </w:p>
        </w:tc>
      </w:tr>
      <w:tr>
        <w:trPr>
          <w:trHeight w:val="181"/>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Share based compensation</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12,930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(4,740)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38,260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37,510</w:t>
            </w:r>
          </w:p>
        </w:tc>
      </w:tr>
      <w:tr>
        <w:trPr>
          <w:trHeight w:val="20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210,732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248,733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972,789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1,304,196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1"/>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Net Income Margin (1)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55.1 %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45.0 %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50.9 %</w:t>
            </w:r>
          </w:p>
        </w:tc>
      </w:tr>
      <w:tr>
        <w:trPr>
          <w:trHeight w:val="18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EBITDA Margin (2)</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87.7 %</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73.0 %</w:t>
            </w:r>
          </w:p>
        </w:tc>
      </w:tr>
      <w:tr>
        <w:trPr>
          <w:trHeight w:val="178"/>
        </w:trPr>
        <w:tc>
          <w:tcPr>
            <w:tcW w:w="5720" w:type="dxa"/>
            <w:vAlign w:val="bottom"/>
            <w:gridSpan w:val="2"/>
          </w:tcPr>
          <w:p>
            <w:pPr>
              <w:ind w:left="120"/>
              <w:spacing w:after="0"/>
              <w:rPr>
                <w:sz w:val="20"/>
                <w:szCs w:val="20"/>
                <w:color w:val="auto"/>
              </w:rPr>
            </w:pPr>
            <w:r>
              <w:rPr>
                <w:rFonts w:ascii="Arial" w:cs="Arial" w:eastAsia="Arial" w:hAnsi="Arial"/>
                <w:sz w:val="14"/>
                <w:szCs w:val="14"/>
                <w:color w:val="auto"/>
              </w:rPr>
              <w:t>Adjusted EBITDA Margin (3)</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59.5 %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68.7 %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68.3 %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71.8 %</w:t>
            </w:r>
          </w:p>
        </w:tc>
      </w:tr>
    </w:tbl>
    <w:p>
      <w:pPr>
        <w:spacing w:after="0" w:line="87" w:lineRule="exact"/>
        <w:rPr>
          <w:sz w:val="20"/>
          <w:szCs w:val="20"/>
          <w:color w:val="auto"/>
        </w:rPr>
      </w:pPr>
    </w:p>
    <w:p>
      <w:pPr>
        <w:ind w:left="400" w:hanging="39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400" w:hanging="39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Normalized Adjusted Net Income and Normalized Adjusted EPS for the three and nine months ended September 30, 2021 and 2020:</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23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3"/>
        </w:trPr>
        <w:tc>
          <w:tcPr>
            <w:tcW w:w="496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2020</w:t>
            </w:r>
          </w:p>
        </w:tc>
      </w:tr>
      <w:tr>
        <w:trPr>
          <w:trHeight w:val="177"/>
        </w:trPr>
        <w:tc>
          <w:tcPr>
            <w:tcW w:w="4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1"/>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Net income (loss)</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123,138</w:t>
            </w:r>
          </w:p>
        </w:tc>
        <w:tc>
          <w:tcPr>
            <w:tcW w:w="10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199,708</w:t>
            </w:r>
          </w:p>
        </w:tc>
        <w:tc>
          <w:tcPr>
            <w:tcW w:w="140" w:type="dxa"/>
            <w:vAlign w:val="bottom"/>
          </w:tcPr>
          <w:p>
            <w:pPr>
              <w:spacing w:after="0"/>
              <w:rPr>
                <w:sz w:val="15"/>
                <w:szCs w:val="15"/>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641,276</w:t>
            </w:r>
          </w:p>
        </w:tc>
        <w:tc>
          <w:tcPr>
            <w:tcW w:w="10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923,2</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Provision for income taxes</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21,961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52,807</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128,611</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74"/>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Income (loss) before income taxes</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145,099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252,515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769,887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1,123,2</w:t>
            </w:r>
          </w:p>
        </w:tc>
      </w:tr>
      <w:tr>
        <w:trPr>
          <w:trHeight w:val="212"/>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81"/>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16,933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18,265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53,087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2"/>
              </w:rPr>
              <w:t>Debt issue cost related to debt refinancing, prepayment, and commitment fees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81"/>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Severance</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4,577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Transaction advisory fees and expenses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1"/>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Termination of office leases</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Gain on sale of MATCHNow</w:t>
            </w:r>
          </w:p>
        </w:tc>
        <w:tc>
          <w:tcPr>
            <w:tcW w:w="5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181"/>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Other</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(11,138)</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(12,827)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Share based compensation</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38,260</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r>
      <w:tr>
        <w:trPr>
          <w:trHeight w:val="174"/>
        </w:trPr>
        <w:tc>
          <w:tcPr>
            <w:tcW w:w="4960" w:type="dxa"/>
            <w:vAlign w:val="bottom"/>
            <w:gridSpan w:val="2"/>
          </w:tcPr>
          <w:p>
            <w:pPr>
              <w:ind w:left="440"/>
              <w:spacing w:after="0"/>
              <w:rPr>
                <w:sz w:val="20"/>
                <w:szCs w:val="20"/>
                <w:color w:val="auto"/>
              </w:rPr>
            </w:pPr>
            <w:r>
              <w:rPr>
                <w:rFonts w:ascii="Arial" w:cs="Arial" w:eastAsia="Arial" w:hAnsi="Arial"/>
                <w:sz w:val="14"/>
                <w:szCs w:val="14"/>
                <w:color w:val="auto"/>
              </w:rPr>
              <w:t>Normalized Adjusted Net Income before income taxes</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173,917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211,719</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863,241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1,185,7</w:t>
            </w:r>
          </w:p>
        </w:tc>
      </w:tr>
      <w:tr>
        <w:trPr>
          <w:trHeight w:val="18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Normalized provision for income taxes (1)</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41,740</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50,813</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207,178</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w:t>
            </w:r>
          </w:p>
        </w:tc>
      </w:tr>
      <w:tr>
        <w:trPr>
          <w:trHeight w:val="174"/>
        </w:trPr>
        <w:tc>
          <w:tcPr>
            <w:tcW w:w="4960" w:type="dxa"/>
            <w:vAlign w:val="bottom"/>
            <w:gridSpan w:val="2"/>
          </w:tcPr>
          <w:p>
            <w:pPr>
              <w:ind w:left="340"/>
              <w:spacing w:after="0"/>
              <w:rPr>
                <w:sz w:val="20"/>
                <w:szCs w:val="20"/>
                <w:color w:val="auto"/>
              </w:rPr>
            </w:pPr>
            <w:r>
              <w:rPr>
                <w:rFonts w:ascii="Arial" w:cs="Arial" w:eastAsia="Arial" w:hAnsi="Arial"/>
                <w:sz w:val="14"/>
                <w:szCs w:val="14"/>
                <w:color w:val="auto"/>
              </w:rPr>
              <w:t>Normalized Adjusted Net Income</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132,177</w:t>
            </w:r>
          </w:p>
        </w:tc>
        <w:tc>
          <w:tcPr>
            <w:tcW w:w="10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160,906</w:t>
            </w:r>
          </w:p>
        </w:tc>
        <w:tc>
          <w:tcPr>
            <w:tcW w:w="140" w:type="dxa"/>
            <w:vAlign w:val="bottom"/>
          </w:tcPr>
          <w:p>
            <w:pPr>
              <w:spacing w:after="0"/>
              <w:rPr>
                <w:sz w:val="15"/>
                <w:szCs w:val="15"/>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656,063</w:t>
            </w:r>
          </w:p>
        </w:tc>
        <w:tc>
          <w:tcPr>
            <w:tcW w:w="10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901,1</w:t>
            </w:r>
          </w:p>
        </w:tc>
      </w:tr>
      <w:tr>
        <w:trPr>
          <w:trHeight w:val="264"/>
        </w:trPr>
        <w:tc>
          <w:tcPr>
            <w:tcW w:w="4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181"/>
        </w:trPr>
        <w:tc>
          <w:tcPr>
            <w:tcW w:w="4960" w:type="dxa"/>
            <w:vAlign w:val="bottom"/>
            <w:gridSpan w:val="2"/>
          </w:tcPr>
          <w:p>
            <w:pPr>
              <w:ind w:left="340"/>
              <w:spacing w:after="0"/>
              <w:rPr>
                <w:sz w:val="20"/>
                <w:szCs w:val="20"/>
                <w:color w:val="auto"/>
              </w:rPr>
            </w:pPr>
            <w:r>
              <w:rPr>
                <w:rFonts w:ascii="Arial" w:cs="Arial" w:eastAsia="Arial" w:hAnsi="Arial"/>
                <w:sz w:val="14"/>
                <w:szCs w:val="14"/>
                <w:color w:val="auto"/>
              </w:rPr>
              <w:t>Weighted Average Adjusted shares outstanding (2)</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190,141,600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198,097,715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193,929,595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196,736,9</w:t>
            </w:r>
          </w:p>
        </w:tc>
      </w:tr>
      <w:tr>
        <w:trPr>
          <w:trHeight w:val="264"/>
        </w:trPr>
        <w:tc>
          <w:tcPr>
            <w:tcW w:w="4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178"/>
        </w:trPr>
        <w:tc>
          <w:tcPr>
            <w:tcW w:w="4960" w:type="dxa"/>
            <w:vAlign w:val="bottom"/>
            <w:gridSpan w:val="2"/>
          </w:tcPr>
          <w:p>
            <w:pPr>
              <w:ind w:left="340"/>
              <w:spacing w:after="0"/>
              <w:rPr>
                <w:sz w:val="20"/>
                <w:szCs w:val="20"/>
                <w:color w:val="auto"/>
              </w:rPr>
            </w:pPr>
            <w:r>
              <w:rPr>
                <w:rFonts w:ascii="Arial" w:cs="Arial" w:eastAsia="Arial" w:hAnsi="Arial"/>
                <w:sz w:val="14"/>
                <w:szCs w:val="14"/>
                <w:color w:val="auto"/>
              </w:rPr>
              <w:t>Normalized Adjusted EPS</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5"/>
                <w:szCs w:val="15"/>
                <w:color w:val="auto"/>
              </w:rPr>
            </w:pPr>
          </w:p>
        </w:tc>
        <w:tc>
          <w:tcPr>
            <w:tcW w:w="5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0.81</w:t>
            </w:r>
          </w:p>
        </w:tc>
        <w:tc>
          <w:tcPr>
            <w:tcW w:w="140" w:type="dxa"/>
            <w:vAlign w:val="bottom"/>
          </w:tcPr>
          <w:p>
            <w:pPr>
              <w:spacing w:after="0"/>
              <w:rPr>
                <w:sz w:val="15"/>
                <w:szCs w:val="15"/>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846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263" w:lineRule="exact"/>
        <w:rPr>
          <w:sz w:val="20"/>
          <w:szCs w:val="20"/>
          <w:color w:val="auto"/>
        </w:rPr>
      </w:pPr>
    </w:p>
    <w:p>
      <w:pPr>
        <w:ind w:left="40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2021 and 2020.</w:t>
      </w:r>
    </w:p>
    <w:p>
      <w:pPr>
        <w:spacing w:after="0" w:line="13" w:lineRule="exact"/>
        <w:rPr>
          <w:rFonts w:ascii="Arial" w:cs="Arial" w:eastAsia="Arial" w:hAnsi="Arial"/>
          <w:sz w:val="16"/>
          <w:szCs w:val="16"/>
          <w:color w:val="auto"/>
        </w:rPr>
      </w:pPr>
    </w:p>
    <w:p>
      <w:pPr>
        <w:ind w:left="400" w:right="160" w:hanging="395"/>
        <w:spacing w:after="0" w:line="302" w:lineRule="auto"/>
        <w:tabs>
          <w:tab w:leader="none" w:pos="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nine months ended September 30, 2021 and 2020 as well as warrants issued in connection with the Founder Member Loan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following tables reconcile Trading income, net to Adjusted Net Trading Income by segment for the three and nine months ended September 30, 2021 and 2020:</w:t>
      </w:r>
    </w:p>
    <w:p>
      <w:pPr>
        <w:spacing w:after="0" w:line="30"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Three Months Ended September 30, 2021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389,422</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394,265</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135,923</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9,704</w:t>
            </w:r>
          </w:p>
        </w:tc>
        <w:tc>
          <w:tcPr>
            <w:tcW w:w="0" w:type="dxa"/>
            <w:vAlign w:val="bottom"/>
          </w:tcPr>
          <w:p>
            <w:pPr>
              <w:spacing w:after="0"/>
              <w:rPr>
                <w:sz w:val="1"/>
                <w:szCs w:val="1"/>
                <w:color w:val="auto"/>
              </w:rPr>
            </w:pPr>
          </w:p>
        </w:tc>
      </w:tr>
      <w:tr>
        <w:trPr>
          <w:trHeight w:val="133"/>
        </w:trPr>
        <w:tc>
          <w:tcPr>
            <w:tcW w:w="37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(134,849)</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(24,013)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(158,862)</w:t>
            </w: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(24,469)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(26,586)</w:t>
            </w:r>
          </w:p>
        </w:tc>
        <w:tc>
          <w:tcPr>
            <w:tcW w:w="0" w:type="dxa"/>
            <w:vAlign w:val="bottom"/>
          </w:tcPr>
          <w:p>
            <w:pPr>
              <w:spacing w:after="0"/>
              <w:rPr>
                <w:sz w:val="1"/>
                <w:szCs w:val="1"/>
                <w:color w:val="auto"/>
              </w:rPr>
            </w:pPr>
          </w:p>
        </w:tc>
      </w:tr>
      <w:tr>
        <w:trPr>
          <w:trHeight w:val="204"/>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354,444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6"/>
              </w:rPr>
              <w:t>Three Months Ended September 30, 2020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441,829</w:t>
            </w:r>
          </w:p>
        </w:tc>
        <w:tc>
          <w:tcPr>
            <w:tcW w:w="100" w:type="dxa"/>
            <w:vAlign w:val="bottom"/>
          </w:tcPr>
          <w:p>
            <w:pPr>
              <w:spacing w:after="0"/>
              <w:rPr>
                <w:sz w:val="15"/>
                <w:szCs w:val="15"/>
                <w:color w:val="auto"/>
              </w:rPr>
            </w:pPr>
          </w:p>
        </w:tc>
        <w:tc>
          <w:tcPr>
            <w:tcW w:w="4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441,295</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133,853</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10,763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10,932</w:t>
            </w:r>
          </w:p>
        </w:tc>
        <w:tc>
          <w:tcPr>
            <w:tcW w:w="0" w:type="dxa"/>
            <w:vAlign w:val="bottom"/>
          </w:tcPr>
          <w:p>
            <w:pPr>
              <w:spacing w:after="0"/>
              <w:rPr>
                <w:sz w:val="1"/>
                <w:szCs w:val="1"/>
                <w:color w:val="auto"/>
              </w:rPr>
            </w:pPr>
          </w:p>
        </w:tc>
      </w:tr>
      <w:tr>
        <w:trPr>
          <w:trHeight w:val="133"/>
        </w:trPr>
        <w:tc>
          <w:tcPr>
            <w:tcW w:w="37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(177,758)</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(18,690)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(196,448)</w:t>
            </w: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(26,990)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(27,374)</w:t>
            </w:r>
          </w:p>
        </w:tc>
        <w:tc>
          <w:tcPr>
            <w:tcW w:w="0" w:type="dxa"/>
            <w:vAlign w:val="bottom"/>
          </w:tcPr>
          <w:p>
            <w:pPr>
              <w:spacing w:after="0"/>
              <w:rPr>
                <w:sz w:val="1"/>
                <w:szCs w:val="1"/>
                <w:color w:val="auto"/>
              </w:rPr>
            </w:pPr>
          </w:p>
        </w:tc>
      </w:tr>
      <w:tr>
        <w:trPr>
          <w:trHeight w:val="204"/>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362,258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Nine Months Ended September 30, 2021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1,571,347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1,591,840</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438,576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470,687</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26,246</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(502,828)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(86,057)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(588,885)</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(75,585)</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1,055,899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368,404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1,424,303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Nine Months Ended September 30, 2020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1,989,176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1,987,756</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442,807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452,333</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46,788</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(487,234)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(86,535)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(573,769)</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(97,656)</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1,461,622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353,830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1,815,452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following table shows our Adjusted Net Trading Income and average daily Adjusted Net Trading Income by segment for the three and nine months ended September 30, 2021 and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2"/>
              </w:rPr>
              <w:t>Three Months Ended September 30,</w:t>
            </w:r>
          </w:p>
        </w:tc>
        <w:tc>
          <w:tcPr>
            <w:tcW w:w="110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1100" w:type="dxa"/>
            <w:vAlign w:val="bottom"/>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84"/>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248,702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257,235</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(3.3)%</w:t>
            </w:r>
          </w:p>
        </w:tc>
      </w:tr>
      <w:tr>
        <w:trPr>
          <w:trHeight w:val="181"/>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105,742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105,023</w:t>
            </w:r>
          </w:p>
        </w:tc>
        <w:tc>
          <w:tcPr>
            <w:tcW w:w="4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ind w:right="510"/>
              <w:spacing w:after="0"/>
              <w:rPr>
                <w:sz w:val="20"/>
                <w:szCs w:val="20"/>
                <w:color w:val="auto"/>
              </w:rPr>
            </w:pPr>
            <w:r>
              <w:rPr>
                <w:rFonts w:ascii="Arial" w:cs="Arial" w:eastAsia="Arial" w:hAnsi="Arial"/>
                <w:sz w:val="14"/>
                <w:szCs w:val="14"/>
                <w:color w:val="auto"/>
              </w:rPr>
              <w:t>0.7%</w:t>
            </w:r>
          </w:p>
        </w:tc>
      </w:tr>
      <w:tr>
        <w:trPr>
          <w:trHeight w:val="20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354,444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362,258</w:t>
            </w: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4"/>
                <w:szCs w:val="14"/>
                <w:color w:val="auto"/>
              </w:rPr>
              <w:t>(2.2)%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2"/>
              </w:rPr>
              <w:t>Three Months Ended September 30,</w:t>
            </w:r>
          </w:p>
        </w:tc>
        <w:tc>
          <w:tcPr>
            <w:tcW w:w="1100" w:type="dxa"/>
            <w:vAlign w:val="bottom"/>
            <w:tcBorders>
              <w:bottom w:val="single" w:sz="8" w:color="auto"/>
            </w:tcBorders>
          </w:tcPr>
          <w:p>
            <w:pPr>
              <w:spacing w:after="0"/>
              <w:rPr>
                <w:sz w:val="16"/>
                <w:szCs w:val="16"/>
                <w:color w:val="auto"/>
              </w:rPr>
            </w:pPr>
          </w:p>
        </w:tc>
      </w:tr>
      <w:tr>
        <w:trPr>
          <w:trHeight w:val="18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 Change</w:t>
            </w:r>
          </w:p>
        </w:tc>
      </w:tr>
      <w:tr>
        <w:trPr>
          <w:trHeight w:val="17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(3.3)%</w:t>
            </w:r>
          </w:p>
        </w:tc>
      </w:tr>
      <w:tr>
        <w:trPr>
          <w:trHeight w:val="181"/>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ind w:right="510"/>
              <w:spacing w:after="0"/>
              <w:rPr>
                <w:sz w:val="20"/>
                <w:szCs w:val="20"/>
                <w:color w:val="auto"/>
              </w:rPr>
            </w:pPr>
            <w:r>
              <w:rPr>
                <w:rFonts w:ascii="Arial" w:cs="Arial" w:eastAsia="Arial" w:hAnsi="Arial"/>
                <w:sz w:val="14"/>
                <w:szCs w:val="14"/>
                <w:color w:val="auto"/>
              </w:rPr>
              <w:t>0.7%</w:t>
            </w:r>
          </w:p>
        </w:tc>
      </w:tr>
      <w:tr>
        <w:trPr>
          <w:trHeight w:val="20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4"/>
                <w:szCs w:val="14"/>
                <w:color w:val="auto"/>
              </w:rPr>
              <w:t>(2.2)%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3"/>
              </w:rPr>
              <w:t>Nine Months Ended September 30,</w:t>
            </w:r>
          </w:p>
        </w:tc>
        <w:tc>
          <w:tcPr>
            <w:tcW w:w="1120" w:type="dxa"/>
            <w:vAlign w:val="bottom"/>
            <w:tcBorders>
              <w:bottom w:val="single" w:sz="8" w:color="auto"/>
            </w:tcBorders>
          </w:tcPr>
          <w:p>
            <w:pPr>
              <w:spacing w:after="0"/>
              <w:rPr>
                <w:sz w:val="16"/>
                <w:szCs w:val="16"/>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 Change</w:t>
            </w:r>
          </w:p>
        </w:tc>
      </w:tr>
      <w:tr>
        <w:trPr>
          <w:trHeight w:val="175"/>
        </w:trPr>
        <w:tc>
          <w:tcPr>
            <w:tcW w:w="4680" w:type="dxa"/>
            <w:vAlign w:val="bottom"/>
          </w:tcPr>
          <w:p>
            <w:pPr>
              <w:ind w:left="200"/>
              <w:spacing w:after="0"/>
              <w:rPr>
                <w:sz w:val="20"/>
                <w:szCs w:val="20"/>
                <w:color w:val="auto"/>
              </w:rPr>
            </w:pPr>
            <w:r>
              <w:rPr>
                <w:rFonts w:ascii="Arial" w:cs="Arial" w:eastAsia="Arial" w:hAnsi="Arial"/>
                <w:sz w:val="14"/>
                <w:szCs w:val="14"/>
                <w:color w:val="auto"/>
              </w:rPr>
              <w:t>Market Making</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1,055,899</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1,461,622</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Arial" w:cs="Arial" w:eastAsia="Arial" w:hAnsi="Arial"/>
                <w:sz w:val="14"/>
                <w:szCs w:val="14"/>
                <w:color w:val="auto"/>
                <w:w w:val="89"/>
              </w:rPr>
              <w:t>(27.8)%</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368,404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353,830</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87"/>
              </w:rPr>
              <w:t>4.1%</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1,424,303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1,815,452</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Arial" w:cs="Arial" w:eastAsia="Arial" w:hAnsi="Arial"/>
                <w:sz w:val="14"/>
                <w:szCs w:val="14"/>
                <w:color w:val="auto"/>
                <w:w w:val="89"/>
              </w:rPr>
              <w:t>(21.5)%</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188"/>
        </w:trPr>
        <w:tc>
          <w:tcPr>
            <w:tcW w:w="4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3"/>
              </w:rPr>
              <w:t>Nine Months Ended September 30,</w:t>
            </w:r>
          </w:p>
        </w:tc>
        <w:tc>
          <w:tcPr>
            <w:tcW w:w="1120" w:type="dxa"/>
            <w:vAlign w:val="bottom"/>
            <w:tcBorders>
              <w:bottom w:val="single" w:sz="8" w:color="auto"/>
            </w:tcBorders>
          </w:tcPr>
          <w:p>
            <w:pPr>
              <w:spacing w:after="0"/>
              <w:rPr>
                <w:sz w:val="16"/>
                <w:szCs w:val="16"/>
                <w:color w:val="auto"/>
              </w:rPr>
            </w:pPr>
          </w:p>
        </w:tc>
      </w:tr>
      <w:tr>
        <w:trPr>
          <w:trHeight w:val="18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 Change</w:t>
            </w:r>
          </w:p>
        </w:tc>
      </w:tr>
      <w:tr>
        <w:trPr>
          <w:trHeight w:val="174"/>
        </w:trPr>
        <w:tc>
          <w:tcPr>
            <w:tcW w:w="4680" w:type="dxa"/>
            <w:vAlign w:val="bottom"/>
          </w:tcPr>
          <w:p>
            <w:pPr>
              <w:ind w:left="200"/>
              <w:spacing w:after="0"/>
              <w:rPr>
                <w:sz w:val="20"/>
                <w:szCs w:val="20"/>
                <w:color w:val="auto"/>
              </w:rPr>
            </w:pPr>
            <w:r>
              <w:rPr>
                <w:rFonts w:ascii="Arial" w:cs="Arial" w:eastAsia="Arial" w:hAnsi="Arial"/>
                <w:sz w:val="14"/>
                <w:szCs w:val="14"/>
                <w:color w:val="auto"/>
              </w:rPr>
              <w:t>Market Making</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5,616</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7,733</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Arial" w:cs="Arial" w:eastAsia="Arial" w:hAnsi="Arial"/>
                <w:sz w:val="14"/>
                <w:szCs w:val="14"/>
                <w:color w:val="auto"/>
                <w:w w:val="89"/>
              </w:rPr>
              <w:t>(27.4)%</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1,872</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87"/>
              </w:rPr>
              <w:t>4.7%</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7,576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9,605</w:t>
            </w:r>
          </w:p>
        </w:tc>
        <w:tc>
          <w:tcPr>
            <w:tcW w:w="420" w:type="dxa"/>
            <w:vAlign w:val="bottom"/>
          </w:tcPr>
          <w:p>
            <w:pPr>
              <w:spacing w:after="0"/>
              <w:rPr>
                <w:sz w:val="15"/>
                <w:szCs w:val="15"/>
                <w:color w:val="auto"/>
              </w:rPr>
            </w:pPr>
          </w:p>
        </w:tc>
        <w:tc>
          <w:tcPr>
            <w:tcW w:w="1120" w:type="dxa"/>
            <w:vAlign w:val="bottom"/>
          </w:tcPr>
          <w:p>
            <w:pPr>
              <w:jc w:val="center"/>
              <w:ind w:right="250"/>
              <w:spacing w:after="0"/>
              <w:rPr>
                <w:sz w:val="20"/>
                <w:szCs w:val="20"/>
                <w:color w:val="auto"/>
              </w:rPr>
            </w:pPr>
            <w:r>
              <w:rPr>
                <w:rFonts w:ascii="Arial" w:cs="Arial" w:eastAsia="Arial" w:hAnsi="Arial"/>
                <w:sz w:val="14"/>
                <w:szCs w:val="14"/>
                <w:color w:val="auto"/>
                <w:w w:val="89"/>
              </w:rPr>
              <w:t>(21.1)%</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2021 Compared to Three Months Ended September 30, 2020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90" w:lineRule="auto"/>
        <w:rPr>
          <w:sz w:val="20"/>
          <w:szCs w:val="20"/>
          <w:color w:val="auto"/>
        </w:rPr>
      </w:pPr>
      <w:r>
        <w:rPr>
          <w:rFonts w:ascii="Arial" w:cs="Arial" w:eastAsia="Arial" w:hAnsi="Arial"/>
          <w:sz w:val="15"/>
          <w:szCs w:val="15"/>
          <w:color w:val="auto"/>
        </w:rPr>
        <w:t>Our total revenues decreased $111.8 million, or 17.0%, to $544.3 million for the three months ended September 30, 2021, compared to $656.1 million for the three months ended September 30, 2020. The decrease was primarily driven by a decrease of $47.0 million in Trading income, net, which was driven by lower market volatility across global markets and major asset categories during the three months ended September 30, 2021 compared to the same period in 2020, which experienced elevated levels of market volatility and trading volumes largely due to the impacts of the COVID-19 pandemic and the governmental and other responses thereto. Additionally, Other, net declined $65.6 million primarily attributable to the sale of MATCHNow on August 4, 2020.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total revenues by segment for the three months ended September 30, 2021 and 2020.</w:t>
      </w:r>
    </w:p>
    <w:p>
      <w:pPr>
        <w:spacing w:after="0" w:line="4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ind w:left="1100"/>
              <w:spacing w:after="0"/>
              <w:rPr>
                <w:sz w:val="20"/>
                <w:szCs w:val="20"/>
                <w:color w:val="auto"/>
              </w:rPr>
            </w:pPr>
            <w:r>
              <w:rPr>
                <w:rFonts w:ascii="Arial" w:cs="Arial" w:eastAsia="Arial" w:hAnsi="Arial"/>
                <w:sz w:val="14"/>
                <w:szCs w:val="14"/>
                <w:b w:val="1"/>
                <w:bCs w:val="1"/>
                <w:color w:val="auto"/>
                <w:w w:val="97"/>
              </w:rPr>
              <w:t>Three Months Ended September 30,</w:t>
            </w:r>
          </w:p>
        </w:tc>
        <w:tc>
          <w:tcPr>
            <w:tcW w:w="1300" w:type="dxa"/>
            <w:vAlign w:val="bottom"/>
            <w:tcBorders>
              <w:bottom w:val="single" w:sz="8" w:color="auto"/>
            </w:tcBorders>
          </w:tcPr>
          <w:p>
            <w:pPr>
              <w:spacing w:after="0"/>
              <w:rPr>
                <w:sz w:val="16"/>
                <w:szCs w:val="16"/>
                <w:color w:val="auto"/>
              </w:rPr>
            </w:pPr>
          </w:p>
        </w:tc>
      </w:tr>
      <w:tr>
        <w:trPr>
          <w:trHeight w:val="18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4"/>
                <w:szCs w:val="14"/>
                <w:b w:val="1"/>
                <w:bCs w:val="1"/>
                <w:color w:val="auto"/>
                <w:w w:val="91"/>
              </w:rPr>
              <w:t>% Change</w:t>
            </w:r>
          </w:p>
        </w:tc>
      </w:tr>
      <w:tr>
        <w:trPr>
          <w:trHeight w:val="164"/>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389,422</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441,829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3"/>
              </w:rPr>
              <w:t>(11.9)%</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(9.8)%</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8,894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2"/>
              </w:rPr>
              <w:t>(5.3)%</w:t>
            </w:r>
          </w:p>
        </w:tc>
      </w:tr>
      <w:tr>
        <w:trPr>
          <w:trHeight w:val="183"/>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3"/>
              </w:rPr>
              <w:t>(89.9)%</w:t>
            </w:r>
          </w:p>
        </w:tc>
      </w:tr>
      <w:tr>
        <w:trPr>
          <w:trHeight w:val="179"/>
        </w:trPr>
        <w:tc>
          <w:tcPr>
            <w:tcW w:w="4200" w:type="dxa"/>
            <w:vAlign w:val="bottom"/>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409,290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474,598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3"/>
              </w:rPr>
              <w:t>(13.8)%</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4"/>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4"/>
              </w:rPr>
              <w:t>(100.0)%</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127,029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3"/>
              </w:rPr>
              <w:t>2.1%</w:t>
            </w:r>
          </w:p>
        </w:tc>
      </w:tr>
      <w:tr>
        <w:trPr>
          <w:trHeight w:val="181"/>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58,583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w w:val="93"/>
              </w:rPr>
              <w:t>(98.8)%</w:t>
            </w:r>
          </w:p>
        </w:tc>
      </w:tr>
      <w:tr>
        <w:trPr>
          <w:trHeight w:val="204"/>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132,549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182,680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4"/>
                <w:szCs w:val="14"/>
                <w:color w:val="auto"/>
                <w:w w:val="93"/>
              </w:rPr>
              <w:t>(27.4)%</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394,265</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441,295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3"/>
              </w:rPr>
              <w:t>(10.7)%</w:t>
            </w:r>
          </w:p>
        </w:tc>
      </w:tr>
      <w:tr>
        <w:trPr>
          <w:trHeight w:val="186"/>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3"/>
              </w:rPr>
              <w:t>(11.2)%</w:t>
            </w:r>
          </w:p>
        </w:tc>
      </w:tr>
      <w:tr>
        <w:trPr>
          <w:trHeight w:val="181"/>
        </w:trPr>
        <w:tc>
          <w:tcPr>
            <w:tcW w:w="420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135,923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133,853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3"/>
              </w:rPr>
              <w:t>1.5%</w:t>
            </w:r>
          </w:p>
        </w:tc>
      </w:tr>
      <w:tr>
        <w:trPr>
          <w:trHeight w:val="183"/>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(93.6)</w:t>
            </w:r>
          </w:p>
        </w:tc>
      </w:tr>
      <w:tr>
        <w:trPr>
          <w:trHeight w:val="179"/>
        </w:trPr>
        <w:tc>
          <w:tcPr>
            <w:tcW w:w="420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544,344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656,112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0"/>
              <w:spacing w:after="0"/>
              <w:rPr>
                <w:sz w:val="20"/>
                <w:szCs w:val="20"/>
                <w:color w:val="auto"/>
              </w:rPr>
            </w:pPr>
            <w:r>
              <w:rPr>
                <w:rFonts w:ascii="Arial" w:cs="Arial" w:eastAsia="Arial" w:hAnsi="Arial"/>
                <w:sz w:val="14"/>
                <w:szCs w:val="14"/>
                <w:color w:val="auto"/>
                <w:w w:val="93"/>
              </w:rPr>
              <w:t>(17.0)%</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20" w:firstLine="629"/>
        <w:spacing w:after="0" w:line="280"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decreased $47.0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10.7%, to $394.3 million for the three months ended September 30, 2021, compared to $441.3 million for the three months ended September 30, 2020. The decrease was primarily driven by the lower market volatility across global markets and major asset categories during the three months ended September 30, 2021 compared to the same period in 2020, which experienced elevated levels of market volatility largely due to the impacts of the COVID-19 and the governmental and other responses thereto. Average daily realized volatility of the S&amp;P 500 Index decreased 34.6% during the period as compared to the prior period, while average daily U.S. equity consolidated volumes decreased 1.8%.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195" w:lineRule="exact"/>
        <w:rPr>
          <w:sz w:val="20"/>
          <w:szCs w:val="20"/>
          <w:color w:val="auto"/>
        </w:rPr>
      </w:pPr>
    </w:p>
    <w:p>
      <w:pPr>
        <w:ind w:right="300" w:firstLine="629"/>
        <w:spacing w:after="0" w:line="285" w:lineRule="auto"/>
        <w:rPr>
          <w:sz w:val="20"/>
          <w:szCs w:val="20"/>
          <w:color w:val="auto"/>
        </w:rPr>
      </w:pPr>
      <w:r>
        <w:rPr>
          <w:rFonts w:ascii="Arial" w:cs="Arial" w:eastAsia="Arial" w:hAnsi="Arial"/>
          <w:sz w:val="16"/>
          <w:szCs w:val="16"/>
          <w:b w:val="1"/>
          <w:bCs w:val="1"/>
          <w:i w:val="1"/>
          <w:iCs w:val="1"/>
          <w:color w:val="auto"/>
        </w:rPr>
        <w:t xml:space="preserve">Interest and dividends income. </w:t>
      </w:r>
      <w:r>
        <w:rPr>
          <w:rFonts w:ascii="Arial" w:cs="Arial" w:eastAsia="Arial" w:hAnsi="Arial"/>
          <w:sz w:val="16"/>
          <w:szCs w:val="16"/>
          <w:color w:val="auto"/>
        </w:rPr>
        <w:t>Interest and dividends income was primarily earned by our Market Making segment. Interest and dividends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$1.2 million, or 11.2%, to $9.7 million for the three months ended September 30, 2021, compared to $10.9 million for the three months ended September 30, 2020. This decrease was primarily attributable to the lower interest income earned on cash collateral posted as part of securities borrowing transactions as well as a reduction in securities borrowing transactions for the period compared to the same period during the prior year. As indicated above, rather than analyzing interest and dividends income in isolation, we evaluate it in the broader context of our Adjusted Net Trading Income.</w:t>
      </w:r>
    </w:p>
    <w:p>
      <w:pPr>
        <w:spacing w:after="0" w:line="191" w:lineRule="exact"/>
        <w:rPr>
          <w:sz w:val="20"/>
          <w:szCs w:val="20"/>
          <w:color w:val="auto"/>
        </w:rPr>
      </w:pPr>
    </w:p>
    <w:p>
      <w:pPr>
        <w:ind w:right="400" w:firstLine="629"/>
        <w:spacing w:after="0" w:line="273"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were primarily earned by our Execution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Commissions, net and technology services revenues remained fairly consistent, increasing $2.1 million, or 1.5%, to $135.9 million for the three months ended September 30, 2021, compared to $133.9 million for the three months ended September 30, 2020.</w:t>
      </w:r>
    </w:p>
    <w:p>
      <w:pPr>
        <w:spacing w:after="0" w:line="197" w:lineRule="exact"/>
        <w:rPr>
          <w:sz w:val="20"/>
          <w:szCs w:val="20"/>
          <w:color w:val="auto"/>
        </w:rPr>
      </w:pPr>
    </w:p>
    <w:p>
      <w:pPr>
        <w:jc w:val="both"/>
        <w:ind w:firstLine="629"/>
        <w:spacing w:after="0" w:line="325" w:lineRule="auto"/>
        <w:rPr>
          <w:sz w:val="20"/>
          <w:szCs w:val="20"/>
          <w:color w:val="auto"/>
        </w:rPr>
      </w:pPr>
      <w:r>
        <w:rPr>
          <w:rFonts w:ascii="Arial" w:cs="Arial" w:eastAsia="Arial" w:hAnsi="Arial"/>
          <w:sz w:val="15"/>
          <w:szCs w:val="15"/>
          <w:b w:val="1"/>
          <w:bCs w:val="1"/>
          <w:i w:val="1"/>
          <w:iCs w:val="1"/>
          <w:color w:val="auto"/>
        </w:rPr>
        <w:t xml:space="preserve">Other, net. </w:t>
      </w:r>
      <w:r>
        <w:rPr>
          <w:rFonts w:ascii="Arial" w:cs="Arial" w:eastAsia="Arial" w:hAnsi="Arial"/>
          <w:sz w:val="15"/>
          <w:szCs w:val="15"/>
          <w:color w:val="auto"/>
        </w:rPr>
        <w:t>Other, net decreased $65.6 million, or 93.6%, to $4.5 million for the three months ended September 30, 2021, compared to $70.0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September 30, 2020. The decrease was primarily due to a $56.2 million gain recorded on the sale of MATCHNow in the third quarter of 2020 (see Note 3 "Sale of MATCHNow" of Part I Item I "Financial Statements" of this Quarterly Report on Form 10-Q for details on the MATCHNow Sale).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50" w:lineRule="exact"/>
        <w:rPr>
          <w:sz w:val="20"/>
          <w:szCs w:val="20"/>
          <w:color w:val="auto"/>
        </w:rPr>
      </w:pPr>
    </w:p>
    <w:p>
      <w:pPr>
        <w:ind w:right="120" w:firstLine="629"/>
        <w:spacing w:after="0" w:line="279" w:lineRule="auto"/>
        <w:rPr>
          <w:sz w:val="20"/>
          <w:szCs w:val="20"/>
          <w:color w:val="auto"/>
        </w:rPr>
      </w:pPr>
      <w:r>
        <w:rPr>
          <w:rFonts w:ascii="Arial" w:cs="Arial" w:eastAsia="Arial" w:hAnsi="Arial"/>
          <w:sz w:val="16"/>
          <w:szCs w:val="16"/>
          <w:color w:val="auto"/>
        </w:rPr>
        <w:t>Adjusted Net Trading Income decreased $7.8 million, or 2.2%, to $354.4 million for the three months ended September 30, 2021, compared to $362.3 million for the three months ended September 30, 2020. This decrease was primarily attributable to lower Trading income, net in the Market Making segment driven by lower market volatility across major asset categories during the three months ended September 30, 2021 compared to the same period in 2020. Average daily realized volatility of the S&amp;P 500 Index and average daily CVIX realized volatility decreased 34.6% and 59.1%, respectively, compared to the prior period, while average daily U.S. equity consolidated volumes decreased 1.8%. Adjusted Net Trading Income per day decreased $0.1 million, or 2.2%, to $5.5 million for the three months ended September 30, 2021, compared to $5.7 million for the three months ended September 30, 2020. There were 64 trading days for both the three months ended September 30, 2021 and 2020.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Our operating expenses decreased $4.4 million, or 1.1%, to $399.2 million for the three months ended September 30, 2021, compared to $403.6 million for the three months ended September 30, 2020. The decrease in operating expenses is primarily due to a decrease in brokerage, exchange, clearance fees and payments for order flow, net and debt issue cost related to debt refinancing, prepayment and commitment fees, partially offset by an increase in employee compensation and payroll taxes and other operating expenses described in more detail below.</w:t>
      </w:r>
    </w:p>
    <w:p>
      <w:pPr>
        <w:spacing w:after="0" w:line="204"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$37.6 million, or 19.1%, to $158.9 million for the three months ended September 30, 2021, compared to $196.4 million for the three months ended September 30, 2020. This decrease was primarily attributable to the decrease in market volatility during the three months ended September 30, 2021 compared to the same period in 2020. We evaluate this category representing direct costs associated with transacting business, in the broader context of our Adjusted Net Trading Income.</w:t>
      </w:r>
    </w:p>
    <w:p>
      <w:pPr>
        <w:spacing w:after="0" w:line="204" w:lineRule="exact"/>
        <w:rPr>
          <w:sz w:val="20"/>
          <w:szCs w:val="20"/>
          <w:color w:val="auto"/>
        </w:rPr>
      </w:pPr>
    </w:p>
    <w:p>
      <w:pPr>
        <w:jc w:val="both"/>
        <w:ind w:right="320" w:firstLine="629"/>
        <w:spacing w:after="0" w:line="273"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$4.0 million, or 7.7%, to $55.6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2021, compared to $51.6 million for the three months ended September 30, 2020. This increase was primarily due to increased connectivity spending on colocation, subscriber connections and trading membership fees.</w:t>
      </w:r>
    </w:p>
    <w:p>
      <w:pPr>
        <w:spacing w:after="0" w:line="197" w:lineRule="exact"/>
        <w:rPr>
          <w:sz w:val="20"/>
          <w:szCs w:val="20"/>
          <w:color w:val="auto"/>
        </w:rPr>
      </w:pPr>
    </w:p>
    <w:p>
      <w:pPr>
        <w:ind w:right="200" w:firstLine="629"/>
        <w:spacing w:after="0" w:line="289"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$48.8 million, or 136.2%, to $84.6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September 30, 2021, compared to $35.8 million for the three months ended September 30, 2020.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88"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$8.7 million for both the three months ended September 30, 2021, and 2020.</w:t>
      </w:r>
    </w:p>
    <w:p>
      <w:pPr>
        <w:spacing w:after="0" w:line="18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$0.8 million or 2.9% to $26.6 million for the three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compared to $27.4 million for the three months ended September 30, 2020. This decrease was primarily attributable to lower interest expense incurred on cash collateral received as part of securities lending transactions, as well as a reduction in securities lending transactions for the period compared to the same period during the prior year. As indicated above, rather than analyzing interest and dividends expense in isolation, we evaluate it in the broader context of our Adjusted Net Trading Income.</w:t>
      </w:r>
    </w:p>
    <w:p>
      <w:pPr>
        <w:spacing w:after="0" w:line="204" w:lineRule="exact"/>
        <w:rPr>
          <w:sz w:val="20"/>
          <w:szCs w:val="20"/>
          <w:color w:val="auto"/>
        </w:rPr>
      </w:pPr>
    </w:p>
    <w:p>
      <w:pPr>
        <w:jc w:val="both"/>
        <w:ind w:right="200" w:firstLine="629"/>
        <w:spacing w:after="0" w:line="297" w:lineRule="auto"/>
        <w:rPr>
          <w:sz w:val="20"/>
          <w:szCs w:val="20"/>
          <w:color w:val="auto"/>
        </w:rPr>
      </w:pPr>
      <w:r>
        <w:rPr>
          <w:rFonts w:ascii="Arial" w:cs="Arial" w:eastAsia="Arial" w:hAnsi="Arial"/>
          <w:sz w:val="16"/>
          <w:szCs w:val="16"/>
          <w:b w:val="1"/>
          <w:bCs w:val="1"/>
          <w:i w:val="1"/>
          <w:iCs w:val="1"/>
          <w:color w:val="auto"/>
        </w:rPr>
        <w:t xml:space="preserve">Operations and administrative. </w:t>
      </w:r>
      <w:r>
        <w:rPr>
          <w:rFonts w:ascii="Arial" w:cs="Arial" w:eastAsia="Arial" w:hAnsi="Arial"/>
          <w:sz w:val="16"/>
          <w:szCs w:val="16"/>
          <w:color w:val="auto"/>
        </w:rPr>
        <w:t>Operations and administrative expense decreased $6.4 million or 25.9%, to $18.2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2021, compared to $24.6 million for the three months ended September 30, 2020. This decrease was driven primarily by increased subleasing, combined with on-going efforts to consolidate office premises and professional services after the ITG Acquisition.</w:t>
      </w:r>
    </w:p>
    <w:p>
      <w:pPr>
        <w:spacing w:after="0" w:line="181" w:lineRule="exact"/>
        <w:rPr>
          <w:sz w:val="20"/>
          <w:szCs w:val="20"/>
          <w:color w:val="auto"/>
        </w:rPr>
      </w:pPr>
    </w:p>
    <w:p>
      <w:pPr>
        <w:jc w:val="both"/>
        <w:ind w:right="200" w:firstLine="629"/>
        <w:spacing w:after="0" w:line="28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remained consistent at $16.6 million for the three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$16.7 million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00" w:firstLine="629"/>
        <w:spacing w:after="0" w:line="325" w:lineRule="auto"/>
        <w:rPr>
          <w:sz w:val="20"/>
          <w:szCs w:val="20"/>
          <w:color w:val="auto"/>
        </w:rPr>
      </w:pPr>
      <w:r>
        <w:rPr>
          <w:rFonts w:ascii="Arial" w:cs="Arial" w:eastAsia="Arial" w:hAnsi="Arial"/>
          <w:sz w:val="15"/>
          <w:szCs w:val="15"/>
          <w:b w:val="1"/>
          <w:bCs w:val="1"/>
          <w:i w:val="1"/>
          <w:iCs w:val="1"/>
          <w:color w:val="auto"/>
        </w:rPr>
        <w:t xml:space="preserve">Amortization of purchased intangibles and acquired capitalized software. </w:t>
      </w:r>
      <w:r>
        <w:rPr>
          <w:rFonts w:ascii="Arial" w:cs="Arial" w:eastAsia="Arial" w:hAnsi="Arial"/>
          <w:sz w:val="15"/>
          <w:szCs w:val="15"/>
          <w:color w:val="auto"/>
        </w:rPr>
        <w:t>Amortization of purchased intangibles and acquired capitalized software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decreased $1.3 million, or 7.3%, to $16.9 million for the three months ended September 30, 2021, compared to $18.3 million for the three months ended September 30, 2020. This decrease was due to certain technology intangible assets acquired in connection with the KCG Acquisition being fully amortized.</w:t>
      </w:r>
    </w:p>
    <w:p>
      <w:pPr>
        <w:spacing w:after="0" w:line="164"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remained consistent at $0.2 million for the three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$0.1 million for the three months ended September 30, 2020. These expenses are related to the impairment of leasehold improvements and fixed assets for certain abandoned office space as part of the effort to integrate and consolidate office space in connection with the Acquisition of KCG and the ITG Acquisition.</w:t>
      </w:r>
    </w:p>
    <w:p>
      <w:pPr>
        <w:spacing w:after="0" w:line="204" w:lineRule="exact"/>
        <w:rPr>
          <w:sz w:val="20"/>
          <w:szCs w:val="20"/>
          <w:color w:val="auto"/>
        </w:rPr>
      </w:pPr>
    </w:p>
    <w:p>
      <w:pPr>
        <w:jc w:val="both"/>
        <w:ind w:right="60" w:firstLine="629"/>
        <w:spacing w:after="0" w:line="325" w:lineRule="auto"/>
        <w:rPr>
          <w:sz w:val="20"/>
          <w:szCs w:val="20"/>
          <w:color w:val="auto"/>
        </w:rPr>
      </w:pPr>
      <w:r>
        <w:rPr>
          <w:rFonts w:ascii="Arial" w:cs="Arial" w:eastAsia="Arial" w:hAnsi="Arial"/>
          <w:sz w:val="15"/>
          <w:szCs w:val="15"/>
          <w:b w:val="1"/>
          <w:bCs w:val="1"/>
          <w:i w:val="1"/>
          <w:iCs w:val="1"/>
          <w:color w:val="auto"/>
        </w:rPr>
        <w:t xml:space="preserve">Debt issue cost related to debt refinancing, prepayment and commitment fees. </w:t>
      </w:r>
      <w:r>
        <w:rPr>
          <w:rFonts w:ascii="Arial" w:cs="Arial" w:eastAsia="Arial" w:hAnsi="Arial"/>
          <w:sz w:val="15"/>
          <w:szCs w:val="15"/>
          <w:color w:val="auto"/>
        </w:rPr>
        <w:t>Expense from debt issue costs related to debt refinancing, prepayment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commitment fees decreased $8.7 million, or 87.5%, to $1.2 million for the three months ended September 30, 2021, compared to $9.9 million for the three months ended September 30, 2020. The decrease was primarily driven by the prepayment of $100.0 million made during the third quarter of 2020.</w:t>
      </w:r>
    </w:p>
    <w:p>
      <w:pPr>
        <w:spacing w:after="0" w:line="164" w:lineRule="exact"/>
        <w:rPr>
          <w:sz w:val="20"/>
          <w:szCs w:val="20"/>
          <w:color w:val="auto"/>
        </w:rPr>
      </w:pPr>
    </w:p>
    <w:p>
      <w:pPr>
        <w:ind w:firstLine="629"/>
        <w:spacing w:after="0" w:line="251"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decreased $2.3 million, or 93.2%, to $0.2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2021, compared to $2.5 million during the three months ended September 30, 2020. These expenses were primarily incurred in the prior period related to the sale of MATCHNow, as discussed in Note 3 "Sale of MATCHNow" of Part I Item 1 “Financial Statements” of this Quarterly Report on Form 10-Q.</w:t>
      </w:r>
    </w:p>
    <w:p>
      <w:pPr>
        <w:spacing w:after="0" w:line="204" w:lineRule="exact"/>
        <w:rPr>
          <w:sz w:val="20"/>
          <w:szCs w:val="20"/>
          <w:color w:val="auto"/>
        </w:rPr>
      </w:pPr>
    </w:p>
    <w:p>
      <w:pPr>
        <w:ind w:right="200" w:firstLine="629"/>
        <w:spacing w:after="0" w:line="289"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remained consistent at $20.2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September 30, 2021, compared to $20.4 million for the three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5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$22.0 million, 15.1% for the three months ended September 30, 2021, compared to $52.8 million, 20.9% for the three months ended September 30, 2020.</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2021 Compared to Nine Months Ended September 30, 2020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Our total revenues decreased $456.8 million, or 17.8%, to $2,105.9 million for the nine months ended September 30, 2021, compared to $2,562.6 million for the nine months ended September 30, 2020. This decrease was primarily attributable to a decrease of $395.9 million in Trading income, net, which was primarily driven by lower market volatility during the nine months ended September 30, 2021 compared to the prior period. Additionally, Other, net declined $58.7 million primarily attributable to the sale of MATCHNow on August 4, 2020.</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segment for the nine months ended September 30, 2021 and 2020.</w:t>
      </w:r>
    </w:p>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w w:val="98"/>
              </w:rPr>
              <w:t>Nine Months Ended September 30,</w:t>
            </w:r>
          </w:p>
        </w:tc>
        <w:tc>
          <w:tcPr>
            <w:tcW w:w="1320" w:type="dxa"/>
            <w:vAlign w:val="bottom"/>
            <w:tcBorders>
              <w:bottom w:val="single" w:sz="8" w:color="auto"/>
            </w:tcBorders>
          </w:tcPr>
          <w:p>
            <w:pPr>
              <w:spacing w:after="0"/>
              <w:rPr>
                <w:sz w:val="16"/>
                <w:szCs w:val="16"/>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b w:val="1"/>
                <w:bCs w:val="1"/>
                <w:color w:val="auto"/>
                <w:w w:val="91"/>
              </w:rPr>
              <w:t>% Change</w:t>
            </w:r>
          </w:p>
        </w:tc>
      </w:tr>
      <w:tr>
        <w:trPr>
          <w:trHeight w:val="177"/>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1,571,347</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1,989,176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(21.0)%</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3"/>
              </w:rPr>
              <w:t>(43.4)%</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32,111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88"/>
              </w:rPr>
              <w:t>237.1%</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3"/>
              </w:rPr>
              <w:t>(69.4)%</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1,635,555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2,064,300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(20.8)%</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rPr>
              <w:t>NM</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(87.4)%</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438,576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2"/>
              </w:rPr>
              <w:t>(1.0)%</w:t>
            </w: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Arial" w:cs="Arial" w:eastAsia="Arial" w:hAnsi="Arial"/>
                <w:sz w:val="14"/>
                <w:szCs w:val="14"/>
                <w:color w:val="auto"/>
                <w:w w:val="90"/>
              </w:rPr>
              <w:t>(99)%</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459,918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4"/>
                <w:szCs w:val="14"/>
                <w:color w:val="auto"/>
                <w:w w:val="92"/>
              </w:rPr>
              <w:t>(8.1)%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4"/>
                <w:szCs w:val="14"/>
                <w:color w:val="auto"/>
              </w:rPr>
              <w:t>NM</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1,591,840</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1,987,756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(19.9)%</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26,246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3"/>
              </w:rPr>
              <w:t>(43.9)%</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470,687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452,333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4.1%</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30"/>
              <w:spacing w:after="0"/>
              <w:rPr>
                <w:sz w:val="20"/>
                <w:szCs w:val="20"/>
                <w:color w:val="auto"/>
              </w:rPr>
            </w:pPr>
            <w:r>
              <w:rPr>
                <w:rFonts w:ascii="Arial" w:cs="Arial" w:eastAsia="Arial" w:hAnsi="Arial"/>
                <w:sz w:val="14"/>
                <w:szCs w:val="14"/>
                <w:color w:val="auto"/>
                <w:w w:val="93"/>
              </w:rPr>
              <w:t>(77.4)%</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2,105,881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2,562,635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Arial" w:cs="Arial" w:eastAsia="Arial" w:hAnsi="Arial"/>
                <w:sz w:val="14"/>
                <w:szCs w:val="14"/>
                <w:color w:val="auto"/>
                <w:w w:val="93"/>
              </w:rPr>
              <w:t>(17.8)%</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decreased $395.9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 to $1,591.8 million for the nine months ended September 30, 2021, compared to $1,987.8 million for the nine months ended September 30, 2020. The decrease was primarily driven by lower market volatility during the nine months ended September 30, 2021 compared to the same period of 2020, which experienced elevated levels of market volatility and trading volumes largely due to the impacts of the COVID-19 and the governmental and other responses thereto. Average daily realized volatility of the S&amp;P 500 Index decreased 55.4% compared to the prior period, and the average daily realized volatility of the CVIX decreased 64.4% compared to prior period.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95"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$20.5 million, or 43.9%, to $26.2 million for the nine months ended September 30, 2021, compared to $46.8 million for the nine months ended September 30, 2020. This decrease was primarily attributable to lower interest income earned on cash collateral posted as part of securities borrowed transactions driven by lower interest rates as well as a reduction in securities borrowing transactions for the period compared to the same period during the prior year. As indicated above, rather than analyzing interest and dividends income in isolation, we evaluate it in the broader context of our Adjusted Net Trading Income.</w:t>
      </w:r>
    </w:p>
    <w:p>
      <w:pPr>
        <w:spacing w:after="0" w:line="208" w:lineRule="exact"/>
        <w:rPr>
          <w:sz w:val="20"/>
          <w:szCs w:val="20"/>
          <w:color w:val="auto"/>
        </w:rPr>
      </w:pPr>
    </w:p>
    <w:p>
      <w:pPr>
        <w:ind w:right="120" w:firstLine="629"/>
        <w:spacing w:after="0" w:line="285"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Commissions, net and technology services revenues increased $18.4 million, or 4.1%, to $470.7 million for the nine months ended September 30, 2021, compared to $452.3 million for the nine months ended September 30, 2020. The increase was primarily attributable to higher trading volumes in U.S. equities. Average daily U.S. equities consolidated volumes increased 11.1% compared to prior period. As indicated above, rather than analyzing commissions, net and technology services in isolation, we evaluate it in the broader context of our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b w:val="1"/>
          <w:bCs w:val="1"/>
          <w:i w:val="1"/>
          <w:iCs w:val="1"/>
          <w:color w:val="auto"/>
        </w:rPr>
        <w:t xml:space="preserve">Other, net. </w:t>
      </w:r>
      <w:r>
        <w:rPr>
          <w:rFonts w:ascii="Arial" w:cs="Arial" w:eastAsia="Arial" w:hAnsi="Arial"/>
          <w:sz w:val="15"/>
          <w:szCs w:val="15"/>
          <w:color w:val="auto"/>
        </w:rPr>
        <w:t>Other, net decreased $58.7 million, or 77.4%, to $17.1 million for the nine months ended September 30, 2021, compared to $75.8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months ended September 30, 2020. The decrease was primarily due to a $56.2 million gain recorded on the sale of MATCHNow in the third quarter 2020 (see Note 3 "Sale of MATCHNow" of Part I Item 1 “Financial Statements” of this Quarterly Report on Form 10-Q for details on the MATCHNow sale).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50"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Adjusted Net Trading Income decreased $391.1 million, or 21.5%, to $1,424.3 million for the nine months ended September 30, 2021, compared to $1,815.5 million for the nine months ended September 30, 2020. This decrease was primarily attributable to lower Trading Income, net (described above), driven by lower market volatility during the nine months ended September 30, 2021 compared to the prior period, and higher Brokerage, exchange, clearance fees and payments for order flow, net (described below) incurred by Market Making. Average daily realized volatility of the S&amp;P 500 Index and average daily CVIX realized volatility decreased 55.4% and 64.4%, respectively, compared to the prior period, while average daily U.S. equity consolidated volumes increased 11.1%. Adjusted Net Trading Income per day decreased $2.0 million, or 21.1%, to $7.6 million for the nine months ended September 30, 2021, compared to $9.6 million for the nine months ended September 30, 2020. The number of trading days was 188 days for the nine months ended September 30, 2021 and 189 days for the nine months ended September 30, 2020.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right="100" w:firstLine="629"/>
        <w:spacing w:after="0" w:line="289" w:lineRule="auto"/>
        <w:rPr>
          <w:sz w:val="20"/>
          <w:szCs w:val="20"/>
          <w:color w:val="auto"/>
        </w:rPr>
      </w:pPr>
      <w:r>
        <w:rPr>
          <w:rFonts w:ascii="Arial" w:cs="Arial" w:eastAsia="Arial" w:hAnsi="Arial"/>
          <w:sz w:val="16"/>
          <w:szCs w:val="16"/>
          <w:color w:val="auto"/>
        </w:rPr>
        <w:t>Our operating expenses decreased $103.4 million, or 7.2%, to $1,336.0 million for the nine months ended September 30, 2021, compared to $1,439.4 million for the nine months ended September 30, 2020. The decrease in operating expenses was primarily due to lower employee compensation and payroll taxes, interest and dividends expense, and debt issue cost related to debt refinancing, prepayment, and commitment fees, offset by an increase in Brokerage, exchange, clearance fees and payments for order flow, net compared to the same period in the prior year, described in more detail below.</w:t>
      </w:r>
    </w:p>
    <w:p>
      <w:pPr>
        <w:spacing w:after="0" w:line="188"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$15.1 million, or 2.6%, to $588.9 million for the nine months ended September 30, 2021, compared to $573.8 million for the nine months ended September 30, 2020. This increase was primarily attributable to increases in volumes from our broker-dealer clients eligible for payments for order flow, driven by higher participation of retail investors in the market during the quarter compared to the prior year.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right="200" w:firstLine="629"/>
        <w:spacing w:after="0" w:line="325" w:lineRule="auto"/>
        <w:rPr>
          <w:sz w:val="20"/>
          <w:szCs w:val="20"/>
          <w:color w:val="auto"/>
        </w:rPr>
      </w:pPr>
      <w:r>
        <w:rPr>
          <w:rFonts w:ascii="Arial" w:cs="Arial" w:eastAsia="Arial" w:hAnsi="Arial"/>
          <w:sz w:val="15"/>
          <w:szCs w:val="15"/>
          <w:b w:val="1"/>
          <w:bCs w:val="1"/>
          <w:i w:val="1"/>
          <w:iCs w:val="1"/>
          <w:color w:val="auto"/>
        </w:rPr>
        <w:t xml:space="preserve">Communication and data processing. </w:t>
      </w:r>
      <w:r>
        <w:rPr>
          <w:rFonts w:ascii="Arial" w:cs="Arial" w:eastAsia="Arial" w:hAnsi="Arial"/>
          <w:sz w:val="15"/>
          <w:szCs w:val="15"/>
          <w:color w:val="auto"/>
        </w:rPr>
        <w:t>Communication and data processing expense decreased $2.5 million, or 1.5%, to $159.8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2021, compared to $162.3 million for the nine months ended September 30, 2020. This decrease was primarily attributable to reductions in connectivity connections as a result of an on-going effort to consolidate various communication and data processing services and subscriptions.</w:t>
      </w:r>
    </w:p>
    <w:p>
      <w:pPr>
        <w:spacing w:after="0" w:line="16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decreased $53.9 million, or 16.5%, to $273.2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2021, compared to $327.1 million for the nine months ended September 30, 2020. The decrease in compensation levels was primarily attributable to a reduction in accrued incentive compensation in the current period, relative to the prior period, which is recorded at management’s discretion and is generally accrued in connection with the overall level of profitability, as well as a result of one-time cash bonuses awarded in the first quarter of 2020 to certain employees to mitigate the effects of the COVID-19 pandemic.</w:t>
      </w:r>
    </w:p>
    <w:p>
      <w:pPr>
        <w:spacing w:after="0" w:line="204"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$26.7 million and $28.1 million for the nine months ended September 30, 2021 and 2020, respectively.</w:t>
      </w:r>
    </w:p>
    <w:p>
      <w:pPr>
        <w:spacing w:after="0" w:line="18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$22.1 million, or 22.6%, to $75.6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compared to $97.7 million for the nine months ended September 30, 2020. This decrease was primarily attributable to lower interest expense incurred on cash collateral received as well as a reduction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140" w:firstLine="629"/>
        <w:spacing w:after="0" w:line="267"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decreased $7.8 million, or 10.7%, to $65.6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compared to $73.5 million for the nine months ended September 30, 2020.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20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$1.0 million, or 1.9%, to $49.8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compared to $50.7 million for the nine months ended September 30, 2020. This decrease was primarily attributable to certain assets being fully depreciated in 2020 partially offset by an increase in capital expenditures on telecommunication, networking, and other assets.</w:t>
      </w:r>
    </w:p>
    <w:p>
      <w:pPr>
        <w:spacing w:after="0" w:line="197"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$3.1 million, or 5.5%, to $53.1 million for the nine months ended September 30, 2021, compared to $56.2 million for the nine months ended September 30, 2020. This decrease was primarily attributable to certain intangible assets being fully amortized in 2020.</w:t>
      </w:r>
    </w:p>
    <w:p>
      <w:pPr>
        <w:spacing w:after="0" w:line="197"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was $5.1 million for the nine months ended September 30, 2021, compared to $0.3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September 30, 2020. Expense from termination of office leases was due to the impairment of operating lease right-of-use assets and leasehold improvements and fixed assets for certain abandoned office space as part of the efforts to integrate and consolidate office space in connection with the Acquisition of KCG and the ITG Acquisition.</w:t>
      </w:r>
    </w:p>
    <w:p>
      <w:pPr>
        <w:spacing w:after="0" w:line="20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b w:val="1"/>
          <w:bCs w:val="1"/>
          <w:i w:val="1"/>
          <w:iCs w:val="1"/>
          <w:color w:val="auto"/>
        </w:rPr>
        <w:t xml:space="preserve">Debt issue costs related to debt refinancing, prepayment and commitment fees. </w:t>
      </w:r>
      <w:r>
        <w:rPr>
          <w:rFonts w:ascii="Arial" w:cs="Arial" w:eastAsia="Arial" w:hAnsi="Arial"/>
          <w:sz w:val="16"/>
          <w:szCs w:val="16"/>
          <w:color w:val="auto"/>
        </w:rPr>
        <w:t>Expense from debt issue costs related to debt refinancing, prepayment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commitment fees decreased $22.3 million, or 81.7%, to $5.0 million for the nine months ended September 30, 2021, compared to $27.3 million for the nine months ended September 30, 2020. The amount for the nine months ended September 30, 2020 was primarily driven by the amortization of debt issue costs related to the addition of the Founder Member Loan Facility in March 2020, which expired as of September 20, 2020, costs incurred related to Amendment No. 2 to the Credit Agreement (as defined below), and the prepayment of $288.5 million made during the the nine months ended September 30, 2020. See Note 9 "Borrowings" of Part I Item 1 “Financial Statements” of this Quarterly Report on Form 10-Q for additional details.</w:t>
      </w:r>
    </w:p>
    <w:p>
      <w:pPr>
        <w:spacing w:after="0" w:line="192"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decreased $2.6 million, or 94.5%, to $0.2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2021, compared to $2.7 million for the nine months ended September 30, 2020. These expenses were primarily incurred in prior years related to the ITG Acquisition and Acquisition of KCG, for which we incurred significant transaction advisory fees.</w:t>
      </w:r>
    </w:p>
    <w:p>
      <w:pPr>
        <w:spacing w:after="0" w:line="197" w:lineRule="exact"/>
        <w:rPr>
          <w:sz w:val="20"/>
          <w:szCs w:val="20"/>
          <w:color w:val="auto"/>
        </w:rPr>
      </w:pPr>
    </w:p>
    <w:p>
      <w:pPr>
        <w:ind w:right="40" w:firstLine="629"/>
        <w:spacing w:after="0" w:line="289" w:lineRule="auto"/>
        <w:rPr>
          <w:sz w:val="20"/>
          <w:szCs w:val="20"/>
          <w:color w:val="auto"/>
        </w:rPr>
      </w:pPr>
      <w:r>
        <w:rPr>
          <w:rFonts w:ascii="Arial" w:cs="Arial" w:eastAsia="Arial" w:hAnsi="Arial"/>
          <w:sz w:val="16"/>
          <w:szCs w:val="16"/>
          <w:b w:val="1"/>
          <w:bCs w:val="1"/>
          <w:i w:val="1"/>
          <w:iCs w:val="1"/>
          <w:color w:val="auto"/>
        </w:rPr>
        <w:t xml:space="preserve">Financing interest expense on long term borrowings. </w:t>
      </w:r>
      <w:r>
        <w:rPr>
          <w:rFonts w:ascii="Arial" w:cs="Arial" w:eastAsia="Arial" w:hAnsi="Arial"/>
          <w:sz w:val="16"/>
          <w:szCs w:val="16"/>
          <w:color w:val="auto"/>
        </w:rPr>
        <w:t>Financing interest expense on long-term borrowings decreased $8.0 million, or 11.8%, to $59.8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September 30, 2021, compared to $67.8 million for the nine months ended September 30, 2020. This decrease was primarily attributable to a decrease in outstanding principal as a result of prepayments made during the nine months ended September 30, 2020, as discussed in Note 9 "Borrowings" of Part I Item 1 “Financial Statements” of this Quarterly Report on Form 10-Q, in addition to lower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50" w:lineRule="exact"/>
        <w:rPr>
          <w:sz w:val="20"/>
          <w:szCs w:val="20"/>
          <w:color w:val="auto"/>
        </w:rPr>
      </w:pPr>
    </w:p>
    <w:p>
      <w:pPr>
        <w:jc w:val="both"/>
        <w:ind w:right="20" w:firstLine="629"/>
        <w:spacing w:after="0" w:line="267"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$128.6 million, 16.7% for the nine months ended September 30, 2021, compared to a provision for income taxes of $200.0 million, 17.8%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50"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As of September 30, 2021, we had $683.8 million in Cash and cash equivalents. This balance is maintained primarily to support operating activities for capital expenditures and for short-term access to liquidity, and for other general corporate purposes. As of September 30, 2021, we had borrowings under our prime brokerage credit facilities of approximately $202.5 million, borrowings under our broker dealer facilities of $178.0 million, short-term bank overdrafts of $136.7 million, and long-term debt outstanding in an aggregate principal amount of approximately $1,631.2 million.</w:t>
      </w:r>
    </w:p>
    <w:p>
      <w:pPr>
        <w:spacing w:after="0" w:line="20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subsidiary, as discussed in Note 9 "Borrowings" of Part I Item 1 “Financial Statements” of this Quarterly Report on Form 10-Q.</w:t>
      </w:r>
    </w:p>
    <w:p>
      <w:pPr>
        <w:spacing w:after="0" w:line="195"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long-term financial condition or long-term capital requirements.</w:t>
      </w:r>
    </w:p>
    <w:p>
      <w:pPr>
        <w:spacing w:after="0" w:line="208"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37" w:lineRule="exact"/>
        <w:rPr>
          <w:sz w:val="20"/>
          <w:szCs w:val="20"/>
          <w:color w:val="auto"/>
        </w:rPr>
      </w:pPr>
    </w:p>
    <w:p>
      <w:pPr>
        <w:ind w:firstLine="629"/>
        <w:spacing w:after="0" w:line="229" w:lineRule="auto"/>
        <w:rPr>
          <w:sz w:val="20"/>
          <w:szCs w:val="20"/>
          <w:color w:val="auto"/>
        </w:rPr>
      </w:pPr>
      <w:r>
        <w:rPr>
          <w:rFonts w:ascii="Arial" w:cs="Arial" w:eastAsia="Arial" w:hAnsi="Arial"/>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5 "Tax Receivable Agreements" to the condensed consolidated financial statements included in Part I Item 1 “Financial Statements” of this Quarterly Report on Form 10-Q are expected to range from approximately $0.9 million to $21.7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our third payment of $13.3 million in March 2020, and our fourth payment of $16.5 million in April 2021. Future payments under the tax receivable agreements in respect of subsequent exchanges would be in addition to these amounts. We currently expect to fund these payments from realized cash tax savings from the favorable tax attributes.</w:t>
      </w:r>
    </w:p>
    <w:p>
      <w:pPr>
        <w:spacing w:after="0" w:line="214" w:lineRule="exact"/>
        <w:rPr>
          <w:sz w:val="20"/>
          <w:szCs w:val="20"/>
          <w:color w:val="auto"/>
        </w:rPr>
      </w:pPr>
    </w:p>
    <w:p>
      <w:pPr>
        <w:ind w:right="120" w:firstLine="629"/>
        <w:spacing w:after="0" w:line="305" w:lineRule="auto"/>
        <w:rPr>
          <w:sz w:val="20"/>
          <w:szCs w:val="20"/>
          <w:color w:val="auto"/>
        </w:rPr>
      </w:pPr>
      <w:r>
        <w:rPr>
          <w:rFonts w:ascii="Arial" w:cs="Arial" w:eastAsia="Arial" w:hAnsi="Arial"/>
          <w:sz w:val="15"/>
          <w:szCs w:val="15"/>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5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Our principal U.S. subsidiary, Virtu Americas LLC ("VAL") is subject to separate regulation and capital requirements in the U.S. and other</w:t>
      </w:r>
    </w:p>
    <w:p>
      <w:pPr>
        <w:spacing w:after="0" w:line="2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jurisdictions. VAL is a registered U.S. broker-dealer, and its primary regulators include the SEC and the Financial Industry Regulatory Authority ("FINRA").</w:t>
      </w:r>
    </w:p>
    <w:p>
      <w:pPr>
        <w:spacing w:after="0" w:line="249"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209"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Our Canadian subsidiaries, Virtu ITG Canada Corp. and Virtu Financial Canada ULC, are subject to regulatory capital requirements and periodic requirements to report their regulatory capital and submit other regulatory reports set forth by the the 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and Investments Commission, the Securities and Futures Commission of Hong Kong, and the Monetary Authority of Singapore, respectively.</w:t>
      </w:r>
    </w:p>
    <w:p>
      <w:pPr>
        <w:spacing w:after="0" w:line="200"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See Note 20 "Regulatory Requirement" of Part I Item 1 “Financial Statements” of this Quarterly Report on Form 10-Q for a discussion of regulatory capital requirements of our regulated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 Dealer Credit Facilities, Short-Term Bank Loans, and Prime Brokerage Credit Facilities</w:t>
      </w:r>
    </w:p>
    <w:p>
      <w:pPr>
        <w:spacing w:after="0" w:line="250" w:lineRule="exact"/>
        <w:rPr>
          <w:sz w:val="20"/>
          <w:szCs w:val="20"/>
          <w:color w:val="auto"/>
        </w:rPr>
      </w:pPr>
    </w:p>
    <w:p>
      <w:pPr>
        <w:ind w:right="240" w:firstLine="629"/>
        <w:spacing w:after="0" w:line="263"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9 "Borrowings" of Part I Item 1 “Financial Statements” of this Quarterly Report on Form 10-Q for details on our various credit facilities. As of September 30, 2021, the outstanding principal balance on our broker-dealer facilities was $178.0 million and the outstanding aggregate short-term credit facilities with various prime brokers and other financial institutions from which the Company receives execution or clearing services was approximately $202.5 million, which was netted within Receivables from broker-dealers and clearing organizations on the Condensed Consolidated Statements of Financial Condition of Part I Item 1 “Financial Statements” of this Quarterly Report on Form 10-Q.</w:t>
      </w:r>
    </w:p>
    <w:p>
      <w:pPr>
        <w:spacing w:after="0" w:line="208"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March 10, 2020, a broker-dealer subsidiary of the Company entered into a short-term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204" w:lineRule="exact"/>
        <w:rPr>
          <w:sz w:val="20"/>
          <w:szCs w:val="20"/>
          <w:color w:val="auto"/>
        </w:rPr>
      </w:pPr>
    </w:p>
    <w:p>
      <w:pPr>
        <w:ind w:right="460" w:firstLine="629"/>
        <w:spacing w:after="0" w:line="262" w:lineRule="auto"/>
        <w:rPr>
          <w:sz w:val="20"/>
          <w:szCs w:val="20"/>
          <w:color w:val="auto"/>
        </w:rPr>
      </w:pPr>
      <w:r>
        <w:rPr>
          <w:rFonts w:ascii="Arial" w:cs="Arial" w:eastAsia="Arial" w:hAnsi="Arial"/>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is $22.98, and the Warrant may be exercised to purchase up to 3,000,000 shares of the Company's Class A Common Stock on or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50" w:lineRule="exact"/>
        <w:rPr>
          <w:sz w:val="20"/>
          <w:szCs w:val="20"/>
          <w:color w:val="auto"/>
        </w:rPr>
      </w:pPr>
    </w:p>
    <w:p>
      <w:pPr>
        <w:ind w:right="100" w:firstLine="629"/>
        <w:spacing w:after="0" w:line="322"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Credit Agreement provided (i) a senior secured first lien term loan (the “First Lien Term Loan Facility”) in an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$1,500 million, drawn in its entirety on the ITG Closing Date, of which approximately $404.5 million was borrowed by VFH to repay all amounts outstanding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under a previous term loan facility and the remaining approximately $1,095 million was borrowed by the Acquisition Borrower to finance the consideration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fees and expenses paid in connection with the ITG Acquisition, and (ii) a $50.0 million senior secured first lien revolving facility to VFH (the “First Lien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Revolving Facility”), with a $5.0 million letter of credit sub-facility and a $5.0 million swing-line sub-facility. After the ITG Closing Date, VFH assumed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obligations of the Acquisition Borrower in respect of the acquisition term loans.</w:t>
      </w:r>
    </w:p>
    <w:p>
      <w:pPr>
        <w:spacing w:after="0" w:line="238"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The revolving commitments will terminate on March 1, 2022.</w:t>
      </w:r>
    </w:p>
    <w:p>
      <w:pPr>
        <w:spacing w:after="0" w:line="18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8" w:lineRule="exact"/>
        <w:rPr>
          <w:sz w:val="20"/>
          <w:szCs w:val="20"/>
          <w:color w:val="auto"/>
        </w:rPr>
      </w:pPr>
    </w:p>
    <w:p>
      <w:pPr>
        <w:ind w:firstLine="629"/>
        <w:spacing w:after="0" w:line="231" w:lineRule="auto"/>
        <w:rPr>
          <w:sz w:val="20"/>
          <w:szCs w:val="20"/>
          <w:color w:val="auto"/>
        </w:rPr>
      </w:pPr>
      <w:r>
        <w:rPr>
          <w:rFonts w:ascii="Arial" w:cs="Arial" w:eastAsia="Arial" w:hAnsi="Arial"/>
          <w:sz w:val="17"/>
          <w:szCs w:val="17"/>
          <w:color w:val="auto"/>
        </w:rPr>
        <w:t>In October 2019, we entered into a five-year $525.0 million floating-to-fixed interest rate swap agreement. In January 2020, we entered into a five-year $1,000.0 million floating-to-fixed interest rate swap agreement. These two interest rate swaps met the criteria to be considered and were designated as qualifying cash flow hedges under ASC 815 in the first quarter of 2020, and they effectively fix interest payment obligations on $525.0 million and $1,000.0 million of principal under the First Lien Term Loan Facility at rates of 4.3% and 4.4% through September 2024 and January 2025, respectively, based on the interest rates set forth in the Amended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Amended Credit Agreement as of September 30, 2021.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50"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our primary sources and uses of cash for the nine months ended September 30, 2021 and 2020.</w:t>
      </w:r>
    </w:p>
    <w:p>
      <w:pPr>
        <w:spacing w:after="0" w:line="27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320" w:type="dxa"/>
            <w:vAlign w:val="bottom"/>
          </w:tcPr>
          <w:p>
            <w:pPr>
              <w:spacing w:after="0"/>
              <w:rPr>
                <w:sz w:val="15"/>
                <w:szCs w:val="15"/>
                <w:color w:val="auto"/>
              </w:rPr>
            </w:pPr>
          </w:p>
        </w:tc>
        <w:tc>
          <w:tcPr>
            <w:tcW w:w="1200" w:type="dxa"/>
            <w:vAlign w:val="bottom"/>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77"/>
        </w:trPr>
        <w:tc>
          <w:tcPr>
            <w:tcW w:w="5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374,522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483,598</w:t>
            </w:r>
          </w:p>
        </w:tc>
      </w:tr>
      <w:tr>
        <w:trPr>
          <w:trHeight w:val="181"/>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(65,440)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3,444</w:t>
            </w:r>
          </w:p>
        </w:tc>
      </w:tr>
      <w:tr>
        <w:trPr>
          <w:trHeight w:val="186"/>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(598,220)</w:t>
            </w:r>
          </w:p>
        </w:tc>
      </w:tr>
      <w:tr>
        <w:trPr>
          <w:trHeight w:val="181"/>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w:t>
            </w:r>
          </w:p>
        </w:tc>
      </w:tr>
      <w:tr>
        <w:trPr>
          <w:trHeight w:val="204"/>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decrease in cash and cash equivalents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(252,692)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(107,318)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240" w:firstLine="629"/>
        <w:spacing w:after="0" w:line="325" w:lineRule="auto"/>
        <w:rPr>
          <w:sz w:val="20"/>
          <w:szCs w:val="20"/>
          <w:color w:val="auto"/>
        </w:rPr>
      </w:pPr>
      <w:r>
        <w:rPr>
          <w:rFonts w:ascii="Arial" w:cs="Arial" w:eastAsia="Arial" w:hAnsi="Arial"/>
          <w:sz w:val="15"/>
          <w:szCs w:val="15"/>
          <w:color w:val="auto"/>
        </w:rPr>
        <w:t>Net cash provided by operating activities was $374.5 million for the nine months ended September 30, 2021, compared to net cash provided by operating activities of $483.6 million for the nine months ended September 30, 2020. The decrease in net cash provided by operating activities was primarily attributable to lower revenues, and an increase in trading assets, at fair value, for the nine months ended September 30, 2021 compared to the prior period.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50" w:lineRule="exact"/>
        <w:rPr>
          <w:sz w:val="20"/>
          <w:szCs w:val="20"/>
          <w:color w:val="auto"/>
        </w:rPr>
      </w:pPr>
    </w:p>
    <w:p>
      <w:pPr>
        <w:ind w:right="120" w:firstLine="629"/>
        <w:spacing w:after="0" w:line="267" w:lineRule="auto"/>
        <w:rPr>
          <w:sz w:val="20"/>
          <w:szCs w:val="20"/>
          <w:color w:val="auto"/>
        </w:rPr>
      </w:pPr>
      <w:r>
        <w:rPr>
          <w:rFonts w:ascii="Arial" w:cs="Arial" w:eastAsia="Arial" w:hAnsi="Arial"/>
          <w:sz w:val="17"/>
          <w:szCs w:val="17"/>
          <w:color w:val="auto"/>
        </w:rPr>
        <w:t>Net cash used in investing activities was $65.4 million for the nine months ended September 30, 2021, compared to net cash provided by investing activities of $3.4 million for the nine months ended September 30, 2020. The increase in cash used in investing activities for the nine months ended September 30, 2021 was primarily attributable to an increase in contributions to our strategic investments in the current period, offset by the sale of MATCHNow in the prior period.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50"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Net cash used in financing activities was $550.3 million for the nine months ended September 30, 2021, while net cash used in financing activities was $598.2 million for the nine months ended September 30, 2020. The cash used in financing activities for the nine months ended September 30, 2021 was primarily attributable to $430.6 million in dividends to stockholders and distributions made to noncontrolling interests and $320.2 million in purchases of treasury stock, partially offset by the proceeds of $249.6 million of short term borrowings. The cash used in financing activities of $598.2 million during the same period of 2020 primarily reflects net dividends to stockholders and distributions to noncontrolling interests and repayment of long term borrowings.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18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2021, the Company repurchased approximately 12.5 million shares of Class A Common Stock and Virtu Financial Units for approximately $337.5 million. As of September 30, 2021, the Company has approximately of $132.5 million remaining capacity for future purchases of shares of Class A Common Stock and Virtu Financial Units under the program.</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right="320" w:firstLine="629"/>
        <w:spacing w:after="0" w:line="273" w:lineRule="auto"/>
        <w:rPr>
          <w:sz w:val="20"/>
          <w:szCs w:val="20"/>
          <w:color w:val="auto"/>
        </w:rPr>
      </w:pPr>
      <w:r>
        <w:rPr>
          <w:rFonts w:ascii="Arial" w:cs="Arial" w:eastAsia="Arial" w:hAnsi="Arial"/>
          <w:sz w:val="17"/>
          <w:szCs w:val="17"/>
          <w:color w:val="auto"/>
        </w:rPr>
        <w:t>As of September 30, 2021,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56"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We believe inflation has not had a material effect on our financial condition as of September 30, 2021, and December 31, 2020, or on our results of operations and cash flows for the three and nine months ended September 30, 2021 and 2020.</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20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While our significant accounting policies are described in more detail in Note 2 "Summary of Significant Accounting Policies" in our consolidated financial statements included in Part II, Item 8 of our Annual Report on Form 10-K for the year ended December 31, 2020,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50"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7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61"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10 "Financial Assets and Liabilities" of Part I Item 1 “Financial Statements” of this Quarterly Report on Form 10-Q for further information about fair value measurements.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5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4"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8" w:lineRule="exact"/>
        <w:rPr>
          <w:sz w:val="20"/>
          <w:szCs w:val="20"/>
          <w:color w:val="auto"/>
        </w:rPr>
      </w:pPr>
    </w:p>
    <w:p>
      <w:pPr>
        <w:ind w:right="480" w:firstLine="629"/>
        <w:spacing w:after="0" w:line="359" w:lineRule="auto"/>
        <w:rPr>
          <w:sz w:val="20"/>
          <w:szCs w:val="20"/>
          <w:color w:val="auto"/>
        </w:rPr>
      </w:pPr>
      <w:r>
        <w:rPr>
          <w:rFonts w:ascii="Arial" w:cs="Arial" w:eastAsia="Arial" w:hAnsi="Arial"/>
          <w:sz w:val="15"/>
          <w:szCs w:val="15"/>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0" w:firstLine="629"/>
        <w:spacing w:after="0" w:line="263"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8"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1" w:lineRule="exact"/>
        <w:rPr>
          <w:sz w:val="20"/>
          <w:szCs w:val="20"/>
          <w:color w:val="auto"/>
        </w:rPr>
      </w:pPr>
    </w:p>
    <w:p>
      <w:pPr>
        <w:ind w:left="1260" w:right="460" w:hanging="626"/>
        <w:spacing w:after="0" w:line="264" w:lineRule="auto"/>
        <w:tabs>
          <w:tab w:leader="none" w:pos="1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7"/>
          <w:szCs w:val="17"/>
          <w:color w:val="auto"/>
        </w:rPr>
      </w:pPr>
    </w:p>
    <w:p>
      <w:pPr>
        <w:ind w:left="1260" w:right="540" w:hanging="626"/>
        <w:spacing w:after="0" w:line="274" w:lineRule="auto"/>
        <w:tabs>
          <w:tab w:leader="none" w:pos="12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97"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7"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RSUs or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6"/>
          <w:szCs w:val="16"/>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81"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50" w:lineRule="exact"/>
        <w:rPr>
          <w:sz w:val="20"/>
          <w:szCs w:val="20"/>
          <w:color w:val="auto"/>
        </w:rPr>
      </w:pPr>
    </w:p>
    <w:p>
      <w:pPr>
        <w:ind w:right="60" w:firstLine="629"/>
        <w:spacing w:after="0" w:line="278" w:lineRule="auto"/>
        <w:rPr>
          <w:sz w:val="20"/>
          <w:szCs w:val="20"/>
          <w:color w:val="auto"/>
        </w:rPr>
      </w:pPr>
      <w:r>
        <w:rPr>
          <w:rFonts w:ascii="Arial" w:cs="Arial" w:eastAsia="Arial" w:hAnsi="Arial"/>
          <w:sz w:val="16"/>
          <w:szCs w:val="16"/>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50" w:lineRule="exact"/>
        <w:rPr>
          <w:sz w:val="20"/>
          <w:szCs w:val="20"/>
          <w:color w:val="auto"/>
        </w:rPr>
      </w:pPr>
    </w:p>
    <w:p>
      <w:pPr>
        <w:ind w:right="360" w:firstLine="629"/>
        <w:spacing w:after="0" w:line="267"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4" w:lineRule="exact"/>
        <w:rPr>
          <w:sz w:val="20"/>
          <w:szCs w:val="20"/>
          <w:color w:val="auto"/>
        </w:rPr>
      </w:pPr>
    </w:p>
    <w:p>
      <w:pPr>
        <w:jc w:val="both"/>
        <w:ind w:right="60" w:firstLine="629"/>
        <w:spacing w:after="0" w:line="325" w:lineRule="auto"/>
        <w:rPr>
          <w:sz w:val="20"/>
          <w:szCs w:val="20"/>
          <w:color w:val="auto"/>
        </w:rPr>
      </w:pPr>
      <w:r>
        <w:rPr>
          <w:rFonts w:ascii="Arial" w:cs="Arial" w:eastAsia="Arial" w:hAnsi="Arial"/>
          <w:sz w:val="15"/>
          <w:szCs w:val="15"/>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33" w:lineRule="exact"/>
        <w:rPr>
          <w:sz w:val="20"/>
          <w:szCs w:val="20"/>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6" w:lineRule="exact"/>
        <w:rPr>
          <w:rFonts w:ascii="Arial" w:cs="Arial" w:eastAsia="Arial" w:hAnsi="Arial"/>
          <w:sz w:val="17"/>
          <w:szCs w:val="17"/>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limitations on accessing capital;</w:t>
      </w:r>
    </w:p>
    <w:p>
      <w:pPr>
        <w:spacing w:after="0" w:line="14" w:lineRule="exact"/>
        <w:rPr>
          <w:rFonts w:ascii="Arial" w:cs="Arial" w:eastAsia="Arial" w:hAnsi="Arial"/>
          <w:sz w:val="17"/>
          <w:szCs w:val="17"/>
          <w:color w:val="auto"/>
        </w:rPr>
      </w:pP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foreign exchange rates or other developments in equity and credit markets;</w:t>
      </w:r>
    </w:p>
    <w:p>
      <w:pPr>
        <w:spacing w:after="0" w:line="14" w:lineRule="exact"/>
        <w:rPr>
          <w:rFonts w:ascii="Arial" w:cs="Arial" w:eastAsia="Arial" w:hAnsi="Arial"/>
          <w:sz w:val="17"/>
          <w:szCs w:val="17"/>
          <w:color w:val="auto"/>
        </w:rPr>
      </w:pPr>
    </w:p>
    <w:p>
      <w:pPr>
        <w:ind w:left="640" w:firstLine="308"/>
        <w:spacing w:after="0" w:line="257"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 factors such as increases in raw materials, labor, or other costs that have a negative effect on earnings and cash flows;</w:t>
      </w:r>
    </w:p>
    <w:p>
      <w:pPr>
        <w:spacing w:after="0" w:line="14" w:lineRule="exact"/>
        <w:rPr>
          <w:rFonts w:ascii="Arial" w:cs="Arial" w:eastAsia="Arial" w:hAnsi="Arial"/>
          <w:sz w:val="17"/>
          <w:szCs w:val="17"/>
          <w:color w:val="auto"/>
        </w:rPr>
      </w:pPr>
    </w:p>
    <w:p>
      <w:pPr>
        <w:ind w:left="640" w:right="280" w:firstLine="308"/>
        <w:spacing w:after="0" w:line="257"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relevant entity-specific events such as changes in management, key personnel, strategy, or customers, contemplation of bankruptcy, or litigation.</w:t>
      </w:r>
    </w:p>
    <w:p>
      <w:pPr>
        <w:spacing w:after="0" w:line="197"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8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97"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We assess goodwill for impairment on an annual basis as of July 1st and on an interim basis when certain events or circumstances exist. In the impairment assessment as of July 1, 2021, we performed a qualitative assessment as described above for each reporting unit. No impairment of goodwill was identified.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51" w:lineRule="auto"/>
        <w:rPr>
          <w:sz w:val="20"/>
          <w:szCs w:val="20"/>
          <w:color w:val="auto"/>
        </w:rPr>
      </w:pPr>
      <w:r>
        <w:rPr>
          <w:rFonts w:ascii="Arial" w:cs="Arial" w:eastAsia="Arial" w:hAnsi="Arial"/>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We test finite-lived intangible assets for impairment when impairment indicators are present, and if impaired, they are written down to fair value.</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6"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6"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95"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7"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2021 and December 31, 2020 was $4.0 billion and $3.1 billion, respectively, in long positions and $2.9 billion and $2.9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04" w:lineRule="exact"/>
        <w:rPr>
          <w:sz w:val="20"/>
          <w:szCs w:val="20"/>
          <w:color w:val="auto"/>
        </w:rPr>
      </w:pPr>
    </w:p>
    <w:p>
      <w:pPr>
        <w:jc w:val="both"/>
        <w:ind w:right="40" w:firstLine="629"/>
        <w:spacing w:after="0" w:line="267"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0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56"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1"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0"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1"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56"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04"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Approximately 20.5% and 26.1% of our revenues for the three months ended September 30, 2021 and 2020, respectively, and approximately 20.3% and 20.2% of our total revenues for the nine months ended September 30, 2021 and 2020, respectively, were denominated in non-U.S. dollar currencies. We estimate that a hypothetical 10% adverse change in the value of the U.S. dollar relative to our foreign denominated earnings would have resulted in decreases in total revenues of $11.1 million and $17.2 million for the three months ended September 30, 2021 and 2020 respectively, and $42.7 million and $51.7 million for the nine months ended September 30, 2021 and 2020, respectively.</w:t>
      </w:r>
    </w:p>
    <w:p>
      <w:pPr>
        <w:spacing w:after="0" w:line="20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5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0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2021. Based upon that evaluation, our Chief Executive Officer and Chief Financial Officer concluded that, as of September 30, 2021,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95"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56"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September 30, 2021 that has or is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6"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The information required by this item is set forth in the “Legal Proceedings” section in Note 15 "Commitments, Contingencies and Guarantees" to the Company’s condensed consolidated financial statements included in Part I Item 1 “Financial Statements”, which is incorporated by reference herein.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to the Risk Factors described in Part I Item 1A. “Risk Factors” in our 2020 Form 10-K.</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6"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share repurchases for the three months ended September 30, 2021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 Number of 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Average Price Paid</w:t>
            </w: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Purchased as Part of</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31"/>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5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Publicly Announced</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Purchased (1)</w:t>
            </w: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 Share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Plans or Programs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77"/>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July 1, 2021 - July 31, 2021</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Arial" w:cs="Arial" w:eastAsia="Arial" w:hAnsi="Arial"/>
                <w:sz w:val="14"/>
                <w:szCs w:val="14"/>
                <w:color w:val="auto"/>
              </w:rPr>
              <w:t>1,043,846</w:t>
            </w:r>
          </w:p>
        </w:tc>
        <w:tc>
          <w:tcPr>
            <w:tcW w:w="14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26.61</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1,042,900</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$243,670,314</w:t>
            </w: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August 1, 2021 - August 31, 2021</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3,391,961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3,383,168</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$156,238,886</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 2021 - September 30, 2021</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984,079</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24.29</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975,864</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$132,536,635</w:t>
            </w:r>
          </w:p>
        </w:tc>
        <w:tc>
          <w:tcPr>
            <w:tcW w:w="0" w:type="dxa"/>
            <w:vAlign w:val="bottom"/>
          </w:tcPr>
          <w:p>
            <w:pPr>
              <w:spacing w:after="0"/>
              <w:rPr>
                <w:sz w:val="1"/>
                <w:szCs w:val="1"/>
                <w:color w:val="auto"/>
              </w:rPr>
            </w:pPr>
          </w:p>
        </w:tc>
      </w:tr>
      <w:tr>
        <w:trPr>
          <w:trHeight w:val="204"/>
        </w:trPr>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Common Stock / Virtu Financial Unit repurchases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5,419,886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5,401.932</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$132,536,635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firstLine="5"/>
        <w:spacing w:after="0" w:line="260" w:lineRule="auto"/>
        <w:tabs>
          <w:tab w:leader="none" w:pos="198"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repurchase of 5,489 shares from employees in order to satisfy statutory tax withholding requirements upon the net settlement of equity awards for the three months ended September 30, 2021.</w:t>
      </w:r>
    </w:p>
    <w:p>
      <w:pPr>
        <w:spacing w:after="0" w:line="207" w:lineRule="exact"/>
        <w:rPr>
          <w:sz w:val="20"/>
          <w:szCs w:val="20"/>
          <w:color w:val="auto"/>
        </w:rPr>
      </w:pPr>
    </w:p>
    <w:p>
      <w:pPr>
        <w:ind w:right="180" w:firstLine="629"/>
        <w:spacing w:after="0" w:line="280" w:lineRule="auto"/>
        <w:rPr>
          <w:sz w:val="20"/>
          <w:szCs w:val="20"/>
          <w:color w:val="auto"/>
        </w:rPr>
      </w:pPr>
      <w:r>
        <w:rPr>
          <w:rFonts w:ascii="Arial" w:cs="Arial" w:eastAsia="Arial" w:hAnsi="Arial"/>
          <w:sz w:val="16"/>
          <w:szCs w:val="16"/>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2021, the Company repurchased approximately 12.5 million shares of Class A Common Stock and Virtu Financial Units for approximately $337.5 million. As of September 30, 2021, the Company has approximately of $132.5 million remaining capacity for future purchases of shares of Class A Common Stock and Virtu Financial Units under the program.</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Borders>
              <w:bottom w:val="single" w:sz="8" w:color="FEFEFE"/>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gridSpan w:val="6"/>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440" w:type="dxa"/>
            <w:vAlign w:val="bottom"/>
            <w:shd w:val="clear" w:color="auto" w:fill="FEFEFE"/>
          </w:tcPr>
          <w:p>
            <w:pPr>
              <w:ind w:left="20"/>
              <w:spacing w:after="0" w:line="182" w:lineRule="exact"/>
              <w:rPr>
                <w:sz w:val="20"/>
                <w:szCs w:val="20"/>
                <w:color w:val="auto"/>
              </w:rPr>
            </w:pPr>
            <w:r>
              <w:rPr>
                <w:rFonts w:ascii="Arial" w:cs="Arial" w:eastAsia="Arial" w:hAnsi="Arial"/>
                <w:sz w:val="17"/>
                <w:szCs w:val="17"/>
                <w:color w:val="auto"/>
              </w:rPr>
              <w:t>31.1*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7"/>
            <w:shd w:val="clear" w:color="auto" w:fill="FEFEFE"/>
          </w:tcPr>
          <w:p>
            <w:pPr>
              <w:spacing w:after="0" w:line="182" w:lineRule="exact"/>
              <w:rPr>
                <w:rFonts w:ascii="Arial" w:cs="Arial" w:eastAsia="Arial" w:hAnsi="Arial"/>
                <w:sz w:val="17"/>
                <w:szCs w:val="17"/>
                <w:color w:val="0000FF"/>
                <w:w w:val="99"/>
              </w:rPr>
            </w:pPr>
            <w:hyperlink w:anchor="page83">
              <w:r>
                <w:rPr>
                  <w:rFonts w:ascii="Arial" w:cs="Arial" w:eastAsia="Arial" w:hAnsi="Arial"/>
                  <w:sz w:val="17"/>
                  <w:szCs w:val="17"/>
                  <w:color w:val="0000FF"/>
                  <w:w w:val="99"/>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4"/>
            <w:shd w:val="clear" w:color="auto" w:fill="FEFEFE"/>
          </w:tcPr>
          <w:p>
            <w:pPr>
              <w:spacing w:after="0" w:line="150" w:lineRule="exact"/>
              <w:rPr>
                <w:rFonts w:ascii="Arial" w:cs="Arial" w:eastAsia="Arial" w:hAnsi="Arial"/>
                <w:sz w:val="17"/>
                <w:szCs w:val="17"/>
                <w:color w:val="0000FF"/>
              </w:rPr>
            </w:pPr>
            <w:hyperlink w:anchor="page83">
              <w:r>
                <w:rPr>
                  <w:rFonts w:ascii="Arial" w:cs="Arial" w:eastAsia="Arial" w:hAnsi="Arial"/>
                  <w:sz w:val="17"/>
                  <w:szCs w:val="17"/>
                  <w:color w:val="0000FF"/>
                </w:rPr>
                <w:t>amended, as adopted pursuant to Section 302 of the Sarbanes-Oxley Act of 2002.</w:t>
              </w:r>
            </w:hyperlink>
          </w:p>
        </w:tc>
        <w:tc>
          <w:tcPr>
            <w:tcW w:w="2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7"/>
            <w:shd w:val="clear" w:color="auto" w:fill="FEFEFE"/>
          </w:tcPr>
          <w:p>
            <w:pPr>
              <w:spacing w:after="0"/>
              <w:rPr>
                <w:rFonts w:ascii="Arial" w:cs="Arial" w:eastAsia="Arial" w:hAnsi="Arial"/>
                <w:sz w:val="17"/>
                <w:szCs w:val="17"/>
                <w:color w:val="0000FF"/>
              </w:rPr>
            </w:pPr>
            <w:hyperlink w:anchor="page84">
              <w:r>
                <w:rPr>
                  <w:rFonts w:ascii="Arial" w:cs="Arial" w:eastAsia="Arial" w:hAnsi="Arial"/>
                  <w:sz w:val="17"/>
                  <w:szCs w:val="17"/>
                  <w:color w:val="0000FF"/>
                </w:rPr>
                <w:t>Certification of Chief Financial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3"/>
            <w:shd w:val="clear" w:color="auto" w:fill="FEFEFE"/>
          </w:tcPr>
          <w:p>
            <w:pPr>
              <w:spacing w:after="0" w:line="150" w:lineRule="exact"/>
              <w:rPr>
                <w:rFonts w:ascii="Arial" w:cs="Arial" w:eastAsia="Arial" w:hAnsi="Arial"/>
                <w:sz w:val="17"/>
                <w:szCs w:val="17"/>
                <w:color w:val="0000FF"/>
              </w:rPr>
            </w:pPr>
            <w:hyperlink w:anchor="page84">
              <w:r>
                <w:rPr>
                  <w:rFonts w:ascii="Arial" w:cs="Arial" w:eastAsia="Arial" w:hAnsi="Arial"/>
                  <w:sz w:val="17"/>
                  <w:szCs w:val="17"/>
                  <w:color w:val="0000FF"/>
                </w:rPr>
                <w:t>amended, as adopted pursuant to Section 302 of the Sarbanes-Oxley Act of 2002.</w:t>
              </w:r>
            </w:hyperlink>
          </w:p>
        </w:tc>
        <w:tc>
          <w:tcPr>
            <w:tcW w:w="26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32.1*</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7"/>
            <w:shd w:val="clear" w:color="auto" w:fill="FEFEFE"/>
          </w:tcPr>
          <w:p>
            <w:pPr>
              <w:spacing w:after="0"/>
              <w:rPr>
                <w:rFonts w:ascii="Arial" w:cs="Arial" w:eastAsia="Arial" w:hAnsi="Arial"/>
                <w:sz w:val="17"/>
                <w:szCs w:val="17"/>
                <w:color w:val="0000FF"/>
                <w:w w:val="95"/>
              </w:rPr>
            </w:pPr>
            <w:hyperlink w:anchor="page85">
              <w:r>
                <w:rPr>
                  <w:rFonts w:ascii="Arial" w:cs="Arial" w:eastAsia="Arial" w:hAnsi="Arial"/>
                  <w:sz w:val="17"/>
                  <w:szCs w:val="17"/>
                  <w:color w:val="0000FF"/>
                  <w:w w:val="95"/>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85">
              <w:r>
                <w:rPr>
                  <w:rFonts w:ascii="Arial" w:cs="Arial" w:eastAsia="Arial" w:hAnsi="Arial"/>
                  <w:sz w:val="17"/>
                  <w:szCs w:val="17"/>
                  <w:color w:val="0000FF"/>
                  <w:w w:val="96"/>
                </w:rPr>
                <w:t>Oxley Act of 2002.</w:t>
              </w:r>
            </w:hyperlink>
          </w:p>
        </w:tc>
        <w:tc>
          <w:tcPr>
            <w:tcW w:w="766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7"/>
            <w:shd w:val="clear" w:color="auto" w:fill="FEFEFE"/>
          </w:tcPr>
          <w:p>
            <w:pPr>
              <w:spacing w:after="0"/>
              <w:rPr>
                <w:rFonts w:ascii="Arial" w:cs="Arial" w:eastAsia="Arial" w:hAnsi="Arial"/>
                <w:sz w:val="17"/>
                <w:szCs w:val="17"/>
                <w:color w:val="0000FF"/>
                <w:w w:val="95"/>
              </w:rPr>
            </w:pPr>
            <w:hyperlink w:anchor="page86">
              <w:r>
                <w:rPr>
                  <w:rFonts w:ascii="Arial" w:cs="Arial" w:eastAsia="Arial" w:hAnsi="Arial"/>
                  <w:sz w:val="17"/>
                  <w:szCs w:val="17"/>
                  <w:color w:val="0000FF"/>
                  <w:w w:val="95"/>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86">
              <w:r>
                <w:rPr>
                  <w:rFonts w:ascii="Arial" w:cs="Arial" w:eastAsia="Arial" w:hAnsi="Arial"/>
                  <w:sz w:val="17"/>
                  <w:szCs w:val="17"/>
                  <w:color w:val="0000FF"/>
                  <w:w w:val="96"/>
                </w:rPr>
                <w:t>Oxley Act of 2002.</w:t>
              </w:r>
            </w:hyperlink>
          </w:p>
        </w:tc>
        <w:tc>
          <w:tcPr>
            <w:tcW w:w="7600" w:type="dxa"/>
            <w:vAlign w:val="bottom"/>
            <w:tcBorders>
              <w:top w:val="single" w:sz="8" w:color="0000FF"/>
              <w:bottom w:val="single" w:sz="8" w:color="FEFEFE"/>
            </w:tcBorders>
            <w:gridSpan w:val="4"/>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101.INS*</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101.SCH*</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101.CAL*</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101.LAB*</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101.PRE*</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101.DEF*</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104</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7"/>
            <w:vMerge w:val="restart"/>
            <w:shd w:val="clear" w:color="auto" w:fill="FEFEFE"/>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7"/>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40" w:type="dxa"/>
            <w:vAlign w:val="bottom"/>
            <w:shd w:val="clear" w:color="auto" w:fill="FEFEFE"/>
          </w:tcPr>
          <w:p>
            <w:pPr>
              <w:spacing w:after="0"/>
              <w:rPr>
                <w:sz w:val="6"/>
                <w:szCs w:val="6"/>
                <w:color w:val="auto"/>
              </w:rPr>
            </w:pPr>
          </w:p>
        </w:tc>
        <w:tc>
          <w:tcPr>
            <w:tcW w:w="540" w:type="dxa"/>
            <w:vAlign w:val="bottom"/>
            <w:tcBorders>
              <w:right w:val="single" w:sz="8" w:color="FEFEFE"/>
            </w:tcBorders>
            <w:shd w:val="clear" w:color="auto" w:fill="FEFEFE"/>
          </w:tcPr>
          <w:p>
            <w:pPr>
              <w:spacing w:after="0"/>
              <w:rPr>
                <w:sz w:val="6"/>
                <w:szCs w:val="6"/>
                <w:color w:val="auto"/>
              </w:rPr>
            </w:pPr>
          </w:p>
        </w:tc>
        <w:tc>
          <w:tcPr>
            <w:tcW w:w="1360" w:type="dxa"/>
            <w:vAlign w:val="bottom"/>
            <w:shd w:val="clear" w:color="auto" w:fill="FEFEFE"/>
          </w:tcPr>
          <w:p>
            <w:pPr>
              <w:spacing w:after="0"/>
              <w:rPr>
                <w:sz w:val="6"/>
                <w:szCs w:val="6"/>
                <w:color w:val="auto"/>
              </w:rPr>
            </w:pPr>
          </w:p>
        </w:tc>
        <w:tc>
          <w:tcPr>
            <w:tcW w:w="4320" w:type="dxa"/>
            <w:vAlign w:val="bottom"/>
            <w:shd w:val="clear" w:color="auto" w:fill="FEFEFE"/>
          </w:tcPr>
          <w:p>
            <w:pPr>
              <w:spacing w:after="0"/>
              <w:rPr>
                <w:sz w:val="6"/>
                <w:szCs w:val="6"/>
                <w:color w:val="auto"/>
              </w:rPr>
            </w:pPr>
          </w:p>
        </w:tc>
        <w:tc>
          <w:tcPr>
            <w:tcW w:w="302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60" w:type="dxa"/>
            <w:vAlign w:val="bottom"/>
            <w:shd w:val="clear" w:color="auto" w:fill="FEFEFE"/>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firstLine="629"/>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40" w:type="dxa"/>
            <w:vAlign w:val="bottom"/>
            <w:gridSpan w:val="2"/>
          </w:tcPr>
          <w:p>
            <w:pPr>
              <w:ind w:left="460"/>
              <w:spacing w:after="0"/>
              <w:rPr>
                <w:sz w:val="20"/>
                <w:szCs w:val="20"/>
                <w:color w:val="auto"/>
              </w:rPr>
            </w:pPr>
            <w:r>
              <w:rPr>
                <w:rFonts w:ascii="Arial" w:cs="Arial" w:eastAsia="Arial" w:hAnsi="Arial"/>
                <w:sz w:val="17"/>
                <w:szCs w:val="17"/>
                <w:color w:val="auto"/>
              </w:rPr>
              <w:t>Virtu Financial, Inc.</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460" w:type="dxa"/>
            <w:vAlign w:val="bottom"/>
          </w:tcPr>
          <w:p>
            <w:pPr>
              <w:ind w:left="700"/>
              <w:spacing w:after="0"/>
              <w:rPr>
                <w:sz w:val="20"/>
                <w:szCs w:val="20"/>
                <w:color w:val="auto"/>
              </w:rPr>
            </w:pPr>
            <w:r>
              <w:rPr>
                <w:rFonts w:ascii="Arial" w:cs="Arial" w:eastAsia="Arial" w:hAnsi="Arial"/>
                <w:sz w:val="17"/>
                <w:szCs w:val="17"/>
                <w:color w:val="auto"/>
              </w:rPr>
              <w:t>November 3, 2021</w:t>
            </w:r>
          </w:p>
        </w:tc>
        <w:tc>
          <w:tcPr>
            <w:tcW w:w="1100" w:type="dxa"/>
            <w:vAlign w:val="bottom"/>
          </w:tcPr>
          <w:p>
            <w:pPr>
              <w:ind w:left="4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A. Cifu</w:t>
            </w:r>
          </w:p>
        </w:tc>
      </w:tr>
      <w:tr>
        <w:trPr>
          <w:trHeight w:val="216"/>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Douglas A. Cifu</w:t>
            </w:r>
          </w:p>
        </w:tc>
      </w:tr>
      <w:tr>
        <w:trPr>
          <w:trHeight w:val="223"/>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460" w:type="dxa"/>
            <w:vAlign w:val="bottom"/>
          </w:tcPr>
          <w:p>
            <w:pPr>
              <w:ind w:left="700"/>
              <w:spacing w:after="0"/>
              <w:rPr>
                <w:sz w:val="20"/>
                <w:szCs w:val="20"/>
                <w:color w:val="auto"/>
              </w:rPr>
            </w:pPr>
            <w:r>
              <w:rPr>
                <w:rFonts w:ascii="Arial" w:cs="Arial" w:eastAsia="Arial" w:hAnsi="Arial"/>
                <w:sz w:val="17"/>
                <w:szCs w:val="17"/>
                <w:color w:val="auto"/>
              </w:rPr>
              <w:t>November 3, 2021</w:t>
            </w:r>
          </w:p>
        </w:tc>
        <w:tc>
          <w:tcPr>
            <w:tcW w:w="1100" w:type="dxa"/>
            <w:vAlign w:val="bottom"/>
          </w:tcPr>
          <w:p>
            <w:pPr>
              <w:ind w:left="4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P. Galvin</w:t>
            </w:r>
          </w:p>
        </w:tc>
      </w:tr>
      <w:tr>
        <w:trPr>
          <w:trHeight w:val="216"/>
        </w:trPr>
        <w:tc>
          <w:tcPr>
            <w:tcW w:w="1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Sean P. Galvin</w:t>
            </w:r>
          </w:p>
        </w:tc>
      </w:tr>
      <w:tr>
        <w:trPr>
          <w:trHeight w:val="223"/>
        </w:trPr>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81</w:t>
            </w:r>
          </w:p>
        </w:tc>
      </w:tr>
    </w:tbl>
    <w:p>
      <w:pPr>
        <w:sectPr>
          <w:pgSz w:w="11900" w:h="16838" w:orient="portrait"/>
          <w:cols w:equalWidth="0" w:num="1">
            <w:col w:w="10660"/>
          </w:cols>
          <w:pgMar w:left="320" w:top="127" w:right="91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50" w:lineRule="exact"/>
        <w:rPr>
          <w:sz w:val="20"/>
          <w:szCs w:val="20"/>
          <w:color w:val="auto"/>
        </w:rPr>
      </w:pPr>
    </w:p>
    <w:p>
      <w:pPr>
        <w:ind w:left="640" w:right="180" w:hanging="321"/>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7"/>
                <w:szCs w:val="17"/>
                <w:color w:val="auto"/>
              </w:rPr>
              <w:t>Date: November 3, 2021</w:t>
            </w:r>
          </w:p>
        </w:tc>
        <w:tc>
          <w:tcPr>
            <w:tcW w:w="2540" w:type="dxa"/>
            <w:vAlign w:val="bottom"/>
          </w:tcPr>
          <w:p>
            <w:pPr>
              <w:ind w:left="194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A. Cifu</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Douglas A. Cifu</w:t>
            </w:r>
          </w:p>
        </w:tc>
      </w:tr>
      <w:tr>
        <w:trPr>
          <w:trHeight w:val="223"/>
        </w:trPr>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6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Sean Galvin, certify that:</w:t>
      </w:r>
    </w:p>
    <w:p>
      <w:pPr>
        <w:spacing w:after="0" w:line="224" w:lineRule="exact"/>
        <w:rPr>
          <w:sz w:val="20"/>
          <w:szCs w:val="20"/>
          <w:color w:val="auto"/>
        </w:rPr>
      </w:pPr>
    </w:p>
    <w:p>
      <w:pPr>
        <w:ind w:left="640" w:right="180" w:hanging="321"/>
        <w:spacing w:after="0" w:line="289"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September 30,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7"/>
                <w:szCs w:val="17"/>
                <w:color w:val="auto"/>
              </w:rPr>
              <w:t>Date: November 3, 2021</w:t>
            </w:r>
          </w:p>
        </w:tc>
        <w:tc>
          <w:tcPr>
            <w:tcW w:w="2540" w:type="dxa"/>
            <w:vAlign w:val="bottom"/>
          </w:tcPr>
          <w:p>
            <w:pPr>
              <w:ind w:left="19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P. Galvin</w:t>
            </w:r>
          </w:p>
        </w:tc>
      </w:tr>
      <w:tr>
        <w:trPr>
          <w:trHeight w:val="216"/>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Sean Galvin</w:t>
            </w:r>
          </w:p>
        </w:tc>
      </w:tr>
      <w:tr>
        <w:trPr>
          <w:trHeight w:val="223"/>
        </w:trPr>
        <w:tc>
          <w:tcPr>
            <w:tcW w:w="36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September 30, 2021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7" w:lineRule="exact"/>
        <w:rPr>
          <w:sz w:val="20"/>
          <w:szCs w:val="20"/>
          <w:color w:val="auto"/>
        </w:rPr>
      </w:pPr>
    </w:p>
    <w:p>
      <w:pPr>
        <w:ind w:left="1280" w:hanging="175"/>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16510</wp:posOffset>
            </wp:positionV>
            <wp:extent cx="3476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Douglas A. Cifu</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November 3, 2021</w:t>
      </w:r>
    </w:p>
    <w:p>
      <w:pPr>
        <w:sectPr>
          <w:pgSz w:w="11900" w:h="16838" w:orient="portrait"/>
          <w:cols w:equalWidth="0" w:num="1">
            <w:col w:w="11240"/>
          </w:cols>
          <w:pgMar w:left="320" w:top="86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September 30, 2021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71" w:lineRule="exact"/>
        <w:rPr>
          <w:sz w:val="20"/>
          <w:szCs w:val="20"/>
          <w:color w:val="auto"/>
        </w:rPr>
      </w:pPr>
    </w:p>
    <w:p>
      <w:pPr>
        <w:ind w:left="1280" w:hanging="175"/>
        <w:spacing w:after="0"/>
        <w:tabs>
          <w:tab w:leader="none" w:pos="1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16510</wp:posOffset>
            </wp:positionV>
            <wp:extent cx="34931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Sean Galvin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November 3, 2021</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2)"/>
      <w:numFmt w:val="decimal"/>
      <w:start w:val="1"/>
    </w:lvl>
  </w:abstractNum>
  <w:abstractNum w:abstractNumId="13">
    <w:nsid w:val="333AB105"/>
    <w:multiLevelType w:val="hybridMultilevel"/>
    <w:lvl w:ilvl="0">
      <w:lvlJc w:val="left"/>
      <w:lvlText w:val="%1."/>
      <w:numFmt w:val="decimal"/>
      <w:start w:val="19"/>
    </w:lvl>
    <w:lvl w:ilvl="1">
      <w:lvlJc w:val="left"/>
      <w:lvlText w:val="%2"/>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2021-11-03T13:22:03Z</dcterms:created>
  <dcterms:modified xsi:type="dcterms:W3CDTF">2021-11-03T13:22:03Z</dcterms:modified>
</cp:coreProperties>
</file>